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15B03">
      <w:pPr>
        <w:spacing w:before="156" w:beforeLines="50" w:after="156" w:afterLines="50"/>
        <w:ind w:left="-850" w:leftChars="-405" w:right="-625"/>
        <w:jc w:val="center"/>
        <w:outlineLvl w:val="0"/>
        <w:rPr>
          <w:rFonts w:hint="eastAsia" w:ascii="新宋体" w:hAnsi="新宋体" w:eastAsia="新宋体"/>
          <w:b/>
          <w:color w:val="auto"/>
          <w:sz w:val="48"/>
          <w:szCs w:val="48"/>
          <w:highlight w:val="none"/>
          <w:lang w:val="en-US" w:eastAsia="zh-CN"/>
        </w:rPr>
      </w:pPr>
      <w:bookmarkStart w:id="0" w:name="OLE_LINK1"/>
      <w:r>
        <w:rPr>
          <w:rFonts w:hint="eastAsia" w:ascii="新宋体" w:hAnsi="新宋体" w:eastAsia="新宋体"/>
          <w:b/>
          <w:color w:val="auto"/>
          <w:sz w:val="48"/>
          <w:szCs w:val="48"/>
          <w:highlight w:val="none"/>
          <w:lang w:val="en-US" w:eastAsia="zh-CN"/>
        </w:rPr>
        <w:t>后勤服务中心(公租房)物业管理服务项目</w:t>
      </w:r>
    </w:p>
    <w:p w14:paraId="62488A59">
      <w:pPr>
        <w:spacing w:before="156" w:beforeLines="50" w:after="156" w:afterLines="50"/>
        <w:ind w:left="-850" w:leftChars="-405" w:right="-625"/>
        <w:jc w:val="center"/>
        <w:rPr>
          <w:rFonts w:hint="eastAsia" w:ascii="新宋体" w:hAnsi="新宋体" w:eastAsia="新宋体"/>
          <w:b/>
          <w:color w:val="auto"/>
          <w:sz w:val="44"/>
          <w:szCs w:val="44"/>
          <w:highlight w:val="none"/>
          <w:lang w:val="en-US" w:eastAsia="zh-CN"/>
        </w:rPr>
      </w:pPr>
    </w:p>
    <w:p w14:paraId="721CC32F">
      <w:pPr>
        <w:spacing w:before="156" w:beforeLines="50" w:after="156" w:afterLines="50"/>
        <w:ind w:left="-850" w:leftChars="-405" w:right="-625"/>
        <w:jc w:val="center"/>
        <w:rPr>
          <w:rFonts w:hint="eastAsia" w:ascii="宋体" w:hAnsi="宋体"/>
          <w:color w:val="auto"/>
          <w:sz w:val="40"/>
          <w:szCs w:val="36"/>
          <w:highlight w:val="none"/>
        </w:rPr>
      </w:pPr>
      <w:r>
        <w:rPr>
          <w:rFonts w:hint="eastAsia" w:ascii="宋体" w:hAnsi="宋体"/>
          <w:color w:val="auto"/>
          <w:sz w:val="40"/>
          <w:szCs w:val="36"/>
          <w:highlight w:val="none"/>
        </w:rPr>
        <w:t>（电子招标投标）</w:t>
      </w:r>
    </w:p>
    <w:p w14:paraId="525B71E2">
      <w:pPr>
        <w:pStyle w:val="13"/>
        <w:ind w:left="0" w:leftChars="0" w:firstLine="3360" w:firstLineChars="1400"/>
        <w:rPr>
          <w:rFonts w:hint="eastAsia"/>
          <w:color w:val="auto"/>
          <w:sz w:val="24"/>
          <w:highlight w:val="none"/>
        </w:rPr>
      </w:pPr>
    </w:p>
    <w:p w14:paraId="01CA9BEA">
      <w:pPr>
        <w:pStyle w:val="13"/>
        <w:ind w:left="0" w:leftChars="0" w:firstLine="3360" w:firstLineChars="1400"/>
        <w:rPr>
          <w:rFonts w:hint="eastAsia"/>
          <w:color w:val="auto"/>
          <w:sz w:val="24"/>
          <w:highlight w:val="none"/>
        </w:rPr>
      </w:pPr>
    </w:p>
    <w:p w14:paraId="2C7BB950">
      <w:pPr>
        <w:pStyle w:val="13"/>
        <w:ind w:left="0" w:leftChars="0" w:firstLine="0" w:firstLineChars="0"/>
        <w:jc w:val="center"/>
        <w:rPr>
          <w:rFonts w:hint="default"/>
          <w:color w:val="auto"/>
          <w:sz w:val="24"/>
          <w:highlight w:val="none"/>
          <w:lang w:val="en-US" w:eastAsia="zh-CN"/>
        </w:rPr>
      </w:pPr>
      <w:r>
        <w:rPr>
          <w:rFonts w:hint="eastAsia"/>
          <w:color w:val="auto"/>
          <w:sz w:val="24"/>
          <w:highlight w:val="none"/>
        </w:rPr>
        <w:t>项目编号</w:t>
      </w:r>
      <w:r>
        <w:rPr>
          <w:rFonts w:hint="eastAsia"/>
          <w:color w:val="auto"/>
          <w:sz w:val="24"/>
          <w:highlight w:val="none"/>
          <w:lang w:eastAsia="zh-CN"/>
        </w:rPr>
        <w:t>：</w:t>
      </w:r>
      <w:r>
        <w:rPr>
          <w:rFonts w:hint="default"/>
          <w:color w:val="auto"/>
          <w:sz w:val="24"/>
          <w:highlight w:val="none"/>
        </w:rPr>
        <w:t>czsjqt202411-001</w:t>
      </w:r>
    </w:p>
    <w:p w14:paraId="5B9DC441">
      <w:pPr>
        <w:pStyle w:val="2"/>
        <w:ind w:firstLine="0" w:firstLineChars="0"/>
        <w:rPr>
          <w:rFonts w:hint="eastAsia"/>
          <w:color w:val="auto"/>
          <w:highlight w:val="none"/>
        </w:rPr>
      </w:pPr>
    </w:p>
    <w:p w14:paraId="6A8324BB">
      <w:pPr>
        <w:pStyle w:val="2"/>
        <w:ind w:firstLine="480"/>
        <w:rPr>
          <w:rFonts w:hint="eastAsia"/>
          <w:color w:val="auto"/>
          <w:highlight w:val="none"/>
        </w:rPr>
      </w:pPr>
    </w:p>
    <w:p w14:paraId="320BB9C1">
      <w:pPr>
        <w:rPr>
          <w:rFonts w:hint="eastAsia" w:ascii="宋体"/>
          <w:bCs/>
          <w:color w:val="auto"/>
          <w:szCs w:val="21"/>
          <w:highlight w:val="none"/>
        </w:rPr>
      </w:pPr>
    </w:p>
    <w:p w14:paraId="4E130580">
      <w:pPr>
        <w:spacing w:line="312" w:lineRule="auto"/>
        <w:jc w:val="center"/>
        <w:rPr>
          <w:rFonts w:ascii="宋体" w:hAnsi="宋体"/>
          <w:b/>
          <w:color w:val="auto"/>
          <w:sz w:val="84"/>
          <w:szCs w:val="84"/>
          <w:highlight w:val="none"/>
        </w:rPr>
      </w:pPr>
      <w:r>
        <w:rPr>
          <w:rFonts w:hint="eastAsia" w:ascii="宋体" w:hAnsi="宋体"/>
          <w:b/>
          <w:color w:val="auto"/>
          <w:sz w:val="84"/>
          <w:szCs w:val="84"/>
          <w:highlight w:val="none"/>
        </w:rPr>
        <w:t>招 标 文 件</w:t>
      </w:r>
    </w:p>
    <w:p w14:paraId="265BBE30">
      <w:pPr>
        <w:rPr>
          <w:rFonts w:hint="eastAsia" w:ascii="宋体"/>
          <w:bCs/>
          <w:color w:val="auto"/>
          <w:szCs w:val="21"/>
          <w:highlight w:val="none"/>
        </w:rPr>
      </w:pPr>
    </w:p>
    <w:p w14:paraId="31D96961">
      <w:pPr>
        <w:rPr>
          <w:rFonts w:hint="eastAsia" w:ascii="宋体" w:hAnsi="宋体" w:eastAsia="宋体"/>
          <w:b/>
          <w:color w:val="auto"/>
          <w:sz w:val="84"/>
          <w:szCs w:val="84"/>
          <w:highlight w:val="none"/>
          <w:lang w:val="en-US" w:eastAsia="zh-CN"/>
        </w:rPr>
      </w:pPr>
      <w:r>
        <w:rPr>
          <w:rFonts w:hint="eastAsia" w:ascii="宋体" w:hAnsi="宋体"/>
          <w:b/>
          <w:color w:val="auto"/>
          <w:sz w:val="84"/>
          <w:szCs w:val="84"/>
          <w:highlight w:val="none"/>
          <w:lang w:val="en-US" w:eastAsia="zh-CN"/>
        </w:rPr>
        <w:t xml:space="preserve"> </w:t>
      </w:r>
    </w:p>
    <w:p w14:paraId="5AC7A77E">
      <w:pPr>
        <w:pStyle w:val="14"/>
        <w:ind w:left="420"/>
        <w:rPr>
          <w:rFonts w:hint="eastAsia"/>
          <w:color w:val="auto"/>
          <w:highlight w:val="none"/>
        </w:rPr>
      </w:pPr>
    </w:p>
    <w:p w14:paraId="369D29C8">
      <w:pPr>
        <w:rPr>
          <w:rFonts w:hint="eastAsia"/>
          <w:color w:val="auto"/>
          <w:highlight w:val="none"/>
        </w:rPr>
      </w:pPr>
    </w:p>
    <w:p w14:paraId="1C21D9BC">
      <w:pPr>
        <w:pStyle w:val="13"/>
        <w:ind w:firstLine="400"/>
        <w:rPr>
          <w:rFonts w:hint="eastAsia"/>
          <w:color w:val="auto"/>
          <w:highlight w:val="none"/>
        </w:rPr>
      </w:pPr>
    </w:p>
    <w:p w14:paraId="0D528991">
      <w:pPr>
        <w:spacing w:before="312" w:beforeLines="100" w:after="312" w:afterLines="100" w:line="360" w:lineRule="auto"/>
        <w:jc w:val="left"/>
        <w:rPr>
          <w:rFonts w:hint="default"/>
          <w:color w:val="auto"/>
          <w:highlight w:val="none"/>
          <w:lang w:val="en-US" w:eastAsia="zh-CN"/>
        </w:rPr>
      </w:pPr>
      <w:r>
        <w:rPr>
          <w:rFonts w:hint="eastAsia" w:ascii="宋体"/>
          <w:b/>
          <w:color w:val="auto"/>
          <w:sz w:val="32"/>
          <w:szCs w:val="32"/>
          <w:highlight w:val="none"/>
          <w:lang w:val="en-US" w:eastAsia="zh-CN"/>
        </w:rPr>
        <w:t xml:space="preserve"> </w:t>
      </w:r>
    </w:p>
    <w:p w14:paraId="5449EBF5">
      <w:pPr>
        <w:pStyle w:val="13"/>
        <w:rPr>
          <w:rFonts w:hint="eastAsia"/>
          <w:color w:val="auto"/>
          <w:highlight w:val="none"/>
        </w:rPr>
      </w:pPr>
    </w:p>
    <w:p w14:paraId="6BAF0146">
      <w:pPr>
        <w:spacing w:before="312" w:beforeLines="100" w:after="312" w:afterLines="100" w:line="480" w:lineRule="auto"/>
        <w:ind w:right="-199" w:rightChars="-95" w:firstLine="964" w:firstLineChars="300"/>
        <w:jc w:val="left"/>
        <w:outlineLvl w:val="0"/>
        <w:rPr>
          <w:rFonts w:hint="eastAsia" w:ascii="宋体"/>
          <w:b/>
          <w:color w:val="auto"/>
          <w:sz w:val="32"/>
          <w:szCs w:val="32"/>
          <w:highlight w:val="none"/>
        </w:rPr>
      </w:pPr>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人：</w:t>
      </w:r>
      <w:r>
        <w:rPr>
          <w:rFonts w:hint="eastAsia" w:ascii="宋体"/>
          <w:b/>
          <w:color w:val="auto"/>
          <w:sz w:val="32"/>
          <w:szCs w:val="32"/>
          <w:highlight w:val="none"/>
          <w:u w:val="single"/>
          <w:lang w:val="en-US" w:eastAsia="zh-CN"/>
        </w:rPr>
        <w:t xml:space="preserve">  滁州同业投资发展有限公司   </w:t>
      </w:r>
      <w:r>
        <w:rPr>
          <w:rFonts w:hint="eastAsia" w:ascii="宋体"/>
          <w:b/>
          <w:color w:val="auto"/>
          <w:sz w:val="32"/>
          <w:szCs w:val="32"/>
          <w:highlight w:val="none"/>
        </w:rPr>
        <w:t>（盖单位章）</w:t>
      </w:r>
    </w:p>
    <w:p w14:paraId="787CA457">
      <w:pPr>
        <w:spacing w:before="312" w:beforeLines="100" w:after="312" w:afterLines="100" w:line="480" w:lineRule="auto"/>
        <w:ind w:firstLine="964" w:firstLineChars="300"/>
        <w:outlineLvl w:val="0"/>
        <w:rPr>
          <w:rFonts w:hint="eastAsia" w:ascii="宋体"/>
          <w:b/>
          <w:color w:val="auto"/>
          <w:sz w:val="32"/>
          <w:szCs w:val="32"/>
          <w:highlight w:val="none"/>
          <w:u w:val="single"/>
        </w:rPr>
      </w:pPr>
      <w:r>
        <w:rPr>
          <w:rFonts w:hint="eastAsia" w:ascii="宋体"/>
          <w:b/>
          <w:color w:val="auto"/>
          <w:sz w:val="32"/>
          <w:szCs w:val="32"/>
          <w:highlight w:val="none"/>
        </w:rPr>
        <w:t>代理机构：</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rPr>
        <w:t>（盖单位章）</w:t>
      </w:r>
    </w:p>
    <w:p w14:paraId="4DF8B97B">
      <w:pPr>
        <w:spacing w:before="312" w:beforeLines="100" w:after="312" w:afterLines="100" w:line="480" w:lineRule="auto"/>
        <w:jc w:val="center"/>
        <w:rPr>
          <w:rFonts w:hint="eastAsia"/>
          <w:b/>
          <w:color w:val="auto"/>
          <w:sz w:val="36"/>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4</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11</w:t>
      </w:r>
      <w:r>
        <w:rPr>
          <w:rFonts w:hint="eastAsia" w:ascii="宋体"/>
          <w:b/>
          <w:color w:val="auto"/>
          <w:sz w:val="32"/>
          <w:szCs w:val="32"/>
          <w:highlight w:val="none"/>
        </w:rPr>
        <w:t>月</w:t>
      </w:r>
    </w:p>
    <w:p w14:paraId="2D2B40D3">
      <w:pPr>
        <w:pStyle w:val="14"/>
        <w:ind w:left="420"/>
        <w:rPr>
          <w:rFonts w:hint="eastAsia"/>
          <w:color w:val="auto"/>
          <w:highlight w:val="none"/>
        </w:rPr>
      </w:pPr>
    </w:p>
    <w:p w14:paraId="4F6C9EEF">
      <w:pPr>
        <w:pStyle w:val="15"/>
        <w:rPr>
          <w:rFonts w:hint="eastAsia"/>
          <w:color w:val="auto"/>
          <w:highlight w:val="none"/>
        </w:rPr>
      </w:pPr>
    </w:p>
    <w:p w14:paraId="30233D59">
      <w:pPr>
        <w:spacing w:line="360" w:lineRule="exact"/>
        <w:jc w:val="both"/>
        <w:rPr>
          <w:rFonts w:hint="eastAsia"/>
          <w:b/>
          <w:color w:val="auto"/>
          <w:sz w:val="36"/>
          <w:highlight w:val="none"/>
        </w:rPr>
      </w:pPr>
    </w:p>
    <w:p w14:paraId="0AE213DA">
      <w:pPr>
        <w:spacing w:line="360" w:lineRule="auto"/>
        <w:jc w:val="center"/>
        <w:rPr>
          <w:rFonts w:hint="eastAsia"/>
          <w:b/>
          <w:color w:val="auto"/>
          <w:sz w:val="44"/>
          <w:szCs w:val="32"/>
          <w:highlight w:val="none"/>
        </w:rPr>
      </w:pPr>
      <w:r>
        <w:rPr>
          <w:rFonts w:hint="eastAsia"/>
          <w:b/>
          <w:color w:val="auto"/>
          <w:sz w:val="44"/>
          <w:szCs w:val="32"/>
          <w:highlight w:val="none"/>
        </w:rPr>
        <w:t>目  录</w:t>
      </w:r>
    </w:p>
    <w:p w14:paraId="686B2929">
      <w:pPr>
        <w:spacing w:line="720" w:lineRule="auto"/>
        <w:jc w:val="center"/>
        <w:rPr>
          <w:rFonts w:hint="eastAsia"/>
          <w:b/>
          <w:color w:val="auto"/>
          <w:sz w:val="36"/>
          <w:highlight w:val="none"/>
        </w:rPr>
      </w:pPr>
    </w:p>
    <w:p w14:paraId="0CA81688">
      <w:pPr>
        <w:pStyle w:val="26"/>
        <w:tabs>
          <w:tab w:val="right" w:leader="dot" w:pos="8296"/>
        </w:tabs>
        <w:spacing w:line="720" w:lineRule="auto"/>
        <w:rPr>
          <w:rFonts w:ascii="宋体" w:hAnsi="宋体"/>
          <w:b/>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rFonts w:ascii="宋体" w:hAnsi="宋体"/>
          <w:sz w:val="24"/>
          <w:highlight w:val="none"/>
        </w:rPr>
        <w:fldChar w:fldCharType="begin"/>
      </w:r>
      <w:r>
        <w:rPr>
          <w:rStyle w:val="48"/>
          <w:rFonts w:ascii="宋体" w:hAnsi="宋体"/>
          <w:color w:val="auto"/>
          <w:sz w:val="24"/>
          <w:highlight w:val="none"/>
        </w:rPr>
        <w:instrText xml:space="preserve"> </w:instrText>
      </w:r>
      <w:r>
        <w:rPr>
          <w:rFonts w:ascii="宋体" w:hAnsi="宋体"/>
          <w:sz w:val="24"/>
          <w:highlight w:val="none"/>
        </w:rPr>
        <w:instrText xml:space="preserve">HYPERLINK \l "_Toc58430304"</w:instrText>
      </w:r>
      <w:r>
        <w:rPr>
          <w:rStyle w:val="48"/>
          <w:rFonts w:ascii="宋体" w:hAnsi="宋体"/>
          <w:color w:val="auto"/>
          <w:sz w:val="24"/>
          <w:highlight w:val="none"/>
        </w:rPr>
        <w:instrText xml:space="preserve"> </w:instrText>
      </w:r>
      <w:r>
        <w:rPr>
          <w:rFonts w:ascii="宋体" w:hAnsi="宋体"/>
          <w:sz w:val="24"/>
          <w:highlight w:val="none"/>
        </w:rPr>
        <w:fldChar w:fldCharType="separate"/>
      </w:r>
      <w:r>
        <w:rPr>
          <w:rStyle w:val="48"/>
          <w:rFonts w:hint="eastAsia" w:ascii="宋体" w:hAnsi="宋体"/>
          <w:b/>
          <w:color w:val="auto"/>
          <w:sz w:val="24"/>
          <w:highlight w:val="none"/>
        </w:rPr>
        <w:t>第一章</w:t>
      </w:r>
      <w:r>
        <w:rPr>
          <w:rStyle w:val="48"/>
          <w:rFonts w:ascii="宋体" w:hAnsi="宋体"/>
          <w:b/>
          <w:color w:val="auto"/>
          <w:sz w:val="24"/>
          <w:highlight w:val="none"/>
        </w:rPr>
        <w:t xml:space="preserve"> </w:t>
      </w:r>
      <w:r>
        <w:rPr>
          <w:rStyle w:val="48"/>
          <w:rFonts w:hint="eastAsia" w:ascii="宋体" w:hAnsi="宋体"/>
          <w:b/>
          <w:color w:val="auto"/>
          <w:sz w:val="24"/>
          <w:highlight w:val="none"/>
        </w:rPr>
        <w:t>招标公告</w:t>
      </w:r>
      <w:r>
        <w:rPr>
          <w:rFonts w:ascii="宋体" w:hAnsi="宋体"/>
          <w:b/>
          <w:sz w:val="24"/>
          <w:highlight w:val="none"/>
        </w:rPr>
        <w:tab/>
      </w:r>
      <w:r>
        <w:rPr>
          <w:rFonts w:hint="eastAsia" w:ascii="宋体" w:hAnsi="宋体"/>
          <w:b/>
          <w:sz w:val="24"/>
          <w:highlight w:val="none"/>
          <w:lang w:val="en-US" w:eastAsia="zh-CN"/>
        </w:rPr>
        <w:t>3</w:t>
      </w:r>
      <w:r>
        <w:rPr>
          <w:rFonts w:ascii="宋体" w:hAnsi="宋体"/>
          <w:b/>
          <w:sz w:val="24"/>
          <w:highlight w:val="none"/>
        </w:rPr>
        <w:fldChar w:fldCharType="end"/>
      </w:r>
    </w:p>
    <w:p w14:paraId="5FF84069">
      <w:pPr>
        <w:pStyle w:val="26"/>
        <w:tabs>
          <w:tab w:val="right" w:leader="dot" w:pos="8296"/>
        </w:tabs>
        <w:spacing w:line="720" w:lineRule="auto"/>
        <w:rPr>
          <w:rFonts w:ascii="宋体" w:hAnsi="宋体"/>
          <w:b/>
          <w:sz w:val="24"/>
          <w:highlight w:val="none"/>
        </w:rPr>
      </w:pPr>
      <w:r>
        <w:rPr>
          <w:rFonts w:ascii="宋体" w:hAnsi="宋体"/>
          <w:b/>
          <w:sz w:val="24"/>
          <w:highlight w:val="none"/>
        </w:rPr>
        <w:fldChar w:fldCharType="begin"/>
      </w:r>
      <w:r>
        <w:rPr>
          <w:rStyle w:val="48"/>
          <w:rFonts w:ascii="宋体" w:hAnsi="宋体"/>
          <w:b/>
          <w:color w:val="auto"/>
          <w:sz w:val="24"/>
          <w:highlight w:val="none"/>
        </w:rPr>
        <w:instrText xml:space="preserve"> </w:instrText>
      </w:r>
      <w:r>
        <w:rPr>
          <w:rFonts w:ascii="宋体" w:hAnsi="宋体"/>
          <w:b/>
          <w:sz w:val="24"/>
          <w:highlight w:val="none"/>
        </w:rPr>
        <w:instrText xml:space="preserve">HYPERLINK \l "_Toc58430313"</w:instrText>
      </w:r>
      <w:r>
        <w:rPr>
          <w:rStyle w:val="48"/>
          <w:rFonts w:ascii="宋体" w:hAnsi="宋体"/>
          <w:b/>
          <w:color w:val="auto"/>
          <w:sz w:val="24"/>
          <w:highlight w:val="none"/>
        </w:rPr>
        <w:instrText xml:space="preserve"> </w:instrText>
      </w:r>
      <w:r>
        <w:rPr>
          <w:rFonts w:ascii="宋体" w:hAnsi="宋体"/>
          <w:b/>
          <w:sz w:val="24"/>
          <w:highlight w:val="none"/>
        </w:rPr>
        <w:fldChar w:fldCharType="separate"/>
      </w:r>
      <w:r>
        <w:rPr>
          <w:rStyle w:val="48"/>
          <w:rFonts w:hint="eastAsia" w:ascii="宋体" w:hAnsi="宋体"/>
          <w:b/>
          <w:color w:val="auto"/>
          <w:sz w:val="24"/>
          <w:highlight w:val="none"/>
        </w:rPr>
        <w:t>第二章</w:t>
      </w:r>
      <w:r>
        <w:rPr>
          <w:rStyle w:val="48"/>
          <w:rFonts w:ascii="宋体" w:hAnsi="宋体"/>
          <w:b/>
          <w:color w:val="auto"/>
          <w:sz w:val="24"/>
          <w:highlight w:val="none"/>
        </w:rPr>
        <w:t xml:space="preserve"> </w:t>
      </w:r>
      <w:r>
        <w:rPr>
          <w:rStyle w:val="48"/>
          <w:rFonts w:hint="eastAsia" w:ascii="宋体" w:hAnsi="宋体"/>
          <w:b/>
          <w:color w:val="auto"/>
          <w:sz w:val="24"/>
          <w:highlight w:val="none"/>
        </w:rPr>
        <w:t>投标人须知</w:t>
      </w:r>
      <w:r>
        <w:rPr>
          <w:rFonts w:ascii="宋体" w:hAnsi="宋体"/>
          <w:b/>
          <w:sz w:val="24"/>
          <w:highlight w:val="none"/>
        </w:rPr>
        <w:tab/>
      </w:r>
      <w:r>
        <w:rPr>
          <w:rFonts w:hint="eastAsia" w:ascii="宋体" w:hAnsi="宋体"/>
          <w:b/>
          <w:sz w:val="24"/>
          <w:highlight w:val="none"/>
          <w:lang w:val="en-US" w:eastAsia="zh-CN"/>
        </w:rPr>
        <w:t>7</w:t>
      </w:r>
      <w:r>
        <w:rPr>
          <w:rFonts w:ascii="宋体" w:hAnsi="宋体"/>
          <w:b/>
          <w:sz w:val="24"/>
          <w:highlight w:val="none"/>
        </w:rPr>
        <w:fldChar w:fldCharType="end"/>
      </w:r>
    </w:p>
    <w:p w14:paraId="2A67AE3D">
      <w:pPr>
        <w:pStyle w:val="26"/>
        <w:tabs>
          <w:tab w:val="right" w:leader="dot" w:pos="8296"/>
        </w:tabs>
        <w:spacing w:line="720" w:lineRule="auto"/>
        <w:rPr>
          <w:rFonts w:hint="eastAsia" w:ascii="宋体" w:hAnsi="宋体" w:eastAsia="宋体"/>
          <w:b/>
          <w:sz w:val="24"/>
          <w:highlight w:val="none"/>
          <w:lang w:val="en-US" w:eastAsia="zh-CN"/>
        </w:rPr>
      </w:pPr>
      <w:r>
        <w:rPr>
          <w:rStyle w:val="48"/>
          <w:rFonts w:hint="eastAsia" w:ascii="宋体" w:hAnsi="宋体"/>
          <w:b/>
          <w:color w:val="auto"/>
          <w:sz w:val="24"/>
          <w:highlight w:val="none"/>
        </w:rPr>
        <w:t>第三章 资格审查办法</w:t>
      </w:r>
      <w:r>
        <w:rPr>
          <w:rFonts w:ascii="宋体" w:hAnsi="宋体"/>
          <w:b/>
          <w:sz w:val="24"/>
          <w:highlight w:val="none"/>
        </w:rPr>
        <w:fldChar w:fldCharType="begin"/>
      </w:r>
      <w:r>
        <w:rPr>
          <w:rStyle w:val="48"/>
          <w:rFonts w:ascii="宋体" w:hAnsi="宋体"/>
          <w:b/>
          <w:color w:val="auto"/>
          <w:sz w:val="24"/>
          <w:highlight w:val="none"/>
        </w:rPr>
        <w:instrText xml:space="preserve"> </w:instrText>
      </w:r>
      <w:r>
        <w:rPr>
          <w:rFonts w:ascii="宋体" w:hAnsi="宋体"/>
          <w:b/>
          <w:sz w:val="24"/>
          <w:highlight w:val="none"/>
        </w:rPr>
        <w:instrText xml:space="preserve">HYPERLINK \l "_Toc58430316"</w:instrText>
      </w:r>
      <w:r>
        <w:rPr>
          <w:rStyle w:val="48"/>
          <w:rFonts w:ascii="宋体" w:hAnsi="宋体"/>
          <w:b/>
          <w:color w:val="auto"/>
          <w:sz w:val="24"/>
          <w:highlight w:val="none"/>
        </w:rPr>
        <w:instrText xml:space="preserve"> </w:instrText>
      </w:r>
      <w:r>
        <w:rPr>
          <w:rFonts w:ascii="宋体" w:hAnsi="宋体"/>
          <w:b/>
          <w:sz w:val="24"/>
          <w:highlight w:val="none"/>
        </w:rPr>
        <w:fldChar w:fldCharType="separate"/>
      </w:r>
      <w:r>
        <w:rPr>
          <w:rFonts w:ascii="宋体" w:hAnsi="宋体"/>
          <w:b/>
          <w:sz w:val="24"/>
          <w:highlight w:val="none"/>
        </w:rPr>
        <w:tab/>
      </w:r>
      <w:r>
        <w:rPr>
          <w:rFonts w:hint="eastAsia" w:ascii="宋体" w:hAnsi="宋体"/>
          <w:b/>
          <w:sz w:val="24"/>
          <w:highlight w:val="none"/>
          <w:lang w:val="en-US" w:eastAsia="zh-CN"/>
        </w:rPr>
        <w:t>2</w:t>
      </w:r>
      <w:r>
        <w:rPr>
          <w:rFonts w:ascii="宋体" w:hAnsi="宋体"/>
          <w:b/>
          <w:sz w:val="24"/>
          <w:highlight w:val="none"/>
        </w:rPr>
        <w:fldChar w:fldCharType="end"/>
      </w:r>
      <w:r>
        <w:rPr>
          <w:rFonts w:hint="eastAsia" w:ascii="宋体" w:hAnsi="宋体"/>
          <w:b/>
          <w:sz w:val="24"/>
          <w:highlight w:val="none"/>
          <w:lang w:val="en-US" w:eastAsia="zh-CN"/>
        </w:rPr>
        <w:t>5</w:t>
      </w:r>
    </w:p>
    <w:p w14:paraId="44EE1E33">
      <w:pPr>
        <w:pStyle w:val="26"/>
        <w:tabs>
          <w:tab w:val="right" w:leader="dot" w:pos="8296"/>
        </w:tabs>
        <w:spacing w:line="720" w:lineRule="auto"/>
        <w:rPr>
          <w:rFonts w:hint="eastAsia" w:ascii="宋体" w:eastAsia="宋体"/>
          <w:b/>
          <w:sz w:val="32"/>
          <w:szCs w:val="32"/>
          <w:highlight w:val="none"/>
          <w:lang w:val="en-US" w:eastAsia="zh-CN"/>
        </w:rPr>
      </w:pPr>
      <w:r>
        <w:rPr>
          <w:rStyle w:val="48"/>
          <w:rFonts w:hint="eastAsia" w:ascii="宋体" w:hAnsi="宋体"/>
          <w:b/>
          <w:color w:val="auto"/>
          <w:sz w:val="24"/>
          <w:highlight w:val="none"/>
        </w:rPr>
        <w:t>第四章</w:t>
      </w:r>
      <w:r>
        <w:rPr>
          <w:rStyle w:val="48"/>
          <w:rFonts w:ascii="宋体" w:hAnsi="宋体"/>
          <w:b/>
          <w:color w:val="auto"/>
          <w:sz w:val="24"/>
          <w:highlight w:val="none"/>
        </w:rPr>
        <w:t xml:space="preserve"> </w:t>
      </w:r>
      <w:r>
        <w:rPr>
          <w:rStyle w:val="48"/>
          <w:rFonts w:hint="eastAsia" w:ascii="宋体" w:hAnsi="宋体"/>
          <w:b/>
          <w:color w:val="auto"/>
          <w:sz w:val="24"/>
          <w:highlight w:val="none"/>
        </w:rPr>
        <w:t>评标办法</w:t>
      </w:r>
      <w:r>
        <w:rPr>
          <w:rStyle w:val="48"/>
          <w:rFonts w:hint="eastAsia" w:ascii="宋体" w:hAnsi="宋体"/>
          <w:b/>
          <w:color w:val="auto"/>
          <w:sz w:val="24"/>
          <w:highlight w:val="none"/>
          <w:lang w:eastAsia="zh-CN"/>
        </w:rPr>
        <w:t>（</w:t>
      </w:r>
      <w:r>
        <w:rPr>
          <w:rStyle w:val="48"/>
          <w:rFonts w:hint="eastAsia" w:ascii="宋体" w:hAnsi="宋体"/>
          <w:b/>
          <w:color w:val="auto"/>
          <w:sz w:val="24"/>
          <w:highlight w:val="none"/>
          <w:lang w:val="en-US" w:eastAsia="zh-CN"/>
        </w:rPr>
        <w:t>综合评分法</w:t>
      </w:r>
      <w:r>
        <w:rPr>
          <w:rStyle w:val="48"/>
          <w:rFonts w:hint="eastAsia" w:ascii="宋体" w:hAnsi="宋体"/>
          <w:b/>
          <w:color w:val="auto"/>
          <w:sz w:val="24"/>
          <w:highlight w:val="none"/>
          <w:lang w:eastAsia="zh-CN"/>
        </w:rPr>
        <w:t>）</w:t>
      </w:r>
      <w:r>
        <w:rPr>
          <w:rFonts w:ascii="宋体" w:hAnsi="宋体"/>
          <w:b/>
          <w:sz w:val="24"/>
          <w:highlight w:val="none"/>
        </w:rPr>
        <w:tab/>
      </w:r>
      <w:r>
        <w:rPr>
          <w:rFonts w:hint="eastAsia" w:ascii="宋体" w:hAnsi="宋体"/>
          <w:b/>
          <w:sz w:val="24"/>
          <w:highlight w:val="none"/>
        </w:rPr>
        <w:t>2</w:t>
      </w:r>
      <w:r>
        <w:rPr>
          <w:rFonts w:hint="eastAsia" w:ascii="宋体" w:hAnsi="宋体"/>
          <w:b/>
          <w:sz w:val="24"/>
          <w:highlight w:val="none"/>
          <w:lang w:val="en-US" w:eastAsia="zh-CN"/>
        </w:rPr>
        <w:t>8</w:t>
      </w:r>
    </w:p>
    <w:p w14:paraId="2EB2154F">
      <w:pPr>
        <w:pStyle w:val="26"/>
        <w:tabs>
          <w:tab w:val="right" w:leader="dot" w:pos="8296"/>
        </w:tabs>
        <w:spacing w:line="720" w:lineRule="auto"/>
        <w:rPr>
          <w:rFonts w:hint="eastAsia" w:ascii="宋体" w:hAnsi="宋体" w:eastAsia="宋体"/>
          <w:b/>
          <w:sz w:val="24"/>
          <w:highlight w:val="none"/>
          <w:lang w:val="en-US" w:eastAsia="zh-CN"/>
        </w:rPr>
      </w:pPr>
      <w:r>
        <w:rPr>
          <w:rFonts w:ascii="宋体" w:hAnsi="宋体"/>
          <w:b/>
          <w:sz w:val="24"/>
          <w:highlight w:val="none"/>
        </w:rPr>
        <w:fldChar w:fldCharType="begin"/>
      </w:r>
      <w:r>
        <w:rPr>
          <w:rStyle w:val="48"/>
          <w:rFonts w:ascii="宋体" w:hAnsi="宋体"/>
          <w:b/>
          <w:color w:val="auto"/>
          <w:sz w:val="24"/>
          <w:highlight w:val="none"/>
        </w:rPr>
        <w:instrText xml:space="preserve"> </w:instrText>
      </w:r>
      <w:r>
        <w:rPr>
          <w:rFonts w:ascii="宋体" w:hAnsi="宋体"/>
          <w:b/>
          <w:sz w:val="24"/>
          <w:highlight w:val="none"/>
        </w:rPr>
        <w:instrText xml:space="preserve">HYPERLINK \l "_Toc58430328"</w:instrText>
      </w:r>
      <w:r>
        <w:rPr>
          <w:rStyle w:val="48"/>
          <w:rFonts w:ascii="宋体" w:hAnsi="宋体"/>
          <w:b/>
          <w:color w:val="auto"/>
          <w:sz w:val="24"/>
          <w:highlight w:val="none"/>
        </w:rPr>
        <w:instrText xml:space="preserve"> </w:instrText>
      </w:r>
      <w:r>
        <w:rPr>
          <w:rFonts w:ascii="宋体" w:hAnsi="宋体"/>
          <w:b/>
          <w:sz w:val="24"/>
          <w:highlight w:val="none"/>
        </w:rPr>
        <w:fldChar w:fldCharType="separate"/>
      </w:r>
      <w:r>
        <w:rPr>
          <w:rStyle w:val="48"/>
          <w:rFonts w:hint="eastAsia" w:ascii="宋体" w:hAnsi="宋体"/>
          <w:b/>
          <w:color w:val="auto"/>
          <w:sz w:val="24"/>
          <w:highlight w:val="none"/>
        </w:rPr>
        <w:t>第五章</w:t>
      </w:r>
      <w:r>
        <w:rPr>
          <w:rStyle w:val="48"/>
          <w:rFonts w:ascii="宋体" w:hAnsi="宋体"/>
          <w:b/>
          <w:color w:val="auto"/>
          <w:sz w:val="24"/>
          <w:highlight w:val="none"/>
        </w:rPr>
        <w:t xml:space="preserve"> </w:t>
      </w:r>
      <w:r>
        <w:rPr>
          <w:rStyle w:val="48"/>
          <w:rFonts w:hint="eastAsia" w:ascii="宋体" w:hAnsi="宋体"/>
          <w:b/>
          <w:color w:val="auto"/>
          <w:sz w:val="24"/>
          <w:highlight w:val="none"/>
          <w:lang w:eastAsia="zh-CN"/>
        </w:rPr>
        <w:t>采购需求及服务要求</w:t>
      </w:r>
      <w:r>
        <w:rPr>
          <w:rFonts w:ascii="宋体" w:hAnsi="宋体"/>
          <w:b/>
          <w:sz w:val="24"/>
          <w:highlight w:val="none"/>
        </w:rPr>
        <w:tab/>
      </w:r>
      <w:r>
        <w:rPr>
          <w:rFonts w:hint="eastAsia" w:ascii="宋体" w:hAnsi="宋体"/>
          <w:b/>
          <w:sz w:val="24"/>
          <w:highlight w:val="none"/>
          <w:lang w:val="en-US" w:eastAsia="zh-CN"/>
        </w:rPr>
        <w:t>3</w:t>
      </w:r>
      <w:r>
        <w:rPr>
          <w:rFonts w:ascii="宋体" w:hAnsi="宋体"/>
          <w:b/>
          <w:sz w:val="24"/>
          <w:highlight w:val="none"/>
        </w:rPr>
        <w:fldChar w:fldCharType="end"/>
      </w:r>
      <w:r>
        <w:rPr>
          <w:rFonts w:hint="eastAsia" w:ascii="宋体" w:hAnsi="宋体"/>
          <w:b/>
          <w:sz w:val="24"/>
          <w:highlight w:val="none"/>
          <w:lang w:val="en-US" w:eastAsia="zh-CN"/>
        </w:rPr>
        <w:t>7</w:t>
      </w:r>
    </w:p>
    <w:p w14:paraId="2C289D44">
      <w:pPr>
        <w:pStyle w:val="26"/>
        <w:tabs>
          <w:tab w:val="right" w:leader="dot" w:pos="8296"/>
        </w:tabs>
        <w:spacing w:line="720" w:lineRule="auto"/>
        <w:rPr>
          <w:rFonts w:hint="eastAsia" w:ascii="宋体" w:hAnsi="宋体" w:eastAsia="宋体"/>
          <w:b/>
          <w:sz w:val="24"/>
          <w:highlight w:val="none"/>
          <w:lang w:val="en-US" w:eastAsia="zh-CN"/>
        </w:rPr>
      </w:pPr>
      <w:r>
        <w:rPr>
          <w:rFonts w:ascii="宋体" w:hAnsi="宋体"/>
          <w:b/>
          <w:sz w:val="24"/>
          <w:highlight w:val="none"/>
        </w:rPr>
        <w:fldChar w:fldCharType="begin"/>
      </w:r>
      <w:r>
        <w:rPr>
          <w:rStyle w:val="48"/>
          <w:rFonts w:ascii="宋体" w:hAnsi="宋体"/>
          <w:b/>
          <w:color w:val="auto"/>
          <w:sz w:val="24"/>
          <w:highlight w:val="none"/>
        </w:rPr>
        <w:instrText xml:space="preserve"> </w:instrText>
      </w:r>
      <w:r>
        <w:rPr>
          <w:rFonts w:ascii="宋体" w:hAnsi="宋体"/>
          <w:b/>
          <w:sz w:val="24"/>
          <w:highlight w:val="none"/>
        </w:rPr>
        <w:instrText xml:space="preserve">HYPERLINK \l "_Toc58430329"</w:instrText>
      </w:r>
      <w:r>
        <w:rPr>
          <w:rStyle w:val="48"/>
          <w:rFonts w:ascii="宋体" w:hAnsi="宋体"/>
          <w:b/>
          <w:color w:val="auto"/>
          <w:sz w:val="24"/>
          <w:highlight w:val="none"/>
        </w:rPr>
        <w:instrText xml:space="preserve"> </w:instrText>
      </w:r>
      <w:r>
        <w:rPr>
          <w:rFonts w:ascii="宋体" w:hAnsi="宋体"/>
          <w:b/>
          <w:sz w:val="24"/>
          <w:highlight w:val="none"/>
        </w:rPr>
        <w:fldChar w:fldCharType="separate"/>
      </w:r>
      <w:r>
        <w:rPr>
          <w:rStyle w:val="48"/>
          <w:rFonts w:hint="eastAsia" w:ascii="宋体" w:hAnsi="宋体"/>
          <w:b/>
          <w:color w:val="auto"/>
          <w:sz w:val="24"/>
          <w:highlight w:val="none"/>
        </w:rPr>
        <w:t>第六章</w:t>
      </w:r>
      <w:r>
        <w:rPr>
          <w:rStyle w:val="48"/>
          <w:rFonts w:ascii="宋体" w:hAnsi="宋体"/>
          <w:b/>
          <w:color w:val="auto"/>
          <w:sz w:val="24"/>
          <w:highlight w:val="none"/>
        </w:rPr>
        <w:t xml:space="preserve"> </w:t>
      </w:r>
      <w:r>
        <w:rPr>
          <w:rStyle w:val="48"/>
          <w:rFonts w:hint="eastAsia" w:ascii="宋体" w:hAnsi="宋体"/>
          <w:b/>
          <w:color w:val="auto"/>
          <w:sz w:val="24"/>
          <w:highlight w:val="none"/>
        </w:rPr>
        <w:t>合同条款及格式</w:t>
      </w:r>
      <w:r>
        <w:rPr>
          <w:rFonts w:ascii="宋体" w:hAnsi="宋体"/>
          <w:b/>
          <w:sz w:val="24"/>
          <w:highlight w:val="none"/>
        </w:rPr>
        <w:tab/>
      </w:r>
      <w:r>
        <w:rPr>
          <w:rFonts w:hint="eastAsia" w:ascii="宋体" w:hAnsi="宋体"/>
          <w:b/>
          <w:sz w:val="24"/>
          <w:highlight w:val="none"/>
          <w:lang w:val="en-US" w:eastAsia="zh-CN"/>
        </w:rPr>
        <w:t>5</w:t>
      </w:r>
      <w:r>
        <w:rPr>
          <w:rFonts w:ascii="宋体" w:hAnsi="宋体"/>
          <w:b/>
          <w:sz w:val="24"/>
          <w:highlight w:val="none"/>
        </w:rPr>
        <w:fldChar w:fldCharType="end"/>
      </w:r>
      <w:r>
        <w:rPr>
          <w:rFonts w:hint="eastAsia" w:ascii="宋体" w:hAnsi="宋体"/>
          <w:b/>
          <w:sz w:val="24"/>
          <w:highlight w:val="none"/>
          <w:lang w:val="en-US" w:eastAsia="zh-CN"/>
        </w:rPr>
        <w:t>0</w:t>
      </w:r>
    </w:p>
    <w:p w14:paraId="1602C4E7">
      <w:pPr>
        <w:pStyle w:val="26"/>
        <w:tabs>
          <w:tab w:val="right" w:leader="dot" w:pos="8296"/>
        </w:tabs>
        <w:spacing w:line="720" w:lineRule="auto"/>
        <w:rPr>
          <w:rFonts w:hint="default" w:ascii="宋体" w:hAnsi="宋体" w:eastAsia="宋体"/>
          <w:b/>
          <w:sz w:val="24"/>
          <w:highlight w:val="none"/>
          <w:lang w:val="en-US" w:eastAsia="zh-CN"/>
        </w:rPr>
      </w:pPr>
      <w:r>
        <w:rPr>
          <w:rFonts w:ascii="宋体" w:hAnsi="宋体"/>
          <w:b/>
          <w:sz w:val="24"/>
          <w:highlight w:val="none"/>
        </w:rPr>
        <w:fldChar w:fldCharType="begin"/>
      </w:r>
      <w:r>
        <w:rPr>
          <w:rStyle w:val="48"/>
          <w:rFonts w:ascii="宋体" w:hAnsi="宋体"/>
          <w:b/>
          <w:color w:val="auto"/>
          <w:sz w:val="24"/>
          <w:highlight w:val="none"/>
        </w:rPr>
        <w:instrText xml:space="preserve"> </w:instrText>
      </w:r>
      <w:r>
        <w:rPr>
          <w:rFonts w:ascii="宋体" w:hAnsi="宋体"/>
          <w:b/>
          <w:sz w:val="24"/>
          <w:highlight w:val="none"/>
        </w:rPr>
        <w:instrText xml:space="preserve">HYPERLINK \l "_Toc58430332"</w:instrText>
      </w:r>
      <w:r>
        <w:rPr>
          <w:rStyle w:val="48"/>
          <w:rFonts w:ascii="宋体" w:hAnsi="宋体"/>
          <w:b/>
          <w:color w:val="auto"/>
          <w:sz w:val="24"/>
          <w:highlight w:val="none"/>
        </w:rPr>
        <w:instrText xml:space="preserve"> </w:instrText>
      </w:r>
      <w:r>
        <w:rPr>
          <w:rFonts w:ascii="宋体" w:hAnsi="宋体"/>
          <w:b/>
          <w:sz w:val="24"/>
          <w:highlight w:val="none"/>
        </w:rPr>
        <w:fldChar w:fldCharType="separate"/>
      </w:r>
      <w:r>
        <w:rPr>
          <w:rStyle w:val="48"/>
          <w:rFonts w:hint="eastAsia" w:ascii="宋体" w:hAnsi="宋体"/>
          <w:b/>
          <w:color w:val="auto"/>
          <w:sz w:val="24"/>
          <w:highlight w:val="none"/>
        </w:rPr>
        <w:t>第七章</w:t>
      </w:r>
      <w:r>
        <w:rPr>
          <w:rStyle w:val="48"/>
          <w:rFonts w:ascii="宋体" w:hAnsi="宋体"/>
          <w:b/>
          <w:color w:val="auto"/>
          <w:sz w:val="24"/>
          <w:highlight w:val="none"/>
        </w:rPr>
        <w:t xml:space="preserve"> </w:t>
      </w:r>
      <w:r>
        <w:rPr>
          <w:rStyle w:val="48"/>
          <w:rFonts w:hint="eastAsia" w:ascii="宋体" w:hAnsi="宋体"/>
          <w:b/>
          <w:color w:val="auto"/>
          <w:sz w:val="24"/>
          <w:highlight w:val="none"/>
        </w:rPr>
        <w:t>投标文件格式</w:t>
      </w:r>
      <w:r>
        <w:rPr>
          <w:rFonts w:ascii="宋体" w:hAnsi="宋体"/>
          <w:b/>
          <w:sz w:val="24"/>
          <w:highlight w:val="none"/>
        </w:rPr>
        <w:tab/>
      </w:r>
      <w:r>
        <w:rPr>
          <w:rFonts w:ascii="宋体" w:hAnsi="宋体"/>
          <w:b/>
          <w:sz w:val="24"/>
          <w:highlight w:val="none"/>
        </w:rPr>
        <w:fldChar w:fldCharType="end"/>
      </w:r>
      <w:r>
        <w:rPr>
          <w:rFonts w:hint="eastAsia" w:ascii="宋体" w:hAnsi="宋体"/>
          <w:b/>
          <w:sz w:val="24"/>
          <w:highlight w:val="none"/>
          <w:lang w:val="en-US" w:eastAsia="zh-CN"/>
        </w:rPr>
        <w:t>68</w:t>
      </w:r>
    </w:p>
    <w:p w14:paraId="1C4C5A70">
      <w:pPr>
        <w:pStyle w:val="26"/>
        <w:tabs>
          <w:tab w:val="right" w:leader="dot" w:pos="8296"/>
        </w:tabs>
        <w:spacing w:line="720" w:lineRule="auto"/>
        <w:rPr>
          <w:rStyle w:val="48"/>
          <w:rFonts w:hint="eastAsia" w:ascii="宋体" w:hAnsi="宋体" w:eastAsia="宋体"/>
          <w:b/>
          <w:color w:val="auto"/>
          <w:sz w:val="24"/>
          <w:highlight w:val="none"/>
          <w:lang w:val="en-US" w:eastAsia="zh-CN"/>
        </w:rPr>
      </w:pPr>
      <w:r>
        <w:rPr>
          <w:rStyle w:val="48"/>
          <w:rFonts w:hint="eastAsia" w:ascii="宋体" w:hAnsi="宋体"/>
          <w:b/>
          <w:color w:val="auto"/>
          <w:sz w:val="24"/>
          <w:highlight w:val="none"/>
        </w:rPr>
        <w:fldChar w:fldCharType="begin"/>
      </w:r>
      <w:r>
        <w:rPr>
          <w:rStyle w:val="48"/>
          <w:rFonts w:hint="eastAsia" w:ascii="宋体" w:hAnsi="宋体"/>
          <w:b/>
          <w:color w:val="auto"/>
          <w:sz w:val="24"/>
          <w:highlight w:val="none"/>
        </w:rPr>
        <w:instrText xml:space="preserve"> HYPERLINK \l "_Toc58430332" </w:instrText>
      </w:r>
      <w:r>
        <w:rPr>
          <w:rStyle w:val="48"/>
          <w:rFonts w:hint="eastAsia" w:ascii="宋体" w:hAnsi="宋体"/>
          <w:b/>
          <w:color w:val="auto"/>
          <w:sz w:val="24"/>
          <w:highlight w:val="none"/>
        </w:rPr>
        <w:fldChar w:fldCharType="separate"/>
      </w:r>
      <w:r>
        <w:rPr>
          <w:rStyle w:val="48"/>
          <w:rFonts w:hint="eastAsia" w:ascii="宋体" w:hAnsi="宋体"/>
          <w:b/>
          <w:color w:val="auto"/>
          <w:sz w:val="24"/>
          <w:highlight w:val="none"/>
        </w:rPr>
        <w:t>第八章 招标单位和代理机构对本招标文件的确认</w:t>
      </w:r>
      <w:r>
        <w:rPr>
          <w:rStyle w:val="48"/>
          <w:rFonts w:hint="eastAsia" w:ascii="宋体" w:hAnsi="宋体"/>
          <w:b/>
          <w:color w:val="auto"/>
          <w:sz w:val="24"/>
          <w:highlight w:val="none"/>
        </w:rPr>
        <w:tab/>
      </w:r>
      <w:r>
        <w:rPr>
          <w:rStyle w:val="48"/>
          <w:rFonts w:hint="eastAsia" w:ascii="宋体" w:hAnsi="宋体"/>
          <w:b/>
          <w:color w:val="auto"/>
          <w:sz w:val="24"/>
          <w:highlight w:val="none"/>
          <w:lang w:val="en-US" w:eastAsia="zh-CN"/>
        </w:rPr>
        <w:t>9</w:t>
      </w:r>
      <w:r>
        <w:rPr>
          <w:rStyle w:val="48"/>
          <w:rFonts w:hint="eastAsia" w:ascii="宋体" w:hAnsi="宋体"/>
          <w:b/>
          <w:color w:val="auto"/>
          <w:sz w:val="24"/>
          <w:highlight w:val="none"/>
        </w:rPr>
        <w:fldChar w:fldCharType="end"/>
      </w:r>
      <w:r>
        <w:rPr>
          <w:rStyle w:val="48"/>
          <w:rFonts w:hint="eastAsia" w:ascii="宋体" w:hAnsi="宋体"/>
          <w:b/>
          <w:color w:val="auto"/>
          <w:sz w:val="24"/>
          <w:highlight w:val="none"/>
          <w:lang w:val="en-US" w:eastAsia="zh-CN"/>
        </w:rPr>
        <w:t>5</w:t>
      </w:r>
    </w:p>
    <w:p w14:paraId="3432E58D">
      <w:pPr>
        <w:pStyle w:val="26"/>
        <w:tabs>
          <w:tab w:val="right" w:leader="dot" w:pos="8296"/>
        </w:tabs>
        <w:adjustRightInd w:val="0"/>
        <w:snapToGrid w:val="0"/>
        <w:spacing w:line="700" w:lineRule="exact"/>
        <w:ind w:left="150" w:hanging="120" w:hangingChars="50"/>
        <w:jc w:val="center"/>
        <w:rPr>
          <w:rFonts w:hint="eastAsia" w:ascii="华文中宋" w:hAnsi="华文中宋" w:eastAsia="华文中宋"/>
          <w:color w:val="auto"/>
          <w:highlight w:val="none"/>
        </w:rPr>
      </w:pPr>
      <w:r>
        <w:rPr>
          <w:rFonts w:hint="eastAsia" w:ascii="宋体" w:hAnsi="宋体" w:cs="宋体"/>
          <w:sz w:val="24"/>
          <w:highlight w:val="none"/>
        </w:rPr>
        <w:fldChar w:fldCharType="end"/>
      </w:r>
      <w:bookmarkStart w:id="1" w:name="_Toc17328"/>
    </w:p>
    <w:p w14:paraId="619F535A">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480" w:lineRule="exact"/>
        <w:ind w:left="0" w:leftChars="0"/>
        <w:rPr>
          <w:rFonts w:hint="eastAsia" w:ascii="黑体" w:hAnsi="黑体" w:cs="宋体"/>
          <w:b w:val="0"/>
          <w:color w:val="auto"/>
          <w:sz w:val="28"/>
          <w:szCs w:val="28"/>
          <w:highlight w:val="none"/>
        </w:rPr>
      </w:pPr>
      <w:r>
        <w:rPr>
          <w:rFonts w:hint="eastAsia" w:ascii="华文中宋" w:hAnsi="华文中宋" w:eastAsia="华文中宋"/>
          <w:color w:val="auto"/>
          <w:highlight w:val="none"/>
        </w:rPr>
        <w:t xml:space="preserve">第一章 </w:t>
      </w:r>
      <w:bookmarkEnd w:id="1"/>
      <w:r>
        <w:rPr>
          <w:rFonts w:hint="eastAsia" w:ascii="华文中宋" w:hAnsi="华文中宋" w:eastAsia="华文中宋"/>
          <w:color w:val="auto"/>
          <w:highlight w:val="none"/>
        </w:rPr>
        <w:t>招标公告</w:t>
      </w:r>
      <w:bookmarkStart w:id="2" w:name="_Toc28359079"/>
      <w:bookmarkStart w:id="3" w:name="_Hlk24379207"/>
      <w:bookmarkStart w:id="4" w:name="_Toc35393621"/>
      <w:bookmarkStart w:id="5" w:name="_Toc35393790"/>
      <w:bookmarkStart w:id="6" w:name="_Toc28359002"/>
    </w:p>
    <w:bookmarkEnd w:id="2"/>
    <w:bookmarkEnd w:id="3"/>
    <w:bookmarkEnd w:id="4"/>
    <w:bookmarkEnd w:id="5"/>
    <w:bookmarkEnd w:id="6"/>
    <w:p w14:paraId="0D72100C">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bookmarkStart w:id="7" w:name="_Toc35393622"/>
      <w:bookmarkStart w:id="8" w:name="_Toc28359003"/>
      <w:bookmarkStart w:id="9" w:name="_Toc28359080"/>
      <w:bookmarkStart w:id="10" w:name="_Toc35393791"/>
    </w:p>
    <w:p w14:paraId="53BE09A7">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5F518E5">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eastAsia="zh-CN"/>
        </w:rPr>
        <w:t>后勤服务中心(公租房)物业管理服务项目</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rPr>
        <w:t>08点00分</w:t>
      </w:r>
      <w:r>
        <w:rPr>
          <w:rFonts w:hint="eastAsia" w:ascii="仿宋" w:hAnsi="仿宋" w:eastAsia="仿宋" w:cs="仿宋"/>
          <w:color w:val="auto"/>
          <w:sz w:val="28"/>
          <w:szCs w:val="28"/>
          <w:highlight w:val="none"/>
        </w:rPr>
        <w:t>（北京时间）前递交投标文件。</w:t>
      </w:r>
    </w:p>
    <w:p w14:paraId="53AC8EEC">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4F86D877">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rPr>
      </w:pPr>
      <w:r>
        <w:rPr>
          <w:rFonts w:hint="eastAsia" w:ascii="仿宋" w:hAnsi="仿宋" w:eastAsia="仿宋" w:cs="仿宋"/>
          <w:color w:val="auto"/>
          <w:sz w:val="28"/>
          <w:szCs w:val="28"/>
          <w:highlight w:val="none"/>
          <w:shd w:val="clear" w:fill="auto"/>
        </w:rPr>
        <w:t>项目编号：</w:t>
      </w:r>
      <w:r>
        <w:rPr>
          <w:rFonts w:hint="default" w:ascii="仿宋" w:hAnsi="仿宋" w:eastAsia="仿宋" w:cs="仿宋"/>
          <w:color w:val="auto"/>
          <w:sz w:val="28"/>
          <w:szCs w:val="28"/>
          <w:highlight w:val="none"/>
          <w:shd w:val="clear" w:fill="auto"/>
        </w:rPr>
        <w:t>czsjqt202411-001</w:t>
      </w:r>
    </w:p>
    <w:p w14:paraId="13C9538A">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lang w:eastAsia="zh-CN"/>
        </w:rPr>
      </w:pPr>
      <w:r>
        <w:rPr>
          <w:rFonts w:hint="eastAsia" w:ascii="仿宋" w:hAnsi="仿宋" w:eastAsia="仿宋" w:cs="仿宋"/>
          <w:color w:val="auto"/>
          <w:sz w:val="28"/>
          <w:szCs w:val="28"/>
          <w:highlight w:val="none"/>
          <w:shd w:val="clear" w:fill="auto"/>
        </w:rPr>
        <w:t>项目名称：</w:t>
      </w:r>
      <w:r>
        <w:rPr>
          <w:rFonts w:hint="eastAsia" w:ascii="仿宋" w:hAnsi="仿宋" w:eastAsia="仿宋" w:cs="仿宋"/>
          <w:color w:val="auto"/>
          <w:sz w:val="28"/>
          <w:szCs w:val="28"/>
          <w:highlight w:val="none"/>
          <w:shd w:val="clear" w:fill="auto"/>
          <w:lang w:eastAsia="zh-CN"/>
        </w:rPr>
        <w:t>后勤服务中心(公租房)物业管理服务项目</w:t>
      </w:r>
    </w:p>
    <w:p w14:paraId="00BF66BC">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eastAsia="zh-CN"/>
        </w:rPr>
        <w:t>预算金额：</w:t>
      </w:r>
      <w:r>
        <w:rPr>
          <w:rFonts w:hint="eastAsia" w:ascii="仿宋_GB2312" w:hAnsi="仿宋_GB2312" w:eastAsia="仿宋_GB2312" w:cs="仿宋_GB2312"/>
          <w:sz w:val="28"/>
          <w:szCs w:val="28"/>
          <w:highlight w:val="none"/>
          <w:u w:val="none"/>
          <w:lang w:val="en-US" w:eastAsia="zh-CN"/>
        </w:rPr>
        <w:t>2201038.30</w:t>
      </w:r>
      <w:r>
        <w:rPr>
          <w:rFonts w:hint="eastAsia" w:ascii="仿宋_GB2312" w:hAnsi="仿宋_GB2312" w:eastAsia="仿宋_GB2312" w:cs="仿宋_GB2312"/>
          <w:sz w:val="28"/>
          <w:szCs w:val="28"/>
          <w:highlight w:val="none"/>
          <w:u w:val="none"/>
          <w:lang w:eastAsia="zh-CN"/>
        </w:rPr>
        <w:t>元/年，</w:t>
      </w:r>
      <w:r>
        <w:rPr>
          <w:rFonts w:hint="eastAsia" w:ascii="仿宋_GB2312" w:hAnsi="仿宋_GB2312" w:eastAsia="仿宋_GB2312" w:cs="仿宋_GB2312"/>
          <w:sz w:val="28"/>
          <w:szCs w:val="28"/>
          <w:highlight w:val="none"/>
          <w:u w:val="none"/>
          <w:lang w:val="en-US" w:eastAsia="zh-CN"/>
        </w:rPr>
        <w:t>6603114.90</w:t>
      </w:r>
      <w:r>
        <w:rPr>
          <w:rFonts w:hint="eastAsia" w:ascii="仿宋_GB2312" w:hAnsi="仿宋_GB2312" w:eastAsia="仿宋_GB2312" w:cs="仿宋_GB2312"/>
          <w:sz w:val="28"/>
          <w:szCs w:val="28"/>
          <w:highlight w:val="none"/>
          <w:u w:val="none"/>
          <w:lang w:eastAsia="zh-CN"/>
        </w:rPr>
        <w:t>元/</w:t>
      </w:r>
      <w:r>
        <w:rPr>
          <w:rFonts w:hint="eastAsia" w:ascii="仿宋_GB2312" w:hAnsi="仿宋_GB2312" w:eastAsia="仿宋_GB2312" w:cs="仿宋_GB2312"/>
          <w:sz w:val="28"/>
          <w:szCs w:val="28"/>
          <w:highlight w:val="none"/>
          <w:u w:val="none"/>
          <w:lang w:val="en-US" w:eastAsia="zh-CN"/>
        </w:rPr>
        <w:t>三年</w:t>
      </w:r>
      <w:r>
        <w:rPr>
          <w:rFonts w:hint="eastAsia" w:ascii="仿宋" w:hAnsi="仿宋" w:eastAsia="仿宋" w:cs="仿宋"/>
          <w:color w:val="auto"/>
          <w:sz w:val="28"/>
          <w:szCs w:val="28"/>
          <w:highlight w:val="none"/>
          <w:shd w:val="clear" w:fill="auto"/>
          <w:lang w:val="en-US" w:eastAsia="zh-CN"/>
        </w:rPr>
        <w:t xml:space="preserve"> </w:t>
      </w:r>
    </w:p>
    <w:p w14:paraId="7F590A83">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highlight w:val="none"/>
          <w:u w:val="none"/>
          <w:lang w:val="en-US" w:eastAsia="zh-CN"/>
        </w:rPr>
      </w:pPr>
      <w:r>
        <w:rPr>
          <w:rFonts w:hint="eastAsia" w:ascii="仿宋" w:hAnsi="仿宋" w:eastAsia="仿宋" w:cs="仿宋"/>
          <w:color w:val="auto"/>
          <w:sz w:val="28"/>
          <w:szCs w:val="28"/>
          <w:highlight w:val="none"/>
          <w:shd w:val="clear" w:fill="auto"/>
          <w:lang w:eastAsia="zh-CN"/>
        </w:rPr>
        <w:t>最高限价</w:t>
      </w:r>
      <w:r>
        <w:rPr>
          <w:rFonts w:hint="eastAsia" w:ascii="仿宋" w:hAnsi="仿宋" w:eastAsia="仿宋" w:cs="仿宋"/>
          <w:color w:val="auto"/>
          <w:sz w:val="28"/>
          <w:szCs w:val="28"/>
          <w:highlight w:val="none"/>
          <w:shd w:val="clear" w:fill="auto"/>
          <w:lang w:val="en-US" w:eastAsia="zh-CN"/>
        </w:rPr>
        <w:t>：</w:t>
      </w:r>
      <w:r>
        <w:rPr>
          <w:rFonts w:hint="eastAsia" w:ascii="仿宋_GB2312" w:hAnsi="仿宋_GB2312" w:eastAsia="仿宋_GB2312" w:cs="仿宋_GB2312"/>
          <w:sz w:val="28"/>
          <w:szCs w:val="28"/>
          <w:highlight w:val="none"/>
          <w:u w:val="none"/>
          <w:lang w:val="en-US" w:eastAsia="zh-CN"/>
        </w:rPr>
        <w:t>2201038.30</w:t>
      </w:r>
      <w:r>
        <w:rPr>
          <w:rFonts w:hint="eastAsia" w:ascii="仿宋_GB2312" w:hAnsi="仿宋_GB2312" w:eastAsia="仿宋_GB2312" w:cs="仿宋_GB2312"/>
          <w:sz w:val="28"/>
          <w:szCs w:val="28"/>
          <w:highlight w:val="none"/>
          <w:u w:val="none"/>
          <w:lang w:eastAsia="zh-CN"/>
        </w:rPr>
        <w:t>元/年，</w:t>
      </w:r>
      <w:r>
        <w:rPr>
          <w:rFonts w:hint="eastAsia" w:ascii="仿宋_GB2312" w:hAnsi="仿宋_GB2312" w:eastAsia="仿宋_GB2312" w:cs="仿宋_GB2312"/>
          <w:sz w:val="28"/>
          <w:szCs w:val="28"/>
          <w:highlight w:val="none"/>
          <w:u w:val="none"/>
          <w:lang w:val="en-US" w:eastAsia="zh-CN"/>
        </w:rPr>
        <w:t>6603114.90</w:t>
      </w:r>
      <w:r>
        <w:rPr>
          <w:rFonts w:hint="eastAsia" w:ascii="仿宋_GB2312" w:hAnsi="仿宋_GB2312" w:eastAsia="仿宋_GB2312" w:cs="仿宋_GB2312"/>
          <w:sz w:val="28"/>
          <w:szCs w:val="28"/>
          <w:highlight w:val="none"/>
          <w:u w:val="none"/>
          <w:lang w:eastAsia="zh-CN"/>
        </w:rPr>
        <w:t>元/</w:t>
      </w:r>
      <w:r>
        <w:rPr>
          <w:rFonts w:hint="eastAsia" w:ascii="仿宋_GB2312" w:hAnsi="仿宋_GB2312" w:eastAsia="仿宋_GB2312" w:cs="仿宋_GB2312"/>
          <w:sz w:val="28"/>
          <w:szCs w:val="28"/>
          <w:highlight w:val="none"/>
          <w:u w:val="none"/>
          <w:lang w:val="en-US" w:eastAsia="zh-CN"/>
        </w:rPr>
        <w:t>三年</w:t>
      </w:r>
    </w:p>
    <w:p w14:paraId="154C6067">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lang w:eastAsia="zh-CN"/>
        </w:rPr>
      </w:pPr>
      <w:r>
        <w:rPr>
          <w:rFonts w:hint="eastAsia" w:ascii="仿宋" w:hAnsi="仿宋" w:eastAsia="仿宋" w:cs="仿宋"/>
          <w:color w:val="auto"/>
          <w:sz w:val="28"/>
          <w:szCs w:val="28"/>
          <w:highlight w:val="none"/>
          <w:shd w:val="clear" w:fill="auto"/>
          <w:lang w:eastAsia="zh-CN"/>
        </w:rPr>
        <w:t>采购需求：详见《采购需求》。详细情况自行现场勘看，项目概况以现场实际存在为准。</w:t>
      </w:r>
    </w:p>
    <w:p w14:paraId="2AF16207">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eastAsia="zh-CN"/>
        </w:rPr>
        <w:t>合同履行期限：</w:t>
      </w:r>
      <w:r>
        <w:rPr>
          <w:rFonts w:hint="eastAsia" w:ascii="仿宋_GB2312" w:hAnsi="仿宋_GB2312" w:eastAsia="仿宋_GB2312" w:cs="仿宋_GB2312"/>
          <w:sz w:val="28"/>
          <w:szCs w:val="28"/>
          <w:highlight w:val="none"/>
          <w:lang w:val="en-US" w:eastAsia="zh-CN"/>
        </w:rPr>
        <w:t>1095</w:t>
      </w:r>
      <w:r>
        <w:rPr>
          <w:rFonts w:hint="eastAsia"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lang w:val="en-US" w:eastAsia="zh-CN"/>
        </w:rPr>
        <w:t>/3年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本次招标服务周期为合同签订后办理正式入驻手续起三年，具体进场时间按采购单位正式发函为准）</w:t>
      </w:r>
      <w:r>
        <w:rPr>
          <w:rFonts w:hint="eastAsia" w:ascii="仿宋" w:hAnsi="仿宋" w:eastAsia="仿宋" w:cs="仿宋"/>
          <w:color w:val="auto"/>
          <w:sz w:val="28"/>
          <w:szCs w:val="28"/>
          <w:highlight w:val="none"/>
          <w:shd w:val="clear" w:fill="auto"/>
          <w:lang w:val="en-US" w:eastAsia="zh-CN"/>
        </w:rPr>
        <w:t>。</w:t>
      </w:r>
    </w:p>
    <w:p w14:paraId="2D31B377">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rPr>
      </w:pPr>
      <w:r>
        <w:rPr>
          <w:rFonts w:hint="eastAsia" w:ascii="仿宋" w:hAnsi="仿宋" w:eastAsia="仿宋" w:cs="仿宋"/>
          <w:color w:val="auto"/>
          <w:sz w:val="28"/>
          <w:szCs w:val="28"/>
          <w:highlight w:val="none"/>
          <w:shd w:val="clear" w:fill="auto"/>
        </w:rPr>
        <w:t>本项目不接受联合体投标。</w:t>
      </w:r>
    </w:p>
    <w:p w14:paraId="4464268B">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bookmarkEnd w:id="7"/>
      <w:bookmarkEnd w:id="8"/>
      <w:bookmarkEnd w:id="9"/>
      <w:bookmarkEnd w:id="10"/>
    </w:p>
    <w:p w14:paraId="70021909">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bookmarkStart w:id="11" w:name="_Toc35393623"/>
      <w:bookmarkStart w:id="12" w:name="_Toc28359004"/>
      <w:bookmarkStart w:id="13" w:name="_Toc35393792"/>
      <w:bookmarkStart w:id="14" w:name="_Toc28359081"/>
      <w:r>
        <w:rPr>
          <w:rFonts w:hint="eastAsia" w:ascii="仿宋" w:hAnsi="仿宋" w:eastAsia="仿宋" w:cs="Times New Roman"/>
          <w:color w:val="auto"/>
          <w:sz w:val="28"/>
          <w:szCs w:val="28"/>
          <w:highlight w:val="none"/>
        </w:rPr>
        <w:t>1.</w:t>
      </w:r>
      <w:r>
        <w:rPr>
          <w:rFonts w:hint="eastAsia" w:ascii="仿宋" w:hAnsi="仿宋" w:eastAsia="仿宋" w:cs="Times New Roman"/>
          <w:color w:val="auto"/>
          <w:sz w:val="28"/>
          <w:szCs w:val="28"/>
          <w:highlight w:val="none"/>
          <w:lang w:val="en-US" w:eastAsia="zh-CN"/>
        </w:rPr>
        <w:t>投标</w:t>
      </w:r>
      <w:r>
        <w:rPr>
          <w:rFonts w:hint="eastAsia" w:ascii="仿宋" w:hAnsi="仿宋" w:eastAsia="仿宋" w:cs="Times New Roman"/>
          <w:color w:val="auto"/>
          <w:sz w:val="28"/>
          <w:szCs w:val="28"/>
          <w:highlight w:val="none"/>
        </w:rPr>
        <w:t>企业要求：</w:t>
      </w:r>
      <w:r>
        <w:rPr>
          <w:rFonts w:hint="eastAsia" w:ascii="仿宋" w:hAnsi="仿宋" w:eastAsia="仿宋" w:cs="Times New Roman"/>
          <w:color w:val="auto"/>
          <w:sz w:val="28"/>
          <w:szCs w:val="28"/>
          <w:highlight w:val="none"/>
          <w:lang w:val="en-US" w:eastAsia="zh-CN"/>
        </w:rPr>
        <w:t>投标人具有承担本项目相应服务能力，且具有有效的营业执照、税务登记证、组织机构码证（或“三证合一证书”）；</w:t>
      </w:r>
    </w:p>
    <w:p w14:paraId="38E2D5F5">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2.项目负责人要求：</w:t>
      </w:r>
      <w:r>
        <w:rPr>
          <w:rFonts w:hint="eastAsia" w:ascii="仿宋" w:hAnsi="仿宋" w:eastAsia="仿宋" w:cs="Times New Roman"/>
          <w:color w:val="auto"/>
          <w:sz w:val="28"/>
          <w:szCs w:val="28"/>
          <w:highlight w:val="none"/>
        </w:rPr>
        <w:t>具有以下证书之一：①人社部</w:t>
      </w:r>
      <w:r>
        <w:rPr>
          <w:rFonts w:hint="eastAsia" w:ascii="仿宋" w:hAnsi="仿宋" w:eastAsia="仿宋" w:cs="Times New Roman"/>
          <w:color w:val="auto"/>
          <w:sz w:val="28"/>
          <w:szCs w:val="28"/>
          <w:highlight w:val="none"/>
          <w:lang w:val="en-US" w:eastAsia="zh-CN"/>
        </w:rPr>
        <w:t>或省人社厅</w:t>
      </w:r>
      <w:r>
        <w:rPr>
          <w:rFonts w:hint="eastAsia" w:ascii="仿宋" w:hAnsi="仿宋" w:eastAsia="仿宋" w:cs="Times New Roman"/>
          <w:color w:val="auto"/>
          <w:sz w:val="28"/>
          <w:szCs w:val="28"/>
          <w:highlight w:val="none"/>
        </w:rPr>
        <w:t>颁发的《物业管理师》；②建设部人事教育司和住宅与房地产业司联合颁发的《全国物业管理从业人员岗位证书（经理）》</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③全国</w:t>
      </w:r>
      <w:r>
        <w:rPr>
          <w:rFonts w:hint="eastAsia" w:ascii="仿宋" w:hAnsi="仿宋" w:eastAsia="仿宋" w:cs="Times New Roman"/>
          <w:color w:val="auto"/>
          <w:sz w:val="28"/>
          <w:szCs w:val="28"/>
          <w:highlight w:val="none"/>
          <w:lang w:eastAsia="zh-CN"/>
        </w:rPr>
        <w:t>城建培训中心</w:t>
      </w:r>
      <w:r>
        <w:rPr>
          <w:rFonts w:hint="eastAsia" w:ascii="仿宋" w:hAnsi="仿宋" w:eastAsia="仿宋" w:cs="Times New Roman"/>
          <w:color w:val="auto"/>
          <w:sz w:val="28"/>
          <w:szCs w:val="28"/>
          <w:highlight w:val="none"/>
        </w:rPr>
        <w:t>颁发的《全国物业行业项目经理职业资格证书》或《全国物业管理企业经理证书》</w:t>
      </w:r>
      <w:r>
        <w:rPr>
          <w:rFonts w:hint="eastAsia" w:ascii="仿宋" w:hAnsi="仿宋" w:eastAsia="仿宋" w:cs="Times New Roman"/>
          <w:color w:val="auto"/>
          <w:sz w:val="28"/>
          <w:szCs w:val="28"/>
          <w:highlight w:val="none"/>
          <w:lang w:val="en-US" w:eastAsia="zh-CN"/>
        </w:rPr>
        <w:t>。</w:t>
      </w:r>
    </w:p>
    <w:p w14:paraId="337736A8">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.信誉要求：投标人存在以下情形之一的，不得被确定为中标人</w:t>
      </w:r>
      <w:r>
        <w:rPr>
          <w:rFonts w:hint="eastAsia" w:ascii="仿宋" w:hAnsi="仿宋" w:eastAsia="仿宋" w:cs="Times New Roman"/>
          <w:color w:val="auto"/>
          <w:sz w:val="28"/>
          <w:szCs w:val="28"/>
          <w:highlight w:val="none"/>
          <w:lang w:eastAsia="zh-CN"/>
        </w:rPr>
        <w:t>。</w:t>
      </w:r>
    </w:p>
    <w:p w14:paraId="2281B6A6">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①投标人被人民法院列入失信被执行人的；</w:t>
      </w:r>
    </w:p>
    <w:p w14:paraId="28CC389B">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②投标人或其法定代表人或拟派项目经理（建造师）前三年有行贿犯罪行为的；</w:t>
      </w:r>
    </w:p>
    <w:p w14:paraId="750B0082">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③投标人被市场监督管理部门列入经营异常名录或者严重违法企业名单，且未被移除的；</w:t>
      </w:r>
    </w:p>
    <w:p w14:paraId="5146F0C4">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④投标人被税务部门列入重大税收违法案件当事人的；</w:t>
      </w:r>
    </w:p>
    <w:p w14:paraId="12F340F6">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⑤在“信用中国”网站上披露仍在公示期的严重失信行为的；</w:t>
      </w:r>
    </w:p>
    <w:p w14:paraId="1913BE65">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⑥被滁州市县两级各行业主管部门及公管部门取消在一定期限内的投标资格且在取消期限内的；</w:t>
      </w:r>
    </w:p>
    <w:p w14:paraId="6BA71C23">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⑦被人力资源社会保障主管部门列入拖欠农民工工资‘黑名单’或因拖欠农民工工资被县级及以上有关行政主管部门限制投标资格且在限制期限内的。</w:t>
      </w:r>
    </w:p>
    <w:p w14:paraId="1E7F45C3">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⑧被列入省级、市级农民工工资支付异常名录的施工企业，限制其参加全市范围内项目投标；列入县级异常名录的施工企业，限制其参加本行政区域内项目投标。</w:t>
      </w:r>
    </w:p>
    <w:p w14:paraId="3A5C6CF1">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.投标人所属分公司、办事处等分支机构存在第</w:t>
      </w: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款信誉要求①-</w:t>
      </w:r>
      <w:r>
        <w:rPr>
          <w:rFonts w:hint="eastAsia" w:ascii="仿宋" w:hAnsi="仿宋" w:eastAsia="仿宋" w:cs="Times New Roman"/>
          <w:color w:val="auto"/>
          <w:sz w:val="28"/>
          <w:szCs w:val="28"/>
          <w:highlight w:val="none"/>
          <w:lang w:val="en-US" w:eastAsia="zh-CN"/>
        </w:rPr>
        <w:t>⑧</w:t>
      </w:r>
      <w:r>
        <w:rPr>
          <w:rFonts w:hint="eastAsia" w:ascii="仿宋" w:hAnsi="仿宋" w:eastAsia="仿宋" w:cs="Times New Roman"/>
          <w:color w:val="auto"/>
          <w:sz w:val="28"/>
          <w:szCs w:val="28"/>
          <w:highlight w:val="none"/>
        </w:rPr>
        <w:t>项情形之一的，接受</w:t>
      </w:r>
      <w:r>
        <w:rPr>
          <w:rFonts w:hint="eastAsia" w:ascii="仿宋" w:hAnsi="仿宋" w:eastAsia="仿宋" w:cs="Times New Roman"/>
          <w:color w:val="auto"/>
          <w:sz w:val="28"/>
          <w:szCs w:val="28"/>
          <w:highlight w:val="none"/>
          <w:lang w:val="en-US" w:eastAsia="zh-CN"/>
        </w:rPr>
        <w:t>其被确定为中标人</w:t>
      </w:r>
      <w:r>
        <w:rPr>
          <w:rFonts w:hint="eastAsia" w:ascii="仿宋" w:hAnsi="仿宋" w:eastAsia="仿宋" w:cs="Times New Roman"/>
          <w:color w:val="auto"/>
          <w:sz w:val="28"/>
          <w:szCs w:val="28"/>
          <w:highlight w:val="none"/>
        </w:rPr>
        <w:t>。</w:t>
      </w:r>
    </w:p>
    <w:p w14:paraId="31DAF963">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备注：第</w:t>
      </w:r>
      <w:r>
        <w:rPr>
          <w:rFonts w:hint="eastAsia" w:ascii="仿宋" w:hAnsi="仿宋" w:eastAsia="仿宋" w:cs="Times New Roman"/>
          <w:color w:val="auto"/>
          <w:sz w:val="28"/>
          <w:szCs w:val="28"/>
          <w:highlight w:val="none"/>
          <w:lang w:val="en-US" w:eastAsia="zh-CN"/>
        </w:rPr>
        <w:t>3、4</w:t>
      </w:r>
      <w:r>
        <w:rPr>
          <w:rFonts w:hint="eastAsia" w:ascii="仿宋" w:hAnsi="仿宋" w:eastAsia="仿宋" w:cs="Times New Roman"/>
          <w:color w:val="auto"/>
          <w:sz w:val="28"/>
          <w:szCs w:val="28"/>
          <w:highlight w:val="none"/>
        </w:rPr>
        <w:t>条按照</w:t>
      </w:r>
      <w:r>
        <w:rPr>
          <w:rFonts w:hint="eastAsia" w:ascii="仿宋" w:hAnsi="仿宋" w:eastAsia="仿宋" w:cs="Times New Roman"/>
          <w:color w:val="auto"/>
          <w:sz w:val="28"/>
          <w:szCs w:val="28"/>
          <w:highlight w:val="none"/>
          <w:lang w:val="en-US" w:eastAsia="zh-CN"/>
        </w:rPr>
        <w:t>附件1</w:t>
      </w:r>
      <w:r>
        <w:rPr>
          <w:rFonts w:hint="eastAsia" w:ascii="仿宋" w:hAnsi="仿宋" w:eastAsia="仿宋" w:cs="Times New Roman"/>
          <w:color w:val="auto"/>
          <w:sz w:val="28"/>
          <w:szCs w:val="28"/>
          <w:highlight w:val="none"/>
        </w:rPr>
        <w:t>“关于联合惩戒失信行为加强信用查询管理的通知”查询或承诺。</w:t>
      </w:r>
    </w:p>
    <w:p w14:paraId="337F3964">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11"/>
      <w:bookmarkEnd w:id="12"/>
      <w:bookmarkEnd w:id="13"/>
      <w:bookmarkEnd w:id="14"/>
    </w:p>
    <w:p w14:paraId="1DB9CC12">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31AF959C">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地点：滁州市公共资源交易中心网</w:t>
      </w:r>
    </w:p>
    <w:p w14:paraId="648C6476">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方式：网上下载</w:t>
      </w:r>
    </w:p>
    <w:p w14:paraId="483D4AAC">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2CF0FDF3">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bookmarkStart w:id="15" w:name="_Toc28359082"/>
      <w:bookmarkStart w:id="16" w:name="_Toc28359005"/>
      <w:bookmarkStart w:id="17" w:name="_Toc35393793"/>
      <w:bookmarkStart w:id="18" w:name="_Toc35393624"/>
      <w:r>
        <w:rPr>
          <w:rFonts w:hint="eastAsia" w:ascii="黑体" w:hAnsi="黑体" w:eastAsia="黑体" w:cs="黑体"/>
          <w:color w:val="auto"/>
          <w:sz w:val="28"/>
          <w:szCs w:val="28"/>
          <w:highlight w:val="none"/>
        </w:rPr>
        <w:t>四、提交投标文件</w:t>
      </w:r>
      <w:bookmarkEnd w:id="15"/>
      <w:bookmarkEnd w:id="16"/>
      <w:r>
        <w:rPr>
          <w:rFonts w:hint="eastAsia" w:ascii="黑体" w:hAnsi="黑体" w:eastAsia="黑体" w:cs="黑体"/>
          <w:color w:val="auto"/>
          <w:sz w:val="28"/>
          <w:szCs w:val="28"/>
          <w:highlight w:val="none"/>
        </w:rPr>
        <w:t>截止时间、开标时间和地点</w:t>
      </w:r>
      <w:bookmarkEnd w:id="17"/>
      <w:bookmarkEnd w:id="18"/>
    </w:p>
    <w:p w14:paraId="2BC449E1">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bCs/>
          <w:iCs/>
          <w:color w:val="auto"/>
          <w:sz w:val="28"/>
          <w:szCs w:val="28"/>
          <w:highlight w:val="none"/>
        </w:rPr>
      </w:pPr>
      <w:bookmarkStart w:id="19" w:name="_Toc35393794"/>
      <w:bookmarkStart w:id="20" w:name="_Toc35393625"/>
      <w:bookmarkStart w:id="21" w:name="_Toc28359084"/>
      <w:bookmarkStart w:id="22" w:name="_Toc28359007"/>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rPr>
        <w:t>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553D1188">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w:t>
      </w:r>
      <w:r>
        <w:rPr>
          <w:rFonts w:hint="eastAsia" w:ascii="仿宋" w:hAnsi="仿宋" w:eastAsia="仿宋"/>
          <w:color w:val="auto"/>
          <w:sz w:val="28"/>
          <w:szCs w:val="28"/>
          <w:highlight w:val="none"/>
          <w:lang w:val="en-US" w:eastAsia="zh-CN"/>
        </w:rPr>
        <w:t>网</w:t>
      </w:r>
      <w:r>
        <w:rPr>
          <w:rFonts w:hint="eastAsia" w:ascii="仿宋" w:hAnsi="仿宋" w:eastAsia="仿宋"/>
          <w:color w:val="auto"/>
          <w:sz w:val="28"/>
          <w:szCs w:val="28"/>
          <w:highlight w:val="none"/>
        </w:rPr>
        <w:t>。</w:t>
      </w:r>
    </w:p>
    <w:p w14:paraId="125048CE">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五、公告期限</w:t>
      </w:r>
      <w:bookmarkEnd w:id="19"/>
      <w:bookmarkEnd w:id="20"/>
      <w:bookmarkEnd w:id="21"/>
      <w:bookmarkEnd w:id="22"/>
    </w:p>
    <w:p w14:paraId="7C707941">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7DC0B50">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投标保证金金额及缴纳账户</w:t>
      </w:r>
    </w:p>
    <w:p w14:paraId="49D7FC8E">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bookmarkStart w:id="23" w:name="_Toc35393626"/>
      <w:bookmarkStart w:id="24" w:name="_Toc35393795"/>
      <w:r>
        <w:rPr>
          <w:rFonts w:hint="eastAsia" w:ascii="仿宋" w:hAnsi="仿宋" w:eastAsia="仿宋" w:cs="Times New Roman"/>
          <w:color w:val="auto"/>
          <w:sz w:val="28"/>
          <w:szCs w:val="28"/>
          <w:highlight w:val="none"/>
        </w:rPr>
        <w:t>投标保证金的金额：</w:t>
      </w:r>
      <w:r>
        <w:rPr>
          <w:rFonts w:hint="eastAsia" w:ascii="仿宋" w:hAnsi="仿宋" w:eastAsia="仿宋" w:cs="Times New Roman"/>
          <w:color w:val="auto"/>
          <w:sz w:val="28"/>
          <w:szCs w:val="28"/>
          <w:highlight w:val="none"/>
          <w:lang w:eastAsia="zh-CN"/>
        </w:rPr>
        <w:t>1</w:t>
      </w:r>
      <w:r>
        <w:rPr>
          <w:rFonts w:hint="eastAsia" w:ascii="仿宋" w:hAnsi="仿宋" w:eastAsia="仿宋" w:cs="Times New Roman"/>
          <w:color w:val="auto"/>
          <w:sz w:val="28"/>
          <w:szCs w:val="28"/>
          <w:highlight w:val="none"/>
          <w:lang w:val="en-US" w:eastAsia="zh-CN"/>
        </w:rPr>
        <w:t>3.2</w:t>
      </w:r>
      <w:r>
        <w:rPr>
          <w:rFonts w:hint="eastAsia" w:ascii="仿宋" w:hAnsi="仿宋" w:eastAsia="仿宋" w:cs="Times New Roman"/>
          <w:color w:val="auto"/>
          <w:sz w:val="28"/>
          <w:szCs w:val="28"/>
          <w:highlight w:val="none"/>
        </w:rPr>
        <w:t>万元。不要求投标人提交投标保证金。</w:t>
      </w:r>
    </w:p>
    <w:p w14:paraId="73A594FB">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23.4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23</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p>
    <w:p w14:paraId="16B95023">
      <w:pPr>
        <w:pStyle w:val="120"/>
        <w:pageBreakBefore w:val="0"/>
        <w:widowControl w:val="0"/>
        <w:kinsoku/>
        <w:wordWrap/>
        <w:overflowPunct/>
        <w:topLinePunct w:val="0"/>
        <w:autoSpaceDE/>
        <w:autoSpaceDN/>
        <w:bidi w:val="0"/>
        <w:adjustRightInd/>
        <w:snapToGrid/>
        <w:spacing w:line="500" w:lineRule="exact"/>
        <w:ind w:left="0" w:leftChars="0"/>
        <w:textAlignment w:val="auto"/>
        <w:rPr>
          <w:color w:val="auto"/>
          <w:highlight w:val="none"/>
        </w:rPr>
      </w:pPr>
      <w:r>
        <w:rPr>
          <w:color w:val="auto"/>
          <w:highlight w:val="none"/>
        </w:rPr>
        <w:t>窗体顶端</w:t>
      </w:r>
    </w:p>
    <w:p w14:paraId="438D8FA0">
      <w:pPr>
        <w:pStyle w:val="121"/>
        <w:pageBreakBefore w:val="0"/>
        <w:widowControl w:val="0"/>
        <w:kinsoku/>
        <w:wordWrap/>
        <w:overflowPunct/>
        <w:topLinePunct w:val="0"/>
        <w:autoSpaceDE/>
        <w:autoSpaceDN/>
        <w:bidi w:val="0"/>
        <w:adjustRightInd/>
        <w:snapToGrid/>
        <w:spacing w:line="500" w:lineRule="exact"/>
        <w:ind w:left="0" w:leftChars="0"/>
        <w:textAlignment w:val="auto"/>
        <w:rPr>
          <w:color w:val="auto"/>
          <w:highlight w:val="none"/>
        </w:rPr>
      </w:pPr>
      <w:r>
        <w:rPr>
          <w:rFonts w:hint="eastAsia" w:ascii="仿宋_GB2312" w:hAnsi="仿宋_GB2312" w:eastAsia="仿宋_GB2312" w:cs="仿宋_GB2312"/>
          <w:color w:val="auto"/>
          <w:sz w:val="28"/>
          <w:szCs w:val="28"/>
          <w:highlight w:val="none"/>
        </w:rPr>
        <w:t>投标保证金的金额：</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eastAsia="仿宋_GB2312" w:cs="仿宋_GB2312"/>
          <w:color w:val="auto"/>
          <w:sz w:val="28"/>
          <w:szCs w:val="28"/>
          <w:highlight w:val="none"/>
        </w:rPr>
        <w:t>万元</w:t>
      </w:r>
      <w:r>
        <w:rPr>
          <w:color w:val="auto"/>
          <w:highlight w:val="none"/>
        </w:rPr>
        <w:t>窗体底端</w:t>
      </w:r>
    </w:p>
    <w:p w14:paraId="76F50196">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3"/>
      <w:bookmarkEnd w:id="24"/>
    </w:p>
    <w:p w14:paraId="18C2006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C6FF32D">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49B8AF0F">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3B9B3AC0">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4.投标文件格式、内容和制作要求以招标文件为准，投标文件制作工具中提供的相关格式及内容仅供参考，投标企业可根据招标文件要求自行调整。</w:t>
      </w:r>
    </w:p>
    <w:p w14:paraId="2544E930">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提出异议的截止时间及方式：如投标人对招标文件有异议，请于2024年12月1日08时（投标截止10日）前在滁州市公共资源交易中心网电子交易系统中进行异议，具体操作步骤和程序请参见服务指南&gt;交易须知&gt;在线异议、质疑和投诉操作手册。</w:t>
      </w:r>
    </w:p>
    <w:p w14:paraId="2753209C">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6.受理异议的联系人及联系方式：樊星、周蓓蕾0550-3830787、0550-3519519。</w:t>
      </w:r>
    </w:p>
    <w:p w14:paraId="6664F1C0">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15239153">
      <w:pPr>
        <w:pStyle w:val="4"/>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1.招标人信息</w:t>
      </w:r>
    </w:p>
    <w:p w14:paraId="3EE49A85">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val="en-US" w:eastAsia="zh-CN"/>
        </w:rPr>
        <w:t>滁州同业投资发展有限公司</w:t>
      </w:r>
      <w:r>
        <w:rPr>
          <w:rFonts w:hint="eastAsia" w:ascii="仿宋" w:hAnsi="仿宋" w:eastAsia="仿宋" w:cs="仿宋"/>
          <w:color w:val="auto"/>
          <w:sz w:val="28"/>
          <w:szCs w:val="28"/>
          <w:highlight w:val="none"/>
          <w:u w:val="single"/>
        </w:rPr>
        <w:t xml:space="preserve">  </w:t>
      </w:r>
    </w:p>
    <w:p w14:paraId="3893951D">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滁州市全椒路155号</w:t>
      </w:r>
      <w:r>
        <w:rPr>
          <w:rFonts w:hint="eastAsia" w:ascii="仿宋" w:hAnsi="仿宋" w:eastAsia="仿宋" w:cs="仿宋"/>
          <w:color w:val="auto"/>
          <w:sz w:val="28"/>
          <w:szCs w:val="28"/>
          <w:highlight w:val="none"/>
          <w:u w:val="single"/>
        </w:rPr>
        <w:t xml:space="preserve"> </w:t>
      </w:r>
    </w:p>
    <w:p w14:paraId="3293C70D">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0550-3830787/</w:t>
      </w:r>
      <w:r>
        <w:rPr>
          <w:rFonts w:hint="eastAsia" w:ascii="仿宋_GB2312" w:hAnsi="仿宋_GB2312" w:eastAsia="仿宋_GB2312" w:cs="仿宋_GB2312"/>
          <w:sz w:val="28"/>
          <w:szCs w:val="28"/>
          <w:highlight w:val="none"/>
          <w:u w:val="single"/>
          <w:lang w:val="en-US" w:eastAsia="zh-CN"/>
        </w:rPr>
        <w:t>15955017606</w:t>
      </w:r>
    </w:p>
    <w:p w14:paraId="1E078B15">
      <w:pPr>
        <w:pStyle w:val="4"/>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40A62A7C">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45A5376F">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7AC1FF68">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w:t>
      </w:r>
      <w:r>
        <w:rPr>
          <w:rFonts w:hint="eastAsia" w:ascii="仿宋" w:hAnsi="仿宋" w:eastAsia="仿宋" w:cs="仿宋"/>
          <w:color w:val="auto"/>
          <w:sz w:val="28"/>
          <w:szCs w:val="28"/>
          <w:highlight w:val="none"/>
          <w:u w:val="single"/>
          <w:lang w:eastAsia="zh-CN"/>
        </w:rPr>
        <w:t>3519519</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lang w:eastAsia="zh-CN"/>
        </w:rPr>
        <w:t>18005505728</w:t>
      </w:r>
    </w:p>
    <w:p w14:paraId="661E6E82">
      <w:pPr>
        <w:pStyle w:val="4"/>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42760C0E">
      <w:pPr>
        <w:pStyle w:val="2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樊星、</w:t>
      </w:r>
      <w:r>
        <w:rPr>
          <w:rFonts w:hint="eastAsia" w:ascii="仿宋" w:hAnsi="仿宋" w:eastAsia="仿宋" w:cs="仿宋"/>
          <w:color w:val="auto"/>
          <w:sz w:val="28"/>
          <w:szCs w:val="28"/>
          <w:highlight w:val="none"/>
          <w:u w:val="single" w:color="auto"/>
          <w:lang w:eastAsia="zh-CN"/>
        </w:rPr>
        <w:t>周蓓蕾</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z w:val="28"/>
          <w:szCs w:val="28"/>
          <w:highlight w:val="none"/>
          <w:u w:val="none" w:color="auto"/>
        </w:rPr>
        <w:t xml:space="preserve">  </w:t>
      </w:r>
      <w:r>
        <w:rPr>
          <w:rFonts w:hint="eastAsia" w:ascii="仿宋" w:hAnsi="仿宋" w:eastAsia="仿宋" w:cs="仿宋"/>
          <w:color w:val="auto"/>
          <w:sz w:val="28"/>
          <w:szCs w:val="28"/>
          <w:highlight w:val="none"/>
          <w:u w:val="single" w:color="auto"/>
        </w:rPr>
        <w:t xml:space="preserve">    </w:t>
      </w:r>
    </w:p>
    <w:p w14:paraId="7D1D61B5">
      <w:pPr>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0550-3830787/</w:t>
      </w:r>
      <w:r>
        <w:rPr>
          <w:rFonts w:hint="eastAsia" w:ascii="仿宋_GB2312" w:hAnsi="仿宋_GB2312" w:eastAsia="仿宋_GB2312" w:cs="仿宋_GB2312"/>
          <w:sz w:val="28"/>
          <w:szCs w:val="28"/>
          <w:highlight w:val="none"/>
          <w:u w:val="single"/>
          <w:lang w:val="en-US" w:eastAsia="zh-CN"/>
        </w:rPr>
        <w:t>15955017606、</w:t>
      </w:r>
      <w:r>
        <w:rPr>
          <w:rFonts w:hint="eastAsia" w:ascii="仿宋" w:hAnsi="仿宋" w:eastAsia="仿宋" w:cs="仿宋"/>
          <w:color w:val="auto"/>
          <w:sz w:val="28"/>
          <w:szCs w:val="28"/>
          <w:highlight w:val="none"/>
          <w:u w:val="single"/>
        </w:rPr>
        <w:t>0550-</w:t>
      </w:r>
      <w:r>
        <w:rPr>
          <w:rFonts w:hint="eastAsia" w:ascii="仿宋" w:hAnsi="仿宋" w:eastAsia="仿宋" w:cs="仿宋"/>
          <w:color w:val="auto"/>
          <w:sz w:val="28"/>
          <w:szCs w:val="28"/>
          <w:highlight w:val="none"/>
          <w:u w:val="single"/>
          <w:lang w:eastAsia="zh-CN"/>
        </w:rPr>
        <w:t>3519519</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lang w:eastAsia="zh-CN"/>
        </w:rPr>
        <w:t>18005505728</w:t>
      </w:r>
      <w:r>
        <w:rPr>
          <w:rFonts w:hint="eastAsia" w:ascii="仿宋" w:hAnsi="仿宋" w:eastAsia="仿宋" w:cs="仿宋"/>
          <w:color w:val="auto"/>
          <w:sz w:val="28"/>
          <w:szCs w:val="28"/>
          <w:highlight w:val="none"/>
          <w:u w:val="single"/>
        </w:rPr>
        <w:t xml:space="preserve">  </w:t>
      </w:r>
    </w:p>
    <w:p w14:paraId="1C7B63C4">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b w:val="0"/>
          <w:color w:val="auto"/>
          <w:szCs w:val="32"/>
          <w:highlight w:val="none"/>
        </w:rPr>
      </w:pPr>
      <w:bookmarkStart w:id="25" w:name="_Toc20364"/>
      <w:r>
        <w:rPr>
          <w:rFonts w:hint="eastAsia"/>
          <w:color w:val="auto"/>
          <w:highlight w:val="none"/>
        </w:rPr>
        <w:br w:type="page"/>
      </w:r>
      <w:r>
        <w:rPr>
          <w:rFonts w:hint="eastAsia" w:ascii="华文中宋" w:hAnsi="华文中宋" w:eastAsia="华文中宋"/>
          <w:color w:val="auto"/>
          <w:highlight w:val="none"/>
        </w:rPr>
        <w:t>第二章 投标人须知</w:t>
      </w:r>
      <w:bookmarkEnd w:id="25"/>
    </w:p>
    <w:p w14:paraId="00FB91D5">
      <w:pPr>
        <w:snapToGrid w:val="0"/>
        <w:spacing w:line="440" w:lineRule="exact"/>
        <w:jc w:val="center"/>
        <w:outlineLvl w:val="1"/>
        <w:rPr>
          <w:rFonts w:hint="eastAsia" w:ascii="宋体"/>
          <w:b/>
          <w:color w:val="auto"/>
          <w:sz w:val="28"/>
          <w:szCs w:val="28"/>
          <w:highlight w:val="none"/>
        </w:rPr>
      </w:pPr>
      <w:bookmarkStart w:id="26" w:name="_Toc58430314"/>
      <w:bookmarkStart w:id="27" w:name="_Toc449028865"/>
      <w:bookmarkStart w:id="28" w:name="_Toc1019"/>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6"/>
      <w:bookmarkEnd w:id="27"/>
      <w:bookmarkEnd w:id="28"/>
    </w:p>
    <w:tbl>
      <w:tblPr>
        <w:tblStyle w:val="37"/>
        <w:tblW w:w="102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878"/>
        <w:gridCol w:w="1262"/>
        <w:gridCol w:w="7025"/>
      </w:tblGrid>
      <w:tr w14:paraId="0C1794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48" w:type="dxa"/>
            <w:noWrap w:val="0"/>
            <w:vAlign w:val="center"/>
          </w:tcPr>
          <w:p w14:paraId="31B1963B">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140" w:type="dxa"/>
            <w:gridSpan w:val="2"/>
            <w:noWrap w:val="0"/>
            <w:vAlign w:val="center"/>
          </w:tcPr>
          <w:p w14:paraId="7D988445">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025" w:type="dxa"/>
            <w:noWrap w:val="0"/>
            <w:vAlign w:val="center"/>
          </w:tcPr>
          <w:p w14:paraId="3B5403B3">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5DA62D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1048" w:type="dxa"/>
            <w:noWrap w:val="0"/>
            <w:vAlign w:val="center"/>
          </w:tcPr>
          <w:p w14:paraId="3A30A4C7">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22C231E1">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25" w:type="dxa"/>
            <w:noWrap w:val="0"/>
            <w:vAlign w:val="center"/>
          </w:tcPr>
          <w:p w14:paraId="5C265847">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rPr>
            </w:pPr>
            <w:r>
              <w:rPr>
                <w:rFonts w:hint="eastAsia" w:hAnsi="宋体" w:cs="宋体"/>
                <w:color w:val="auto"/>
                <w:szCs w:val="21"/>
                <w:highlight w:val="none"/>
                <w:lang w:eastAsia="zh-CN"/>
              </w:rPr>
              <w:t>后勤服务中心(公租房)物业管理服务项目</w:t>
            </w:r>
          </w:p>
        </w:tc>
      </w:tr>
      <w:tr w14:paraId="612570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jc w:val="center"/>
        </w:trPr>
        <w:tc>
          <w:tcPr>
            <w:tcW w:w="1048" w:type="dxa"/>
            <w:noWrap w:val="0"/>
            <w:vAlign w:val="center"/>
          </w:tcPr>
          <w:p w14:paraId="7CA54B04">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366D7608">
            <w:pPr>
              <w:pStyle w:val="20"/>
              <w:keepNext w:val="0"/>
              <w:keepLines w:val="0"/>
              <w:pageBreakBefore w:val="0"/>
              <w:kinsoku/>
              <w:overflowPunct/>
              <w:autoSpaceDE/>
              <w:autoSpaceDN/>
              <w:bidi w:val="0"/>
              <w:adjustRightInd/>
              <w:spacing w:line="440" w:lineRule="exact"/>
              <w:textAlignment w:val="auto"/>
              <w:rPr>
                <w:rFonts w:hint="eastAsia" w:hAnsi="宋体" w:cs="宋体"/>
                <w:color w:val="auto"/>
                <w:szCs w:val="21"/>
                <w:highlight w:val="none"/>
                <w:lang w:eastAsia="zh-CN"/>
              </w:rPr>
            </w:pPr>
            <w:r>
              <w:rPr>
                <w:rFonts w:hint="eastAsia" w:hAnsi="宋体" w:cs="宋体"/>
                <w:color w:val="auto"/>
                <w:szCs w:val="21"/>
                <w:highlight w:val="none"/>
                <w:lang w:eastAsia="zh-CN"/>
              </w:rPr>
              <w:t>项目编号</w:t>
            </w:r>
          </w:p>
        </w:tc>
        <w:tc>
          <w:tcPr>
            <w:tcW w:w="7025" w:type="dxa"/>
            <w:noWrap w:val="0"/>
            <w:vAlign w:val="center"/>
          </w:tcPr>
          <w:p w14:paraId="16C59B0F">
            <w:pPr>
              <w:pStyle w:val="20"/>
              <w:keepNext w:val="0"/>
              <w:keepLines w:val="0"/>
              <w:pageBreakBefore w:val="0"/>
              <w:kinsoku/>
              <w:overflowPunct/>
              <w:autoSpaceDE/>
              <w:autoSpaceDN/>
              <w:bidi w:val="0"/>
              <w:adjustRightInd/>
              <w:spacing w:line="440" w:lineRule="exact"/>
              <w:textAlignment w:val="auto"/>
              <w:rPr>
                <w:rFonts w:hint="default" w:hAnsi="宋体" w:cs="宋体"/>
                <w:color w:val="auto"/>
                <w:szCs w:val="21"/>
                <w:highlight w:val="none"/>
                <w:lang w:val="en-US" w:eastAsia="zh-CN"/>
              </w:rPr>
            </w:pPr>
            <w:r>
              <w:rPr>
                <w:rFonts w:hint="default" w:hAnsi="宋体" w:cs="宋体"/>
                <w:color w:val="auto"/>
                <w:szCs w:val="21"/>
                <w:highlight w:val="none"/>
                <w:lang w:eastAsia="zh-CN"/>
              </w:rPr>
              <w:t>czsjqt202411-001</w:t>
            </w:r>
          </w:p>
        </w:tc>
      </w:tr>
      <w:tr w14:paraId="49492A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048" w:type="dxa"/>
            <w:noWrap w:val="0"/>
            <w:vAlign w:val="center"/>
          </w:tcPr>
          <w:p w14:paraId="6D653200">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2AA4DF62">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7025" w:type="dxa"/>
            <w:noWrap w:val="0"/>
            <w:vAlign w:val="center"/>
          </w:tcPr>
          <w:p w14:paraId="32069A7B">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1095日历天/3年（本次招标服务周期为合同签订后办理正式入驻手续起三年，具体进场时间按采购单位正式发函为准）。服务期限届满后，招标人没有依法作出续聘或者另聘物业服务人的决定时，物业服务单位无需签订合同直接按原物业服务合同继续提供物业服务，服务期限为不定期。</w:t>
            </w:r>
            <w:r>
              <w:rPr>
                <w:rFonts w:hint="eastAsia" w:ascii="宋体" w:hAnsi="宋体" w:eastAsia="宋体" w:cs="宋体"/>
                <w:color w:val="auto"/>
                <w:szCs w:val="21"/>
                <w:highlight w:val="none"/>
              </w:rPr>
              <w:t>合同履行期</w:t>
            </w:r>
            <w:r>
              <w:rPr>
                <w:rFonts w:hint="eastAsia" w:ascii="宋体" w:hAnsi="宋体" w:eastAsia="宋体" w:cs="宋体"/>
                <w:color w:val="auto"/>
                <w:kern w:val="2"/>
                <w:sz w:val="21"/>
                <w:szCs w:val="21"/>
                <w:highlight w:val="none"/>
                <w:u w:val="none" w:color="000000"/>
                <w:lang w:val="en-US" w:eastAsia="zh-CN" w:bidi="ar-SA"/>
              </w:rPr>
              <w:t>内合同一年一签，上年考核标准平均分值达90分及以上续签下一年合同，低于90分以下或有</w:t>
            </w:r>
            <w:r>
              <w:rPr>
                <w:rFonts w:hint="eastAsia" w:ascii="宋体" w:hAnsi="宋体" w:cs="宋体"/>
                <w:color w:val="auto"/>
                <w:kern w:val="2"/>
                <w:sz w:val="21"/>
                <w:szCs w:val="21"/>
                <w:highlight w:val="none"/>
                <w:u w:val="none" w:color="000000"/>
                <w:lang w:val="en-US" w:eastAsia="zh-CN" w:bidi="ar-SA"/>
              </w:rPr>
              <w:t>重大</w:t>
            </w:r>
            <w:r>
              <w:rPr>
                <w:rFonts w:hint="eastAsia" w:ascii="宋体" w:hAnsi="宋体" w:eastAsia="宋体" w:cs="宋体"/>
                <w:color w:val="auto"/>
                <w:kern w:val="2"/>
                <w:sz w:val="21"/>
                <w:szCs w:val="21"/>
                <w:highlight w:val="none"/>
                <w:u w:val="none" w:color="000000"/>
                <w:lang w:val="en-US" w:eastAsia="zh-CN" w:bidi="ar-SA"/>
              </w:rPr>
              <w:t>不良记录不予续签，则重新招标，最终解释权归招标人所有。因全年考核平均分值不合格终止服务的，履约担保为转</w:t>
            </w:r>
            <w:r>
              <w:rPr>
                <w:rFonts w:hint="eastAsia" w:ascii="宋体" w:hAnsi="宋体" w:cs="宋体"/>
                <w:color w:val="auto"/>
                <w:kern w:val="2"/>
                <w:sz w:val="21"/>
                <w:szCs w:val="21"/>
                <w:highlight w:val="none"/>
                <w:u w:val="none" w:color="000000"/>
                <w:lang w:val="en-US" w:eastAsia="zh-CN" w:bidi="ar-SA"/>
              </w:rPr>
              <w:t>账</w:t>
            </w:r>
            <w:r>
              <w:rPr>
                <w:rFonts w:hint="eastAsia" w:ascii="宋体" w:hAnsi="宋体" w:eastAsia="宋体" w:cs="宋体"/>
                <w:color w:val="auto"/>
                <w:kern w:val="2"/>
                <w:sz w:val="21"/>
                <w:szCs w:val="21"/>
                <w:highlight w:val="none"/>
                <w:u w:val="none" w:color="000000"/>
                <w:lang w:val="en-US" w:eastAsia="zh-CN" w:bidi="ar-SA"/>
              </w:rPr>
              <w:t>方式的，一个月内减半退还，履约担保为其他方式的，须缴纳履约保证金额的一半作为违约金后办理退还手续</w:t>
            </w:r>
            <w:r>
              <w:rPr>
                <w:rFonts w:hint="eastAsia" w:ascii="宋体" w:hAnsi="宋体" w:cs="宋体"/>
                <w:color w:val="auto"/>
                <w:kern w:val="2"/>
                <w:sz w:val="21"/>
                <w:szCs w:val="21"/>
                <w:highlight w:val="none"/>
                <w:u w:val="none" w:color="000000"/>
                <w:lang w:val="en-US" w:eastAsia="zh-CN" w:bidi="ar-SA"/>
              </w:rPr>
              <w:t>。</w:t>
            </w:r>
          </w:p>
        </w:tc>
      </w:tr>
      <w:tr w14:paraId="051FC3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jc w:val="center"/>
        </w:trPr>
        <w:tc>
          <w:tcPr>
            <w:tcW w:w="1048" w:type="dxa"/>
            <w:noWrap w:val="0"/>
            <w:vAlign w:val="center"/>
          </w:tcPr>
          <w:p w14:paraId="4F4C542A">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3304E3BC">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w:t>
            </w:r>
          </w:p>
        </w:tc>
        <w:tc>
          <w:tcPr>
            <w:tcW w:w="7025" w:type="dxa"/>
            <w:noWrap w:val="0"/>
            <w:vAlign w:val="center"/>
          </w:tcPr>
          <w:p w14:paraId="7220B156">
            <w:pPr>
              <w:pStyle w:val="20"/>
              <w:keepNext w:val="0"/>
              <w:keepLines w:val="0"/>
              <w:pageBreakBefore w:val="0"/>
              <w:kinsoku/>
              <w:overflowPunct/>
              <w:autoSpaceDE/>
              <w:autoSpaceDN/>
              <w:bidi w:val="0"/>
              <w:adjustRightInd/>
              <w:spacing w:line="440" w:lineRule="exact"/>
              <w:textAlignment w:val="auto"/>
              <w:rPr>
                <w:rFonts w:hint="default" w:ascii="宋体" w:hAnsi="宋体" w:eastAsia="宋体" w:cs="宋体"/>
                <w:color w:val="auto"/>
                <w:kern w:val="2"/>
                <w:sz w:val="21"/>
                <w:szCs w:val="21"/>
                <w:highlight w:val="none"/>
                <w:u w:val="none" w:color="000000"/>
                <w:lang w:val="en-US" w:eastAsia="zh-CN" w:bidi="ar-SA"/>
              </w:rPr>
            </w:pPr>
            <w:r>
              <w:rPr>
                <w:rFonts w:hint="eastAsia" w:ascii="宋体" w:hAnsi="Times New Roman" w:eastAsia="宋体" w:cs="Times New Roman"/>
                <w:color w:val="auto"/>
                <w:kern w:val="2"/>
                <w:sz w:val="21"/>
                <w:szCs w:val="21"/>
                <w:highlight w:val="none"/>
                <w:lang w:val="en-US" w:eastAsia="zh-CN" w:bidi="ar-SA"/>
              </w:rPr>
              <w:t>滁州市</w:t>
            </w:r>
            <w:r>
              <w:rPr>
                <w:rFonts w:hint="eastAsia" w:hAnsi="Times New Roman" w:eastAsia="宋体" w:cs="Times New Roman"/>
                <w:color w:val="auto"/>
                <w:kern w:val="2"/>
                <w:sz w:val="21"/>
                <w:szCs w:val="21"/>
                <w:highlight w:val="none"/>
                <w:lang w:val="en-US" w:eastAsia="zh-CN" w:bidi="ar-SA"/>
              </w:rPr>
              <w:t>上海北路719号</w:t>
            </w:r>
            <w:r>
              <w:rPr>
                <w:rFonts w:hint="eastAsia" w:ascii="宋体" w:hAnsi="Times New Roman" w:eastAsia="宋体" w:cs="Times New Roman"/>
                <w:color w:val="auto"/>
                <w:kern w:val="2"/>
                <w:sz w:val="21"/>
                <w:szCs w:val="21"/>
                <w:highlight w:val="none"/>
                <w:lang w:val="en-US" w:eastAsia="zh-CN" w:bidi="ar-SA"/>
              </w:rPr>
              <w:t>后勤服务中心，招标人指定地点</w:t>
            </w:r>
          </w:p>
        </w:tc>
      </w:tr>
      <w:tr w14:paraId="26A2D6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1048" w:type="dxa"/>
            <w:noWrap w:val="0"/>
            <w:vAlign w:val="center"/>
          </w:tcPr>
          <w:p w14:paraId="3AB9EAA9">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140" w:type="dxa"/>
            <w:gridSpan w:val="2"/>
            <w:noWrap w:val="0"/>
            <w:vAlign w:val="center"/>
          </w:tcPr>
          <w:p w14:paraId="2F0A2400">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招标人联系人及电话</w:t>
            </w:r>
          </w:p>
        </w:tc>
        <w:tc>
          <w:tcPr>
            <w:tcW w:w="7025" w:type="dxa"/>
            <w:noWrap w:val="0"/>
            <w:vAlign w:val="center"/>
          </w:tcPr>
          <w:p w14:paraId="002B7038">
            <w:pPr>
              <w:pStyle w:val="20"/>
              <w:keepNext w:val="0"/>
              <w:keepLines w:val="0"/>
              <w:pageBreakBefore w:val="0"/>
              <w:kinsoku/>
              <w:overflowPunct/>
              <w:autoSpaceDE/>
              <w:autoSpaceDN/>
              <w:bidi w:val="0"/>
              <w:adjustRightInd/>
              <w:spacing w:line="440" w:lineRule="exact"/>
              <w:textAlignment w:val="auto"/>
              <w:rPr>
                <w:rFonts w:hint="eastAsia" w:hAnsi="宋体" w:cs="宋体-18030"/>
                <w:color w:val="auto"/>
                <w:szCs w:val="21"/>
                <w:highlight w:val="none"/>
                <w:lang w:val="en-US" w:eastAsia="zh-CN"/>
              </w:rPr>
            </w:pPr>
            <w:r>
              <w:rPr>
                <w:rFonts w:hint="eastAsia" w:hAnsi="宋体" w:cs="宋体-18030"/>
                <w:color w:val="auto"/>
                <w:szCs w:val="21"/>
                <w:highlight w:val="none"/>
                <w:lang w:val="en-US" w:eastAsia="zh-CN"/>
              </w:rPr>
              <w:t>樊星</w:t>
            </w:r>
            <w:r>
              <w:rPr>
                <w:rFonts w:hint="eastAsia" w:ascii="宋体" w:hAnsi="Times New Roman" w:eastAsia="宋体" w:cs="Times New Roman"/>
                <w:color w:val="auto"/>
                <w:kern w:val="2"/>
                <w:sz w:val="21"/>
                <w:szCs w:val="21"/>
                <w:highlight w:val="none"/>
                <w:lang w:val="en-US" w:eastAsia="zh-CN" w:bidi="ar-SA"/>
              </w:rPr>
              <w:t>0550-3830787</w:t>
            </w:r>
            <w:r>
              <w:rPr>
                <w:rFonts w:hint="eastAsia" w:cs="Times New Roman"/>
                <w:color w:val="auto"/>
                <w:kern w:val="2"/>
                <w:sz w:val="21"/>
                <w:szCs w:val="21"/>
                <w:highlight w:val="none"/>
                <w:lang w:val="en-US" w:eastAsia="zh-CN" w:bidi="ar-SA"/>
              </w:rPr>
              <w:t>/</w:t>
            </w:r>
            <w:r>
              <w:rPr>
                <w:rFonts w:hint="eastAsia" w:hAnsi="宋体" w:cs="宋体-18030"/>
                <w:color w:val="auto"/>
                <w:szCs w:val="21"/>
                <w:highlight w:val="none"/>
                <w:lang w:val="en-US" w:eastAsia="zh-CN"/>
              </w:rPr>
              <w:t>15955017606</w:t>
            </w:r>
          </w:p>
        </w:tc>
      </w:tr>
      <w:tr w14:paraId="5A388B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1048" w:type="dxa"/>
            <w:noWrap w:val="0"/>
            <w:vAlign w:val="center"/>
          </w:tcPr>
          <w:p w14:paraId="0DFD4219">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140" w:type="dxa"/>
            <w:gridSpan w:val="2"/>
            <w:noWrap w:val="0"/>
            <w:vAlign w:val="center"/>
          </w:tcPr>
          <w:p w14:paraId="7A3656D3">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采购代理机构联系人及电话</w:t>
            </w:r>
          </w:p>
        </w:tc>
        <w:tc>
          <w:tcPr>
            <w:tcW w:w="7025" w:type="dxa"/>
            <w:noWrap w:val="0"/>
            <w:vAlign w:val="center"/>
          </w:tcPr>
          <w:p w14:paraId="781840E4">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hAnsi="宋体" w:cs="宋体"/>
                <w:color w:val="auto"/>
                <w:kern w:val="2"/>
                <w:sz w:val="21"/>
                <w:szCs w:val="21"/>
                <w:highlight w:val="none"/>
                <w:u w:val="none" w:color="000000"/>
                <w:lang w:val="en-US" w:eastAsia="zh-CN" w:bidi="ar-SA"/>
              </w:rPr>
              <w:t>周蓓蕾</w:t>
            </w:r>
            <w:r>
              <w:rPr>
                <w:rFonts w:hint="eastAsia" w:ascii="宋体" w:hAnsi="宋体" w:eastAsia="宋体" w:cs="宋体"/>
                <w:color w:val="auto"/>
                <w:kern w:val="2"/>
                <w:sz w:val="21"/>
                <w:szCs w:val="21"/>
                <w:highlight w:val="none"/>
                <w:u w:val="none" w:color="000000"/>
                <w:lang w:val="en-US" w:eastAsia="zh-CN" w:bidi="ar-SA"/>
              </w:rPr>
              <w:t xml:space="preserve"> 0550-</w:t>
            </w:r>
            <w:r>
              <w:rPr>
                <w:rFonts w:hint="eastAsia" w:hAnsi="宋体" w:cs="宋体"/>
                <w:color w:val="auto"/>
                <w:kern w:val="2"/>
                <w:sz w:val="21"/>
                <w:szCs w:val="21"/>
                <w:highlight w:val="none"/>
                <w:u w:val="none" w:color="000000"/>
                <w:lang w:val="en-US" w:eastAsia="zh-CN" w:bidi="ar-SA"/>
              </w:rPr>
              <w:t>3519519/18005505728</w:t>
            </w:r>
          </w:p>
        </w:tc>
      </w:tr>
      <w:tr w14:paraId="48FA7D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jc w:val="center"/>
        </w:trPr>
        <w:tc>
          <w:tcPr>
            <w:tcW w:w="1048" w:type="dxa"/>
            <w:noWrap w:val="0"/>
            <w:vAlign w:val="center"/>
          </w:tcPr>
          <w:p w14:paraId="293B60EA">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140" w:type="dxa"/>
            <w:gridSpan w:val="2"/>
            <w:noWrap w:val="0"/>
            <w:vAlign w:val="center"/>
          </w:tcPr>
          <w:p w14:paraId="4133326F">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资金来源                                                                                                                                                                 </w:t>
            </w:r>
          </w:p>
        </w:tc>
        <w:tc>
          <w:tcPr>
            <w:tcW w:w="7025" w:type="dxa"/>
            <w:noWrap w:val="0"/>
            <w:vAlign w:val="center"/>
          </w:tcPr>
          <w:p w14:paraId="0FC118B4">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自筹资金</w:t>
            </w:r>
          </w:p>
        </w:tc>
      </w:tr>
      <w:tr w14:paraId="48A567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jc w:val="center"/>
        </w:trPr>
        <w:tc>
          <w:tcPr>
            <w:tcW w:w="1048" w:type="dxa"/>
            <w:noWrap w:val="0"/>
            <w:vAlign w:val="center"/>
          </w:tcPr>
          <w:p w14:paraId="536B2AD2">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140" w:type="dxa"/>
            <w:gridSpan w:val="2"/>
            <w:noWrap w:val="0"/>
            <w:vAlign w:val="center"/>
          </w:tcPr>
          <w:p w14:paraId="630FF888">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采购预算</w:t>
            </w:r>
          </w:p>
        </w:tc>
        <w:tc>
          <w:tcPr>
            <w:tcW w:w="7025" w:type="dxa"/>
            <w:noWrap w:val="0"/>
            <w:vAlign w:val="center"/>
          </w:tcPr>
          <w:p w14:paraId="3F896A45">
            <w:pPr>
              <w:keepNext w:val="0"/>
              <w:keepLines w:val="0"/>
              <w:pageBreakBefore w:val="0"/>
              <w:kinsoku/>
              <w:overflowPunct/>
              <w:autoSpaceDE/>
              <w:autoSpaceDN/>
              <w:bidi w:val="0"/>
              <w:adjustRightInd/>
              <w:spacing w:line="440" w:lineRule="exact"/>
              <w:textAlignment w:val="auto"/>
              <w:rPr>
                <w:rFonts w:hint="default"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2201038.3</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元/年，6603114.9</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元/三年</w:t>
            </w:r>
          </w:p>
        </w:tc>
      </w:tr>
      <w:tr w14:paraId="2F105B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5D097262">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40" w:type="dxa"/>
            <w:gridSpan w:val="2"/>
            <w:noWrap w:val="0"/>
            <w:vAlign w:val="center"/>
          </w:tcPr>
          <w:p w14:paraId="34F19A93">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p>
        </w:tc>
        <w:tc>
          <w:tcPr>
            <w:tcW w:w="7025" w:type="dxa"/>
            <w:noWrap w:val="0"/>
            <w:vAlign w:val="center"/>
          </w:tcPr>
          <w:p w14:paraId="03093D31">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本项目投标最高限价：2201038.3</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元/年，6603114.9</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元/三年；项目企业利润为153811.2</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元/年（461433.6</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三年）是按（人员费用+项目费用）*占比8%，利润属于可调整报价费用，按%占比进行调整报价；根据本项目服务需求表中人员费用、项目费用、税费为固定费用，属于报价部分但不作为可调整价格（中标人每月根据物业企业经营实际发生已支付后到招标人处进行报销，按照安徽省物业管理条例第67条相关规定要求除企业利润外其他费用独立建</w:t>
            </w:r>
            <w:r>
              <w:rPr>
                <w:rFonts w:hint="eastAsia" w:ascii="宋体" w:hAnsi="宋体" w:cs="宋体"/>
                <w:color w:val="auto"/>
                <w:kern w:val="2"/>
                <w:sz w:val="21"/>
                <w:szCs w:val="21"/>
                <w:highlight w:val="none"/>
                <w:u w:val="none" w:color="000000"/>
                <w:lang w:val="en-US" w:eastAsia="zh-CN" w:bidi="ar-SA"/>
              </w:rPr>
              <w:t>账</w:t>
            </w:r>
            <w:r>
              <w:rPr>
                <w:rFonts w:hint="eastAsia" w:ascii="宋体" w:hAnsi="宋体" w:eastAsia="宋体" w:cs="宋体"/>
                <w:color w:val="auto"/>
                <w:kern w:val="2"/>
                <w:sz w:val="21"/>
                <w:szCs w:val="21"/>
                <w:highlight w:val="none"/>
                <w:u w:val="none" w:color="000000"/>
                <w:lang w:val="en-US" w:eastAsia="zh-CN" w:bidi="ar-SA"/>
              </w:rPr>
              <w:t>，专项用于项目专项支出，根据招标人需求公布收支使用情况并接受招标人监督。）投标报价高于（不含等于）最高限价的，按无效投标处理。如投标人在分项报价中，将不可调整部分进行调整，则按无效标处理。</w:t>
            </w:r>
          </w:p>
        </w:tc>
      </w:tr>
      <w:tr w14:paraId="37E8D9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1048" w:type="dxa"/>
            <w:noWrap w:val="0"/>
            <w:vAlign w:val="center"/>
          </w:tcPr>
          <w:p w14:paraId="1545917F">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140" w:type="dxa"/>
            <w:gridSpan w:val="2"/>
            <w:noWrap w:val="0"/>
            <w:vAlign w:val="center"/>
          </w:tcPr>
          <w:p w14:paraId="39AB1690">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7025" w:type="dxa"/>
            <w:noWrap w:val="0"/>
            <w:vAlign w:val="center"/>
          </w:tcPr>
          <w:p w14:paraId="3A4DFE40">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具体详见招标文件第四章《采购需求》</w:t>
            </w:r>
          </w:p>
        </w:tc>
      </w:tr>
      <w:tr w14:paraId="4A4C3F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25058F50">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140" w:type="dxa"/>
            <w:gridSpan w:val="2"/>
            <w:noWrap w:val="0"/>
            <w:vAlign w:val="center"/>
          </w:tcPr>
          <w:p w14:paraId="07914D09">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标包划分</w:t>
            </w:r>
          </w:p>
        </w:tc>
        <w:tc>
          <w:tcPr>
            <w:tcW w:w="7025" w:type="dxa"/>
            <w:noWrap w:val="0"/>
            <w:vAlign w:val="center"/>
          </w:tcPr>
          <w:p w14:paraId="11809334">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本项目划分为 1个标包。</w:t>
            </w:r>
          </w:p>
        </w:tc>
      </w:tr>
      <w:tr w14:paraId="025E73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048" w:type="dxa"/>
            <w:noWrap w:val="0"/>
            <w:vAlign w:val="center"/>
          </w:tcPr>
          <w:p w14:paraId="59E50D08">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2140" w:type="dxa"/>
            <w:gridSpan w:val="2"/>
            <w:noWrap w:val="0"/>
            <w:vAlign w:val="center"/>
          </w:tcPr>
          <w:p w14:paraId="1B96BC93">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7025" w:type="dxa"/>
            <w:noWrap w:val="0"/>
            <w:vAlign w:val="center"/>
          </w:tcPr>
          <w:p w14:paraId="0EFB98BF">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公开招标</w:t>
            </w:r>
          </w:p>
        </w:tc>
      </w:tr>
      <w:tr w14:paraId="783220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1048" w:type="dxa"/>
            <w:noWrap w:val="0"/>
            <w:vAlign w:val="center"/>
          </w:tcPr>
          <w:p w14:paraId="3048AD1C">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140" w:type="dxa"/>
            <w:gridSpan w:val="2"/>
            <w:noWrap w:val="0"/>
            <w:vAlign w:val="center"/>
          </w:tcPr>
          <w:p w14:paraId="1D57E1BB">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投标人资格条件及其他要求</w:t>
            </w:r>
          </w:p>
        </w:tc>
        <w:tc>
          <w:tcPr>
            <w:tcW w:w="7025" w:type="dxa"/>
            <w:noWrap w:val="0"/>
            <w:vAlign w:val="center"/>
          </w:tcPr>
          <w:p w14:paraId="29E594C1">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详见第一章“招标公告”</w:t>
            </w:r>
          </w:p>
        </w:tc>
      </w:tr>
      <w:tr w14:paraId="38B6F0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66F59061">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p>
        </w:tc>
        <w:tc>
          <w:tcPr>
            <w:tcW w:w="2140" w:type="dxa"/>
            <w:gridSpan w:val="2"/>
            <w:noWrap w:val="0"/>
            <w:vAlign w:val="center"/>
          </w:tcPr>
          <w:p w14:paraId="076EFF32">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7025" w:type="dxa"/>
            <w:noWrap w:val="0"/>
            <w:vAlign w:val="center"/>
          </w:tcPr>
          <w:p w14:paraId="4D8B1996">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不组织,投标人自行踏勘。</w:t>
            </w:r>
          </w:p>
        </w:tc>
      </w:tr>
      <w:tr w14:paraId="6A7462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16953C8D">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2140" w:type="dxa"/>
            <w:gridSpan w:val="2"/>
            <w:noWrap w:val="0"/>
            <w:vAlign w:val="center"/>
          </w:tcPr>
          <w:p w14:paraId="6EC9CB76">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7025" w:type="dxa"/>
            <w:noWrap w:val="0"/>
            <w:vAlign w:val="center"/>
          </w:tcPr>
          <w:p w14:paraId="74E9F420">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tc>
      </w:tr>
      <w:tr w14:paraId="4EDCC5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0FAFDE8D">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2140" w:type="dxa"/>
            <w:gridSpan w:val="2"/>
            <w:noWrap w:val="0"/>
            <w:vAlign w:val="center"/>
          </w:tcPr>
          <w:p w14:paraId="0A9350CD">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w:t>
            </w:r>
            <w:r>
              <w:rPr>
                <w:rFonts w:hint="eastAsia" w:ascii="宋体" w:hAnsi="宋体" w:eastAsia="宋体" w:cs="宋体"/>
                <w:color w:val="auto"/>
                <w:szCs w:val="21"/>
                <w:highlight w:val="none"/>
                <w:u w:val="none" w:color="auto"/>
              </w:rPr>
              <w:t>疑问</w:t>
            </w:r>
            <w:r>
              <w:rPr>
                <w:rFonts w:hint="eastAsia" w:ascii="宋体" w:hAnsi="宋体" w:eastAsia="宋体" w:cs="宋体"/>
                <w:color w:val="auto"/>
                <w:szCs w:val="21"/>
                <w:highlight w:val="none"/>
              </w:rPr>
              <w:t>的截止时间及方式</w:t>
            </w:r>
          </w:p>
        </w:tc>
        <w:tc>
          <w:tcPr>
            <w:tcW w:w="7025" w:type="dxa"/>
            <w:noWrap w:val="0"/>
            <w:vAlign w:val="center"/>
          </w:tcPr>
          <w:p w14:paraId="738D30A0">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color="auto"/>
              </w:rPr>
              <w:t>如投标人对招标文件有疑问，请于</w:t>
            </w:r>
            <w:r>
              <w:rPr>
                <w:rFonts w:hint="eastAsia" w:ascii="宋体" w:hAnsi="宋体" w:eastAsia="宋体" w:cs="宋体"/>
                <w:b/>
                <w:bCs/>
                <w:color w:val="auto"/>
                <w:szCs w:val="21"/>
                <w:highlight w:val="none"/>
                <w:u w:val="none" w:color="auto"/>
              </w:rPr>
              <w:t>202</w:t>
            </w:r>
            <w:r>
              <w:rPr>
                <w:rFonts w:hint="eastAsia" w:ascii="宋体" w:hAnsi="宋体" w:eastAsia="宋体" w:cs="宋体"/>
                <w:b/>
                <w:bCs/>
                <w:color w:val="auto"/>
                <w:szCs w:val="21"/>
                <w:highlight w:val="none"/>
                <w:u w:val="none" w:color="auto"/>
                <w:lang w:val="en-US" w:eastAsia="zh-CN"/>
              </w:rPr>
              <w:t>4</w:t>
            </w:r>
            <w:r>
              <w:rPr>
                <w:rFonts w:hint="eastAsia" w:ascii="宋体" w:hAnsi="宋体" w:eastAsia="宋体" w:cs="宋体"/>
                <w:b/>
                <w:bCs/>
                <w:color w:val="auto"/>
                <w:szCs w:val="21"/>
                <w:highlight w:val="none"/>
                <w:u w:val="none" w:color="auto"/>
              </w:rPr>
              <w:t>年</w:t>
            </w:r>
            <w:r>
              <w:rPr>
                <w:rFonts w:hint="eastAsia" w:hAnsi="宋体" w:cs="宋体"/>
                <w:b/>
                <w:bCs/>
                <w:color w:val="auto"/>
                <w:szCs w:val="21"/>
                <w:highlight w:val="none"/>
                <w:u w:val="none" w:color="auto"/>
                <w:lang w:val="en-US" w:eastAsia="zh-CN"/>
              </w:rPr>
              <w:t>12</w:t>
            </w:r>
            <w:r>
              <w:rPr>
                <w:rFonts w:hint="eastAsia" w:ascii="宋体" w:hAnsi="宋体" w:eastAsia="宋体" w:cs="宋体"/>
                <w:b/>
                <w:bCs/>
                <w:color w:val="auto"/>
                <w:szCs w:val="21"/>
                <w:highlight w:val="none"/>
                <w:u w:val="none" w:color="auto"/>
              </w:rPr>
              <w:t>月</w:t>
            </w:r>
            <w:r>
              <w:rPr>
                <w:rFonts w:hint="eastAsia" w:hAnsi="宋体" w:cs="宋体"/>
                <w:b/>
                <w:bCs/>
                <w:color w:val="auto"/>
                <w:szCs w:val="21"/>
                <w:highlight w:val="none"/>
                <w:u w:val="none" w:color="auto"/>
                <w:lang w:val="en-US" w:eastAsia="zh-CN"/>
              </w:rPr>
              <w:t>1</w:t>
            </w:r>
            <w:r>
              <w:rPr>
                <w:rFonts w:hint="eastAsia" w:ascii="宋体" w:hAnsi="宋体" w:eastAsia="宋体" w:cs="宋体"/>
                <w:b/>
                <w:bCs/>
                <w:color w:val="auto"/>
                <w:szCs w:val="21"/>
                <w:highlight w:val="none"/>
                <w:u w:val="none" w:color="auto"/>
              </w:rPr>
              <w:t>日</w:t>
            </w:r>
            <w:r>
              <w:rPr>
                <w:rFonts w:hint="eastAsia" w:ascii="宋体" w:hAnsi="宋体" w:eastAsia="宋体" w:cs="宋体"/>
                <w:b/>
                <w:bCs/>
                <w:color w:val="auto"/>
                <w:szCs w:val="21"/>
                <w:highlight w:val="none"/>
                <w:u w:val="none" w:color="auto"/>
                <w:lang w:val="en-US" w:eastAsia="zh-CN"/>
              </w:rPr>
              <w:t>8</w:t>
            </w:r>
            <w:r>
              <w:rPr>
                <w:rFonts w:hint="eastAsia" w:ascii="宋体" w:hAnsi="宋体" w:eastAsia="宋体" w:cs="宋体"/>
                <w:b/>
                <w:bCs/>
                <w:color w:val="auto"/>
                <w:szCs w:val="21"/>
                <w:highlight w:val="none"/>
                <w:u w:val="none" w:color="auto"/>
              </w:rPr>
              <w:t>时</w:t>
            </w:r>
            <w:r>
              <w:rPr>
                <w:rFonts w:hint="eastAsia" w:ascii="宋体" w:hAnsi="宋体" w:eastAsia="宋体" w:cs="宋体"/>
                <w:color w:val="auto"/>
                <w:szCs w:val="21"/>
                <w:highlight w:val="none"/>
                <w:u w:val="none" w:color="auto"/>
              </w:rPr>
              <w:t>（投标截止10日）前</w:t>
            </w:r>
            <w:bookmarkStart w:id="29" w:name="_Hlk61815279"/>
            <w:r>
              <w:rPr>
                <w:rFonts w:hint="eastAsia" w:ascii="宋体" w:hAnsi="宋体" w:eastAsia="宋体" w:cs="宋体"/>
                <w:color w:val="auto"/>
                <w:szCs w:val="21"/>
                <w:highlight w:val="none"/>
                <w:u w:val="none" w:color="auto"/>
              </w:rPr>
              <w:t xml:space="preserve">在滁州市公共资源交易中心网电子交易系统中进行异议（质疑），具体操作步骤和程序请参见服务指南&gt;交易须知&gt;在线异议、质疑和投诉操作手册。 </w:t>
            </w:r>
            <w:bookmarkEnd w:id="29"/>
          </w:p>
        </w:tc>
      </w:tr>
      <w:tr w14:paraId="25DE91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4487D353">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2140" w:type="dxa"/>
            <w:gridSpan w:val="2"/>
            <w:noWrap w:val="0"/>
            <w:vAlign w:val="center"/>
          </w:tcPr>
          <w:p w14:paraId="4E78F15D">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招标人澄清的时间及方式</w:t>
            </w:r>
          </w:p>
        </w:tc>
        <w:tc>
          <w:tcPr>
            <w:tcW w:w="7025" w:type="dxa"/>
            <w:noWrap w:val="0"/>
            <w:vAlign w:val="center"/>
          </w:tcPr>
          <w:p w14:paraId="3BC225C1">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none" w:color="000000"/>
              </w:rPr>
              <w:t>202</w:t>
            </w:r>
            <w:r>
              <w:rPr>
                <w:rFonts w:hint="eastAsia" w:ascii="宋体" w:hAnsi="宋体" w:eastAsia="宋体" w:cs="宋体"/>
                <w:b/>
                <w:bCs/>
                <w:color w:val="auto"/>
                <w:szCs w:val="21"/>
                <w:highlight w:val="none"/>
                <w:u w:val="none" w:color="000000"/>
                <w:lang w:val="en-US" w:eastAsia="zh-CN"/>
              </w:rPr>
              <w:t>4</w:t>
            </w:r>
            <w:r>
              <w:rPr>
                <w:rFonts w:hint="eastAsia" w:ascii="宋体" w:hAnsi="宋体" w:eastAsia="宋体" w:cs="宋体"/>
                <w:b/>
                <w:bCs/>
                <w:color w:val="auto"/>
                <w:szCs w:val="21"/>
                <w:highlight w:val="none"/>
                <w:u w:val="none" w:color="000000"/>
              </w:rPr>
              <w:t>年</w:t>
            </w:r>
            <w:r>
              <w:rPr>
                <w:rFonts w:hint="eastAsia" w:ascii="宋体" w:hAnsi="宋体" w:cs="宋体"/>
                <w:b/>
                <w:bCs/>
                <w:color w:val="auto"/>
                <w:szCs w:val="21"/>
                <w:highlight w:val="none"/>
                <w:u w:val="none" w:color="000000"/>
                <w:lang w:val="en-US" w:eastAsia="zh-CN"/>
              </w:rPr>
              <w:t>12</w:t>
            </w:r>
            <w:r>
              <w:rPr>
                <w:rFonts w:hint="eastAsia" w:ascii="宋体" w:hAnsi="宋体" w:eastAsia="宋体" w:cs="宋体"/>
                <w:b/>
                <w:bCs/>
                <w:color w:val="auto"/>
                <w:szCs w:val="21"/>
                <w:highlight w:val="none"/>
                <w:u w:val="none" w:color="000000"/>
              </w:rPr>
              <w:t>月</w:t>
            </w:r>
            <w:r>
              <w:rPr>
                <w:rFonts w:hint="eastAsia" w:ascii="宋体" w:hAnsi="宋体" w:cs="宋体"/>
                <w:b/>
                <w:bCs/>
                <w:color w:val="auto"/>
                <w:szCs w:val="21"/>
                <w:highlight w:val="none"/>
                <w:u w:val="none" w:color="000000"/>
                <w:lang w:val="en-US" w:eastAsia="zh-CN"/>
              </w:rPr>
              <w:t>2</w:t>
            </w:r>
            <w:r>
              <w:rPr>
                <w:rFonts w:hint="eastAsia" w:ascii="宋体" w:hAnsi="宋体" w:eastAsia="宋体" w:cs="宋体"/>
                <w:b/>
                <w:bCs/>
                <w:color w:val="auto"/>
                <w:szCs w:val="21"/>
                <w:highlight w:val="none"/>
                <w:u w:val="none" w:color="000000"/>
              </w:rPr>
              <w:t>日</w:t>
            </w:r>
            <w:r>
              <w:rPr>
                <w:rFonts w:hint="eastAsia" w:ascii="宋体" w:hAnsi="宋体" w:eastAsia="宋体" w:cs="宋体"/>
                <w:b/>
                <w:bCs/>
                <w:color w:val="auto"/>
                <w:szCs w:val="21"/>
                <w:highlight w:val="none"/>
                <w:u w:val="none" w:color="000000"/>
              </w:rPr>
              <w:t>17时</w:t>
            </w:r>
            <w:r>
              <w:rPr>
                <w:rFonts w:hint="eastAsia" w:ascii="宋体" w:hAnsi="宋体" w:eastAsia="宋体" w:cs="宋体"/>
                <w:b/>
                <w:bCs/>
                <w:color w:val="auto"/>
                <w:szCs w:val="21"/>
                <w:highlight w:val="none"/>
              </w:rPr>
              <w:t>前</w:t>
            </w:r>
            <w:r>
              <w:rPr>
                <w:rFonts w:hint="eastAsia" w:ascii="宋体" w:hAnsi="宋体" w:eastAsia="宋体" w:cs="宋体"/>
                <w:color w:val="auto"/>
                <w:kern w:val="2"/>
                <w:sz w:val="21"/>
                <w:szCs w:val="21"/>
                <w:highlight w:val="none"/>
                <w:u w:val="none" w:color="auto"/>
                <w:lang w:val="en-US" w:eastAsia="zh-CN" w:bidi="ar-SA"/>
              </w:rPr>
              <w:t>在滁州市公共资源交易中心网站 “答疑澄清文件”栏目予以公告。</w:t>
            </w:r>
          </w:p>
        </w:tc>
      </w:tr>
      <w:tr w14:paraId="7620CA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1048" w:type="dxa"/>
            <w:noWrap w:val="0"/>
            <w:vAlign w:val="center"/>
          </w:tcPr>
          <w:p w14:paraId="16316731">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140" w:type="dxa"/>
            <w:gridSpan w:val="2"/>
            <w:noWrap w:val="0"/>
            <w:vAlign w:val="center"/>
          </w:tcPr>
          <w:p w14:paraId="4259C0F0">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7025" w:type="dxa"/>
            <w:noWrap w:val="0"/>
            <w:vAlign w:val="center"/>
          </w:tcPr>
          <w:p w14:paraId="6D75AB3B">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w:t>
            </w:r>
            <w:r>
              <w:rPr>
                <w:rFonts w:hint="eastAsia" w:ascii="宋体" w:hAnsi="宋体" w:eastAsia="宋体" w:cs="宋体"/>
                <w:color w:val="auto"/>
                <w:szCs w:val="21"/>
                <w:highlight w:val="none"/>
                <w:u w:val="none" w:color="auto"/>
              </w:rPr>
              <w:t>不接受</w:t>
            </w:r>
            <w:r>
              <w:rPr>
                <w:rFonts w:hint="eastAsia" w:ascii="宋体" w:hAnsi="宋体" w:eastAsia="宋体" w:cs="宋体"/>
                <w:color w:val="auto"/>
                <w:szCs w:val="21"/>
                <w:highlight w:val="none"/>
              </w:rPr>
              <w:t>联合体投标</w:t>
            </w:r>
          </w:p>
        </w:tc>
      </w:tr>
      <w:tr w14:paraId="5C2393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0FDC5DD6">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140" w:type="dxa"/>
            <w:gridSpan w:val="2"/>
            <w:noWrap w:val="0"/>
            <w:vAlign w:val="center"/>
          </w:tcPr>
          <w:p w14:paraId="3B23E7BA">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招标代理费</w:t>
            </w:r>
          </w:p>
        </w:tc>
        <w:tc>
          <w:tcPr>
            <w:tcW w:w="7025" w:type="dxa"/>
            <w:noWrap w:val="0"/>
            <w:vAlign w:val="center"/>
          </w:tcPr>
          <w:p w14:paraId="1B9D36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exact"/>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代理服务费金额：以</w:t>
            </w:r>
            <w:r>
              <w:rPr>
                <w:rFonts w:hint="eastAsia" w:ascii="宋体" w:hAnsi="宋体" w:eastAsia="宋体" w:cs="宋体"/>
                <w:color w:val="auto"/>
                <w:szCs w:val="21"/>
                <w:highlight w:val="none"/>
                <w:lang w:val="en-US" w:eastAsia="zh-CN"/>
              </w:rPr>
              <w:t>三年</w:t>
            </w:r>
            <w:r>
              <w:rPr>
                <w:rFonts w:hint="eastAsia" w:ascii="宋体" w:hAnsi="宋体" w:eastAsia="宋体" w:cs="宋体"/>
                <w:color w:val="auto"/>
                <w:szCs w:val="21"/>
                <w:highlight w:val="none"/>
              </w:rPr>
              <w:t>中标价计算（按差额定率累进法计算，100万</w:t>
            </w:r>
            <w:r>
              <w:rPr>
                <w:rFonts w:hint="eastAsia" w:ascii="宋体" w:hAnsi="宋体" w:eastAsia="宋体" w:cs="宋体"/>
                <w:color w:val="auto"/>
                <w:szCs w:val="21"/>
                <w:highlight w:val="none"/>
                <w:lang w:eastAsia="zh-CN"/>
              </w:rPr>
              <w:t>元</w:t>
            </w:r>
            <w:r>
              <w:rPr>
                <w:rFonts w:hint="eastAsia" w:ascii="宋体" w:hAnsi="宋体" w:eastAsia="宋体" w:cs="宋体"/>
                <w:color w:val="auto"/>
                <w:szCs w:val="21"/>
                <w:highlight w:val="none"/>
              </w:rPr>
              <w:t>以下费率为</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rPr>
              <w:t>%，100万</w:t>
            </w:r>
            <w:r>
              <w:rPr>
                <w:rFonts w:hint="eastAsia" w:ascii="宋体" w:hAnsi="宋体" w:eastAsia="宋体" w:cs="宋体"/>
                <w:color w:val="auto"/>
                <w:szCs w:val="21"/>
                <w:highlight w:val="none"/>
                <w:lang w:eastAsia="zh-CN"/>
              </w:rPr>
              <w:t>元～</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00万</w:t>
            </w:r>
            <w:r>
              <w:rPr>
                <w:rFonts w:hint="eastAsia" w:ascii="宋体" w:hAnsi="宋体" w:eastAsia="宋体" w:cs="宋体"/>
                <w:color w:val="auto"/>
                <w:szCs w:val="21"/>
                <w:highlight w:val="none"/>
                <w:lang w:eastAsia="zh-CN"/>
              </w:rPr>
              <w:t>元</w:t>
            </w:r>
            <w:r>
              <w:rPr>
                <w:rFonts w:hint="eastAsia" w:ascii="宋体" w:hAnsi="宋体" w:eastAsia="宋体" w:cs="宋体"/>
                <w:color w:val="auto"/>
                <w:szCs w:val="21"/>
                <w:highlight w:val="none"/>
              </w:rPr>
              <w:t>费率为0.</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500万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1000万元费率为0.225%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例如中标金额为</w:t>
            </w:r>
            <w:r>
              <w:rPr>
                <w:rFonts w:hint="eastAsia" w:ascii="宋体" w:hAnsi="宋体" w:eastAsia="宋体" w:cs="宋体"/>
                <w:color w:val="auto"/>
                <w:szCs w:val="21"/>
                <w:highlight w:val="none"/>
                <w:lang w:val="en-US" w:eastAsia="zh-CN"/>
              </w:rPr>
              <w:t>660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en-US" w:eastAsia="zh-CN"/>
              </w:rPr>
              <w:t>/三年</w:t>
            </w:r>
            <w:r>
              <w:rPr>
                <w:rFonts w:hint="eastAsia" w:ascii="宋体" w:hAnsi="宋体" w:eastAsia="宋体" w:cs="宋体"/>
                <w:color w:val="auto"/>
                <w:szCs w:val="21"/>
                <w:highlight w:val="none"/>
              </w:rPr>
              <w:t>，招标代理服务费为 100 万元*</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500</w:t>
            </w:r>
            <w:r>
              <w:rPr>
                <w:rFonts w:hint="eastAsia" w:ascii="宋体" w:hAnsi="宋体" w:eastAsia="宋体" w:cs="宋体"/>
                <w:color w:val="auto"/>
                <w:szCs w:val="21"/>
                <w:highlight w:val="none"/>
              </w:rPr>
              <w:t>万元-100 万元）*0.</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660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 万元）*0.</w:t>
            </w:r>
            <w:r>
              <w:rPr>
                <w:rFonts w:hint="eastAsia" w:ascii="宋体" w:hAnsi="宋体" w:eastAsia="宋体" w:cs="宋体"/>
                <w:color w:val="auto"/>
                <w:szCs w:val="21"/>
                <w:highlight w:val="none"/>
                <w:lang w:val="en-US" w:eastAsia="zh-CN"/>
              </w:rPr>
              <w:t>225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rPr>
              <w:t>万元+1.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en-US" w:eastAsia="zh-CN"/>
              </w:rPr>
              <w:t>+0.36万元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2.71</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en-US" w:eastAsia="zh-CN"/>
              </w:rPr>
              <w:t>；</w:t>
            </w:r>
          </w:p>
          <w:p w14:paraId="386AEDFA">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w:t>
            </w:r>
            <w:r>
              <w:rPr>
                <w:rFonts w:hint="eastAsia" w:ascii="宋体" w:hAnsi="宋体" w:eastAsia="宋体" w:cs="宋体"/>
                <w:color w:val="auto"/>
                <w:szCs w:val="21"/>
                <w:highlight w:val="none"/>
                <w:lang w:val="en-US" w:eastAsia="zh-CN"/>
              </w:rPr>
              <w:t>支付主体</w:t>
            </w:r>
            <w:r>
              <w:rPr>
                <w:rFonts w:hint="eastAsia" w:ascii="宋体" w:hAnsi="宋体" w:eastAsia="宋体" w:cs="宋体"/>
                <w:color w:val="auto"/>
                <w:szCs w:val="21"/>
                <w:highlight w:val="none"/>
              </w:rPr>
              <w:t>：中标单位。</w:t>
            </w:r>
          </w:p>
        </w:tc>
      </w:tr>
      <w:tr w14:paraId="4F6309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536A8047">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2</w:t>
            </w:r>
          </w:p>
        </w:tc>
        <w:tc>
          <w:tcPr>
            <w:tcW w:w="2140" w:type="dxa"/>
            <w:gridSpan w:val="2"/>
            <w:noWrap w:val="0"/>
            <w:vAlign w:val="center"/>
          </w:tcPr>
          <w:p w14:paraId="2884D494">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专家评审劳务费</w:t>
            </w:r>
          </w:p>
        </w:tc>
        <w:tc>
          <w:tcPr>
            <w:tcW w:w="7025" w:type="dxa"/>
            <w:noWrap w:val="0"/>
            <w:vAlign w:val="center"/>
          </w:tcPr>
          <w:p w14:paraId="34ED20AB">
            <w:pPr>
              <w:keepNext w:val="0"/>
              <w:keepLines w:val="0"/>
              <w:pageBreakBefore w:val="0"/>
              <w:kinsoku/>
              <w:overflowPunct/>
              <w:autoSpaceDE/>
              <w:autoSpaceDN/>
              <w:bidi w:val="0"/>
              <w:adjustRightIn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费用或支付标准：按实支付。</w:t>
            </w:r>
          </w:p>
          <w:p w14:paraId="0A3CF4C6">
            <w:pPr>
              <w:keepNext w:val="0"/>
              <w:keepLines w:val="0"/>
              <w:pageBreakBefore w:val="0"/>
              <w:kinsoku/>
              <w:overflowPunct/>
              <w:autoSpaceDE/>
              <w:autoSpaceDN/>
              <w:bidi w:val="0"/>
              <w:adjustRightInd/>
              <w:spacing w:line="440" w:lineRule="exact"/>
              <w:jc w:val="left"/>
              <w:textAlignment w:val="auto"/>
              <w:rPr>
                <w:rFonts w:hint="default"/>
                <w:highlight w:val="none"/>
                <w:lang w:val="en-US" w:eastAsia="zh-CN"/>
              </w:rPr>
            </w:pPr>
            <w:r>
              <w:rPr>
                <w:rFonts w:hint="eastAsia" w:ascii="宋体" w:hAnsi="宋体" w:eastAsia="宋体" w:cs="宋体"/>
                <w:color w:val="auto"/>
                <w:szCs w:val="21"/>
                <w:highlight w:val="none"/>
                <w:lang w:val="en-US" w:eastAsia="zh-CN"/>
              </w:rPr>
              <w:t>支付主体：代理机构。</w:t>
            </w:r>
          </w:p>
        </w:tc>
      </w:tr>
      <w:tr w14:paraId="662A36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5" w:hRule="atLeast"/>
          <w:jc w:val="center"/>
        </w:trPr>
        <w:tc>
          <w:tcPr>
            <w:tcW w:w="1048" w:type="dxa"/>
            <w:noWrap w:val="0"/>
            <w:vAlign w:val="center"/>
          </w:tcPr>
          <w:p w14:paraId="20C08BD0">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w:t>
            </w:r>
          </w:p>
        </w:tc>
        <w:tc>
          <w:tcPr>
            <w:tcW w:w="2140" w:type="dxa"/>
            <w:gridSpan w:val="2"/>
            <w:noWrap w:val="0"/>
            <w:vAlign w:val="center"/>
          </w:tcPr>
          <w:p w14:paraId="71DCB9F4">
            <w:pPr>
              <w:keepNext w:val="0"/>
              <w:keepLines w:val="0"/>
              <w:pageBreakBefore w:val="0"/>
              <w:kinsoku/>
              <w:overflowPunct/>
              <w:autoSpaceDE/>
              <w:autoSpaceDN/>
              <w:bidi w:val="0"/>
              <w:adjustRightInd/>
              <w:spacing w:line="440" w:lineRule="exact"/>
              <w:ind w:right="-27" w:rightChars="-13"/>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投标人要求澄清招标文件的截止时间及方式</w:t>
            </w:r>
          </w:p>
        </w:tc>
        <w:tc>
          <w:tcPr>
            <w:tcW w:w="7025" w:type="dxa"/>
            <w:noWrap w:val="0"/>
            <w:vAlign w:val="center"/>
          </w:tcPr>
          <w:p w14:paraId="2CA7A4BA">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同表10.2款</w:t>
            </w:r>
          </w:p>
        </w:tc>
      </w:tr>
      <w:tr w14:paraId="344B5B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0FE0B358">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2140" w:type="dxa"/>
            <w:gridSpan w:val="2"/>
            <w:noWrap w:val="0"/>
            <w:vAlign w:val="center"/>
          </w:tcPr>
          <w:p w14:paraId="1358E542">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025" w:type="dxa"/>
            <w:noWrap w:val="0"/>
            <w:vAlign w:val="center"/>
          </w:tcPr>
          <w:p w14:paraId="35A5F928">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投标有效期为</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日历天（从投标截止之日算起）。在此期限内，凡符合本招标文件要求的投标文件均保持有效。</w:t>
            </w:r>
          </w:p>
        </w:tc>
      </w:tr>
      <w:tr w14:paraId="5D5A1B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048" w:type="dxa"/>
            <w:noWrap w:val="0"/>
            <w:vAlign w:val="center"/>
          </w:tcPr>
          <w:p w14:paraId="790090FC">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2140" w:type="dxa"/>
            <w:gridSpan w:val="2"/>
            <w:noWrap w:val="0"/>
            <w:vAlign w:val="center"/>
          </w:tcPr>
          <w:p w14:paraId="2CDA9BBE">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7025" w:type="dxa"/>
            <w:noWrap w:val="0"/>
            <w:vAlign w:val="top"/>
          </w:tcPr>
          <w:p w14:paraId="7207FB1C">
            <w:pPr>
              <w:keepNext w:val="0"/>
              <w:keepLines w:val="0"/>
              <w:pageBreakBefore w:val="0"/>
              <w:widowControl/>
              <w:shd w:val="clear" w:color="auto" w:fill="FFFFFF"/>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color="000000"/>
              </w:rPr>
              <w:t>详见第一章“招标公告”</w:t>
            </w:r>
          </w:p>
        </w:tc>
      </w:tr>
      <w:tr w14:paraId="0FCD61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734E09A2">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p>
        </w:tc>
        <w:tc>
          <w:tcPr>
            <w:tcW w:w="2140" w:type="dxa"/>
            <w:gridSpan w:val="2"/>
            <w:noWrap w:val="0"/>
            <w:vAlign w:val="center"/>
          </w:tcPr>
          <w:p w14:paraId="3E97D7A7">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投标文件数量</w:t>
            </w:r>
          </w:p>
        </w:tc>
        <w:tc>
          <w:tcPr>
            <w:tcW w:w="7025" w:type="dxa"/>
            <w:noWrap w:val="0"/>
            <w:vAlign w:val="center"/>
          </w:tcPr>
          <w:p w14:paraId="6CBBF7FC">
            <w:pPr>
              <w:keepNext w:val="0"/>
              <w:keepLines w:val="0"/>
              <w:pageBreakBefore w:val="0"/>
              <w:widowControl/>
              <w:kinsoku/>
              <w:overflowPunct/>
              <w:autoSpaceDE/>
              <w:autoSpaceDN/>
              <w:bidi w:val="0"/>
              <w:adjustRightInd/>
              <w:spacing w:line="440" w:lineRule="exact"/>
              <w:ind w:firstLine="88" w:firstLineChars="42"/>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网上递交的电子投标文件：一份。以投标人在投标截止时间前网上递交的电子投标文件为准，逾期提交的，投标文件将被拒绝。</w:t>
            </w:r>
          </w:p>
          <w:p w14:paraId="2AC07494">
            <w:pPr>
              <w:keepNext w:val="0"/>
              <w:keepLines w:val="0"/>
              <w:pageBreakBefore w:val="0"/>
              <w:widowControl/>
              <w:kinsoku/>
              <w:overflowPunct/>
              <w:autoSpaceDE/>
              <w:autoSpaceDN/>
              <w:bidi w:val="0"/>
              <w:adjustRightInd/>
              <w:spacing w:line="440" w:lineRule="exact"/>
              <w:ind w:firstLine="89" w:firstLineChars="42"/>
              <w:jc w:val="left"/>
              <w:textAlignment w:val="auto"/>
              <w:rPr>
                <w:rFonts w:hint="eastAsia" w:ascii="宋体" w:hAnsi="宋体" w:eastAsia="宋体" w:cs="宋体"/>
                <w:bCs/>
                <w:color w:val="auto"/>
                <w:kern w:val="0"/>
                <w:szCs w:val="21"/>
                <w:highlight w:val="none"/>
              </w:rPr>
            </w:pPr>
            <w:r>
              <w:rPr>
                <w:rFonts w:hint="eastAsia" w:ascii="宋体" w:hAnsi="宋体" w:eastAsia="宋体" w:cs="宋体"/>
                <w:b/>
                <w:color w:val="auto"/>
                <w:kern w:val="0"/>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Cs w:val="21"/>
                <w:highlight w:val="none"/>
                <w:u w:val="single"/>
              </w:rPr>
              <w:t xml:space="preserve"> 1 </w:t>
            </w:r>
            <w:r>
              <w:rPr>
                <w:rFonts w:hint="eastAsia" w:ascii="宋体" w:hAnsi="宋体" w:eastAsia="宋体" w:cs="宋体"/>
                <w:b/>
                <w:color w:val="auto"/>
                <w:kern w:val="0"/>
                <w:szCs w:val="21"/>
                <w:highlight w:val="none"/>
              </w:rPr>
              <w:t>份，副本</w:t>
            </w:r>
            <w:r>
              <w:rPr>
                <w:rFonts w:hint="eastAsia" w:ascii="宋体" w:hAnsi="宋体" w:eastAsia="宋体" w:cs="宋体"/>
                <w:b/>
                <w:color w:val="auto"/>
                <w:kern w:val="0"/>
                <w:szCs w:val="21"/>
                <w:highlight w:val="none"/>
                <w:u w:val="single"/>
              </w:rPr>
              <w:t xml:space="preserve"> 2 </w:t>
            </w:r>
            <w:r>
              <w:rPr>
                <w:rFonts w:hint="eastAsia" w:ascii="宋体" w:hAnsi="宋体" w:eastAsia="宋体" w:cs="宋体"/>
                <w:b/>
                <w:color w:val="auto"/>
                <w:kern w:val="0"/>
                <w:szCs w:val="21"/>
                <w:highlight w:val="none"/>
              </w:rPr>
              <w:t>份；中标人领取中标通知书时，一并递交给招标代理机构）。</w:t>
            </w:r>
          </w:p>
        </w:tc>
      </w:tr>
      <w:tr w14:paraId="66FDAC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62FE0999">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p>
        </w:tc>
        <w:tc>
          <w:tcPr>
            <w:tcW w:w="2140" w:type="dxa"/>
            <w:gridSpan w:val="2"/>
            <w:noWrap w:val="0"/>
            <w:vAlign w:val="center"/>
          </w:tcPr>
          <w:p w14:paraId="49B7867C">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7025" w:type="dxa"/>
            <w:noWrap w:val="0"/>
            <w:vAlign w:val="center"/>
          </w:tcPr>
          <w:p w14:paraId="5735EEDC">
            <w:pPr>
              <w:keepNext w:val="0"/>
              <w:keepLines w:val="0"/>
              <w:pageBreakBefore w:val="0"/>
              <w:widowControl/>
              <w:kinsoku/>
              <w:overflowPunct/>
              <w:autoSpaceDE/>
              <w:autoSpaceDN/>
              <w:bidi w:val="0"/>
              <w:adjustRightInd/>
              <w:spacing w:line="440" w:lineRule="exact"/>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电子投标文件须按格式文件要求签字或盖章（电子签章），招标文件格式中要求“签章”部位，指电子签章或盖章后扫描上传均可。</w:t>
            </w:r>
          </w:p>
          <w:p w14:paraId="38DEA3CD">
            <w:pPr>
              <w:keepNext w:val="0"/>
              <w:keepLines w:val="0"/>
              <w:pageBreakBefore w:val="0"/>
              <w:widowControl/>
              <w:kinsoku/>
              <w:overflowPunct/>
              <w:autoSpaceDE/>
              <w:autoSpaceDN/>
              <w:bidi w:val="0"/>
              <w:adjustRightInd/>
              <w:spacing w:line="44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否则经评委会一致认定且经过招投标监管部门批准后，按照无效投标处理。</w:t>
            </w:r>
          </w:p>
        </w:tc>
      </w:tr>
      <w:tr w14:paraId="5640C1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1048" w:type="dxa"/>
            <w:noWrap w:val="0"/>
            <w:vAlign w:val="center"/>
          </w:tcPr>
          <w:p w14:paraId="01F01E20">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w:t>
            </w:r>
          </w:p>
        </w:tc>
        <w:tc>
          <w:tcPr>
            <w:tcW w:w="2140" w:type="dxa"/>
            <w:gridSpan w:val="2"/>
            <w:noWrap w:val="0"/>
            <w:vAlign w:val="center"/>
          </w:tcPr>
          <w:p w14:paraId="3E766111">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投标文件提交截止时间</w:t>
            </w:r>
          </w:p>
        </w:tc>
        <w:tc>
          <w:tcPr>
            <w:tcW w:w="7025" w:type="dxa"/>
            <w:noWrap w:val="0"/>
            <w:vAlign w:val="center"/>
          </w:tcPr>
          <w:p w14:paraId="4E955016">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网上递交投标文件截止时间：</w:t>
            </w:r>
            <w:r>
              <w:rPr>
                <w:rFonts w:hint="eastAsia" w:ascii="宋体" w:hAnsi="宋体" w:eastAsia="宋体" w:cs="宋体"/>
                <w:b/>
                <w:bCs/>
                <w:color w:val="auto"/>
                <w:szCs w:val="21"/>
                <w:highlight w:val="none"/>
              </w:rPr>
              <w:t>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rPr>
              <w:t>8点00分（北京时间）</w:t>
            </w:r>
          </w:p>
          <w:p w14:paraId="29222981">
            <w:pPr>
              <w:keepNext w:val="0"/>
              <w:keepLines w:val="0"/>
              <w:pageBreakBefore w:val="0"/>
              <w:kinsoku/>
              <w:overflowPunct/>
              <w:autoSpaceDE/>
              <w:autoSpaceDN/>
              <w:bidi w:val="0"/>
              <w:adjustRightInd/>
              <w:spacing w:line="440" w:lineRule="exact"/>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注：以投标人在投标截止时间前网上递交的电子投标文件为准，逾期提交的，投标文件将被拒绝。</w:t>
            </w:r>
          </w:p>
          <w:p w14:paraId="58ADCC80">
            <w:pPr>
              <w:keepNext w:val="0"/>
              <w:keepLines w:val="0"/>
              <w:pageBreakBefore w:val="0"/>
              <w:kinsoku/>
              <w:wordWrap w:val="0"/>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1.解密程序开始后60分钟内（以本项目网上招投标系统解密倒计时为准）。</w:t>
            </w:r>
          </w:p>
          <w:p w14:paraId="3C66BE5B">
            <w:pPr>
              <w:keepNext w:val="0"/>
              <w:keepLines w:val="0"/>
              <w:pageBreakBefore w:val="0"/>
              <w:kinsoku/>
              <w:wordWrap w:val="0"/>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2.解密时间为202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rPr>
              <w:t>08点00分至202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rPr>
              <w:t>09点00分。</w:t>
            </w:r>
          </w:p>
        </w:tc>
      </w:tr>
      <w:tr w14:paraId="282880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1048" w:type="dxa"/>
            <w:noWrap w:val="0"/>
            <w:vAlign w:val="center"/>
          </w:tcPr>
          <w:p w14:paraId="178E847F">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w:t>
            </w:r>
          </w:p>
        </w:tc>
        <w:tc>
          <w:tcPr>
            <w:tcW w:w="2140" w:type="dxa"/>
            <w:gridSpan w:val="2"/>
            <w:noWrap w:val="0"/>
            <w:vAlign w:val="center"/>
          </w:tcPr>
          <w:p w14:paraId="6C9D890B">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7025" w:type="dxa"/>
            <w:noWrap w:val="0"/>
            <w:vAlign w:val="center"/>
          </w:tcPr>
          <w:p w14:paraId="7B69E264">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74BA2B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23FC0A8C">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2140" w:type="dxa"/>
            <w:gridSpan w:val="2"/>
            <w:noWrap w:val="0"/>
            <w:vAlign w:val="center"/>
          </w:tcPr>
          <w:p w14:paraId="42FE4E7A">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开标时间及地点</w:t>
            </w:r>
          </w:p>
        </w:tc>
        <w:tc>
          <w:tcPr>
            <w:tcW w:w="7025" w:type="dxa"/>
            <w:noWrap w:val="0"/>
            <w:vAlign w:val="center"/>
          </w:tcPr>
          <w:p w14:paraId="4175D10E">
            <w:pPr>
              <w:keepNext w:val="0"/>
              <w:keepLines w:val="0"/>
              <w:pageBreakBefore w:val="0"/>
              <w:kinsoku/>
              <w:overflowPunct/>
              <w:autoSpaceDE/>
              <w:autoSpaceDN/>
              <w:bidi w:val="0"/>
              <w:adjustRightIn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
                <w:bCs/>
                <w:color w:val="auto"/>
                <w:szCs w:val="21"/>
                <w:highlight w:val="none"/>
              </w:rPr>
              <w:t>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rPr>
              <w:t>08点00分（北京时间）</w:t>
            </w:r>
          </w:p>
          <w:p w14:paraId="00B59619">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开标地点：网上开标，投标人登录滁州市不见面开标系统参与网上开标（网址：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"https://ggzy.chuzhou.gov.cn/BidOpening/bidopeninghallaction/hall/login）。操作手册见"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https://ggzy.chuzhou.gov.cn/BidOpening/bidopeninghallaction/hall/login）。操作手册见</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https://ggzy.chuzhou.gov.cn/fwzn/011006/20240510/f0637388-583d-4c69-8331-05b6adfcf24d.html。</w:t>
            </w:r>
          </w:p>
        </w:tc>
      </w:tr>
      <w:tr w14:paraId="5CCFE1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23B33A2E">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w:t>
            </w:r>
          </w:p>
        </w:tc>
        <w:tc>
          <w:tcPr>
            <w:tcW w:w="2140" w:type="dxa"/>
            <w:gridSpan w:val="2"/>
            <w:noWrap w:val="0"/>
            <w:vAlign w:val="center"/>
          </w:tcPr>
          <w:p w14:paraId="43CAB34C">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7025" w:type="dxa"/>
            <w:noWrap w:val="0"/>
            <w:vAlign w:val="center"/>
          </w:tcPr>
          <w:p w14:paraId="5FE2DF06">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开标顺序：解密电子投标文件后，由评标委员会评审。</w:t>
            </w:r>
          </w:p>
        </w:tc>
      </w:tr>
      <w:tr w14:paraId="587AF6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1048" w:type="dxa"/>
            <w:noWrap w:val="0"/>
            <w:vAlign w:val="center"/>
          </w:tcPr>
          <w:p w14:paraId="5E2BDCE8">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140" w:type="dxa"/>
            <w:gridSpan w:val="2"/>
            <w:noWrap w:val="0"/>
            <w:vAlign w:val="center"/>
          </w:tcPr>
          <w:p w14:paraId="160811D7">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7025" w:type="dxa"/>
            <w:noWrap w:val="0"/>
            <w:vAlign w:val="top"/>
          </w:tcPr>
          <w:p w14:paraId="3EB6EB72">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人，其中招标人代表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人，评标专家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人。</w:t>
            </w:r>
          </w:p>
          <w:p w14:paraId="06E7A90E">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评标专家确定方式：评标专家由招标人在开标前从专家库中随机抽取。</w:t>
            </w:r>
          </w:p>
        </w:tc>
      </w:tr>
      <w:tr w14:paraId="0AB9A2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048" w:type="dxa"/>
            <w:noWrap w:val="0"/>
            <w:vAlign w:val="center"/>
          </w:tcPr>
          <w:p w14:paraId="622F368A">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32.1.1</w:t>
            </w:r>
          </w:p>
        </w:tc>
        <w:tc>
          <w:tcPr>
            <w:tcW w:w="2140" w:type="dxa"/>
            <w:gridSpan w:val="2"/>
            <w:noWrap w:val="0"/>
            <w:vAlign w:val="center"/>
          </w:tcPr>
          <w:p w14:paraId="544F2F6E">
            <w:pPr>
              <w:pStyle w:val="20"/>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是否授权评标委员会确定中标候选人</w:t>
            </w:r>
          </w:p>
        </w:tc>
        <w:tc>
          <w:tcPr>
            <w:tcW w:w="7025" w:type="dxa"/>
            <w:noWrap w:val="0"/>
            <w:vAlign w:val="center"/>
          </w:tcPr>
          <w:p w14:paraId="757FBC46">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是，评标委员会推荐3名中标候选人。</w:t>
            </w:r>
          </w:p>
        </w:tc>
      </w:tr>
      <w:tr w14:paraId="618190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1048" w:type="dxa"/>
            <w:noWrap w:val="0"/>
            <w:vAlign w:val="center"/>
          </w:tcPr>
          <w:p w14:paraId="24D6F083">
            <w:pPr>
              <w:pStyle w:val="20"/>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32.1.2</w:t>
            </w:r>
          </w:p>
        </w:tc>
        <w:tc>
          <w:tcPr>
            <w:tcW w:w="2140" w:type="dxa"/>
            <w:gridSpan w:val="2"/>
            <w:noWrap w:val="0"/>
            <w:vAlign w:val="center"/>
          </w:tcPr>
          <w:p w14:paraId="3E8D41D4">
            <w:pPr>
              <w:pStyle w:val="20"/>
              <w:keepNext w:val="0"/>
              <w:keepLines w:val="0"/>
              <w:pageBreakBefore w:val="0"/>
              <w:kinsoku/>
              <w:overflowPunct/>
              <w:autoSpaceDE/>
              <w:autoSpaceDN/>
              <w:bidi w:val="0"/>
              <w:adjustRightIn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中标结果公告媒介</w:t>
            </w:r>
            <w:r>
              <w:rPr>
                <w:rFonts w:hint="eastAsia" w:hAnsi="宋体" w:cs="宋体"/>
                <w:color w:val="auto"/>
                <w:szCs w:val="21"/>
                <w:highlight w:val="none"/>
                <w:lang w:val="en-US" w:eastAsia="zh-CN"/>
              </w:rPr>
              <w:t>及期限</w:t>
            </w:r>
          </w:p>
        </w:tc>
        <w:tc>
          <w:tcPr>
            <w:tcW w:w="7025" w:type="dxa"/>
            <w:noWrap w:val="0"/>
            <w:vAlign w:val="top"/>
          </w:tcPr>
          <w:p w14:paraId="64F280CA">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公示媒介：同招标公告发布媒介</w:t>
            </w:r>
          </w:p>
          <w:p w14:paraId="4F481407">
            <w:pPr>
              <w:pStyle w:val="20"/>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rPr>
              <w:t>公示期限：公示发布次日起3日（如公示第三日为休息日或节假日，则顺延至休息日或节假日后第一个工作日）</w:t>
            </w:r>
          </w:p>
        </w:tc>
      </w:tr>
      <w:tr w14:paraId="043263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048" w:type="dxa"/>
            <w:vMerge w:val="restart"/>
            <w:noWrap w:val="0"/>
            <w:vAlign w:val="center"/>
          </w:tcPr>
          <w:p w14:paraId="1630C60A">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2140" w:type="dxa"/>
            <w:gridSpan w:val="2"/>
            <w:noWrap w:val="0"/>
            <w:vAlign w:val="center"/>
          </w:tcPr>
          <w:p w14:paraId="2E30DC22">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w:t>
            </w:r>
          </w:p>
        </w:tc>
        <w:tc>
          <w:tcPr>
            <w:tcW w:w="7025" w:type="dxa"/>
            <w:noWrap w:val="0"/>
            <w:vAlign w:val="center"/>
          </w:tcPr>
          <w:p w14:paraId="4E43DF1A">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中标通知书须加盖公共资源交易中心见证章后方可发出。</w:t>
            </w:r>
          </w:p>
        </w:tc>
      </w:tr>
      <w:tr w14:paraId="5439E3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048" w:type="dxa"/>
            <w:vMerge w:val="continue"/>
            <w:noWrap w:val="0"/>
            <w:vAlign w:val="center"/>
          </w:tcPr>
          <w:p w14:paraId="239DCD5A">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2140" w:type="dxa"/>
            <w:gridSpan w:val="2"/>
            <w:noWrap w:val="0"/>
            <w:vAlign w:val="center"/>
          </w:tcPr>
          <w:p w14:paraId="6D718E4C">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中标通知书发出形式</w:t>
            </w:r>
          </w:p>
        </w:tc>
        <w:tc>
          <w:tcPr>
            <w:tcW w:w="7025" w:type="dxa"/>
            <w:noWrap w:val="0"/>
            <w:vAlign w:val="center"/>
          </w:tcPr>
          <w:p w14:paraId="21EC2F5D">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数据电文</w:t>
            </w:r>
          </w:p>
        </w:tc>
      </w:tr>
      <w:tr w14:paraId="51CD90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1048" w:type="dxa"/>
            <w:noWrap w:val="0"/>
            <w:vAlign w:val="center"/>
          </w:tcPr>
          <w:p w14:paraId="047118F7">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140" w:type="dxa"/>
            <w:gridSpan w:val="2"/>
            <w:noWrap w:val="0"/>
            <w:vAlign w:val="center"/>
          </w:tcPr>
          <w:p w14:paraId="62D4DF73">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履约担保</w:t>
            </w:r>
          </w:p>
        </w:tc>
        <w:tc>
          <w:tcPr>
            <w:tcW w:w="7025" w:type="dxa"/>
            <w:noWrap w:val="0"/>
            <w:vAlign w:val="center"/>
          </w:tcPr>
          <w:p w14:paraId="0C9D7C79">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要求中标人提交履约保证金</w:t>
            </w:r>
            <w:r>
              <w:rPr>
                <w:rFonts w:hint="eastAsia" w:ascii="宋体" w:hAnsi="宋体" w:eastAsia="宋体" w:cs="宋体"/>
                <w:color w:val="auto"/>
                <w:szCs w:val="21"/>
                <w:highlight w:val="none"/>
                <w:lang w:eastAsia="zh-CN"/>
              </w:rPr>
              <w:t>。</w:t>
            </w:r>
          </w:p>
          <w:p w14:paraId="478730DB">
            <w:pPr>
              <w:keepNext w:val="0"/>
              <w:keepLines w:val="0"/>
              <w:pageBreakBefore w:val="0"/>
              <w:kinsoku/>
              <w:overflowPunct/>
              <w:autoSpaceDE/>
              <w:autoSpaceDN/>
              <w:bidi w:val="0"/>
              <w:adjustRightIn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b/>
                <w:bCs/>
                <w:color w:val="auto"/>
                <w:szCs w:val="21"/>
                <w:highlight w:val="none"/>
              </w:rPr>
              <w:t>支持银行转账、银行电汇、银行保函、担保机构担保、保证保险使用。</w:t>
            </w:r>
          </w:p>
          <w:p w14:paraId="05E39CAE">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val="en-US" w:eastAsia="zh-CN"/>
              </w:rPr>
              <w:t>一年服务期中标合同金额×10%</w:t>
            </w:r>
            <w:r>
              <w:rPr>
                <w:rFonts w:hint="eastAsia" w:ascii="宋体" w:hAnsi="宋体" w:eastAsia="宋体" w:cs="宋体"/>
                <w:color w:val="auto"/>
                <w:szCs w:val="21"/>
                <w:highlight w:val="none"/>
              </w:rPr>
              <w:t xml:space="preserve"> </w:t>
            </w:r>
          </w:p>
          <w:p w14:paraId="3A38B2F5">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收款单位：</w:t>
            </w:r>
            <w:r>
              <w:rPr>
                <w:rFonts w:hint="eastAsia" w:ascii="宋体" w:hAnsi="宋体" w:eastAsia="宋体" w:cs="宋体"/>
                <w:color w:val="auto"/>
                <w:szCs w:val="21"/>
                <w:highlight w:val="none"/>
                <w:lang w:val="en-US" w:eastAsia="zh-CN"/>
              </w:rPr>
              <w:t>滁州同业投资发展有限公司</w:t>
            </w:r>
            <w:r>
              <w:rPr>
                <w:rFonts w:hint="eastAsia" w:ascii="宋体" w:hAnsi="宋体" w:eastAsia="宋体" w:cs="宋体"/>
                <w:color w:val="auto"/>
                <w:szCs w:val="21"/>
                <w:highlight w:val="none"/>
              </w:rPr>
              <w:t xml:space="preserve">                  </w:t>
            </w:r>
          </w:p>
          <w:p w14:paraId="1C5B28D0">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lang w:val="en-US" w:eastAsia="zh-CN"/>
              </w:rPr>
              <w:t>农业银行滁州琅琊区支行</w:t>
            </w:r>
            <w:r>
              <w:rPr>
                <w:rFonts w:hint="eastAsia" w:ascii="宋体" w:hAnsi="宋体" w:eastAsia="宋体" w:cs="宋体"/>
                <w:color w:val="auto"/>
                <w:szCs w:val="21"/>
                <w:highlight w:val="none"/>
              </w:rPr>
              <w:t xml:space="preserve">                  </w:t>
            </w:r>
          </w:p>
          <w:p w14:paraId="12F77E54">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lang w:val="en-US" w:eastAsia="zh-CN"/>
              </w:rPr>
              <w:t>1233 0001 0400 19142</w:t>
            </w:r>
            <w:r>
              <w:rPr>
                <w:rFonts w:hint="eastAsia" w:ascii="宋体" w:hAnsi="宋体" w:eastAsia="宋体" w:cs="宋体"/>
                <w:color w:val="auto"/>
                <w:szCs w:val="21"/>
                <w:highlight w:val="none"/>
              </w:rPr>
              <w:t xml:space="preserve">                </w:t>
            </w:r>
          </w:p>
          <w:p w14:paraId="42B0E1EF">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财务电话：0550-3520529/15212190208杨雪</w:t>
            </w:r>
          </w:p>
          <w:p w14:paraId="79723CE9">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汇款务必注明缴款人名称及用途，切勿以现金存入。</w:t>
            </w:r>
          </w:p>
          <w:p w14:paraId="29BDF6F8">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缴纳时限：</w:t>
            </w:r>
            <w:r>
              <w:rPr>
                <w:rFonts w:hint="eastAsia" w:ascii="Times New Roman" w:hAnsi="Times New Roman" w:eastAsia="宋体" w:cs="Times New Roman"/>
                <w:color w:val="auto"/>
                <w:kern w:val="2"/>
                <w:sz w:val="21"/>
                <w:szCs w:val="21"/>
                <w:highlight w:val="none"/>
                <w:lang w:val="en-US" w:eastAsia="zh-CN" w:bidi="ar-SA"/>
              </w:rPr>
              <w:t>公示期结束后，7个日历天内足额交纳履约担保后领取中标通知书，中标通知书发出之日起30日内签订合同，如未按期交齐履约保证金或未按期签订合同的（因招标人内部审批造成延期除外），视同放弃中标资格，招标人将上报主管部门依法处理。</w:t>
            </w:r>
            <w:r>
              <w:rPr>
                <w:rFonts w:hint="eastAsia" w:ascii="宋体" w:hAnsi="宋体" w:eastAsia="宋体" w:cs="宋体"/>
                <w:color w:val="auto"/>
                <w:szCs w:val="21"/>
                <w:highlight w:val="none"/>
              </w:rPr>
              <w:t xml:space="preserve">                </w:t>
            </w:r>
          </w:p>
          <w:p w14:paraId="06BA57EC">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履约保证金退还时限：履约保证金有效期满7日内。采用银行转</w:t>
            </w:r>
            <w:r>
              <w:rPr>
                <w:rFonts w:hint="eastAsia" w:ascii="宋体" w:hAnsi="宋体" w:cs="宋体"/>
                <w:color w:val="auto"/>
                <w:szCs w:val="21"/>
                <w:highlight w:val="none"/>
                <w:lang w:val="en-US" w:eastAsia="zh-CN"/>
              </w:rPr>
              <w:t>账</w:t>
            </w:r>
            <w:r>
              <w:rPr>
                <w:rFonts w:hint="eastAsia" w:ascii="宋体" w:hAnsi="宋体" w:eastAsia="宋体" w:cs="宋体"/>
                <w:color w:val="auto"/>
                <w:szCs w:val="21"/>
                <w:highlight w:val="none"/>
                <w:lang w:val="en-US" w:eastAsia="zh-CN"/>
              </w:rPr>
              <w:t>方式的，待项目完成后双方无异议办理书面正式移交手续后按招标人相关制度退还；采用银行或保险公司保函或</w:t>
            </w:r>
            <w:r>
              <w:rPr>
                <w:rFonts w:hint="eastAsia" w:ascii="宋体" w:hAnsi="宋体" w:eastAsia="宋体" w:cs="宋体"/>
                <w:color w:val="auto"/>
                <w:szCs w:val="21"/>
                <w:highlight w:val="none"/>
              </w:rPr>
              <w:t>担保机构担保</w:t>
            </w:r>
            <w:r>
              <w:rPr>
                <w:rFonts w:hint="eastAsia" w:ascii="宋体" w:hAnsi="宋体" w:eastAsia="宋体" w:cs="宋体"/>
                <w:color w:val="auto"/>
                <w:szCs w:val="21"/>
                <w:highlight w:val="none"/>
                <w:lang w:val="en-US" w:eastAsia="zh-CN"/>
              </w:rPr>
              <w:t>或保证保险方式的，有效期为自合同签订之日起至项目完成后1个月内，如果项目合同提前终止，应在终止日后满3个月后由采购人准许后撤销。</w:t>
            </w:r>
          </w:p>
          <w:p w14:paraId="04A88D8E">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具体要求：</w:t>
            </w:r>
          </w:p>
          <w:p w14:paraId="3A3C88AF">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1、采用银行保函的具体要求：见索即付型（无条件保函），保函内容及格式须经招标人确认后开具；</w:t>
            </w:r>
          </w:p>
          <w:p w14:paraId="5ADE0606">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2、采用担保保函的具体要求：见索即付型（无条件保函），保函内容及格式须经招标人确认后开具；</w:t>
            </w:r>
          </w:p>
          <w:p w14:paraId="36445992">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3、采用商业保险的具体要求：保险内容及格式须经招标人确认后开具；</w:t>
            </w:r>
          </w:p>
          <w:p w14:paraId="352D5F54">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4、采用第三方担保的具体要求：担保内容及格式须经招标人确认后开具。</w:t>
            </w:r>
          </w:p>
          <w:p w14:paraId="7287943D">
            <w:pPr>
              <w:keepNext w:val="0"/>
              <w:keepLines w:val="0"/>
              <w:pageBreakBefore w:val="0"/>
              <w:kinsoku/>
              <w:overflowPunct/>
              <w:autoSpaceDE/>
              <w:autoSpaceDN/>
              <w:bidi w:val="0"/>
              <w:adjustRightInd/>
              <w:spacing w:line="440" w:lineRule="exact"/>
              <w:textAlignment w:val="auto"/>
              <w:rPr>
                <w:rFonts w:hint="eastAsia"/>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投标人或委托其分公司及全资子公司办理履约担保事项视同投标人办理。</w:t>
            </w:r>
          </w:p>
        </w:tc>
      </w:tr>
      <w:tr w14:paraId="1F1EE4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926" w:type="dxa"/>
            <w:gridSpan w:val="2"/>
            <w:noWrap w:val="0"/>
            <w:vAlign w:val="center"/>
          </w:tcPr>
          <w:p w14:paraId="51A14EB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付款方式、时间、条件</w:t>
            </w:r>
          </w:p>
        </w:tc>
        <w:tc>
          <w:tcPr>
            <w:tcW w:w="8287" w:type="dxa"/>
            <w:gridSpan w:val="2"/>
            <w:noWrap w:val="0"/>
            <w:vAlign w:val="center"/>
          </w:tcPr>
          <w:p w14:paraId="3A951C6E">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按季</w:t>
            </w:r>
            <w:r>
              <w:rPr>
                <w:rFonts w:hint="eastAsia" w:ascii="宋体" w:hAnsi="宋体" w:eastAsia="宋体" w:cs="宋体"/>
                <w:b w:val="0"/>
                <w:bCs w:val="0"/>
                <w:color w:val="auto"/>
                <w:highlight w:val="none"/>
                <w:lang w:val="en-US" w:eastAsia="zh-CN"/>
              </w:rPr>
              <w:t>度（3个月）</w:t>
            </w:r>
            <w:r>
              <w:rPr>
                <w:rFonts w:hint="eastAsia" w:ascii="宋体" w:hAnsi="宋体" w:eastAsia="宋体" w:cs="宋体"/>
                <w:b w:val="0"/>
                <w:bCs w:val="0"/>
                <w:color w:val="auto"/>
                <w:highlight w:val="none"/>
              </w:rPr>
              <w:t>考核</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结合平时不定期考核</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，逐项核实，按季</w:t>
            </w:r>
            <w:r>
              <w:rPr>
                <w:rFonts w:hint="eastAsia" w:ascii="宋体" w:hAnsi="宋体" w:eastAsia="宋体" w:cs="宋体"/>
                <w:b w:val="0"/>
                <w:bCs w:val="0"/>
                <w:color w:val="auto"/>
                <w:highlight w:val="none"/>
                <w:lang w:val="en-US" w:eastAsia="zh-CN"/>
              </w:rPr>
              <w:t>度</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3个月</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考核结果结算</w:t>
            </w:r>
            <w:r>
              <w:rPr>
                <w:rFonts w:hint="eastAsia" w:ascii="宋体" w:hAnsi="宋体" w:eastAsia="宋体" w:cs="宋体"/>
                <w:b w:val="0"/>
                <w:bCs w:val="0"/>
                <w:color w:val="auto"/>
                <w:highlight w:val="none"/>
              </w:rPr>
              <w:t>付款</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每月15日前固定预付上月费用10万元，剩余按季考核结果结算付清)</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预付固定费用需核实已支付人员和项目费用</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按季</w:t>
            </w:r>
            <w:r>
              <w:rPr>
                <w:rFonts w:hint="eastAsia" w:ascii="宋体" w:hAnsi="宋体" w:eastAsia="宋体" w:cs="宋体"/>
                <w:b w:val="0"/>
                <w:bCs w:val="0"/>
                <w:color w:val="auto"/>
                <w:highlight w:val="none"/>
                <w:lang w:val="en-US" w:eastAsia="zh-CN"/>
              </w:rPr>
              <w:t>度考核核实后实际金额</w:t>
            </w:r>
            <w:r>
              <w:rPr>
                <w:rFonts w:hint="eastAsia" w:ascii="宋体" w:hAnsi="宋体" w:eastAsia="宋体" w:cs="宋体"/>
                <w:b w:val="0"/>
                <w:bCs w:val="0"/>
                <w:color w:val="auto"/>
                <w:highlight w:val="none"/>
              </w:rPr>
              <w:t>支付</w:t>
            </w:r>
            <w:r>
              <w:rPr>
                <w:rFonts w:hint="eastAsia" w:ascii="宋体" w:hAnsi="宋体" w:eastAsia="宋体" w:cs="宋体"/>
                <w:b w:val="0"/>
                <w:bCs w:val="0"/>
                <w:color w:val="auto"/>
                <w:highlight w:val="none"/>
                <w:lang w:val="en-US" w:eastAsia="zh-CN"/>
              </w:rPr>
              <w:t>当季</w:t>
            </w:r>
            <w:r>
              <w:rPr>
                <w:rFonts w:hint="eastAsia" w:ascii="宋体" w:hAnsi="宋体" w:eastAsia="宋体" w:cs="宋体"/>
                <w:b w:val="0"/>
                <w:bCs w:val="0"/>
                <w:color w:val="auto"/>
                <w:highlight w:val="none"/>
              </w:rPr>
              <w:t>物业服务费用（由人员费用、项目费用、利润和税费</w:t>
            </w:r>
            <w:r>
              <w:rPr>
                <w:rFonts w:hint="eastAsia" w:ascii="宋体" w:hAnsi="宋体" w:eastAsia="宋体" w:cs="宋体"/>
                <w:b w:val="0"/>
                <w:bCs w:val="0"/>
                <w:color w:val="auto"/>
                <w:highlight w:val="none"/>
                <w:lang w:val="en-US" w:eastAsia="zh-CN"/>
              </w:rPr>
              <w:t>实付总额</w:t>
            </w:r>
            <w:r>
              <w:rPr>
                <w:rFonts w:hint="eastAsia" w:ascii="宋体" w:hAnsi="宋体" w:eastAsia="宋体" w:cs="宋体"/>
                <w:b w:val="0"/>
                <w:bCs w:val="0"/>
                <w:color w:val="auto"/>
                <w:highlight w:val="none"/>
              </w:rPr>
              <w:t>组成），其中人员费用和项目费用按实际</w:t>
            </w:r>
            <w:r>
              <w:rPr>
                <w:rFonts w:hint="eastAsia" w:ascii="宋体" w:hAnsi="宋体" w:eastAsia="宋体" w:cs="宋体"/>
                <w:b w:val="0"/>
                <w:bCs w:val="0"/>
                <w:color w:val="auto"/>
                <w:highlight w:val="none"/>
                <w:lang w:val="en-US" w:eastAsia="zh-CN"/>
              </w:rPr>
              <w:t>总</w:t>
            </w:r>
            <w:r>
              <w:rPr>
                <w:rFonts w:hint="eastAsia" w:ascii="宋体" w:hAnsi="宋体" w:eastAsia="宋体" w:cs="宋体"/>
                <w:b w:val="0"/>
                <w:bCs w:val="0"/>
                <w:color w:val="auto"/>
                <w:highlight w:val="none"/>
              </w:rPr>
              <w:t>支出</w:t>
            </w:r>
            <w:r>
              <w:rPr>
                <w:rFonts w:hint="eastAsia" w:ascii="宋体" w:hAnsi="宋体" w:eastAsia="宋体" w:cs="宋体"/>
                <w:b w:val="0"/>
                <w:bCs w:val="0"/>
                <w:color w:val="auto"/>
                <w:highlight w:val="none"/>
                <w:lang w:val="en-US" w:eastAsia="zh-CN"/>
              </w:rPr>
              <w:t>且</w:t>
            </w:r>
            <w:r>
              <w:rPr>
                <w:rFonts w:hint="eastAsia" w:ascii="宋体" w:hAnsi="宋体" w:eastAsia="宋体" w:cs="宋体"/>
                <w:b w:val="0"/>
                <w:bCs w:val="0"/>
                <w:color w:val="auto"/>
                <w:highlight w:val="none"/>
              </w:rPr>
              <w:t>不超固定</w:t>
            </w:r>
            <w:r>
              <w:rPr>
                <w:rFonts w:hint="eastAsia" w:ascii="宋体" w:hAnsi="宋体" w:eastAsia="宋体" w:cs="宋体"/>
                <w:b w:val="0"/>
                <w:bCs w:val="0"/>
                <w:color w:val="auto"/>
                <w:highlight w:val="none"/>
                <w:lang w:val="en-US" w:eastAsia="zh-CN"/>
              </w:rPr>
              <w:t>总</w:t>
            </w:r>
            <w:r>
              <w:rPr>
                <w:rFonts w:hint="eastAsia" w:ascii="宋体" w:hAnsi="宋体" w:eastAsia="宋体" w:cs="宋体"/>
                <w:b w:val="0"/>
                <w:bCs w:val="0"/>
                <w:color w:val="auto"/>
                <w:highlight w:val="none"/>
              </w:rPr>
              <w:t>额度支付，利润按投标费率%*（人员费用季度实际金额+项目费用季度实际金额）*季度考核分值百分比%确定本季本项金额。</w:t>
            </w:r>
            <w:r>
              <w:rPr>
                <w:rFonts w:hint="eastAsia" w:ascii="宋体" w:hAnsi="宋体" w:eastAsia="宋体" w:cs="宋体"/>
                <w:b w:val="0"/>
                <w:bCs w:val="0"/>
                <w:color w:val="auto"/>
                <w:highlight w:val="none"/>
                <w:lang w:val="en-US" w:eastAsia="zh-CN"/>
              </w:rPr>
              <w:t>季度</w:t>
            </w:r>
            <w:r>
              <w:rPr>
                <w:rFonts w:hint="eastAsia" w:ascii="宋体" w:hAnsi="宋体" w:eastAsia="宋体" w:cs="宋体"/>
                <w:b w:val="0"/>
                <w:bCs w:val="0"/>
                <w:color w:val="auto"/>
                <w:highlight w:val="none"/>
              </w:rPr>
              <w:t>考核分值90分及以上</w:t>
            </w:r>
            <w:r>
              <w:rPr>
                <w:rFonts w:hint="eastAsia" w:ascii="宋体" w:hAnsi="宋体" w:eastAsia="宋体" w:cs="宋体"/>
                <w:b w:val="0"/>
                <w:bCs w:val="0"/>
                <w:color w:val="auto"/>
                <w:highlight w:val="none"/>
                <w:lang w:val="en-US" w:eastAsia="zh-CN"/>
              </w:rPr>
              <w:t>利润</w:t>
            </w:r>
            <w:r>
              <w:rPr>
                <w:rFonts w:hint="eastAsia" w:ascii="宋体" w:hAnsi="宋体" w:eastAsia="宋体" w:cs="宋体"/>
                <w:b w:val="0"/>
                <w:bCs w:val="0"/>
                <w:color w:val="auto"/>
                <w:highlight w:val="none"/>
              </w:rPr>
              <w:t>按100%，80</w:t>
            </w:r>
            <w:r>
              <w:rPr>
                <w:rFonts w:hint="eastAsia" w:ascii="宋体" w:hAnsi="宋体" w:eastAsia="宋体" w:cs="宋体"/>
                <w:b w:val="0"/>
                <w:bCs w:val="0"/>
                <w:color w:val="auto"/>
                <w:highlight w:val="none"/>
                <w:lang w:val="en-US" w:eastAsia="zh-CN"/>
              </w:rPr>
              <w:t>分（含）至90</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不含）利润</w:t>
            </w:r>
            <w:r>
              <w:rPr>
                <w:rFonts w:hint="eastAsia" w:ascii="宋体" w:hAnsi="宋体" w:eastAsia="宋体" w:cs="宋体"/>
                <w:b w:val="0"/>
                <w:bCs w:val="0"/>
                <w:color w:val="auto"/>
                <w:highlight w:val="none"/>
              </w:rPr>
              <w:t>按90%，</w:t>
            </w:r>
            <w:r>
              <w:rPr>
                <w:rFonts w:hint="eastAsia" w:ascii="宋体" w:hAnsi="宋体" w:eastAsia="宋体" w:cs="宋体"/>
                <w:b w:val="0"/>
                <w:bCs w:val="0"/>
                <w:color w:val="auto"/>
                <w:highlight w:val="none"/>
                <w:lang w:val="en-US" w:eastAsia="zh-CN"/>
              </w:rPr>
              <w:t>80</w:t>
            </w:r>
            <w:r>
              <w:rPr>
                <w:rFonts w:hint="eastAsia" w:ascii="宋体" w:hAnsi="宋体" w:eastAsia="宋体" w:cs="宋体"/>
                <w:b w:val="0"/>
                <w:bCs w:val="0"/>
                <w:color w:val="auto"/>
                <w:highlight w:val="none"/>
              </w:rPr>
              <w:t>分以下</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不含）</w:t>
            </w:r>
            <w:r>
              <w:rPr>
                <w:rFonts w:hint="eastAsia" w:ascii="宋体" w:hAnsi="宋体" w:eastAsia="宋体" w:cs="宋体"/>
                <w:b w:val="0"/>
                <w:bCs w:val="0"/>
                <w:color w:val="auto"/>
                <w:highlight w:val="none"/>
              </w:rPr>
              <w:t>不予支付，若平时有扣款则从利润项扣除，不足则从其他</w:t>
            </w:r>
            <w:r>
              <w:rPr>
                <w:rFonts w:hint="eastAsia" w:ascii="宋体" w:hAnsi="宋体" w:eastAsia="宋体" w:cs="宋体"/>
                <w:b w:val="0"/>
                <w:bCs w:val="0"/>
                <w:color w:val="auto"/>
                <w:highlight w:val="none"/>
                <w:lang w:val="en-US" w:eastAsia="zh-CN"/>
              </w:rPr>
              <w:t>项</w:t>
            </w:r>
            <w:r>
              <w:rPr>
                <w:rFonts w:hint="eastAsia" w:ascii="宋体" w:hAnsi="宋体" w:eastAsia="宋体" w:cs="宋体"/>
                <w:b w:val="0"/>
                <w:bCs w:val="0"/>
                <w:color w:val="auto"/>
                <w:highlight w:val="none"/>
              </w:rPr>
              <w:t>扣除。税费按实付金额（人员费用季度实际金额+项目费用季度实际金额+利润季度金额）*6%或实际开票税率确定本季</w:t>
            </w:r>
            <w:r>
              <w:rPr>
                <w:rFonts w:hint="eastAsia" w:ascii="宋体" w:hAnsi="宋体" w:eastAsia="宋体" w:cs="宋体"/>
                <w:b w:val="0"/>
                <w:bCs w:val="0"/>
                <w:color w:val="auto"/>
                <w:highlight w:val="none"/>
                <w:lang w:val="en-US" w:eastAsia="zh-CN"/>
              </w:rPr>
              <w:t>度</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3个月）</w:t>
            </w:r>
            <w:r>
              <w:rPr>
                <w:rFonts w:hint="eastAsia" w:ascii="宋体" w:hAnsi="宋体" w:eastAsia="宋体" w:cs="宋体"/>
                <w:b w:val="0"/>
                <w:bCs w:val="0"/>
                <w:color w:val="auto"/>
                <w:highlight w:val="none"/>
              </w:rPr>
              <w:t>本项金额。</w:t>
            </w:r>
            <w:r>
              <w:rPr>
                <w:rFonts w:hint="eastAsia" w:ascii="宋体" w:hAnsi="宋体" w:eastAsia="宋体" w:cs="宋体"/>
                <w:b w:val="0"/>
                <w:bCs w:val="0"/>
                <w:color w:val="auto"/>
                <w:szCs w:val="21"/>
                <w:highlight w:val="none"/>
              </w:rPr>
              <w:t>合同履行期</w:t>
            </w:r>
            <w:r>
              <w:rPr>
                <w:rFonts w:hint="eastAsia" w:ascii="宋体" w:hAnsi="宋体" w:eastAsia="宋体" w:cs="宋体"/>
                <w:b w:val="0"/>
                <w:bCs w:val="0"/>
                <w:color w:val="auto"/>
                <w:kern w:val="2"/>
                <w:sz w:val="21"/>
                <w:szCs w:val="21"/>
                <w:highlight w:val="none"/>
                <w:u w:val="none" w:color="000000"/>
                <w:lang w:val="en-US" w:eastAsia="zh-CN" w:bidi="ar-SA"/>
              </w:rPr>
              <w:t>内合同一年一签</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上</w:t>
            </w:r>
            <w:r>
              <w:rPr>
                <w:rFonts w:hint="eastAsia" w:ascii="宋体" w:hAnsi="宋体" w:eastAsia="宋体" w:cs="宋体"/>
                <w:b w:val="0"/>
                <w:bCs w:val="0"/>
                <w:color w:val="auto"/>
                <w:highlight w:val="none"/>
              </w:rPr>
              <w:t>年考核标准平均分值达90分及以上续签下一年合同，低于90分以下或有</w:t>
            </w:r>
            <w:r>
              <w:rPr>
                <w:rFonts w:hint="eastAsia" w:ascii="宋体" w:hAnsi="宋体" w:eastAsia="宋体" w:cs="宋体"/>
                <w:b w:val="0"/>
                <w:bCs w:val="0"/>
                <w:color w:val="auto"/>
                <w:szCs w:val="21"/>
                <w:highlight w:val="none"/>
                <w:lang w:val="en-US" w:eastAsia="zh-CN"/>
              </w:rPr>
              <w:t>重大</w:t>
            </w:r>
            <w:r>
              <w:rPr>
                <w:rFonts w:hint="eastAsia" w:ascii="宋体" w:hAnsi="宋体" w:eastAsia="宋体" w:cs="宋体"/>
                <w:b w:val="0"/>
                <w:bCs w:val="0"/>
                <w:color w:val="auto"/>
                <w:highlight w:val="none"/>
              </w:rPr>
              <w:t>不良记录不予续签，则重新招标，最终解释权归招标人所有。</w:t>
            </w:r>
          </w:p>
        </w:tc>
      </w:tr>
      <w:tr w14:paraId="5A3BB1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2A6CA11C">
            <w:pPr>
              <w:tabs>
                <w:tab w:val="left" w:pos="5034"/>
              </w:tabs>
              <w:spacing w:line="400" w:lineRule="exact"/>
              <w:jc w:val="center"/>
              <w:rPr>
                <w:rFonts w:hint="eastAsia" w:ascii="宋体" w:hAnsi="宋体" w:eastAsia="宋体" w:cs="宋体"/>
                <w:color w:val="auto"/>
                <w:szCs w:val="21"/>
                <w:highlight w:val="none"/>
              </w:rPr>
            </w:pPr>
            <w:r>
              <w:rPr>
                <w:rFonts w:hint="eastAsia"/>
                <w:highlight w:val="none"/>
              </w:rPr>
              <w:t>电子招投标</w:t>
            </w:r>
          </w:p>
        </w:tc>
        <w:tc>
          <w:tcPr>
            <w:tcW w:w="8287" w:type="dxa"/>
            <w:gridSpan w:val="2"/>
            <w:noWrap w:val="0"/>
            <w:vAlign w:val="center"/>
          </w:tcPr>
          <w:p w14:paraId="3D0AFF16">
            <w:pPr>
              <w:tabs>
                <w:tab w:val="left" w:pos="5034"/>
              </w:tabs>
              <w:spacing w:line="360" w:lineRule="exact"/>
              <w:rPr>
                <w:rFonts w:hint="eastAsia" w:ascii="宋体" w:hAnsi="宋体" w:eastAsia="宋体" w:cs="宋体"/>
                <w:color w:val="auto"/>
                <w:szCs w:val="21"/>
                <w:highlight w:val="none"/>
              </w:rPr>
            </w:pPr>
            <w:r>
              <w:rPr>
                <w:rFonts w:hint="eastAsia"/>
                <w:highlight w:val="none"/>
              </w:rPr>
              <w:t>本项目采用电子招标投标方式。</w:t>
            </w:r>
          </w:p>
        </w:tc>
      </w:tr>
      <w:tr w14:paraId="11FB3D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72D5DADB">
            <w:pPr>
              <w:spacing w:line="400" w:lineRule="exact"/>
              <w:jc w:val="center"/>
              <w:rPr>
                <w:rFonts w:hint="eastAsia" w:ascii="宋体" w:hAnsi="宋体" w:eastAsia="宋体" w:cs="宋体"/>
                <w:color w:val="auto"/>
                <w:szCs w:val="21"/>
                <w:highlight w:val="none"/>
              </w:rPr>
            </w:pPr>
            <w:r>
              <w:rPr>
                <w:rFonts w:hint="eastAsia" w:ascii="宋体"/>
                <w:szCs w:val="21"/>
                <w:highlight w:val="none"/>
              </w:rPr>
              <w:t>获取与查看通知</w:t>
            </w:r>
          </w:p>
        </w:tc>
        <w:tc>
          <w:tcPr>
            <w:tcW w:w="8287" w:type="dxa"/>
            <w:gridSpan w:val="2"/>
            <w:noWrap w:val="0"/>
            <w:vAlign w:val="center"/>
          </w:tcPr>
          <w:p w14:paraId="17F4B044">
            <w:pPr>
              <w:spacing w:line="360" w:lineRule="exact"/>
              <w:jc w:val="left"/>
              <w:rPr>
                <w:rFonts w:hint="eastAsia" w:ascii="宋体" w:hAnsi="宋体" w:eastAsia="宋体" w:cs="宋体"/>
                <w:color w:val="auto"/>
                <w:szCs w:val="21"/>
                <w:highlight w:val="none"/>
              </w:rPr>
            </w:pPr>
            <w:r>
              <w:rPr>
                <w:rFonts w:hint="eastAsia" w:ascii="宋体"/>
                <w:szCs w:val="21"/>
                <w:highlight w:val="none"/>
              </w:rPr>
              <w:t>本项目的招标文件等相关资料均通过滁州市公共资源交易中心网站发布，投标人应自行下载。投标人应当及时登录滁州市公共资源交易中心交易系统查看。</w:t>
            </w:r>
          </w:p>
        </w:tc>
      </w:tr>
      <w:tr w14:paraId="6F3D69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417F6B52">
            <w:pPr>
              <w:spacing w:line="400" w:lineRule="exact"/>
              <w:jc w:val="center"/>
              <w:rPr>
                <w:rFonts w:hint="eastAsia" w:ascii="宋体" w:hAnsi="宋体" w:eastAsia="宋体" w:cs="宋体"/>
                <w:color w:val="auto"/>
                <w:szCs w:val="21"/>
                <w:highlight w:val="none"/>
              </w:rPr>
            </w:pPr>
            <w:r>
              <w:rPr>
                <w:rFonts w:hint="eastAsia" w:ascii="宋体"/>
                <w:szCs w:val="21"/>
                <w:highlight w:val="none"/>
              </w:rPr>
              <w:t>评标过程中的澄清、说明或补正</w:t>
            </w:r>
          </w:p>
        </w:tc>
        <w:tc>
          <w:tcPr>
            <w:tcW w:w="8287" w:type="dxa"/>
            <w:gridSpan w:val="2"/>
            <w:noWrap w:val="0"/>
            <w:vAlign w:val="center"/>
          </w:tcPr>
          <w:p w14:paraId="7719423E">
            <w:pPr>
              <w:spacing w:line="360" w:lineRule="exact"/>
              <w:jc w:val="left"/>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w:t>
            </w:r>
            <w:r>
              <w:rPr>
                <w:rFonts w:hint="eastAsia" w:ascii="宋体" w:cs="Times New Roman"/>
                <w:szCs w:val="21"/>
                <w:highlight w:val="none"/>
                <w:lang w:eastAsia="zh-CN"/>
              </w:rPr>
              <w:t>.</w:t>
            </w:r>
            <w:r>
              <w:rPr>
                <w:rFonts w:hint="eastAsia" w:ascii="宋体" w:hAnsi="Times New Roman" w:eastAsia="宋体" w:cs="Times New Roman"/>
                <w:szCs w:val="21"/>
                <w:highlight w:val="none"/>
              </w:rPr>
              <w:t>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302ADFA3">
            <w:pPr>
              <w:spacing w:line="360" w:lineRule="exact"/>
              <w:jc w:val="left"/>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w:t>
            </w:r>
            <w:r>
              <w:rPr>
                <w:rFonts w:hint="eastAsia" w:ascii="宋体" w:cs="Times New Roman"/>
                <w:szCs w:val="21"/>
                <w:highlight w:val="none"/>
                <w:lang w:eastAsia="zh-CN"/>
              </w:rPr>
              <w:t>.</w:t>
            </w:r>
            <w:r>
              <w:rPr>
                <w:rFonts w:hint="eastAsia" w:ascii="宋体" w:hAnsi="Times New Roman" w:eastAsia="宋体" w:cs="Times New Roman"/>
                <w:szCs w:val="21"/>
                <w:highlight w:val="none"/>
              </w:rPr>
              <w:t>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75E04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2A2ECE5E">
            <w:pPr>
              <w:adjustRightInd w:val="0"/>
              <w:snapToGrid w:val="0"/>
              <w:spacing w:line="560" w:lineRule="exact"/>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解释权</w:t>
            </w:r>
          </w:p>
        </w:tc>
        <w:tc>
          <w:tcPr>
            <w:tcW w:w="8287" w:type="dxa"/>
            <w:gridSpan w:val="2"/>
            <w:noWrap w:val="0"/>
            <w:vAlign w:val="center"/>
          </w:tcPr>
          <w:p w14:paraId="7F05E2A1">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构成本招标文件的各个组成文件应互为解释，互为说明；</w:t>
            </w:r>
          </w:p>
          <w:p w14:paraId="5F373593">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同一组成文件中就同一事项的规定或约定不一致的，以编排顺序在后者为准；</w:t>
            </w:r>
          </w:p>
          <w:p w14:paraId="56EB4EC5">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如有不明确或不一致，构成合同文件组成内容的，以合同文件约定内容为准，且以专用合同条款约定的合同文件优先顺序解释；</w:t>
            </w:r>
          </w:p>
          <w:p w14:paraId="46A3D98C">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系统中提供的表格（或格式文件）与招标文件中不一致时，以招标文件中提供的为准；</w:t>
            </w:r>
          </w:p>
          <w:p w14:paraId="0F4AEEF9">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按本款前述规定仍不能形成结论的，由招标人负责解释。</w:t>
            </w:r>
          </w:p>
        </w:tc>
      </w:tr>
      <w:tr w14:paraId="55FE24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1D9B2031">
            <w:pPr>
              <w:adjustRightInd w:val="0"/>
              <w:snapToGrid w:val="0"/>
              <w:spacing w:line="560" w:lineRule="exact"/>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同义词语</w:t>
            </w:r>
          </w:p>
        </w:tc>
        <w:tc>
          <w:tcPr>
            <w:tcW w:w="8287" w:type="dxa"/>
            <w:gridSpan w:val="2"/>
            <w:noWrap w:val="0"/>
            <w:vAlign w:val="center"/>
          </w:tcPr>
          <w:p w14:paraId="4081DA8A">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构成招标文件组成部分的“通用合同条款”、“专用合同条款”、“技术标准和要求”和“工程量清单”等章节中 “发包人”和“承包人”，等同于招标投标阶段的“招标人”和“投标人/中标人”。</w:t>
            </w:r>
          </w:p>
        </w:tc>
      </w:tr>
      <w:tr w14:paraId="5AF7FA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926" w:type="dxa"/>
            <w:gridSpan w:val="2"/>
            <w:noWrap w:val="0"/>
            <w:vAlign w:val="center"/>
          </w:tcPr>
          <w:p w14:paraId="5513B92F">
            <w:pPr>
              <w:keepNext w:val="0"/>
              <w:keepLines w:val="0"/>
              <w:pageBreakBefore w:val="0"/>
              <w:widowControl/>
              <w:kinsoku/>
              <w:overflowPunct/>
              <w:autoSpaceDE/>
              <w:autoSpaceDN/>
              <w:bidi w:val="0"/>
              <w:adjustRightInd/>
              <w:spacing w:line="44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特别提示</w:t>
            </w:r>
          </w:p>
        </w:tc>
        <w:tc>
          <w:tcPr>
            <w:tcW w:w="8287" w:type="dxa"/>
            <w:gridSpan w:val="2"/>
            <w:noWrap w:val="0"/>
            <w:vAlign w:val="top"/>
          </w:tcPr>
          <w:p w14:paraId="7E9A68A6">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1.本项目投标保证金、履约保证金、工程质量保证金、农民工工资保证金均支持保函使用。以现金形式提交保证金的，应当同时退还保证金本金和银行同期存款利息。</w:t>
            </w:r>
          </w:p>
          <w:p w14:paraId="23EE35E4">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2.投标人应填写投标信息并下载招标文件，否则无法上传投标文件。</w:t>
            </w:r>
          </w:p>
          <w:p w14:paraId="2247734A">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1E70016">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4.如果过程中出现招标文件更改，应以最后发布的招标答疑澄清文件中的模板制作本项目最新投标文件。</w:t>
            </w:r>
          </w:p>
          <w:p w14:paraId="1936E275">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5.投标人应当用本单位CA数字证书制作投标文件，制作成功后进行投标文件上传。 </w:t>
            </w:r>
          </w:p>
          <w:p w14:paraId="64EEACE4">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3F74F52E">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7.请投标人注意加密投标文件CA数字证书的有效期，不在有效期的CA数字证书无法解密投标文件。</w:t>
            </w:r>
          </w:p>
          <w:p w14:paraId="5B13FE21">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8.投标人投标MAC地址一致或申请开具电子保函MAC地址一致的，由评标委员会否决其投标。</w:t>
            </w:r>
          </w:p>
          <w:p w14:paraId="723809BE">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9.投标人投标文件中单方面出现其他投标人材料的（依法组成联合体投标的除外），由评标委员会否决其投标。</w:t>
            </w:r>
          </w:p>
          <w:p w14:paraId="18D2284F">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111A1581">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11.若存在不予退还投标人投标保证金的情形，银行转账的，由市公共资源交易中心代为收缴，递交保函的，由招标人予以追缴。</w:t>
            </w:r>
          </w:p>
          <w:p w14:paraId="52CCABF2">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12.投标人以联合体名义投标的，其异议投诉应当由联合体全体成员共同提出。联合体成员单独进行异议投诉的，应当书面征得联合体其他成员同意，联合体成员之间投诉的除外。</w:t>
            </w:r>
          </w:p>
          <w:p w14:paraId="3F77F5BC">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13.投标人联系人或联系电话相同的，由评标委员会否决其投标，并报告监管部门作不良行为处理和进一步调查。</w:t>
            </w:r>
          </w:p>
          <w:p w14:paraId="3806A6F5">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szCs w:val="21"/>
                <w:highlight w:val="none"/>
                <w:lang w:bidi="ar"/>
              </w:rPr>
            </w:pPr>
            <w:r>
              <w:rPr>
                <w:rFonts w:hint="eastAsia" w:ascii="宋体" w:hAnsi="宋体" w:eastAsia="宋体" w:cs="宋体"/>
                <w:b w:val="0"/>
                <w:bCs w:val="0"/>
                <w:color w:val="auto"/>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285B62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926" w:type="dxa"/>
            <w:gridSpan w:val="2"/>
            <w:noWrap w:val="0"/>
            <w:vAlign w:val="center"/>
          </w:tcPr>
          <w:p w14:paraId="2543E1EB">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bCs/>
                <w:color w:val="auto"/>
                <w:szCs w:val="21"/>
                <w:highlight w:val="none"/>
                <w:lang w:val="en-US" w:eastAsia="zh-CN" w:bidi="ar"/>
              </w:rPr>
            </w:pPr>
            <w:bookmarkStart w:id="30" w:name="_Toc58430315"/>
            <w:bookmarkStart w:id="31" w:name="_Toc28397"/>
            <w:bookmarkStart w:id="32" w:name="_Toc449028866"/>
            <w:r>
              <w:rPr>
                <w:rFonts w:hint="eastAsia" w:ascii="宋体" w:hAnsi="宋体" w:cs="宋体"/>
                <w:bCs/>
                <w:color w:val="auto"/>
                <w:szCs w:val="21"/>
                <w:highlight w:val="none"/>
                <w:lang w:val="en-US" w:eastAsia="zh-CN" w:bidi="ar"/>
              </w:rPr>
              <w:t>其他</w:t>
            </w:r>
          </w:p>
        </w:tc>
        <w:tc>
          <w:tcPr>
            <w:tcW w:w="8287" w:type="dxa"/>
            <w:gridSpan w:val="2"/>
            <w:noWrap w:val="0"/>
            <w:vAlign w:val="top"/>
          </w:tcPr>
          <w:p w14:paraId="713A88A6">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rPr>
              <w:t>项目</w:t>
            </w:r>
            <w:r>
              <w:rPr>
                <w:rFonts w:hint="eastAsia" w:ascii="宋体" w:hAnsi="宋体" w:eastAsia="宋体" w:cs="宋体"/>
                <w:b w:val="0"/>
                <w:bCs w:val="0"/>
                <w:color w:val="auto"/>
                <w:highlight w:val="none"/>
                <w:lang w:val="en-US" w:eastAsia="zh-CN"/>
              </w:rPr>
              <w:t>负责人</w:t>
            </w:r>
            <w:r>
              <w:rPr>
                <w:rFonts w:hint="eastAsia" w:ascii="宋体" w:hAnsi="宋体" w:eastAsia="宋体" w:cs="宋体"/>
                <w:b w:val="0"/>
                <w:bCs w:val="0"/>
                <w:color w:val="auto"/>
                <w:highlight w:val="none"/>
                <w:lang w:val="en-US"/>
              </w:rPr>
              <w:t>必须是投标人本单位工作人员，提供虚假资料谋取中标将被依法处罚。</w:t>
            </w:r>
            <w:r>
              <w:rPr>
                <w:rFonts w:hint="eastAsia" w:ascii="宋体" w:hAnsi="宋体" w:eastAsia="宋体" w:cs="宋体"/>
                <w:b w:val="0"/>
                <w:bCs w:val="0"/>
                <w:color w:val="auto"/>
                <w:highlight w:val="none"/>
              </w:rPr>
              <w:t>投标人对所提交的投标人或拟派项目</w:t>
            </w:r>
            <w:r>
              <w:rPr>
                <w:rFonts w:hint="eastAsia" w:ascii="宋体" w:hAnsi="宋体" w:eastAsia="宋体" w:cs="宋体"/>
                <w:b w:val="0"/>
                <w:bCs w:val="0"/>
                <w:color w:val="auto"/>
                <w:highlight w:val="none"/>
                <w:lang w:val="en-US" w:eastAsia="zh-CN"/>
              </w:rPr>
              <w:t>负责人</w:t>
            </w:r>
            <w:r>
              <w:rPr>
                <w:rFonts w:hint="eastAsia" w:ascii="宋体" w:hAnsi="宋体" w:eastAsia="宋体" w:cs="宋体"/>
                <w:b w:val="0"/>
                <w:bCs w:val="0"/>
                <w:color w:val="auto"/>
                <w:highlight w:val="none"/>
              </w:rPr>
              <w:t>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w:t>
            </w:r>
            <w:r>
              <w:rPr>
                <w:rFonts w:hint="eastAsia" w:ascii="宋体" w:hAnsi="宋体" w:eastAsia="宋体" w:cs="宋体"/>
                <w:b w:val="0"/>
                <w:bCs w:val="0"/>
                <w:color w:val="auto"/>
                <w:highlight w:val="none"/>
                <w:lang w:val="en-US"/>
              </w:rPr>
              <w:t>滁州市</w:t>
            </w:r>
            <w:r>
              <w:rPr>
                <w:rFonts w:hint="eastAsia" w:ascii="宋体" w:hAnsi="宋体" w:eastAsia="宋体" w:cs="宋体"/>
                <w:b w:val="0"/>
                <w:bCs w:val="0"/>
                <w:color w:val="auto"/>
                <w:highlight w:val="none"/>
              </w:rPr>
              <w:t>公共资源交易监督管理局）依法处理。</w:t>
            </w:r>
          </w:p>
          <w:p w14:paraId="5A01CF1C">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中标人未履行下述义务的，</w:t>
            </w:r>
            <w:r>
              <w:rPr>
                <w:rFonts w:hint="eastAsia" w:ascii="宋体" w:hAnsi="宋体" w:eastAsia="宋体" w:cs="宋体"/>
                <w:b w:val="0"/>
                <w:bCs w:val="0"/>
                <w:color w:val="auto"/>
                <w:highlight w:val="none"/>
                <w:lang w:val="en-US"/>
              </w:rPr>
              <w:t>滁州市</w:t>
            </w:r>
            <w:r>
              <w:rPr>
                <w:rFonts w:hint="eastAsia" w:ascii="宋体" w:hAnsi="宋体" w:eastAsia="宋体" w:cs="宋体"/>
                <w:b w:val="0"/>
                <w:bCs w:val="0"/>
                <w:color w:val="auto"/>
                <w:highlight w:val="none"/>
              </w:rPr>
              <w:t>公共资源交易监督管理局将依法对中标人进行处理，追究相关责任：</w:t>
            </w:r>
          </w:p>
          <w:p w14:paraId="7B50A0D4">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①招标文件载明在规定期限内中标人应领取《中标通知书》，若中标人未在规定期限内领取《中标通知书》，招标人有权取消中标人中标资格，并将相关违约行为报送监管部门，实施信用惩戒；</w:t>
            </w:r>
          </w:p>
          <w:p w14:paraId="6B4D86F9">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②中标人应在规定期限内提交履约担保并与招标人签订合同， 若中标人未能在规定期限内提交履约担保或签订合同，招标人有权取消中标人中标资格，并将相关违约行为报送监管部门，记不良行为记录，实施信用惩戒；</w:t>
            </w:r>
          </w:p>
          <w:p w14:paraId="6DA0FCB1">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③合同签订后，中标人存在规定时间内不组织人员进场开工、不履行供货安装义务等情况，招标人有权解除合同，并追究违约责任，同时将相关违约行为报送监管部门，记不良行为记录， 实施信用惩戒；</w:t>
            </w:r>
          </w:p>
          <w:p w14:paraId="0E269B66">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④中标人中标后被监管部门查实存在违法行为，不满足中标条件的，中标无效，并做好项目后</w:t>
            </w:r>
            <w:r>
              <w:rPr>
                <w:rFonts w:hint="eastAsia" w:ascii="宋体" w:hAnsi="宋体" w:eastAsia="宋体" w:cs="宋体"/>
                <w:b w:val="0"/>
                <w:bCs w:val="0"/>
                <w:color w:val="auto"/>
                <w:highlight w:val="none"/>
                <w:lang w:val="en-US" w:eastAsia="zh-CN"/>
              </w:rPr>
              <w:t>续工作；</w:t>
            </w:r>
          </w:p>
          <w:p w14:paraId="3219368F">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⑤中标人在中标项目发生投诉、信访举报案件、履约存在争议时，拒绝协助配合执法部门调查案件的，招标人可以取消其中标资格或解除合同。</w:t>
            </w:r>
          </w:p>
          <w:p w14:paraId="2B5DFB96">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eastAsia="宋体"/>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本项目严禁非法转包，一经发现，招标人依法追究其相应责任和因此带来的损失，上报招标和物业主管部门。</w:t>
            </w:r>
          </w:p>
        </w:tc>
      </w:tr>
      <w:tr w14:paraId="1864D1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926" w:type="dxa"/>
            <w:gridSpan w:val="2"/>
            <w:noWrap w:val="0"/>
            <w:vAlign w:val="center"/>
          </w:tcPr>
          <w:p w14:paraId="1F8BABE7">
            <w:pPr>
              <w:adjustRightInd w:val="0"/>
              <w:snapToGrid w:val="0"/>
              <w:spacing w:line="560" w:lineRule="exact"/>
              <w:jc w:val="center"/>
              <w:rPr>
                <w:rFonts w:hint="eastAsia" w:ascii="宋体" w:hAnsi="宋体" w:cs="宋体"/>
                <w:bCs/>
                <w:color w:val="auto"/>
                <w:szCs w:val="21"/>
                <w:highlight w:val="none"/>
                <w:lang w:val="en-US" w:eastAsia="zh-CN" w:bidi="ar"/>
              </w:rPr>
            </w:pPr>
            <w:r>
              <w:rPr>
                <w:rFonts w:hint="eastAsia" w:ascii="宋体" w:hAnsi="宋体" w:eastAsia="宋体" w:cs="宋体"/>
                <w:bCs/>
                <w:color w:val="auto"/>
                <w:szCs w:val="21"/>
                <w:highlight w:val="none"/>
                <w:lang w:val="en-US" w:eastAsia="zh-CN" w:bidi="ar"/>
              </w:rPr>
              <w:t>变更招标方式</w:t>
            </w:r>
          </w:p>
        </w:tc>
        <w:tc>
          <w:tcPr>
            <w:tcW w:w="8287" w:type="dxa"/>
            <w:gridSpan w:val="2"/>
            <w:noWrap w:val="0"/>
            <w:vAlign w:val="center"/>
          </w:tcPr>
          <w:p w14:paraId="2BB94A59">
            <w:pPr>
              <w:pStyle w:val="18"/>
              <w:adjustRightInd w:val="0"/>
              <w:snapToGrid w:val="0"/>
              <w:spacing w:after="0" w:line="560"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4"/>
                <w:highlight w:val="none"/>
                <w:lang w:val="en-US" w:eastAsia="zh-CN" w:bidi="ar-SA"/>
              </w:rPr>
              <w:t>按照滁州市公共资源交易监督管理局现行规定执行。</w:t>
            </w:r>
          </w:p>
        </w:tc>
      </w:tr>
    </w:tbl>
    <w:p w14:paraId="17FC3A5C">
      <w:pPr>
        <w:keepNext w:val="0"/>
        <w:keepLines w:val="0"/>
        <w:pageBreakBefore/>
        <w:widowControl w:val="0"/>
        <w:kinsoku/>
        <w:wordWrap/>
        <w:overflowPunct/>
        <w:topLinePunct w:val="0"/>
        <w:autoSpaceDE/>
        <w:autoSpaceDN/>
        <w:bidi w:val="0"/>
        <w:spacing w:line="520" w:lineRule="exact"/>
        <w:ind w:left="0" w:right="0" w:rightChars="0" w:firstLine="562" w:firstLineChars="200"/>
        <w:jc w:val="center"/>
        <w:textAlignment w:val="auto"/>
        <w:outlineLvl w:val="1"/>
        <w:rPr>
          <w:rFonts w:hint="eastAsia" w:ascii="宋体"/>
          <w:b/>
          <w:color w:val="auto"/>
          <w:sz w:val="28"/>
          <w:szCs w:val="32"/>
          <w:highlight w:val="none"/>
        </w:rPr>
      </w:pPr>
      <w:r>
        <w:rPr>
          <w:rFonts w:hint="eastAsia" w:ascii="宋体"/>
          <w:b/>
          <w:color w:val="auto"/>
          <w:sz w:val="28"/>
          <w:szCs w:val="28"/>
          <w:highlight w:val="none"/>
        </w:rPr>
        <w:t>二、投标人须知</w:t>
      </w:r>
      <w:bookmarkEnd w:id="30"/>
      <w:bookmarkEnd w:id="31"/>
      <w:bookmarkEnd w:id="32"/>
    </w:p>
    <w:p w14:paraId="59A760C4">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宋体" w:cs="宋体"/>
          <w:color w:val="auto"/>
          <w:sz w:val="28"/>
          <w:szCs w:val="28"/>
          <w:highlight w:val="none"/>
        </w:rPr>
      </w:pPr>
      <w:bookmarkStart w:id="33" w:name="_Toc449028867"/>
      <w:r>
        <w:rPr>
          <w:rFonts w:hint="eastAsia" w:ascii="宋体" w:hAnsi="宋体" w:cs="宋体"/>
          <w:b/>
          <w:color w:val="auto"/>
          <w:sz w:val="28"/>
          <w:szCs w:val="28"/>
          <w:highlight w:val="none"/>
        </w:rPr>
        <w:t>（一）总  则</w:t>
      </w:r>
      <w:bookmarkEnd w:id="33"/>
    </w:p>
    <w:p w14:paraId="6492EDE6">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38EDAC21">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1.1本次招标项目名称：见投标人须知前附表。</w:t>
      </w:r>
    </w:p>
    <w:p w14:paraId="011D3294">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项目编号：见投标人须知前附表。</w:t>
      </w:r>
    </w:p>
    <w:p w14:paraId="11619798">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招标人：见投标人须知前附表。</w:t>
      </w:r>
    </w:p>
    <w:p w14:paraId="19E8D5CA">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rPr>
        <w:t>：见投标人须知前附表。</w:t>
      </w:r>
    </w:p>
    <w:p w14:paraId="0C669E7F">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服务地点：见投标人须知前附表。</w:t>
      </w:r>
    </w:p>
    <w:p w14:paraId="40F739B1">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1.2招标人及联系人: 见投标人须知前附表。</w:t>
      </w:r>
    </w:p>
    <w:p w14:paraId="13FF1C4E">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代理机构及联系人：见投标人须知前附表。</w:t>
      </w:r>
    </w:p>
    <w:p w14:paraId="39282F29">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1.3资金来源：见投标人须知前附表。</w:t>
      </w:r>
    </w:p>
    <w:p w14:paraId="23DB64E1">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1.4本项目预算：见投标人须知前附表。</w:t>
      </w:r>
    </w:p>
    <w:p w14:paraId="1DEF7C09">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1.5本项目最高限价：见投标人须知前附表。</w:t>
      </w:r>
    </w:p>
    <w:p w14:paraId="01FF42CC">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48430507">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2.1 采购内容：详见《采购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w:t>
      </w:r>
    </w:p>
    <w:p w14:paraId="1C52C973">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 技术要求：详见《采购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w:t>
      </w:r>
    </w:p>
    <w:p w14:paraId="7F588BF0">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7F1FF8C3">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0DF8674A">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F78C8A7">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02D21700">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27991E1A">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固定单价</w:t>
      </w:r>
      <w:r>
        <w:rPr>
          <w:rFonts w:hint="eastAsia" w:ascii="宋体" w:hAnsi="宋体" w:cs="宋体"/>
          <w:color w:val="auto"/>
          <w:szCs w:val="21"/>
          <w:highlight w:val="none"/>
          <w:u w:val="single"/>
        </w:rPr>
        <w:t xml:space="preserve"> 。</w:t>
      </w:r>
    </w:p>
    <w:p w14:paraId="6A599FE1">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30D75714">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w:t>
      </w:r>
      <w:r>
        <w:rPr>
          <w:rFonts w:hint="eastAsia" w:ascii="宋体"/>
          <w:b/>
          <w:bCs/>
          <w:szCs w:val="21"/>
          <w:highlight w:val="none"/>
          <w:u w:val="single"/>
          <w:lang w:val="en-US" w:eastAsia="zh-CN"/>
        </w:rPr>
        <w:t>综合评分法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158EDE88">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1DB2CAB0">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7.1</w:t>
      </w:r>
      <w:r>
        <w:rPr>
          <w:rFonts w:hint="eastAsia" w:ascii="宋体"/>
          <w:color w:val="auto"/>
          <w:szCs w:val="21"/>
          <w:highlight w:val="none"/>
        </w:rPr>
        <w:t>详见投标人须知前附表。</w:t>
      </w:r>
    </w:p>
    <w:p w14:paraId="2CAF70C2">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735E33A1">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8.1投标人准备和参加投标活动发生费用的自理。</w:t>
      </w:r>
    </w:p>
    <w:p w14:paraId="66CB97C4">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9.</w:t>
      </w:r>
      <w:bookmarkStart w:id="34" w:name="_Toc152045539"/>
      <w:bookmarkStart w:id="35" w:name="_Toc296602429"/>
      <w:bookmarkStart w:id="36" w:name="_Toc152042315"/>
      <w:bookmarkStart w:id="37" w:name="_Toc247527563"/>
      <w:bookmarkStart w:id="38" w:name="_Toc247513962"/>
      <w:bookmarkStart w:id="39" w:name="_Toc144974507"/>
      <w:bookmarkStart w:id="40" w:name="_Toc247592876"/>
      <w:r>
        <w:rPr>
          <w:rFonts w:hint="eastAsia" w:ascii="宋体" w:hAnsi="宋体" w:cs="宋体"/>
          <w:b/>
          <w:color w:val="auto"/>
          <w:szCs w:val="21"/>
          <w:highlight w:val="none"/>
        </w:rPr>
        <w:t xml:space="preserve"> 踏勘现场</w:t>
      </w:r>
      <w:bookmarkEnd w:id="34"/>
      <w:bookmarkEnd w:id="35"/>
      <w:bookmarkEnd w:id="36"/>
      <w:bookmarkEnd w:id="37"/>
      <w:bookmarkEnd w:id="38"/>
      <w:bookmarkEnd w:id="39"/>
      <w:bookmarkEnd w:id="40"/>
    </w:p>
    <w:p w14:paraId="01E73A6E">
      <w:pPr>
        <w:spacing w:line="440" w:lineRule="exact"/>
        <w:ind w:firstLine="409" w:firstLineChars="195"/>
        <w:rPr>
          <w:rFonts w:hint="eastAsia" w:ascii="宋体"/>
          <w:szCs w:val="21"/>
          <w:highlight w:val="none"/>
        </w:rPr>
      </w:pPr>
      <w:bookmarkStart w:id="41" w:name="_Toc247592877"/>
      <w:bookmarkStart w:id="42" w:name="_Toc144974508"/>
      <w:bookmarkStart w:id="43" w:name="_Toc152045540"/>
      <w:bookmarkStart w:id="44" w:name="_Toc247513963"/>
      <w:bookmarkStart w:id="45" w:name="_Toc152042316"/>
      <w:bookmarkStart w:id="46" w:name="_Toc247527564"/>
      <w:bookmarkStart w:id="47" w:name="_Toc296602430"/>
      <w:r>
        <w:rPr>
          <w:rFonts w:hint="eastAsia" w:ascii="宋体"/>
          <w:szCs w:val="21"/>
          <w:highlight w:val="none"/>
        </w:rPr>
        <w:t xml:space="preserve">9.1 投标人须知前附表规定组织踏勘现场的，招标人按投标人须知前附表规定的时间、地点组织投标人踏勘项目现场。 </w:t>
      </w:r>
    </w:p>
    <w:p w14:paraId="51E94A31">
      <w:pPr>
        <w:spacing w:line="440" w:lineRule="exact"/>
        <w:ind w:firstLine="409" w:firstLineChars="195"/>
        <w:outlineLvl w:val="4"/>
        <w:rPr>
          <w:rFonts w:hint="eastAsia" w:ascii="宋体"/>
          <w:szCs w:val="21"/>
          <w:highlight w:val="none"/>
        </w:rPr>
      </w:pPr>
      <w:r>
        <w:rPr>
          <w:rFonts w:hint="eastAsia" w:ascii="宋体"/>
          <w:szCs w:val="21"/>
          <w:highlight w:val="none"/>
        </w:rPr>
        <w:t>9.2 投标人踏勘现场发生的费用自理。</w:t>
      </w:r>
    </w:p>
    <w:p w14:paraId="5787C7AB">
      <w:pPr>
        <w:spacing w:line="440" w:lineRule="exact"/>
        <w:ind w:firstLine="409" w:firstLineChars="195"/>
        <w:rPr>
          <w:rFonts w:hint="eastAsia" w:ascii="宋体"/>
          <w:szCs w:val="21"/>
          <w:highlight w:val="none"/>
        </w:rPr>
      </w:pPr>
      <w:r>
        <w:rPr>
          <w:rFonts w:hint="eastAsia" w:ascii="宋体"/>
          <w:szCs w:val="21"/>
          <w:highlight w:val="none"/>
        </w:rPr>
        <w:t>9.3 除招标人的原因外，投标人自行负责在踏勘现场中所发生的人员伤亡和财产损失。</w:t>
      </w:r>
    </w:p>
    <w:p w14:paraId="127484FA">
      <w:pPr>
        <w:spacing w:line="440" w:lineRule="exact"/>
        <w:ind w:firstLine="409" w:firstLineChars="195"/>
        <w:rPr>
          <w:rFonts w:hint="eastAsia" w:ascii="宋体"/>
          <w:szCs w:val="21"/>
          <w:highlight w:val="none"/>
        </w:rPr>
      </w:pPr>
      <w:r>
        <w:rPr>
          <w:rFonts w:hint="eastAsia" w:ascii="宋体"/>
          <w:szCs w:val="21"/>
          <w:highlight w:val="none"/>
        </w:rPr>
        <w:t>9.4 招标人在踏勘现场中介绍的场地和相关的周边环境情况，供投标人在编制投标文件时参考，招标人不对投标人据此作出的判断和决策负责。</w:t>
      </w:r>
    </w:p>
    <w:p w14:paraId="115A2503">
      <w:pPr>
        <w:spacing w:line="440" w:lineRule="exact"/>
        <w:ind w:firstLine="409" w:firstLineChars="195"/>
        <w:rPr>
          <w:rFonts w:hint="eastAsia" w:ascii="宋体"/>
          <w:szCs w:val="21"/>
          <w:highlight w:val="none"/>
        </w:rPr>
      </w:pPr>
      <w:r>
        <w:rPr>
          <w:rFonts w:hint="eastAsia" w:ascii="宋体"/>
          <w:szCs w:val="21"/>
          <w:highlight w:val="none"/>
        </w:rPr>
        <w:t>9.5无论投标人是否到现场实地踏勘，中标后签订合同时和履约过程中，投标人不得以不完全了解现场情况或现场情况与招标文件描述不一致等为由，提出任何形式的增加</w:t>
      </w:r>
      <w:r>
        <w:rPr>
          <w:rFonts w:hint="eastAsia" w:ascii="宋体"/>
          <w:szCs w:val="21"/>
          <w:highlight w:val="none"/>
          <w:lang w:val="en-US" w:eastAsia="zh-CN"/>
        </w:rPr>
        <w:t>合同价</w:t>
      </w:r>
      <w:r>
        <w:rPr>
          <w:rFonts w:hint="eastAsia" w:ascii="宋体"/>
          <w:szCs w:val="21"/>
          <w:highlight w:val="none"/>
        </w:rPr>
        <w:t>或索赔的要求。</w:t>
      </w:r>
    </w:p>
    <w:p w14:paraId="62EE7203">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41"/>
      <w:bookmarkEnd w:id="42"/>
      <w:bookmarkEnd w:id="43"/>
      <w:bookmarkEnd w:id="44"/>
      <w:bookmarkEnd w:id="45"/>
      <w:bookmarkEnd w:id="46"/>
      <w:bookmarkEnd w:id="47"/>
      <w:r>
        <w:rPr>
          <w:rFonts w:hint="eastAsia" w:ascii="宋体" w:hAnsi="宋体" w:cs="宋体"/>
          <w:b/>
          <w:color w:val="auto"/>
          <w:szCs w:val="21"/>
          <w:highlight w:val="none"/>
        </w:rPr>
        <w:t>（本项目不采用）</w:t>
      </w:r>
    </w:p>
    <w:p w14:paraId="28829E1F">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10.1投标人须知前附表规定召开投标预备会的，招标人按投标人须知前附表规定的时间和地点召开投标预备会，澄清投标人提出的问题。</w:t>
      </w:r>
    </w:p>
    <w:p w14:paraId="35116F54">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11. 联合投标</w:t>
      </w:r>
    </w:p>
    <w:p w14:paraId="29F0B60A">
      <w:pPr>
        <w:pStyle w:val="14"/>
        <w:spacing w:after="0" w:line="400" w:lineRule="exact"/>
        <w:ind w:left="0" w:leftChars="0" w:firstLine="424" w:firstLineChars="202"/>
        <w:outlineLvl w:val="4"/>
        <w:rPr>
          <w:rFonts w:hint="eastAsia"/>
          <w:bCs/>
          <w:szCs w:val="21"/>
          <w:highlight w:val="none"/>
        </w:rPr>
      </w:pPr>
      <w:r>
        <w:rPr>
          <w:rFonts w:hint="eastAsia" w:ascii="宋体"/>
          <w:bCs/>
          <w:szCs w:val="21"/>
          <w:highlight w:val="none"/>
        </w:rPr>
        <w:t>11.1本项</w:t>
      </w:r>
      <w:r>
        <w:rPr>
          <w:rFonts w:hint="eastAsia"/>
          <w:bCs/>
          <w:szCs w:val="21"/>
          <w:highlight w:val="none"/>
        </w:rPr>
        <w:t xml:space="preserve">目不接受联合体投标。 </w:t>
      </w:r>
    </w:p>
    <w:p w14:paraId="437BE954">
      <w:pPr>
        <w:spacing w:line="440" w:lineRule="exact"/>
        <w:ind w:firstLine="413" w:firstLineChars="196"/>
        <w:jc w:val="left"/>
        <w:outlineLvl w:val="3"/>
        <w:rPr>
          <w:rFonts w:hint="eastAsia" w:ascii="宋体"/>
          <w:b/>
          <w:szCs w:val="21"/>
          <w:highlight w:val="none"/>
        </w:rPr>
      </w:pPr>
      <w:r>
        <w:rPr>
          <w:rFonts w:hint="eastAsia" w:ascii="宋体"/>
          <w:b/>
          <w:szCs w:val="21"/>
          <w:highlight w:val="none"/>
        </w:rPr>
        <w:t>12.招标代理服务费和专家评审劳务费</w:t>
      </w:r>
    </w:p>
    <w:p w14:paraId="2E561213">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12.1 本项目的招标代理服务费详见投标人须知前附表。</w:t>
      </w:r>
    </w:p>
    <w:p w14:paraId="229833FC">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12.2本项目的专家评审劳务费详见投标人须知前附表。</w:t>
      </w:r>
    </w:p>
    <w:p w14:paraId="0B7405D3">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08ED4082">
      <w:pPr>
        <w:spacing w:line="360" w:lineRule="auto"/>
        <w:ind w:firstLine="420" w:firstLineChars="200"/>
        <w:rPr>
          <w:rFonts w:hint="eastAsia" w:ascii="宋体"/>
          <w:szCs w:val="21"/>
          <w:highlight w:val="none"/>
        </w:rPr>
      </w:pPr>
      <w:r>
        <w:rPr>
          <w:rFonts w:hint="eastAsia" w:ascii="宋体"/>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297320CE">
      <w:pPr>
        <w:spacing w:line="360" w:lineRule="auto"/>
        <w:ind w:firstLine="420" w:firstLineChars="200"/>
        <w:rPr>
          <w:rFonts w:hint="eastAsia" w:ascii="宋体"/>
          <w:szCs w:val="21"/>
          <w:highlight w:val="none"/>
        </w:rPr>
      </w:pPr>
      <w:r>
        <w:rPr>
          <w:rFonts w:hint="eastAsia" w:ascii="宋体"/>
          <w:szCs w:val="21"/>
          <w:highlight w:val="none"/>
        </w:rPr>
        <w:t>13.2投标人对采购内容中规定的</w:t>
      </w:r>
      <w:r>
        <w:rPr>
          <w:rFonts w:hint="eastAsia" w:ascii="宋体"/>
          <w:szCs w:val="21"/>
          <w:highlight w:val="none"/>
          <w:lang w:eastAsia="zh-CN"/>
        </w:rPr>
        <w:t>采购需求及服务要求</w:t>
      </w:r>
      <w:r>
        <w:rPr>
          <w:rFonts w:hint="eastAsia" w:ascii="宋体"/>
          <w:szCs w:val="21"/>
          <w:highlight w:val="none"/>
        </w:rPr>
        <w:t>等必须满足招标文件的相关要求。</w:t>
      </w:r>
    </w:p>
    <w:p w14:paraId="078E8C0A">
      <w:pPr>
        <w:spacing w:line="440" w:lineRule="exact"/>
        <w:ind w:firstLine="411" w:firstLineChars="196"/>
        <w:rPr>
          <w:rFonts w:ascii="宋体"/>
          <w:bCs/>
          <w:szCs w:val="21"/>
          <w:highlight w:val="none"/>
        </w:rPr>
      </w:pPr>
      <w:r>
        <w:rPr>
          <w:rFonts w:hint="eastAsia" w:ascii="宋体"/>
          <w:bCs/>
          <w:szCs w:val="21"/>
          <w:highlight w:val="none"/>
        </w:rPr>
        <w:t>13.3 所有投标人的投标保证金都应在招标文件规定的投标保证金缴纳截止日期前缴纳，银行转账形式的以资金到账时间为准。</w:t>
      </w:r>
    </w:p>
    <w:p w14:paraId="104406C3">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4</w:t>
      </w:r>
      <w:r>
        <w:rPr>
          <w:rFonts w:hint="eastAsia" w:ascii="宋体" w:hAnsi="宋体" w:cs="宋体"/>
          <w:bCs/>
          <w:color w:val="auto"/>
          <w:szCs w:val="21"/>
          <w:highlight w:val="none"/>
        </w:rPr>
        <w:t>单位负责人为同一人或者存在直接控股、管理关系的</w:t>
      </w:r>
      <w:r>
        <w:rPr>
          <w:rFonts w:hint="eastAsia" w:ascii="宋体" w:hAnsi="宋体" w:eastAsia="宋体" w:cs="宋体"/>
          <w:bCs/>
          <w:color w:val="auto"/>
          <w:szCs w:val="21"/>
          <w:highlight w:val="none"/>
        </w:rPr>
        <w:t>不同投标人</w:t>
      </w:r>
      <w:r>
        <w:rPr>
          <w:rFonts w:hint="eastAsia" w:ascii="宋体" w:hAnsi="宋体" w:eastAsia="宋体" w:cs="宋体"/>
          <w:bCs/>
          <w:color w:val="auto"/>
          <w:szCs w:val="21"/>
          <w:highlight w:val="none"/>
          <w:lang w:val="en-US" w:eastAsia="zh-CN"/>
        </w:rPr>
        <w:t>（包含法定代表人为同一个人的两个及两个以上法人，母公司、全资子公司及其控股公司）</w:t>
      </w:r>
      <w:r>
        <w:rPr>
          <w:rFonts w:hint="eastAsia" w:ascii="宋体" w:hAnsi="宋体" w:cs="宋体"/>
          <w:bCs/>
          <w:color w:val="auto"/>
          <w:szCs w:val="21"/>
          <w:highlight w:val="none"/>
        </w:rPr>
        <w:t>，不得参加同一合同项下的采购活动。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15490E12">
      <w:pPr>
        <w:spacing w:line="400" w:lineRule="exact"/>
        <w:ind w:firstLine="417" w:firstLineChars="199"/>
        <w:jc w:val="left"/>
        <w:rPr>
          <w:rFonts w:hint="eastAsia" w:ascii="宋体"/>
          <w:szCs w:val="21"/>
          <w:highlight w:val="none"/>
        </w:rPr>
      </w:pPr>
      <w:r>
        <w:rPr>
          <w:rFonts w:hint="eastAsia" w:ascii="宋体"/>
          <w:szCs w:val="21"/>
          <w:highlight w:val="none"/>
        </w:rPr>
        <w:t>13.5投标人被视为充分熟悉本招标项目所在地的与履行合同有关的各种情况，包括但不限于：</w:t>
      </w:r>
    </w:p>
    <w:p w14:paraId="47D5EF0F">
      <w:pPr>
        <w:spacing w:line="400" w:lineRule="exact"/>
        <w:ind w:firstLine="315" w:firstLineChars="150"/>
        <w:rPr>
          <w:rFonts w:hint="eastAsia" w:ascii="宋体"/>
          <w:szCs w:val="21"/>
          <w:highlight w:val="none"/>
        </w:rPr>
      </w:pPr>
      <w:r>
        <w:rPr>
          <w:rFonts w:hint="eastAsia" w:ascii="宋体"/>
          <w:szCs w:val="21"/>
          <w:highlight w:val="none"/>
        </w:rPr>
        <w:t>（1）国家对本次投标货物和服务的生产、安装调试、验收、维修等有关法律、法规及行业管理标准；</w:t>
      </w:r>
    </w:p>
    <w:p w14:paraId="521F7F5D">
      <w:pPr>
        <w:spacing w:line="400" w:lineRule="exact"/>
        <w:ind w:firstLine="315" w:firstLineChars="150"/>
        <w:outlineLvl w:val="4"/>
        <w:rPr>
          <w:rFonts w:hint="eastAsia" w:ascii="宋体"/>
          <w:szCs w:val="21"/>
          <w:highlight w:val="none"/>
        </w:rPr>
      </w:pPr>
      <w:r>
        <w:rPr>
          <w:rFonts w:hint="eastAsia" w:ascii="宋体"/>
          <w:szCs w:val="21"/>
          <w:highlight w:val="none"/>
        </w:rPr>
        <w:t>（2）安徽省及滁州市等有关管理部门的相关规定；</w:t>
      </w:r>
    </w:p>
    <w:p w14:paraId="6C56B5CF">
      <w:pPr>
        <w:spacing w:line="400" w:lineRule="exact"/>
        <w:ind w:firstLine="315" w:firstLineChars="150"/>
        <w:rPr>
          <w:rFonts w:hint="eastAsia" w:ascii="宋体"/>
          <w:szCs w:val="21"/>
          <w:highlight w:val="none"/>
        </w:rPr>
      </w:pPr>
      <w:r>
        <w:rPr>
          <w:rFonts w:hint="eastAsia" w:ascii="宋体"/>
          <w:szCs w:val="21"/>
          <w:highlight w:val="none"/>
        </w:rPr>
        <w:t>（3）招标人的相关场地情况、基础建设、电力供应情况及相关设计标准。</w:t>
      </w:r>
    </w:p>
    <w:p w14:paraId="015FBC9E">
      <w:pPr>
        <w:spacing w:line="400" w:lineRule="exact"/>
        <w:ind w:firstLine="315" w:firstLineChars="150"/>
        <w:rPr>
          <w:rFonts w:ascii="宋体"/>
          <w:szCs w:val="21"/>
          <w:highlight w:val="none"/>
        </w:rPr>
      </w:pPr>
      <w:r>
        <w:rPr>
          <w:rFonts w:hint="eastAsia" w:ascii="宋体"/>
          <w:szCs w:val="21"/>
          <w:highlight w:val="none"/>
        </w:rPr>
        <w:t>本招标文件不再对上述情况进行描述。</w:t>
      </w:r>
    </w:p>
    <w:p w14:paraId="2B4F81C3">
      <w:pPr>
        <w:spacing w:line="400" w:lineRule="exact"/>
        <w:ind w:firstLine="420" w:firstLineChars="200"/>
        <w:rPr>
          <w:rFonts w:hint="eastAsia" w:ascii="宋体"/>
          <w:szCs w:val="21"/>
          <w:highlight w:val="none"/>
        </w:rPr>
      </w:pPr>
      <w:r>
        <w:rPr>
          <w:rFonts w:hint="eastAsia" w:ascii="宋体"/>
          <w:szCs w:val="21"/>
          <w:highlight w:val="none"/>
        </w:rPr>
        <w:t>13.6 凡投标人在我市公共资源交易活动中出现违法违规、破坏市场秩序等不良行为且被监管部门处罚的，一律在滁州市公共资源交易网等相关网站曝光。</w:t>
      </w:r>
    </w:p>
    <w:p w14:paraId="51B72F4F">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szCs w:val="21"/>
          <w:highlight w:val="none"/>
        </w:rPr>
      </w:pPr>
      <w:r>
        <w:rPr>
          <w:rFonts w:hint="eastAsia" w:ascii="宋体"/>
          <w:szCs w:val="21"/>
          <w:highlight w:val="none"/>
        </w:rPr>
        <w:t>13.7 投标人的不良行为、失信行为及行政处罚等效力不因企业名称的变更而改变。</w:t>
      </w:r>
    </w:p>
    <w:p w14:paraId="14BCBB16">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14.保密</w:t>
      </w:r>
    </w:p>
    <w:p w14:paraId="36099CED">
      <w:pPr>
        <w:pStyle w:val="13"/>
        <w:keepNext w:val="0"/>
        <w:keepLines w:val="0"/>
        <w:widowControl w:val="0"/>
        <w:kinsoku/>
        <w:wordWrap/>
        <w:overflowPunct/>
        <w:topLinePunct w:val="0"/>
        <w:autoSpaceDE/>
        <w:autoSpaceDN/>
        <w:bidi w:val="0"/>
        <w:spacing w:after="0" w:afterLines="0" w:line="520" w:lineRule="exact"/>
        <w:ind w:left="0" w:leftChars="0"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参与招标投标活动的各方应对招标文件和投标文件中的商业和技术等秘密保密，违者应对由此造成的后果承担法律责任。 </w:t>
      </w:r>
    </w:p>
    <w:p w14:paraId="4C9A1897">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宋体" w:cs="宋体"/>
          <w:b/>
          <w:color w:val="auto"/>
          <w:sz w:val="28"/>
          <w:szCs w:val="28"/>
          <w:highlight w:val="none"/>
        </w:rPr>
      </w:pPr>
      <w:bookmarkStart w:id="48" w:name="_Toc449028868"/>
      <w:r>
        <w:rPr>
          <w:rFonts w:hint="eastAsia" w:ascii="宋体" w:hAnsi="宋体" w:cs="宋体"/>
          <w:b/>
          <w:color w:val="auto"/>
          <w:sz w:val="28"/>
          <w:szCs w:val="28"/>
          <w:highlight w:val="none"/>
        </w:rPr>
        <w:t>（二）</w:t>
      </w:r>
      <w:bookmarkEnd w:id="48"/>
      <w:r>
        <w:rPr>
          <w:rFonts w:hint="eastAsia" w:ascii="宋体" w:hAnsi="宋体" w:cs="宋体"/>
          <w:b/>
          <w:color w:val="auto"/>
          <w:sz w:val="28"/>
          <w:szCs w:val="28"/>
          <w:highlight w:val="none"/>
        </w:rPr>
        <w:t>招标文件</w:t>
      </w:r>
    </w:p>
    <w:p w14:paraId="41CB1FE6">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15. 招标文件的编制依据</w:t>
      </w:r>
    </w:p>
    <w:p w14:paraId="359AA3EB">
      <w:pPr>
        <w:keepNext w:val="0"/>
        <w:keepLines w:val="0"/>
        <w:widowControl w:val="0"/>
        <w:kinsoku/>
        <w:wordWrap/>
        <w:overflowPunct/>
        <w:topLinePunct w:val="0"/>
        <w:autoSpaceDE/>
        <w:autoSpaceDN/>
        <w:bidi w:val="0"/>
        <w:spacing w:line="520" w:lineRule="exact"/>
        <w:ind w:left="0" w:right="0" w:rightChars="0" w:firstLine="420" w:firstLineChars="200"/>
        <w:textAlignment w:val="auto"/>
        <w:rPr>
          <w:rFonts w:hint="eastAsia" w:ascii="宋体"/>
          <w:color w:val="auto"/>
          <w:szCs w:val="21"/>
          <w:highlight w:val="none"/>
        </w:rPr>
      </w:pPr>
      <w:r>
        <w:rPr>
          <w:rFonts w:hint="eastAsia" w:ascii="宋体"/>
          <w:color w:val="auto"/>
          <w:szCs w:val="21"/>
          <w:highlight w:val="none"/>
        </w:rPr>
        <w:t>根据</w:t>
      </w:r>
      <w:r>
        <w:rPr>
          <w:rFonts w:hint="eastAsia"/>
          <w:color w:val="auto"/>
          <w:highlight w:val="none"/>
        </w:rPr>
        <w:t>《中华人民共和国招标投标法》、《中华人民共和国招标投标法实施条例》</w:t>
      </w:r>
      <w:r>
        <w:rPr>
          <w:rFonts w:hint="eastAsia" w:ascii="宋体"/>
          <w:color w:val="auto"/>
          <w:szCs w:val="21"/>
          <w:highlight w:val="none"/>
        </w:rPr>
        <w:t>和</w:t>
      </w:r>
      <w:r>
        <w:rPr>
          <w:rFonts w:hint="eastAsia"/>
          <w:color w:val="auto"/>
          <w:highlight w:val="none"/>
        </w:rPr>
        <w:t>《中华人民共和国民法典》</w:t>
      </w:r>
      <w:r>
        <w:rPr>
          <w:rFonts w:hint="eastAsia" w:ascii="宋体"/>
          <w:color w:val="auto"/>
          <w:spacing w:val="-2"/>
          <w:szCs w:val="21"/>
          <w:highlight w:val="none"/>
        </w:rPr>
        <w:t>等相关法律法规和规章及部、省、市级规范性文件的规定，编制本招标文件。</w:t>
      </w:r>
    </w:p>
    <w:p w14:paraId="1CD1984A">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16. 招标文件的组成</w:t>
      </w:r>
    </w:p>
    <w:p w14:paraId="6675106B">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16.1 招标文件包括内容：</w:t>
      </w:r>
    </w:p>
    <w:p w14:paraId="77A92DD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szCs w:val="21"/>
          <w:highlight w:val="none"/>
        </w:rPr>
      </w:pPr>
      <w:r>
        <w:rPr>
          <w:rFonts w:hint="eastAsia" w:ascii="宋体"/>
          <w:szCs w:val="21"/>
          <w:highlight w:val="none"/>
        </w:rPr>
        <w:t>第一章  招标公告</w:t>
      </w:r>
    </w:p>
    <w:p w14:paraId="4A470D8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szCs w:val="21"/>
          <w:highlight w:val="none"/>
        </w:rPr>
      </w:pPr>
      <w:r>
        <w:rPr>
          <w:rFonts w:hint="eastAsia" w:ascii="宋体"/>
          <w:szCs w:val="21"/>
          <w:highlight w:val="none"/>
        </w:rPr>
        <w:t>第二章  投标人须知</w:t>
      </w:r>
    </w:p>
    <w:p w14:paraId="5BE4D0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szCs w:val="21"/>
          <w:highlight w:val="none"/>
        </w:rPr>
      </w:pPr>
      <w:r>
        <w:rPr>
          <w:rFonts w:hint="eastAsia" w:ascii="宋体"/>
          <w:szCs w:val="21"/>
          <w:highlight w:val="none"/>
        </w:rPr>
        <w:t>第三章  资格审查办法</w:t>
      </w:r>
    </w:p>
    <w:p w14:paraId="76D94C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szCs w:val="21"/>
          <w:highlight w:val="none"/>
        </w:rPr>
      </w:pPr>
      <w:r>
        <w:rPr>
          <w:rFonts w:hint="eastAsia" w:ascii="宋体"/>
          <w:szCs w:val="21"/>
          <w:highlight w:val="none"/>
        </w:rPr>
        <w:t>第四章  评标办法</w:t>
      </w:r>
    </w:p>
    <w:p w14:paraId="07BBCA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eastAsia="宋体"/>
          <w:szCs w:val="21"/>
          <w:highlight w:val="none"/>
          <w:lang w:eastAsia="zh-CN"/>
        </w:rPr>
      </w:pPr>
      <w:r>
        <w:rPr>
          <w:rFonts w:hint="eastAsia" w:ascii="宋体"/>
          <w:szCs w:val="21"/>
          <w:highlight w:val="none"/>
        </w:rPr>
        <w:t xml:space="preserve">第五章  </w:t>
      </w:r>
      <w:r>
        <w:rPr>
          <w:rFonts w:hint="eastAsia" w:ascii="宋体" w:hAnsi="宋体" w:cs="宋体"/>
          <w:szCs w:val="21"/>
          <w:highlight w:val="none"/>
          <w:lang w:eastAsia="zh-CN"/>
        </w:rPr>
        <w:t>采购需求及服务要求</w:t>
      </w:r>
    </w:p>
    <w:p w14:paraId="7BA0347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szCs w:val="21"/>
          <w:highlight w:val="none"/>
        </w:rPr>
      </w:pPr>
      <w:r>
        <w:rPr>
          <w:rFonts w:hint="eastAsia" w:ascii="宋体"/>
          <w:szCs w:val="21"/>
          <w:highlight w:val="none"/>
        </w:rPr>
        <w:t>第六章  合同条款及格式</w:t>
      </w:r>
    </w:p>
    <w:p w14:paraId="7E79E68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szCs w:val="21"/>
          <w:highlight w:val="none"/>
        </w:rPr>
      </w:pPr>
      <w:r>
        <w:rPr>
          <w:rFonts w:hint="eastAsia" w:ascii="宋体"/>
          <w:szCs w:val="21"/>
          <w:highlight w:val="none"/>
        </w:rPr>
        <w:t>第七章  投标文件格式</w:t>
      </w:r>
    </w:p>
    <w:p w14:paraId="5C34D88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ighlight w:val="none"/>
        </w:rPr>
      </w:pPr>
      <w:r>
        <w:rPr>
          <w:rFonts w:hint="eastAsia" w:ascii="宋体"/>
          <w:szCs w:val="21"/>
          <w:highlight w:val="none"/>
        </w:rPr>
        <w:t>第八章  招标单位、招标代理机构对本招标文件的确认</w:t>
      </w:r>
    </w:p>
    <w:p w14:paraId="5994B7FC">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16.2 除16.1款内容外，招标答疑亦为招标文件的组成部分，对招标人和投标人起约束作用。</w:t>
      </w:r>
    </w:p>
    <w:p w14:paraId="195502F6">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16.3投标人应仔细阅读和检查招标文件的全部内容。如发现缺页或附件不全，应及时向招标人提出，以便补齐。</w:t>
      </w:r>
    </w:p>
    <w:p w14:paraId="6E0DCDF5">
      <w:pPr>
        <w:spacing w:line="440" w:lineRule="exact"/>
        <w:ind w:firstLine="420" w:firstLineChars="200"/>
        <w:rPr>
          <w:rFonts w:hint="eastAsia" w:ascii="宋体"/>
          <w:szCs w:val="21"/>
          <w:highlight w:val="none"/>
        </w:rPr>
      </w:pPr>
      <w:r>
        <w:rPr>
          <w:rFonts w:hint="eastAsia" w:ascii="宋体"/>
          <w:szCs w:val="21"/>
          <w:highlight w:val="none"/>
        </w:rPr>
        <w:t>16.4 当招标文件、招标文件的澄清或修改等在同一内容的表述上不一致时，以最后发出的文件为准。</w:t>
      </w:r>
    </w:p>
    <w:p w14:paraId="4364A38F">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bCs/>
          <w:color w:val="auto"/>
          <w:szCs w:val="21"/>
          <w:highlight w:val="none"/>
        </w:rPr>
      </w:pPr>
      <w:r>
        <w:rPr>
          <w:rFonts w:hint="eastAsia" w:ascii="宋体" w:hAnsi="宋体" w:cs="宋体"/>
          <w:b/>
          <w:bCs/>
          <w:color w:val="auto"/>
          <w:szCs w:val="21"/>
          <w:highlight w:val="none"/>
        </w:rPr>
        <w:t>17. 招标文件的异议、澄清</w:t>
      </w:r>
    </w:p>
    <w:p w14:paraId="77644F71">
      <w:pPr>
        <w:spacing w:line="440" w:lineRule="exact"/>
        <w:ind w:firstLine="420" w:firstLineChars="200"/>
        <w:rPr>
          <w:rFonts w:hint="eastAsia" w:ascii="宋体"/>
          <w:bCs/>
          <w:szCs w:val="21"/>
          <w:highlight w:val="none"/>
        </w:rPr>
      </w:pPr>
      <w:r>
        <w:rPr>
          <w:rFonts w:hint="eastAsia" w:ascii="宋体"/>
          <w:bCs/>
          <w:szCs w:val="21"/>
          <w:highlight w:val="none"/>
        </w:rPr>
        <w:t>17.1投标人或其他利害关系人投标人应仔细阅读和检查招标文件的全部内容，对招标文件有异议的，应在投标截止时间10日前以以投标人须知前附表规定的网上留言或书面形式提出。招标人将在收到异议之日起3日内作出答复；作出答复前，将暂停招标投标活动。</w:t>
      </w:r>
    </w:p>
    <w:p w14:paraId="0AD47FD8">
      <w:pPr>
        <w:spacing w:line="440" w:lineRule="exact"/>
        <w:ind w:firstLine="420" w:firstLineChars="200"/>
        <w:rPr>
          <w:rFonts w:hint="eastAsia" w:ascii="宋体"/>
          <w:bCs/>
          <w:szCs w:val="21"/>
          <w:highlight w:val="none"/>
        </w:rPr>
      </w:pPr>
      <w:r>
        <w:rPr>
          <w:rFonts w:hint="eastAsia" w:ascii="宋体"/>
          <w:bCs/>
          <w:szCs w:val="21"/>
          <w:highlight w:val="none"/>
        </w:rPr>
        <w:t>17.2 招标人可以澄清招标文件，并以以投标人须知前附表规定澄清的方式在滁州市公共资源交易中心网站发布。但如果修改招标文件的时间距投标截止时间不足15天，并且修改内容影响投标文件编制的，将相应延长投标截止时间。</w:t>
      </w:r>
    </w:p>
    <w:p w14:paraId="7ADDC259">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18. 招标文件的发出</w:t>
      </w:r>
    </w:p>
    <w:p w14:paraId="14A209C6">
      <w:pPr>
        <w:spacing w:line="440" w:lineRule="exact"/>
        <w:ind w:firstLine="420" w:firstLineChars="200"/>
        <w:rPr>
          <w:rFonts w:hint="eastAsia" w:ascii="宋体"/>
          <w:szCs w:val="21"/>
          <w:highlight w:val="none"/>
        </w:rPr>
      </w:pPr>
      <w:bookmarkStart w:id="49" w:name="_Toc449028869"/>
      <w:r>
        <w:rPr>
          <w:rFonts w:hint="eastAsia" w:ascii="宋体"/>
          <w:szCs w:val="21"/>
          <w:highlight w:val="none"/>
        </w:rPr>
        <w:t>18.1招标文件、招标文件的澄清、修改、补充及招标答疑等均应报公共资源交易监督管理机构备案后，方可发出。</w:t>
      </w:r>
    </w:p>
    <w:p w14:paraId="22DCAD96">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（三）投标文件的编制</w:t>
      </w:r>
      <w:bookmarkEnd w:id="49"/>
    </w:p>
    <w:p w14:paraId="52992190">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eastAsia="zh-CN"/>
        </w:rPr>
        <w:t>19</w:t>
      </w:r>
      <w:r>
        <w:rPr>
          <w:rFonts w:hint="eastAsia" w:ascii="宋体" w:hAnsi="宋体" w:cs="宋体"/>
          <w:b/>
          <w:color w:val="auto"/>
          <w:szCs w:val="21"/>
          <w:highlight w:val="none"/>
        </w:rPr>
        <w:t>. 投标的语言及度量衡单位</w:t>
      </w:r>
    </w:p>
    <w:p w14:paraId="79457D9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.1投标人的投标文件、以及投标人与招标人就投标的所有往来函电，均须使用简体中文。</w:t>
      </w:r>
    </w:p>
    <w:p w14:paraId="1EAB7D46">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.2除招标文件中另有规定外，投标文件所使用的度量衡均须采用法定计量单位。</w:t>
      </w:r>
    </w:p>
    <w:p w14:paraId="650ED2E9">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eastAsia="zh-CN"/>
        </w:rPr>
        <w:t>20</w:t>
      </w:r>
      <w:r>
        <w:rPr>
          <w:rFonts w:hint="eastAsia" w:ascii="宋体" w:hAnsi="宋体" w:cs="宋体"/>
          <w:b/>
          <w:color w:val="auto"/>
          <w:szCs w:val="21"/>
          <w:highlight w:val="none"/>
        </w:rPr>
        <w:t xml:space="preserve">. </w:t>
      </w:r>
      <w:r>
        <w:rPr>
          <w:rFonts w:hint="eastAsia" w:ascii="宋体"/>
          <w:b/>
          <w:bCs/>
          <w:szCs w:val="21"/>
          <w:highlight w:val="none"/>
        </w:rPr>
        <w:t>投标文件的组成、编制</w:t>
      </w:r>
    </w:p>
    <w:p w14:paraId="0092189D">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4"/>
        <w:rPr>
          <w:rFonts w:hint="eastAsia" w:ascii="宋体" w:hAnsi="宋体" w:cs="宋体"/>
          <w:color w:val="auto"/>
          <w:szCs w:val="21"/>
          <w:highlight w:val="none"/>
        </w:rPr>
      </w:pPr>
      <w:r>
        <w:rPr>
          <w:rFonts w:hint="eastAsia" w:ascii="宋体" w:hAnsi="宋体" w:cs="宋体"/>
          <w:b/>
          <w:color w:val="auto"/>
          <w:szCs w:val="21"/>
          <w:highlight w:val="none"/>
          <w:lang w:eastAsia="zh-CN"/>
        </w:rPr>
        <w:t>20</w:t>
      </w:r>
      <w:r>
        <w:rPr>
          <w:rFonts w:hint="eastAsia" w:ascii="宋体" w:hAnsi="宋体" w:cs="宋体"/>
          <w:b/>
          <w:color w:val="auto"/>
          <w:szCs w:val="21"/>
          <w:highlight w:val="none"/>
        </w:rPr>
        <w:t>.1投标文件的组成</w:t>
      </w:r>
    </w:p>
    <w:p w14:paraId="70E91817">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投标文件由投标文件一（资信证明文件）、投标文件二（技术标）和投标文件三（商务标）三部分组成。</w:t>
      </w:r>
      <w:r>
        <w:rPr>
          <w:rFonts w:hint="eastAsia" w:ascii="宋体" w:hAnsi="宋体"/>
          <w:b/>
          <w:bCs/>
          <w:szCs w:val="21"/>
          <w:highlight w:val="none"/>
        </w:rPr>
        <w:t>具体详见第七章投标文件格式内容。</w:t>
      </w:r>
    </w:p>
    <w:p w14:paraId="27CADA01">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20</w:t>
      </w:r>
      <w:r>
        <w:rPr>
          <w:rFonts w:hint="eastAsia" w:ascii="宋体" w:hAnsi="宋体" w:eastAsia="宋体" w:cs="宋体"/>
          <w:b/>
          <w:color w:val="auto"/>
          <w:szCs w:val="21"/>
          <w:highlight w:val="none"/>
        </w:rPr>
        <w:t>.2投标文件的编制</w:t>
      </w:r>
    </w:p>
    <w:p w14:paraId="00812834">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.2.1投标文件应按第七章“投标文件格式”进行编写，如有必要，可以增加附页，作为投标文件的组成部分。其中，投标函在满足招标文件实质性要求的基础上，可以提出比招标文件要求更有利于招标人的承诺。</w:t>
      </w:r>
    </w:p>
    <w:p w14:paraId="6EC3B3F0">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.2.2本次投标不需要提供纸质投标文件，投标人应按照电子招标投标的要求，在投标人的电子系统中制作、签章、上传加密的电子投标文件。</w:t>
      </w:r>
    </w:p>
    <w:p w14:paraId="02681648">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.2.3投标文件应当对招标文件有关</w:t>
      </w:r>
      <w:r>
        <w:rPr>
          <w:rFonts w:hint="eastAsia" w:ascii="宋体" w:hAnsi="宋体"/>
          <w:szCs w:val="21"/>
          <w:highlight w:val="none"/>
          <w:lang w:val="en-US" w:eastAsia="zh-CN"/>
        </w:rPr>
        <w:t>服务期</w:t>
      </w:r>
      <w:r>
        <w:rPr>
          <w:rFonts w:hint="eastAsia" w:ascii="宋体" w:hAnsi="宋体"/>
          <w:szCs w:val="21"/>
          <w:highlight w:val="none"/>
        </w:rPr>
        <w:t>、投标有效期、质量要求、技术标准和要求、招标范围等实质性内容作出响应。</w:t>
      </w:r>
    </w:p>
    <w:p w14:paraId="4055DF2A">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2.4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上报公共资源交易监督管理部门处理。</w:t>
      </w:r>
    </w:p>
    <w:p w14:paraId="5DB276B9">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.2.5投标文件的制作应满足以下规定：</w:t>
      </w:r>
    </w:p>
    <w:p w14:paraId="1D1F104E">
      <w:pPr>
        <w:spacing w:line="400" w:lineRule="exact"/>
        <w:rPr>
          <w:rFonts w:hint="eastAsia" w:ascii="宋体" w:hAnsi="宋体"/>
          <w:szCs w:val="21"/>
          <w:highlight w:val="none"/>
        </w:rPr>
      </w:pPr>
      <w:r>
        <w:rPr>
          <w:rFonts w:hint="eastAsia" w:ascii="宋体" w:hAnsi="宋体"/>
          <w:szCs w:val="21"/>
          <w:highlight w:val="none"/>
          <w:lang w:eastAsia="zh-CN"/>
        </w:rPr>
        <w:t>　　</w:t>
      </w:r>
      <w:r>
        <w:rPr>
          <w:rFonts w:hint="eastAsia" w:ascii="宋体" w:hAnsi="宋体"/>
          <w:szCs w:val="21"/>
          <w:highlight w:val="none"/>
        </w:rPr>
        <w:t>（1）投标文件由投标人使用电子交易系统提供的“投标文件制作工具”制作生成。“投标文件制作工具”可以通过电子交易系统下载。</w:t>
      </w:r>
    </w:p>
    <w:p w14:paraId="0CF80224">
      <w:pPr>
        <w:spacing w:line="400" w:lineRule="exact"/>
        <w:ind w:firstLine="420" w:firstLineChars="200"/>
        <w:rPr>
          <w:rFonts w:hint="eastAsia" w:ascii="宋体" w:hAnsi="宋体"/>
          <w:szCs w:val="21"/>
          <w:highlight w:val="none"/>
        </w:rPr>
      </w:pPr>
      <w:r>
        <w:rPr>
          <w:rFonts w:hint="eastAsia" w:ascii="宋体" w:hAnsi="宋体"/>
          <w:szCs w:val="21"/>
          <w:highlight w:val="none"/>
        </w:rPr>
        <w:t>（2）招标文件中“签章”是指签字或盖章。在第七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21AF7352">
      <w:pPr>
        <w:spacing w:line="400" w:lineRule="exact"/>
        <w:ind w:firstLine="420" w:firstLineChars="200"/>
        <w:rPr>
          <w:rFonts w:hint="eastAsia" w:ascii="宋体" w:hAnsi="宋体"/>
          <w:szCs w:val="21"/>
          <w:highlight w:val="none"/>
        </w:rPr>
      </w:pPr>
      <w:r>
        <w:rPr>
          <w:rFonts w:hint="eastAsia" w:ascii="宋体" w:hAnsi="宋体"/>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530F5DFB">
      <w:pPr>
        <w:spacing w:line="400" w:lineRule="exact"/>
        <w:ind w:firstLine="420" w:firstLineChars="200"/>
        <w:rPr>
          <w:rFonts w:hint="eastAsia" w:ascii="宋体" w:hAnsi="宋体"/>
          <w:szCs w:val="21"/>
          <w:highlight w:val="none"/>
        </w:rPr>
      </w:pPr>
      <w:r>
        <w:rPr>
          <w:rFonts w:hint="eastAsia" w:ascii="宋体" w:hAnsi="宋体"/>
          <w:szCs w:val="21"/>
          <w:highlight w:val="none"/>
        </w:rPr>
        <w:t>（4）投标文件制作的具体方法详见“投标文件制作工具”中的帮助文档。</w:t>
      </w:r>
    </w:p>
    <w:p w14:paraId="74BC303D">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.2.6 因投标人自身原因而导致投标文件无法导入电子交易系统电子开标、评标系统，该投标视为无效投标，投标人自行承担由此导致的全部责任。</w:t>
      </w:r>
    </w:p>
    <w:p w14:paraId="79046E57">
      <w:pPr>
        <w:spacing w:line="400" w:lineRule="exact"/>
        <w:ind w:firstLine="420" w:firstLineChars="200"/>
        <w:rPr>
          <w:rFonts w:ascii="宋体"/>
          <w:b/>
          <w:szCs w:val="21"/>
          <w:highlight w:val="none"/>
        </w:rPr>
      </w:pPr>
      <w:r>
        <w:rPr>
          <w:rFonts w:hint="eastAsia" w:ascii="宋体" w:hAnsi="宋体"/>
          <w:szCs w:val="21"/>
          <w:highlight w:val="none"/>
          <w:lang w:val="en-US" w:eastAsia="zh-CN"/>
        </w:rPr>
        <w:t>20</w:t>
      </w:r>
      <w:r>
        <w:rPr>
          <w:rFonts w:hint="eastAsia" w:ascii="宋体" w:hAnsi="宋体"/>
          <w:szCs w:val="21"/>
          <w:highlight w:val="none"/>
        </w:rPr>
        <w:t>.2.7 投标人中标后须递交与网上电子投标文件完全一致的纸质版投标文件，在领取中标通知书时，一并递交给招标代理机构。</w:t>
      </w:r>
    </w:p>
    <w:p w14:paraId="5AE463FC">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color w:val="auto"/>
          <w:szCs w:val="21"/>
          <w:highlight w:val="none"/>
        </w:rPr>
      </w:pPr>
      <w:r>
        <w:rPr>
          <w:rFonts w:hint="eastAsia" w:ascii="宋体" w:hAnsi="宋体" w:cs="宋体"/>
          <w:b/>
          <w:color w:val="auto"/>
          <w:szCs w:val="21"/>
          <w:highlight w:val="none"/>
          <w:lang w:eastAsia="zh-CN"/>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1F2F4BDD">
      <w:pPr>
        <w:spacing w:line="400" w:lineRule="exact"/>
        <w:ind w:firstLine="403" w:firstLineChars="192"/>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.1</w:t>
      </w:r>
      <w:r>
        <w:rPr>
          <w:rFonts w:hint="eastAsia" w:ascii="宋体"/>
          <w:color w:val="000000"/>
          <w:szCs w:val="21"/>
          <w:highlight w:val="none"/>
        </w:rPr>
        <w:t>投标报价文件中的单价和总价全部采用人民币表示。投标人的报价应含有</w:t>
      </w:r>
      <w:r>
        <w:rPr>
          <w:rFonts w:hint="eastAsia" w:ascii="宋体"/>
          <w:color w:val="000000"/>
          <w:szCs w:val="21"/>
          <w:highlight w:val="none"/>
          <w:lang w:val="en-US" w:eastAsia="zh-CN"/>
        </w:rPr>
        <w:t>服务</w:t>
      </w:r>
      <w:r>
        <w:rPr>
          <w:rFonts w:hint="eastAsia" w:ascii="宋体"/>
          <w:color w:val="000000"/>
          <w:szCs w:val="21"/>
          <w:highlight w:val="none"/>
        </w:rPr>
        <w:t>、利润、税金、政策性文件规定及合同包含的所有风险、责任、义务等，即为完成招标文件要求的</w:t>
      </w:r>
      <w:r>
        <w:rPr>
          <w:rFonts w:hint="eastAsia" w:ascii="宋体"/>
          <w:color w:val="000000"/>
          <w:szCs w:val="21"/>
          <w:highlight w:val="none"/>
          <w:lang w:val="en-US" w:eastAsia="zh-CN"/>
        </w:rPr>
        <w:t>服务</w:t>
      </w:r>
      <w:r>
        <w:rPr>
          <w:rFonts w:hint="eastAsia" w:ascii="宋体"/>
          <w:color w:val="000000"/>
          <w:szCs w:val="21"/>
          <w:highlight w:val="none"/>
        </w:rPr>
        <w:t>内容所包含的一切应有费用，</w:t>
      </w:r>
      <w:r>
        <w:rPr>
          <w:rFonts w:hint="eastAsia" w:ascii="宋体" w:hAnsi="宋体" w:eastAsia="宋体" w:cs="Times New Roman"/>
          <w:color w:val="000000"/>
          <w:szCs w:val="21"/>
          <w:highlight w:val="none"/>
          <w:lang w:val="en-US" w:eastAsia="zh-CN"/>
        </w:rPr>
        <w:t>中标价格除合同约定调整内容以外的</w:t>
      </w:r>
      <w:r>
        <w:rPr>
          <w:rFonts w:hint="eastAsia" w:ascii="宋体" w:hAnsi="宋体" w:eastAsia="宋体" w:cs="Times New Roman"/>
          <w:color w:val="000000"/>
          <w:szCs w:val="21"/>
          <w:highlight w:val="none"/>
        </w:rPr>
        <w:t>今后将不作任何调整</w:t>
      </w:r>
      <w:r>
        <w:rPr>
          <w:rFonts w:hint="eastAsia" w:ascii="宋体" w:hAnsi="宋体" w:eastAsia="宋体" w:cs="Times New Roman"/>
          <w:color w:val="000000"/>
          <w:szCs w:val="21"/>
          <w:highlight w:val="none"/>
          <w:lang w:eastAsia="zh-CN"/>
        </w:rPr>
        <w:t>，</w:t>
      </w:r>
      <w:r>
        <w:rPr>
          <w:rFonts w:hint="eastAsia" w:ascii="宋体" w:eastAsia="宋体"/>
          <w:color w:val="000000"/>
          <w:szCs w:val="21"/>
          <w:highlight w:val="none"/>
          <w:lang w:val="en-US" w:eastAsia="zh-CN"/>
        </w:rPr>
        <w:t>招标人</w:t>
      </w:r>
      <w:r>
        <w:rPr>
          <w:rFonts w:hint="eastAsia" w:ascii="宋体"/>
          <w:color w:val="000000"/>
          <w:szCs w:val="21"/>
          <w:highlight w:val="none"/>
        </w:rPr>
        <w:t>后期不再追加费用，投标</w:t>
      </w:r>
      <w:r>
        <w:rPr>
          <w:rFonts w:hint="eastAsia" w:ascii="宋体"/>
          <w:color w:val="000000"/>
          <w:szCs w:val="21"/>
          <w:highlight w:val="none"/>
          <w:lang w:val="en-US" w:eastAsia="zh-CN"/>
        </w:rPr>
        <w:t>人</w:t>
      </w:r>
      <w:r>
        <w:rPr>
          <w:rFonts w:hint="eastAsia" w:ascii="宋体"/>
          <w:color w:val="000000"/>
          <w:szCs w:val="21"/>
          <w:highlight w:val="none"/>
        </w:rPr>
        <w:t>自行考虑投标风险。</w:t>
      </w:r>
    </w:p>
    <w:p w14:paraId="1D150ABA">
      <w:pPr>
        <w:keepNext w:val="0"/>
        <w:keepLines w:val="0"/>
        <w:pageBreakBefore w:val="0"/>
        <w:kinsoku/>
        <w:overflowPunct/>
        <w:topLinePunct w:val="0"/>
        <w:bidi w:val="0"/>
        <w:spacing w:line="360" w:lineRule="exact"/>
        <w:ind w:firstLine="420" w:firstLineChars="200"/>
        <w:textAlignment w:val="auto"/>
        <w:outlineLvl w:val="4"/>
        <w:rPr>
          <w:rFonts w:hint="eastAsia" w:ascii="宋体"/>
          <w:color w:val="000000"/>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.2</w:t>
      </w:r>
      <w:r>
        <w:rPr>
          <w:rFonts w:hint="eastAsia" w:ascii="宋体"/>
          <w:color w:val="000000"/>
          <w:szCs w:val="21"/>
          <w:highlight w:val="none"/>
        </w:rPr>
        <w:t>投标人只允许有一个方案、一个报价。</w:t>
      </w:r>
    </w:p>
    <w:p w14:paraId="6DC92FDC">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.3</w:t>
      </w:r>
      <w:r>
        <w:rPr>
          <w:rFonts w:hint="eastAsia" w:ascii="宋体"/>
          <w:color w:val="000000"/>
          <w:szCs w:val="21"/>
          <w:highlight w:val="none"/>
        </w:rPr>
        <w:t>投标报价是完成项目全部内容（包括后期的相关服务）交付验收的</w:t>
      </w:r>
      <w:r>
        <w:rPr>
          <w:rFonts w:hint="eastAsia" w:ascii="宋体"/>
          <w:color w:val="000000"/>
          <w:szCs w:val="21"/>
          <w:highlight w:val="none"/>
          <w:lang w:val="en-US" w:eastAsia="zh-CN"/>
        </w:rPr>
        <w:t>价格</w:t>
      </w:r>
      <w:r>
        <w:rPr>
          <w:rFonts w:hint="eastAsia" w:ascii="宋体"/>
          <w:color w:val="000000"/>
          <w:szCs w:val="21"/>
          <w:highlight w:val="none"/>
        </w:rPr>
        <w:t>，其</w:t>
      </w:r>
      <w:r>
        <w:rPr>
          <w:rFonts w:hint="eastAsia" w:ascii="宋体"/>
          <w:color w:val="000000"/>
          <w:szCs w:val="21"/>
          <w:highlight w:val="none"/>
          <w:lang w:val="en-US" w:eastAsia="zh-CN"/>
        </w:rPr>
        <w:t>单</w:t>
      </w:r>
      <w:r>
        <w:rPr>
          <w:rFonts w:hint="eastAsia" w:ascii="宋体"/>
          <w:color w:val="000000"/>
          <w:szCs w:val="21"/>
          <w:highlight w:val="none"/>
        </w:rPr>
        <w:t>价即为履行合同的固定</w:t>
      </w:r>
      <w:r>
        <w:rPr>
          <w:rFonts w:hint="eastAsia" w:ascii="宋体"/>
          <w:color w:val="000000"/>
          <w:szCs w:val="21"/>
          <w:highlight w:val="none"/>
          <w:lang w:val="en-US" w:eastAsia="zh-CN"/>
        </w:rPr>
        <w:t>单价</w:t>
      </w:r>
      <w:r>
        <w:rPr>
          <w:rFonts w:hint="eastAsia" w:ascii="宋体"/>
          <w:color w:val="000000"/>
          <w:szCs w:val="21"/>
          <w:highlight w:val="none"/>
        </w:rPr>
        <w:t>。</w:t>
      </w:r>
    </w:p>
    <w:p w14:paraId="74FACC24">
      <w:pPr>
        <w:keepNext w:val="0"/>
        <w:keepLines w:val="0"/>
        <w:pageBreakBefore w:val="0"/>
        <w:kinsoku/>
        <w:overflowPunct/>
        <w:topLinePunct w:val="0"/>
        <w:bidi w:val="0"/>
        <w:spacing w:line="360" w:lineRule="exact"/>
        <w:ind w:firstLine="420" w:firstLineChars="200"/>
        <w:textAlignment w:val="auto"/>
        <w:outlineLvl w:val="4"/>
        <w:rPr>
          <w:rFonts w:hint="eastAsia" w:ascii="宋体"/>
          <w:color w:val="000000"/>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.4</w:t>
      </w:r>
      <w:r>
        <w:rPr>
          <w:rFonts w:hint="eastAsia" w:ascii="宋体"/>
          <w:color w:val="000000"/>
          <w:szCs w:val="21"/>
          <w:highlight w:val="none"/>
        </w:rPr>
        <w:t>投标报价应由法定代表人或被授权人签署。</w:t>
      </w:r>
    </w:p>
    <w:p w14:paraId="629AE399">
      <w:pPr>
        <w:keepNext w:val="0"/>
        <w:keepLines w:val="0"/>
        <w:pageBreakBefore w:val="0"/>
        <w:kinsoku/>
        <w:overflowPunct/>
        <w:topLinePunct w:val="0"/>
        <w:bidi w:val="0"/>
        <w:spacing w:line="360" w:lineRule="exact"/>
        <w:ind w:firstLine="420" w:firstLineChars="200"/>
        <w:textAlignment w:val="auto"/>
        <w:rPr>
          <w:rFonts w:hint="eastAsia" w:ascii="宋体" w:hAnsi="宋体"/>
          <w:b/>
          <w:bCs/>
          <w:color w:val="000000"/>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.5</w:t>
      </w:r>
      <w:r>
        <w:rPr>
          <w:rFonts w:hint="eastAsia" w:ascii="宋体"/>
          <w:bCs/>
          <w:color w:val="000000"/>
          <w:szCs w:val="21"/>
          <w:highlight w:val="none"/>
        </w:rPr>
        <w:t>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6F209033">
      <w:pPr>
        <w:keepNext w:val="0"/>
        <w:keepLines w:val="0"/>
        <w:pageBreakBefore w:val="0"/>
        <w:kinsoku/>
        <w:overflowPunct/>
        <w:topLinePunct w:val="0"/>
        <w:bidi w:val="0"/>
        <w:spacing w:line="360" w:lineRule="exact"/>
        <w:ind w:firstLine="420" w:firstLineChars="200"/>
        <w:textAlignment w:val="auto"/>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.6</w:t>
      </w:r>
      <w:r>
        <w:rPr>
          <w:rFonts w:hint="eastAsia" w:ascii="宋体"/>
          <w:color w:val="000000"/>
          <w:szCs w:val="21"/>
          <w:highlight w:val="none"/>
        </w:rPr>
        <w:t>如投标文件中未列明全面实现投标货物功能而必须配置的配套或辅助设施及相应技术措施的费用，这些费用将被视为已包含在总投标价中。</w:t>
      </w:r>
    </w:p>
    <w:p w14:paraId="74F7EF0C">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.7</w:t>
      </w:r>
      <w:r>
        <w:rPr>
          <w:rFonts w:hint="eastAsia" w:ascii="宋体"/>
          <w:color w:val="000000"/>
          <w:szCs w:val="21"/>
          <w:highlight w:val="none"/>
        </w:rPr>
        <w:t>投标价中不得包含招标文件要求以外的内容，否则，在评标时不予核减，但在授予合同时，招标人有权将这部分价格从其中标价格中扣除。</w:t>
      </w:r>
    </w:p>
    <w:p w14:paraId="038C0ADE">
      <w:pPr>
        <w:spacing w:line="440" w:lineRule="exact"/>
        <w:ind w:firstLine="405" w:firstLineChars="192"/>
        <w:rPr>
          <w:rFonts w:hint="eastAsia" w:ascii="宋体"/>
          <w:color w:val="000000"/>
          <w:szCs w:val="21"/>
          <w:highlight w:val="none"/>
        </w:rPr>
      </w:pPr>
      <w:r>
        <w:rPr>
          <w:rFonts w:hint="eastAsia" w:ascii="宋体"/>
          <w:b/>
          <w:bCs w:val="0"/>
          <w:szCs w:val="21"/>
          <w:highlight w:val="none"/>
        </w:rPr>
        <w:t>2</w:t>
      </w:r>
      <w:r>
        <w:rPr>
          <w:rFonts w:hint="eastAsia" w:ascii="宋体"/>
          <w:b/>
          <w:bCs w:val="0"/>
          <w:szCs w:val="21"/>
          <w:highlight w:val="none"/>
          <w:lang w:val="en-US" w:eastAsia="zh-CN"/>
        </w:rPr>
        <w:t>1</w:t>
      </w:r>
      <w:r>
        <w:rPr>
          <w:rFonts w:hint="eastAsia" w:ascii="宋体"/>
          <w:b/>
          <w:bCs w:val="0"/>
          <w:szCs w:val="21"/>
          <w:highlight w:val="none"/>
        </w:rPr>
        <w:t>.8</w:t>
      </w:r>
      <w:r>
        <w:rPr>
          <w:rFonts w:hint="eastAsia" w:ascii="宋体"/>
          <w:color w:val="000000"/>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B6D81B8">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eastAsia="zh-CN"/>
        </w:rPr>
        <w:t>22</w:t>
      </w:r>
      <w:r>
        <w:rPr>
          <w:rFonts w:hint="eastAsia" w:ascii="宋体" w:hAnsi="宋体" w:cs="宋体"/>
          <w:b/>
          <w:color w:val="auto"/>
          <w:szCs w:val="21"/>
          <w:highlight w:val="none"/>
        </w:rPr>
        <w:t>. 投标有效期</w:t>
      </w:r>
    </w:p>
    <w:p w14:paraId="1120F8CA">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lang w:eastAsia="zh-CN"/>
        </w:rPr>
        <w:t>22</w:t>
      </w:r>
      <w:r>
        <w:rPr>
          <w:rFonts w:hint="eastAsia" w:ascii="宋体" w:hAnsi="宋体" w:cs="宋体"/>
          <w:color w:val="auto"/>
          <w:szCs w:val="21"/>
          <w:highlight w:val="none"/>
        </w:rPr>
        <w:t xml:space="preserve">.1 </w:t>
      </w:r>
      <w:r>
        <w:rPr>
          <w:rFonts w:hint="eastAsia" w:ascii="宋体"/>
          <w:color w:val="000000"/>
          <w:szCs w:val="21"/>
          <w:highlight w:val="none"/>
        </w:rPr>
        <w:t>投标有效期见投标人须知前附表。</w:t>
      </w:r>
    </w:p>
    <w:p w14:paraId="5BA7A376">
      <w:pPr>
        <w:spacing w:line="440" w:lineRule="exact"/>
        <w:ind w:firstLine="420" w:firstLineChars="200"/>
        <w:rPr>
          <w:rFonts w:hint="eastAsia" w:ascii="宋体"/>
          <w:szCs w:val="21"/>
          <w:highlight w:val="none"/>
        </w:rPr>
      </w:pPr>
      <w:r>
        <w:rPr>
          <w:rFonts w:hint="eastAsia" w:ascii="宋体" w:hAnsi="宋体" w:cs="宋体"/>
          <w:color w:val="auto"/>
          <w:szCs w:val="21"/>
          <w:highlight w:val="none"/>
          <w:lang w:eastAsia="zh-CN"/>
        </w:rPr>
        <w:t>22</w:t>
      </w:r>
      <w:r>
        <w:rPr>
          <w:rFonts w:hint="eastAsia" w:ascii="宋体" w:hAnsi="宋体" w:cs="宋体"/>
          <w:color w:val="auto"/>
          <w:szCs w:val="21"/>
          <w:highlight w:val="none"/>
        </w:rPr>
        <w:t>.2</w:t>
      </w:r>
      <w:r>
        <w:rPr>
          <w:rFonts w:hint="eastAsia" w:ascii="宋体"/>
          <w:szCs w:val="21"/>
          <w:highlight w:val="none"/>
        </w:rPr>
        <w:t>在投标有效期内，投标人撤销或修改其投标文件的，应承担招标文件和法律规定的责任。</w:t>
      </w:r>
    </w:p>
    <w:p w14:paraId="3F9E3570">
      <w:pPr>
        <w:spacing w:line="440" w:lineRule="exact"/>
        <w:ind w:firstLine="420" w:firstLineChars="200"/>
        <w:rPr>
          <w:rFonts w:ascii="宋体"/>
          <w:szCs w:val="21"/>
          <w:highlight w:val="none"/>
        </w:rPr>
      </w:pPr>
      <w:r>
        <w:rPr>
          <w:rFonts w:hint="eastAsia" w:ascii="宋体" w:hAnsi="宋体" w:cs="宋体"/>
          <w:color w:val="auto"/>
          <w:szCs w:val="21"/>
          <w:highlight w:val="none"/>
          <w:lang w:eastAsia="zh-CN"/>
        </w:rPr>
        <w:t>22</w:t>
      </w:r>
      <w:r>
        <w:rPr>
          <w:rFonts w:hint="eastAsia" w:ascii="宋体" w:hAnsi="宋体" w:cs="宋体"/>
          <w:color w:val="auto"/>
          <w:szCs w:val="21"/>
          <w:highlight w:val="none"/>
        </w:rPr>
        <w:t>.3</w:t>
      </w:r>
      <w:r>
        <w:rPr>
          <w:rFonts w:hint="eastAsia" w:ascii="宋体"/>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EC450F1">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eastAsia="zh-CN"/>
        </w:rPr>
        <w:t>23</w:t>
      </w:r>
      <w:r>
        <w:rPr>
          <w:rFonts w:hint="eastAsia" w:ascii="宋体" w:hAnsi="宋体" w:cs="宋体"/>
          <w:b/>
          <w:color w:val="auto"/>
          <w:szCs w:val="21"/>
          <w:highlight w:val="none"/>
        </w:rPr>
        <w:t>. 投标保证金</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lang w:val="en-US" w:eastAsia="zh-CN"/>
        </w:rPr>
        <w:t>本项目不要求投标人提交投标保证金）</w:t>
      </w:r>
    </w:p>
    <w:p w14:paraId="6C9BC0BB">
      <w:pPr>
        <w:spacing w:line="440" w:lineRule="exact"/>
        <w:ind w:firstLine="420" w:firstLineChars="200"/>
        <w:rPr>
          <w:rFonts w:hint="eastAsia" w:ascii="宋体"/>
          <w:szCs w:val="21"/>
          <w:highlight w:val="none"/>
        </w:rPr>
      </w:pPr>
      <w:bookmarkStart w:id="50" w:name="_Toc449028870"/>
      <w:r>
        <w:rPr>
          <w:rFonts w:hint="eastAsia" w:ascii="宋体"/>
          <w:szCs w:val="21"/>
          <w:highlight w:val="none"/>
        </w:rPr>
        <w:t>2</w:t>
      </w:r>
      <w:r>
        <w:rPr>
          <w:rFonts w:hint="eastAsia" w:ascii="宋体"/>
          <w:szCs w:val="21"/>
          <w:highlight w:val="none"/>
          <w:lang w:val="en-US" w:eastAsia="zh-CN"/>
        </w:rPr>
        <w:t>3</w:t>
      </w:r>
      <w:r>
        <w:rPr>
          <w:rFonts w:hint="eastAsia" w:ascii="宋体"/>
          <w:szCs w:val="21"/>
          <w:highlight w:val="none"/>
        </w:rPr>
        <w:t>.1投标人须知前附表规定递交投标保证金的，投标人在递交投标文件的同时，应按投标人须知前附表规定的金额、担保形式和第七章“投标文件格式”规定的或者事先经过招标人认可的保证金格式递交保证金，并作为其投标文件的组成部分。联合体投标的，其投标保证金由牵头人递交，并应符合投标人须知前附表的规定。</w:t>
      </w:r>
    </w:p>
    <w:p w14:paraId="657A5AC0">
      <w:pPr>
        <w:spacing w:line="440" w:lineRule="exact"/>
        <w:ind w:firstLine="420" w:firstLineChars="200"/>
        <w:rPr>
          <w:rFonts w:hint="eastAsia" w:ascii="宋体"/>
          <w:szCs w:val="21"/>
          <w:highlight w:val="none"/>
        </w:rPr>
      </w:pPr>
      <w:r>
        <w:rPr>
          <w:rFonts w:hint="eastAsia" w:ascii="宋体"/>
          <w:szCs w:val="21"/>
          <w:highlight w:val="none"/>
        </w:rPr>
        <w:t>无论采取何种形式的投标保证金，投标保证金有效期均应与投标有效期一致（采用投标电子保函的保证期截止时间不得早于该项目投标有效期的截止时间）。招标人如果按本章第2</w:t>
      </w:r>
      <w:r>
        <w:rPr>
          <w:rFonts w:hint="eastAsia" w:ascii="宋体"/>
          <w:szCs w:val="21"/>
          <w:highlight w:val="none"/>
          <w:lang w:val="en-US" w:eastAsia="zh-CN"/>
        </w:rPr>
        <w:t>2</w:t>
      </w:r>
      <w:r>
        <w:rPr>
          <w:rFonts w:hint="eastAsia" w:ascii="宋体"/>
          <w:szCs w:val="21"/>
          <w:highlight w:val="none"/>
        </w:rPr>
        <w:t>.3项的规定延长了投标有效期，则投标保证金的有效期也相应延长。</w:t>
      </w:r>
    </w:p>
    <w:p w14:paraId="10CB8A7A">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.2投标人不按本章第2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.1项要求提交投标保证金的，评标委员会将否决其投标。</w:t>
      </w:r>
    </w:p>
    <w:p w14:paraId="1A3F7CE4">
      <w:pPr>
        <w:spacing w:line="440" w:lineRule="exact"/>
        <w:ind w:firstLine="420" w:firstLineChars="200"/>
        <w:rPr>
          <w:rFonts w:hint="eastAsia" w:ascii="宋体" w:eastAsia="宋体"/>
          <w:szCs w:val="21"/>
          <w:highlight w:val="none"/>
          <w:lang w:eastAsia="zh-CN"/>
        </w:rPr>
      </w:pPr>
      <w:r>
        <w:rPr>
          <w:rFonts w:hint="eastAsia" w:ascii="宋体"/>
          <w:szCs w:val="21"/>
          <w:highlight w:val="none"/>
          <w:lang w:val="en-US" w:eastAsia="zh-CN"/>
        </w:rPr>
        <w:t>23</w:t>
      </w:r>
      <w:r>
        <w:rPr>
          <w:rFonts w:hint="eastAsia" w:ascii="宋体"/>
          <w:szCs w:val="21"/>
          <w:highlight w:val="none"/>
        </w:rPr>
        <w:t>.3</w:t>
      </w:r>
      <w:r>
        <w:rPr>
          <w:rFonts w:hint="eastAsia" w:ascii="宋体" w:hAnsi="宋体" w:cs="宋体"/>
          <w:color w:val="000000"/>
          <w:szCs w:val="21"/>
          <w:highlight w:val="none"/>
          <w:lang w:eastAsia="zh-CN"/>
        </w:rPr>
        <w:t>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59D9F878">
      <w:pPr>
        <w:spacing w:line="440" w:lineRule="exact"/>
        <w:ind w:firstLine="420" w:firstLineChars="200"/>
        <w:outlineLvl w:val="4"/>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 xml:space="preserve">.4有下列情形之一的，投标保证金将不予退还： </w:t>
      </w:r>
    </w:p>
    <w:p w14:paraId="0B4ECCE8">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（1）投标截止后投标人撤销投标文件的；</w:t>
      </w:r>
    </w:p>
    <w:p w14:paraId="0EB225FA">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（2）中标人无正当理由不与招标人订立合同，在签订合同时向招标人提出附加条件，或者不按照招标文件要求提交履约保证金的。</w:t>
      </w:r>
    </w:p>
    <w:p w14:paraId="39BCF1C3">
      <w:pPr>
        <w:wordWrap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.5投标保证金按《</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HYPERLINK "https://www.chuzhou.gov.cn/group1/M00/12/83/CpYI8mGDiKqAD_IkAAEIAMLVghw186.doc" \t "_blank"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滁州市公共资源交易投标保证金管理规定</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》（滁公管〔2021〕7号）规定执行。</w:t>
      </w:r>
    </w:p>
    <w:p w14:paraId="7721DBEB">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（四）投标文件的递交</w:t>
      </w:r>
      <w:bookmarkEnd w:id="50"/>
    </w:p>
    <w:p w14:paraId="0F9A4E6B">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24</w:t>
      </w:r>
      <w:r>
        <w:rPr>
          <w:rFonts w:hint="eastAsia" w:ascii="宋体" w:hAnsi="宋体" w:eastAsia="宋体" w:cs="宋体"/>
          <w:b/>
          <w:color w:val="auto"/>
          <w:szCs w:val="21"/>
          <w:highlight w:val="none"/>
        </w:rPr>
        <w:t>.投标文件的密封和标记</w:t>
      </w:r>
    </w:p>
    <w:p w14:paraId="0051321C">
      <w:pPr>
        <w:spacing w:line="440" w:lineRule="exact"/>
        <w:ind w:firstLine="420" w:firstLineChars="200"/>
        <w:rPr>
          <w:rFonts w:hint="eastAsia" w:ascii="宋体" w:hAnsi="宋体" w:eastAsia="宋体" w:cs="宋体"/>
          <w:color w:val="000000"/>
          <w:szCs w:val="21"/>
          <w:highlight w:val="none"/>
          <w:lang w:eastAsia="zh-CN"/>
        </w:rPr>
      </w:pPr>
      <w:bookmarkStart w:id="51" w:name="_Toc449028871"/>
      <w:r>
        <w:rPr>
          <w:rFonts w:hint="eastAsia" w:ascii="宋体" w:hAnsi="宋体" w:eastAsia="宋体" w:cs="宋体"/>
          <w:color w:val="000000"/>
          <w:szCs w:val="21"/>
          <w:highlight w:val="none"/>
          <w:lang w:eastAsia="zh-CN"/>
        </w:rPr>
        <w:t>24.1投标文件应按照本章第2</w:t>
      </w: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lang w:eastAsia="zh-CN"/>
        </w:rPr>
        <w:t>.2.5项要求制作并加密，未按要求加密的投标文件将被拒绝接收。以投标人在投标截止时间前网上递交的电子投标文件为准。</w:t>
      </w:r>
    </w:p>
    <w:p w14:paraId="2F6C9B9B">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 xml:space="preserve">. </w:t>
      </w:r>
      <w:r>
        <w:rPr>
          <w:rFonts w:hint="eastAsia" w:ascii="宋体"/>
          <w:b/>
          <w:szCs w:val="21"/>
          <w:highlight w:val="none"/>
        </w:rPr>
        <w:t>投标文件上传</w:t>
      </w:r>
    </w:p>
    <w:p w14:paraId="38A53E0B">
      <w:pPr>
        <w:spacing w:line="44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25</w:t>
      </w:r>
      <w:r>
        <w:rPr>
          <w:rFonts w:hint="eastAsia" w:ascii="宋体" w:hAnsi="宋体" w:eastAsia="宋体" w:cs="宋体"/>
          <w:color w:val="000000"/>
          <w:szCs w:val="21"/>
          <w:highlight w:val="none"/>
          <w:lang w:eastAsia="zh-CN"/>
        </w:rPr>
        <w:t>.1请投标人通过系统下载投标工具制作投标文件，并利用CA数字证书进行上传投标文件，上传已加密的投标文件，务必通过此方式上传投标文件。</w:t>
      </w:r>
    </w:p>
    <w:p w14:paraId="69C96F63">
      <w:pPr>
        <w:spacing w:line="44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25.2</w:t>
      </w:r>
      <w:r>
        <w:rPr>
          <w:rFonts w:hint="eastAsia" w:ascii="宋体" w:hAnsi="宋体" w:eastAsia="宋体" w:cs="宋体"/>
          <w:color w:val="000000"/>
          <w:szCs w:val="21"/>
          <w:highlight w:val="none"/>
          <w:lang w:eastAsia="zh-CN"/>
        </w:rPr>
        <w:t>投标人在投标文件编制、签章、上传过程中如有任何操作的疑问请及时联系技术支持，电话：0550-3801701。</w:t>
      </w:r>
    </w:p>
    <w:p w14:paraId="624934A8">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26</w:t>
      </w:r>
      <w:r>
        <w:rPr>
          <w:rFonts w:hint="eastAsia" w:ascii="宋体" w:hAnsi="Times New Roman" w:eastAsia="宋体" w:cs="Times New Roman"/>
          <w:b/>
          <w:szCs w:val="21"/>
          <w:highlight w:val="none"/>
        </w:rPr>
        <w:t>．投标文件的递交</w:t>
      </w:r>
    </w:p>
    <w:p w14:paraId="355AB5A5">
      <w:pPr>
        <w:spacing w:line="44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2</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.1 投标人应当在第一章“招标公告”规定的投标截止时间前，将加密投标文件上传至电子交易系统。</w:t>
      </w:r>
    </w:p>
    <w:p w14:paraId="15B4E5FE">
      <w:pPr>
        <w:spacing w:line="44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2</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.2 除投标人须知前附表另有规定外，投标人所递交的投标文件不予退还。</w:t>
      </w:r>
    </w:p>
    <w:p w14:paraId="1951D627">
      <w:pPr>
        <w:spacing w:line="44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2</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.3 投标人应当在投标截止时间前完成投标文件的网上递交，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2C2D158D">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27</w:t>
      </w:r>
      <w:r>
        <w:rPr>
          <w:rFonts w:hint="eastAsia" w:ascii="宋体"/>
          <w:b/>
          <w:color w:val="auto"/>
          <w:szCs w:val="21"/>
          <w:highlight w:val="none"/>
        </w:rPr>
        <w:t>.</w:t>
      </w:r>
      <w:r>
        <w:rPr>
          <w:rFonts w:hint="eastAsia" w:ascii="宋体"/>
          <w:b/>
          <w:szCs w:val="21"/>
          <w:highlight w:val="none"/>
        </w:rPr>
        <w:t>投标文件的修改与撤回</w:t>
      </w:r>
    </w:p>
    <w:p w14:paraId="5B980F5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000000"/>
          <w:szCs w:val="21"/>
          <w:highlight w:val="none"/>
        </w:rPr>
      </w:pP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.1</w:t>
      </w:r>
      <w:r>
        <w:rPr>
          <w:rFonts w:hint="eastAsia" w:ascii="宋体" w:hAnsi="宋体" w:cs="宋体"/>
          <w:color w:val="000000"/>
          <w:szCs w:val="21"/>
          <w:highlight w:val="none"/>
        </w:rPr>
        <w:t>在第一章“招标公告”规定的投标截止时间前，投标人可以自行从网上招投标系统撤回已递交的投标文件，并可修改后重新加密上传，开标时以投标截止时间前投标人最终上传的投标文件为准。</w:t>
      </w:r>
    </w:p>
    <w:p w14:paraId="38B22F49">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rPr>
        <w:t>2</w:t>
      </w:r>
      <w:r>
        <w:rPr>
          <w:rFonts w:hint="eastAsia" w:ascii="宋体" w:hAnsi="Times New Roman" w:eastAsia="宋体" w:cs="Times New Roman"/>
          <w:b/>
          <w:szCs w:val="21"/>
          <w:highlight w:val="none"/>
          <w:lang w:val="en-US" w:eastAsia="zh-CN"/>
        </w:rPr>
        <w:t>8</w:t>
      </w:r>
      <w:r>
        <w:rPr>
          <w:rFonts w:hint="eastAsia" w:ascii="宋体" w:hAnsi="Times New Roman" w:eastAsia="宋体" w:cs="Times New Roman"/>
          <w:b/>
          <w:szCs w:val="21"/>
          <w:highlight w:val="none"/>
        </w:rPr>
        <w:t>.偏离</w:t>
      </w:r>
    </w:p>
    <w:p w14:paraId="3B83E0E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.1投标文件偏离招标文件某些要求，视为投标文件存在偏差。偏差包括重大偏差和细微偏差。</w:t>
      </w:r>
    </w:p>
    <w:p w14:paraId="3B38BED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28</w:t>
      </w:r>
      <w:r>
        <w:rPr>
          <w:rFonts w:hint="eastAsia" w:ascii="宋体" w:hAnsi="宋体" w:eastAsia="宋体" w:cs="宋体"/>
          <w:color w:val="000000"/>
          <w:szCs w:val="21"/>
          <w:highlight w:val="none"/>
        </w:rPr>
        <w:t>.1.1投标文件应对招标文件的实质性要求和条件作出满足性或更有利于招标人的响应，否则，视为投标文件存在重大偏差，投标人的投标将被否决。</w:t>
      </w:r>
    </w:p>
    <w:p w14:paraId="1DA202E2">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投标文件存在第四章“评标办法”中所列任一无效投标情形的，均属于存在重大偏差。</w:t>
      </w:r>
    </w:p>
    <w:p w14:paraId="5B5802E2">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.1.2投标文件中的下列偏差为细微偏差：</w:t>
      </w:r>
    </w:p>
    <w:p w14:paraId="370EE7A0">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30D62947">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（2）投标文件个别文字有遗漏错误等不影响投标文件实质性内容的偏差。</w:t>
      </w:r>
    </w:p>
    <w:p w14:paraId="0E0CB01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.1.3评标委员会对投标文件中的细微偏差按如下规定处理：</w:t>
      </w:r>
    </w:p>
    <w:p w14:paraId="2C1FB89B">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对于本章第</w:t>
      </w:r>
      <w:r>
        <w:rPr>
          <w:rFonts w:hint="eastAsia" w:ascii="宋体" w:hAnsi="宋体" w:eastAsia="宋体" w:cs="宋体"/>
          <w:color w:val="000000"/>
          <w:szCs w:val="21"/>
          <w:highlight w:val="none"/>
          <w:lang w:val="en-US" w:eastAsia="zh-CN"/>
        </w:rPr>
        <w:t>28</w:t>
      </w:r>
      <w:r>
        <w:rPr>
          <w:rFonts w:hint="eastAsia" w:ascii="宋体" w:hAnsi="宋体" w:eastAsia="宋体" w:cs="宋体"/>
          <w:color w:val="000000"/>
          <w:szCs w:val="21"/>
          <w:highlight w:val="none"/>
        </w:rPr>
        <w:t>.1.2 项（1）目所述的细微偏差，按照第三章“评标办法”的规定予以修正并要求投标人进行澄清；</w:t>
      </w:r>
    </w:p>
    <w:p w14:paraId="71910D0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对于本章第</w:t>
      </w:r>
      <w:r>
        <w:rPr>
          <w:rFonts w:hint="eastAsia" w:ascii="宋体" w:hAnsi="宋体" w:eastAsia="宋体" w:cs="宋体"/>
          <w:color w:val="000000"/>
          <w:szCs w:val="21"/>
          <w:highlight w:val="none"/>
          <w:lang w:val="en-US" w:eastAsia="zh-CN"/>
        </w:rPr>
        <w:t>28</w:t>
      </w:r>
      <w:r>
        <w:rPr>
          <w:rFonts w:hint="eastAsia" w:ascii="宋体" w:hAnsi="宋体" w:eastAsia="宋体" w:cs="宋体"/>
          <w:color w:val="000000"/>
          <w:szCs w:val="21"/>
          <w:highlight w:val="none"/>
        </w:rPr>
        <w:t>.1.2 项（2）目所述的细微偏差，可要求投标人对细微偏差进行澄清。</w:t>
      </w:r>
    </w:p>
    <w:p w14:paraId="7B49CE9A">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（五）开标和评标</w:t>
      </w:r>
      <w:bookmarkEnd w:id="51"/>
    </w:p>
    <w:p w14:paraId="793CD073">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29</w:t>
      </w:r>
      <w:r>
        <w:rPr>
          <w:rFonts w:hint="eastAsia" w:ascii="宋体"/>
          <w:b/>
          <w:color w:val="auto"/>
          <w:szCs w:val="21"/>
          <w:highlight w:val="none"/>
        </w:rPr>
        <w:t>. 开标</w:t>
      </w:r>
    </w:p>
    <w:p w14:paraId="35EE76F4">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29</w:t>
      </w:r>
      <w:r>
        <w:rPr>
          <w:rFonts w:hint="eastAsia" w:ascii="宋体" w:hAnsi="宋体" w:eastAsia="宋体" w:cs="宋体"/>
          <w:color w:val="000000"/>
          <w:szCs w:val="21"/>
          <w:highlight w:val="none"/>
        </w:rPr>
        <w:t>.1 开标的时间和地点</w:t>
      </w:r>
    </w:p>
    <w:p w14:paraId="0F2F295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29</w:t>
      </w:r>
      <w:r>
        <w:rPr>
          <w:rFonts w:hint="eastAsia" w:ascii="宋体" w:hAnsi="宋体" w:eastAsia="宋体" w:cs="宋体"/>
          <w:color w:val="000000"/>
          <w:szCs w:val="21"/>
          <w:highlight w:val="none"/>
        </w:rPr>
        <w:t>.1.1招标人在第一章“招标公告”规定的投标截止时间前（开标时间）和地点通过电子交易系统公开开标。</w:t>
      </w:r>
    </w:p>
    <w:p w14:paraId="59A950C2">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29</w:t>
      </w:r>
      <w:r>
        <w:rPr>
          <w:rFonts w:hint="eastAsia" w:ascii="宋体" w:hAnsi="宋体" w:eastAsia="宋体" w:cs="宋体"/>
          <w:color w:val="000000"/>
          <w:szCs w:val="21"/>
          <w:highlight w:val="none"/>
        </w:rPr>
        <w:t>.2开标程序</w:t>
      </w:r>
    </w:p>
    <w:p w14:paraId="3F1BCC1E">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29</w:t>
      </w:r>
      <w:r>
        <w:rPr>
          <w:rFonts w:hint="eastAsia" w:ascii="宋体" w:hAnsi="宋体" w:eastAsia="宋体" w:cs="宋体"/>
          <w:color w:val="000000"/>
          <w:szCs w:val="21"/>
          <w:highlight w:val="none"/>
        </w:rPr>
        <w:t>.2.1主持人按下列程序进行开标：</w:t>
      </w:r>
    </w:p>
    <w:p w14:paraId="3A1A7F8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（1）公布在投标截止时间前通过电子交易系统完成投标文件递交的投标人名称；</w:t>
      </w:r>
    </w:p>
    <w:p w14:paraId="23A8A02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（2）投标人在投标截止时间后在投标人须知前附表规定的解密时间内完成投标文件的解密工作；</w:t>
      </w:r>
    </w:p>
    <w:p w14:paraId="32A7A8D7">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（3）招标人或招标代理机构完成解密工作，导入并读取所有成功解密的投标文件；</w:t>
      </w:r>
    </w:p>
    <w:p w14:paraId="5B69EFB0">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（4）按投标人须知前附表规定公布投标人名称、标段名称、投标报价、质量目标、工期及其他内容；</w:t>
      </w:r>
    </w:p>
    <w:p w14:paraId="03EAEEFE">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（5）开标结束。</w:t>
      </w:r>
    </w:p>
    <w:p w14:paraId="5EB1D8B4">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29</w:t>
      </w:r>
      <w:r>
        <w:rPr>
          <w:rFonts w:hint="eastAsia" w:ascii="宋体" w:hAnsi="宋体" w:eastAsia="宋体" w:cs="宋体"/>
          <w:color w:val="000000"/>
          <w:szCs w:val="21"/>
          <w:highlight w:val="none"/>
        </w:rPr>
        <w:t>.3开标异议</w:t>
      </w:r>
    </w:p>
    <w:p w14:paraId="1CA893B7">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29</w:t>
      </w:r>
      <w:r>
        <w:rPr>
          <w:rFonts w:hint="eastAsia" w:ascii="宋体" w:hAnsi="宋体" w:eastAsia="宋体" w:cs="宋体"/>
          <w:color w:val="000000"/>
          <w:szCs w:val="21"/>
          <w:highlight w:val="none"/>
        </w:rPr>
        <w:t>.3.1投标人对开标有异议的，应当在开标过程中提出，招标人在开标过程中作出答复，并制作记录。异议与答复应通过电子交易系统进行。</w:t>
      </w:r>
    </w:p>
    <w:p w14:paraId="01793138">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30</w:t>
      </w:r>
      <w:r>
        <w:rPr>
          <w:rFonts w:hint="eastAsia" w:ascii="宋体"/>
          <w:b/>
          <w:color w:val="auto"/>
          <w:szCs w:val="21"/>
          <w:highlight w:val="none"/>
        </w:rPr>
        <w:t>.评标委员会</w:t>
      </w:r>
    </w:p>
    <w:p w14:paraId="34A2CC4B">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90F8149">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asci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67A7BD9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207E499B">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7CD99F96">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7C24F5F9">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25DA21D4">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2F94942B">
      <w:pPr>
        <w:spacing w:line="42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项目实施主体及其子公司、下属单位、上级主管部门或者控股公司的工作人员或者退休人员不得以专家身份参与本单位或者代理项目的评标评审。 </w:t>
      </w:r>
    </w:p>
    <w:p w14:paraId="20086E46">
      <w:pPr>
        <w:spacing w:line="420" w:lineRule="exact"/>
        <w:ind w:firstLine="422" w:firstLineChars="200"/>
        <w:jc w:val="left"/>
        <w:rPr>
          <w:rFonts w:hint="eastAsia" w:ascii="宋体" w:hAnsi="宋体" w:cs="宋体"/>
          <w:b/>
          <w:bCs/>
          <w:color w:val="auto"/>
          <w:szCs w:val="21"/>
          <w:highlight w:val="none"/>
          <w:lang w:val="en-US" w:eastAsia="zh-CN"/>
        </w:rPr>
      </w:pPr>
      <w:r>
        <w:rPr>
          <w:rFonts w:hint="eastAsia" w:ascii="宋体" w:hAnsi="宋体" w:eastAsia="宋体" w:cs="宋体"/>
          <w:b/>
          <w:bCs/>
          <w:color w:val="auto"/>
          <w:szCs w:val="21"/>
          <w:highlight w:val="none"/>
        </w:rPr>
        <w:t xml:space="preserve">评标委员会或评审机构成员有前两款规定情形的，应当主动提出回避；已经进入的应当更换，被更换的成员评标评审意见无效。 </w:t>
      </w:r>
    </w:p>
    <w:p w14:paraId="3C7D4E4D">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.3评标过程中，评标委员会成员有回避事由、擅离职守或因健康等原因不能继续评标的， 招标人有权更换。被更换的评标委员会成员作出的评审结论无效，由更换后的评标委员会成员重新进行评审。</w:t>
      </w:r>
    </w:p>
    <w:p w14:paraId="614D9D4C">
      <w:pPr>
        <w:spacing w:line="420" w:lineRule="exact"/>
        <w:ind w:firstLine="421"/>
        <w:jc w:val="left"/>
        <w:outlineLvl w:val="3"/>
        <w:rPr>
          <w:rFonts w:hint="eastAsia" w:ascii="宋体"/>
          <w:b/>
          <w:szCs w:val="21"/>
          <w:highlight w:val="none"/>
        </w:rPr>
      </w:pPr>
      <w:r>
        <w:rPr>
          <w:rFonts w:hint="eastAsia" w:ascii="宋体"/>
          <w:b/>
          <w:szCs w:val="21"/>
          <w:highlight w:val="none"/>
        </w:rPr>
        <w:t>3</w:t>
      </w:r>
      <w:r>
        <w:rPr>
          <w:rFonts w:hint="eastAsia" w:ascii="宋体"/>
          <w:b/>
          <w:szCs w:val="21"/>
          <w:highlight w:val="none"/>
          <w:lang w:val="en-US" w:eastAsia="zh-CN"/>
        </w:rPr>
        <w:t>0</w:t>
      </w:r>
      <w:r>
        <w:rPr>
          <w:rFonts w:hint="eastAsia" w:ascii="宋体"/>
          <w:b/>
          <w:szCs w:val="21"/>
          <w:highlight w:val="none"/>
        </w:rPr>
        <w:t>.评标原则</w:t>
      </w:r>
    </w:p>
    <w:p w14:paraId="5E4E4330">
      <w:pPr>
        <w:spacing w:line="420" w:lineRule="exact"/>
        <w:ind w:firstLine="420" w:firstLineChars="200"/>
        <w:jc w:val="left"/>
        <w:outlineLvl w:val="4"/>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0</w:t>
      </w:r>
      <w:r>
        <w:rPr>
          <w:rFonts w:hint="eastAsia" w:ascii="宋体" w:hAnsi="宋体" w:cs="宋体"/>
          <w:szCs w:val="21"/>
          <w:highlight w:val="none"/>
        </w:rPr>
        <w:t>.1评标活动遵循公平、公正、科学和择优的原则。</w:t>
      </w:r>
    </w:p>
    <w:p w14:paraId="3522482A">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rPr>
        <w:t>3</w:t>
      </w:r>
      <w:r>
        <w:rPr>
          <w:rFonts w:hint="eastAsia" w:ascii="宋体"/>
          <w:b/>
          <w:color w:val="auto"/>
          <w:szCs w:val="21"/>
          <w:highlight w:val="none"/>
          <w:lang w:val="en-US" w:eastAsia="zh-CN"/>
        </w:rPr>
        <w:t>1</w:t>
      </w:r>
      <w:r>
        <w:rPr>
          <w:rFonts w:hint="eastAsia" w:ascii="宋体"/>
          <w:b/>
          <w:color w:val="auto"/>
          <w:szCs w:val="21"/>
          <w:highlight w:val="none"/>
        </w:rPr>
        <w:t>.评标</w:t>
      </w:r>
    </w:p>
    <w:p w14:paraId="321D77A2">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.1</w:t>
      </w:r>
      <w:bookmarkStart w:id="52" w:name="_Toc449028873"/>
      <w:r>
        <w:rPr>
          <w:rFonts w:hint="eastAsia" w:ascii="宋体" w:hAnsi="宋体" w:eastAsia="宋体" w:cs="宋体"/>
          <w:szCs w:val="21"/>
          <w:highlight w:val="none"/>
        </w:rPr>
        <w:t>评标委员会按照第四章“评标办法”规定的方法、评审因素、标准和程序对投标文件进行评审。第四章“评标办法”没有规定的方法、评审因素和标准，不作为评标依据。</w:t>
      </w:r>
    </w:p>
    <w:p w14:paraId="1E0C406F">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.2评标完成后，评标委员会应向招标人提交书面评标报告和中标候选人名单。评标委员会推荐中标候选人的人数见投标人须知前附表。</w:t>
      </w:r>
    </w:p>
    <w:p w14:paraId="1E2D1AE6">
      <w:pPr>
        <w:keepNext w:val="0"/>
        <w:keepLines w:val="0"/>
        <w:widowControl w:val="0"/>
        <w:kinsoku/>
        <w:wordWrap/>
        <w:overflowPunct/>
        <w:topLinePunct w:val="0"/>
        <w:autoSpaceDE/>
        <w:autoSpaceDN/>
        <w:bidi w:val="0"/>
        <w:spacing w:line="520" w:lineRule="exact"/>
        <w:ind w:left="0" w:right="0" w:rightChars="0" w:firstLine="560" w:firstLineChars="200"/>
        <w:jc w:val="center"/>
        <w:textAlignment w:val="auto"/>
        <w:outlineLvl w:val="2"/>
        <w:rPr>
          <w:rFonts w:hint="eastAsia" w:ascii="黑体" w:eastAsia="黑体"/>
          <w:color w:val="auto"/>
          <w:sz w:val="24"/>
          <w:highlight w:val="none"/>
        </w:rPr>
      </w:pPr>
      <w:r>
        <w:rPr>
          <w:rFonts w:hint="eastAsia" w:ascii="黑体" w:eastAsia="黑体"/>
          <w:color w:val="auto"/>
          <w:sz w:val="28"/>
          <w:szCs w:val="28"/>
          <w:highlight w:val="none"/>
        </w:rPr>
        <w:t>（六）合同授予</w:t>
      </w:r>
      <w:bookmarkEnd w:id="52"/>
    </w:p>
    <w:p w14:paraId="516EA20E">
      <w:pPr>
        <w:spacing w:line="420" w:lineRule="exact"/>
        <w:ind w:firstLine="421"/>
        <w:jc w:val="left"/>
        <w:outlineLvl w:val="3"/>
        <w:rPr>
          <w:rFonts w:hint="eastAsia" w:ascii="宋体" w:hAnsi="Times New Roman" w:eastAsia="宋体" w:cs="Times New Roman"/>
          <w:b/>
          <w:szCs w:val="21"/>
          <w:highlight w:val="none"/>
        </w:rPr>
      </w:pPr>
      <w:bookmarkStart w:id="53" w:name="_Toc449028874"/>
      <w:r>
        <w:rPr>
          <w:rFonts w:hint="eastAsia" w:ascii="宋体" w:hAnsi="Times New Roman" w:eastAsia="宋体" w:cs="Times New Roman"/>
          <w:b/>
          <w:szCs w:val="21"/>
          <w:highlight w:val="none"/>
        </w:rPr>
        <w:t>3</w:t>
      </w:r>
      <w:r>
        <w:rPr>
          <w:rFonts w:hint="eastAsia" w:ascii="宋体" w:hAnsi="Times New Roman" w:eastAsia="宋体" w:cs="Times New Roman"/>
          <w:b/>
          <w:szCs w:val="21"/>
          <w:highlight w:val="none"/>
          <w:lang w:val="en-US" w:eastAsia="zh-CN"/>
        </w:rPr>
        <w:t>2</w:t>
      </w:r>
      <w:r>
        <w:rPr>
          <w:rFonts w:hint="eastAsia" w:ascii="宋体" w:hAnsi="Times New Roman" w:eastAsia="宋体" w:cs="Times New Roman"/>
          <w:b/>
          <w:szCs w:val="21"/>
          <w:highlight w:val="none"/>
        </w:rPr>
        <w:t>.中标公示</w:t>
      </w:r>
    </w:p>
    <w:p w14:paraId="5D85985A">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.1招标人在收到评标报告之日起3日内，按照投标人须知前附表规定的公示媒介和期限依法公示。公示期不得少于3日。</w:t>
      </w:r>
    </w:p>
    <w:p w14:paraId="4E2F850F">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33.</w:t>
      </w:r>
      <w:r>
        <w:rPr>
          <w:rFonts w:hint="eastAsia" w:ascii="宋体" w:hAnsi="Times New Roman" w:eastAsia="宋体" w:cs="Times New Roman"/>
          <w:b/>
          <w:szCs w:val="21"/>
          <w:highlight w:val="none"/>
        </w:rPr>
        <w:t>评标结果异议</w:t>
      </w:r>
    </w:p>
    <w:p w14:paraId="55A95CC3">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.1投标人或其他利害关系人对评标结果有异议的，应在中标候选人公示期内提出。招标人将在收到异议之日起3日内作出答复；作出答复前，将暂停招标投标活动。</w:t>
      </w:r>
    </w:p>
    <w:p w14:paraId="76B3E5D7">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34.</w:t>
      </w:r>
      <w:r>
        <w:rPr>
          <w:rFonts w:hint="eastAsia" w:ascii="宋体" w:hAnsi="Times New Roman" w:eastAsia="宋体" w:cs="Times New Roman"/>
          <w:b/>
          <w:szCs w:val="21"/>
          <w:highlight w:val="none"/>
        </w:rPr>
        <w:t>中标候选人履约能力审查</w:t>
      </w:r>
    </w:p>
    <w:p w14:paraId="021EA0CE">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34</w:t>
      </w:r>
      <w:r>
        <w:rPr>
          <w:rFonts w:hint="eastAsia" w:ascii="宋体" w:hAnsi="宋体" w:eastAsia="宋体" w:cs="宋体"/>
          <w:szCs w:val="21"/>
          <w:highlight w:val="none"/>
        </w:rPr>
        <w:t>.1中标候选人的经营、财务状况发生较大变化或者存在违法行为，招标人认为可能影响其履约能力的，应当在发出中标通知书前由原评标委员会按照招标文件规定的标准和方法审查确认。</w:t>
      </w:r>
    </w:p>
    <w:p w14:paraId="522D0014">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35.</w:t>
      </w:r>
      <w:r>
        <w:rPr>
          <w:rFonts w:hint="eastAsia" w:ascii="宋体" w:hAnsi="Times New Roman" w:eastAsia="宋体" w:cs="Times New Roman"/>
          <w:b/>
          <w:szCs w:val="21"/>
          <w:highlight w:val="none"/>
        </w:rPr>
        <w:t>业绩公示</w:t>
      </w:r>
    </w:p>
    <w:p w14:paraId="61EFBD18">
      <w:pPr>
        <w:spacing w:line="420" w:lineRule="exact"/>
        <w:ind w:firstLine="420" w:firstLineChars="200"/>
        <w:jc w:val="left"/>
        <w:outlineLvl w:val="4"/>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.1招标人对中标人的得分业绩进行公示。</w:t>
      </w:r>
    </w:p>
    <w:p w14:paraId="41262ACA">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36.</w:t>
      </w:r>
      <w:r>
        <w:rPr>
          <w:rFonts w:hint="eastAsia" w:ascii="宋体" w:hAnsi="Times New Roman" w:eastAsia="宋体" w:cs="Times New Roman"/>
          <w:b/>
          <w:szCs w:val="21"/>
          <w:highlight w:val="none"/>
        </w:rPr>
        <w:t>定标</w:t>
      </w:r>
    </w:p>
    <w:p w14:paraId="64702F69">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7442B3F">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37.</w:t>
      </w:r>
      <w:r>
        <w:rPr>
          <w:rFonts w:hint="eastAsia" w:ascii="宋体" w:hAnsi="Times New Roman" w:eastAsia="宋体" w:cs="Times New Roman"/>
          <w:b/>
          <w:szCs w:val="21"/>
          <w:highlight w:val="none"/>
        </w:rPr>
        <w:t>中标通知</w:t>
      </w:r>
    </w:p>
    <w:p w14:paraId="632DF1E1">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.1在本招标文件规定的投标有效期内，招标人以数据电文向中标人发出中标通知书，同时将中标结果通知未中标的投标人。</w:t>
      </w:r>
    </w:p>
    <w:p w14:paraId="0C241FE8">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38.</w:t>
      </w:r>
      <w:r>
        <w:rPr>
          <w:rFonts w:hint="eastAsia" w:ascii="宋体" w:hAnsi="Times New Roman" w:eastAsia="宋体" w:cs="Times New Roman"/>
          <w:b/>
          <w:szCs w:val="21"/>
          <w:highlight w:val="none"/>
        </w:rPr>
        <w:t>履约担保</w:t>
      </w:r>
    </w:p>
    <w:p w14:paraId="2C1073C4">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38</w:t>
      </w:r>
      <w:r>
        <w:rPr>
          <w:rFonts w:hint="eastAsia" w:ascii="宋体" w:hAnsi="宋体" w:eastAsia="宋体" w:cs="宋体"/>
          <w:szCs w:val="21"/>
          <w:highlight w:val="none"/>
        </w:rPr>
        <w:t>.1在签订合同前，中标人应按投标人须知前附表规定的担保形式和招标文件第六章“合同条款及格式”规定的或者事先经过招标人书面认可的履约担保格式向招标人提交履约担保。联合体中标的，其履约担保应符合投标人须知前附表规定的金额、担保形式和招标文件第六章“合同条款及格式”规定的履约担保格式要求。</w:t>
      </w:r>
    </w:p>
    <w:p w14:paraId="134DB614">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38</w:t>
      </w:r>
      <w:r>
        <w:rPr>
          <w:rFonts w:hint="eastAsia" w:ascii="宋体" w:hAnsi="宋体" w:eastAsia="宋体" w:cs="宋体"/>
          <w:szCs w:val="21"/>
          <w:highlight w:val="none"/>
        </w:rPr>
        <w:t>.2中标人不能按本章第</w:t>
      </w:r>
      <w:r>
        <w:rPr>
          <w:rFonts w:hint="eastAsia" w:ascii="宋体" w:hAnsi="宋体" w:eastAsia="宋体" w:cs="宋体"/>
          <w:szCs w:val="21"/>
          <w:highlight w:val="none"/>
          <w:lang w:val="en-US" w:eastAsia="zh-CN"/>
        </w:rPr>
        <w:t>38</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1E1A00F5">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39.</w:t>
      </w:r>
      <w:r>
        <w:rPr>
          <w:rFonts w:hint="eastAsia" w:ascii="宋体" w:hAnsi="Times New Roman" w:eastAsia="宋体" w:cs="Times New Roman"/>
          <w:b/>
          <w:szCs w:val="21"/>
          <w:highlight w:val="none"/>
        </w:rPr>
        <w:t>签订合同</w:t>
      </w:r>
    </w:p>
    <w:p w14:paraId="35174D05">
      <w:pPr>
        <w:spacing w:line="420" w:lineRule="exact"/>
        <w:ind w:firstLine="420" w:firstLineChars="200"/>
        <w:jc w:val="left"/>
        <w:outlineLvl w:val="4"/>
        <w:rPr>
          <w:rFonts w:hint="eastAsia" w:ascii="宋体" w:hAnsi="宋体" w:eastAsia="宋体" w:cs="宋体"/>
          <w:szCs w:val="21"/>
          <w:highlight w:val="none"/>
        </w:rPr>
      </w:pPr>
      <w:r>
        <w:rPr>
          <w:rFonts w:hint="eastAsia" w:ascii="宋体" w:hAnsi="宋体" w:eastAsia="宋体" w:cs="宋体"/>
          <w:szCs w:val="21"/>
          <w:highlight w:val="none"/>
          <w:lang w:val="en-US" w:eastAsia="zh-CN"/>
        </w:rPr>
        <w:t>39</w:t>
      </w:r>
      <w:r>
        <w:rPr>
          <w:rFonts w:hint="eastAsia" w:ascii="宋体" w:hAnsi="宋体" w:eastAsia="宋体" w:cs="宋体"/>
          <w:szCs w:val="21"/>
          <w:highlight w:val="none"/>
        </w:rPr>
        <w:t>.1本项目合同将授予按本须知第</w:t>
      </w:r>
      <w:r>
        <w:rPr>
          <w:rFonts w:hint="eastAsia" w:ascii="宋体" w:hAnsi="宋体" w:eastAsia="宋体" w:cs="宋体"/>
          <w:szCs w:val="21"/>
          <w:highlight w:val="none"/>
          <w:lang w:val="en-US" w:eastAsia="zh-CN"/>
        </w:rPr>
        <w:t>37</w:t>
      </w:r>
      <w:r>
        <w:rPr>
          <w:rFonts w:hint="eastAsia" w:ascii="宋体" w:hAnsi="宋体" w:eastAsia="宋体" w:cs="宋体"/>
          <w:szCs w:val="21"/>
          <w:highlight w:val="none"/>
        </w:rPr>
        <w:t>款规定所确定的中标人。</w:t>
      </w:r>
    </w:p>
    <w:p w14:paraId="3F537740">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39</w:t>
      </w:r>
      <w:r>
        <w:rPr>
          <w:rFonts w:hint="eastAsia" w:ascii="宋体" w:hAnsi="宋体" w:eastAsia="宋体" w:cs="宋体"/>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22A53E54">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39</w:t>
      </w:r>
      <w:r>
        <w:rPr>
          <w:rFonts w:hint="eastAsia" w:ascii="宋体" w:hAnsi="宋体" w:eastAsia="宋体" w:cs="宋体"/>
          <w:szCs w:val="21"/>
          <w:highlight w:val="none"/>
        </w:rPr>
        <w:t>.3发出中标通知书后，招标人无正当理由拒签合同的，招标人向中标人退还投标保证金；给中标人造成损失的，还应当赔偿损失。</w:t>
      </w:r>
    </w:p>
    <w:p w14:paraId="44CBEDE6">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39</w:t>
      </w:r>
      <w:r>
        <w:rPr>
          <w:rFonts w:hint="eastAsia" w:ascii="宋体" w:hAnsi="宋体" w:eastAsia="宋体" w:cs="宋体"/>
          <w:szCs w:val="21"/>
          <w:highlight w:val="none"/>
        </w:rPr>
        <w:t>.4 除法定情形外，建设工程合同履行期间项目经理（建造师）不得更换。项目经理（建造师）确需变更的，应根据招标文件要求，变更后的项目经理（建造师）不低于投标文件中拟派项目经理（建造师）的资格条件。</w:t>
      </w:r>
    </w:p>
    <w:p w14:paraId="7FAE91F5">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39</w:t>
      </w:r>
      <w:r>
        <w:rPr>
          <w:rFonts w:hint="eastAsia" w:ascii="宋体" w:hAnsi="宋体" w:eastAsia="宋体" w:cs="宋体"/>
          <w:szCs w:val="21"/>
          <w:highlight w:val="none"/>
        </w:rPr>
        <w:t>.5联合体中标的，联合体各方应当共同与招标人签订合同，就中标项目向招标人承担连带责任。</w:t>
      </w:r>
    </w:p>
    <w:p w14:paraId="00DB4174">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40.</w:t>
      </w:r>
      <w:r>
        <w:rPr>
          <w:rFonts w:hint="eastAsia" w:ascii="宋体" w:hAnsi="Times New Roman" w:eastAsia="宋体" w:cs="Times New Roman"/>
          <w:b/>
          <w:szCs w:val="21"/>
          <w:highlight w:val="none"/>
        </w:rPr>
        <w:t>重新招标和不再招标</w:t>
      </w:r>
    </w:p>
    <w:p w14:paraId="03834015">
      <w:pPr>
        <w:spacing w:line="420" w:lineRule="exact"/>
        <w:ind w:firstLine="420" w:firstLineChars="200"/>
        <w:jc w:val="left"/>
        <w:outlineLvl w:val="4"/>
        <w:rPr>
          <w:rFonts w:hint="eastAsia" w:ascii="宋体" w:hAnsi="宋体" w:eastAsia="宋体" w:cs="宋体"/>
          <w:szCs w:val="21"/>
          <w:highlight w:val="none"/>
        </w:rPr>
      </w:pPr>
      <w:bookmarkStart w:id="54" w:name="_Toc83301733"/>
      <w:bookmarkStart w:id="55" w:name="_Toc95223382"/>
      <w:bookmarkStart w:id="56" w:name="_Toc152042348"/>
      <w:bookmarkStart w:id="57" w:name="_Toc60061479"/>
      <w:bookmarkStart w:id="58" w:name="_Toc152045572"/>
      <w:bookmarkStart w:id="59" w:name="_Toc179632590"/>
      <w:bookmarkStart w:id="60" w:name="_Toc144974540"/>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.1 重新招标</w:t>
      </w:r>
      <w:bookmarkEnd w:id="54"/>
      <w:bookmarkEnd w:id="55"/>
      <w:bookmarkEnd w:id="56"/>
      <w:bookmarkEnd w:id="57"/>
      <w:bookmarkEnd w:id="58"/>
      <w:bookmarkEnd w:id="59"/>
      <w:bookmarkEnd w:id="60"/>
    </w:p>
    <w:p w14:paraId="33DFE00C">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.1.1依法必须招标的项目有下列情形之一的，招标人将重新招标：</w:t>
      </w:r>
    </w:p>
    <w:p w14:paraId="6CAFBC1A">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（1）投标截止时间止，投标人少于3个的；</w:t>
      </w:r>
    </w:p>
    <w:p w14:paraId="7C8651BA">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（2）经评标委员会评审后否决所有投标的；</w:t>
      </w:r>
    </w:p>
    <w:p w14:paraId="11B7C769">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（3）中标候选人均未与招标人签订合同的；</w:t>
      </w:r>
    </w:p>
    <w:p w14:paraId="62F1D06C">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（4）法律、法规规定的其他情形。</w:t>
      </w:r>
    </w:p>
    <w:p w14:paraId="02194786">
      <w:pPr>
        <w:spacing w:line="420" w:lineRule="exact"/>
        <w:ind w:firstLine="420" w:firstLineChars="200"/>
        <w:jc w:val="left"/>
        <w:outlineLvl w:val="4"/>
        <w:rPr>
          <w:rFonts w:hint="eastAsia" w:ascii="宋体" w:hAnsi="宋体" w:eastAsia="宋体" w:cs="宋体"/>
          <w:szCs w:val="21"/>
          <w:highlight w:val="none"/>
        </w:rPr>
      </w:pPr>
      <w:bookmarkStart w:id="61" w:name="_Toc60061480"/>
      <w:bookmarkStart w:id="62" w:name="_Toc152045573"/>
      <w:bookmarkStart w:id="63" w:name="_Toc95223383"/>
      <w:bookmarkStart w:id="64" w:name="_Toc144974541"/>
      <w:bookmarkStart w:id="65" w:name="_Toc83301734"/>
      <w:bookmarkStart w:id="66" w:name="_Toc152042349"/>
      <w:bookmarkStart w:id="67" w:name="_Toc179632591"/>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.2 不再招标</w:t>
      </w:r>
      <w:bookmarkEnd w:id="61"/>
      <w:bookmarkEnd w:id="62"/>
      <w:bookmarkEnd w:id="63"/>
      <w:bookmarkEnd w:id="64"/>
      <w:bookmarkEnd w:id="65"/>
      <w:bookmarkEnd w:id="66"/>
      <w:bookmarkEnd w:id="67"/>
    </w:p>
    <w:p w14:paraId="26A8F6C9">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.2.1重新招标后投标人仍少于3个或者所有投标被否决的，属于必须审批或核准的工程建设项目，经原审批或核准部门批准后不再进行招标。</w:t>
      </w:r>
    </w:p>
    <w:p w14:paraId="1275E4E6">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（七）纪律和监督</w:t>
      </w:r>
      <w:bookmarkEnd w:id="53"/>
    </w:p>
    <w:p w14:paraId="561285DE">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41.</w:t>
      </w:r>
      <w:r>
        <w:rPr>
          <w:rFonts w:hint="eastAsia" w:ascii="宋体" w:hAnsi="Times New Roman" w:eastAsia="宋体" w:cs="Times New Roman"/>
          <w:b/>
          <w:szCs w:val="21"/>
          <w:highlight w:val="none"/>
        </w:rPr>
        <w:t xml:space="preserve">对招标人的纪律要求 </w:t>
      </w:r>
    </w:p>
    <w:p w14:paraId="6E262694">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.1招标人不得泄漏招标投标活动中应当保密的情况和资料，不得与投标人串通损害国家利益、社会公共利益或者他人合法权益。</w:t>
      </w:r>
    </w:p>
    <w:p w14:paraId="36734B76">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42.</w:t>
      </w:r>
      <w:r>
        <w:rPr>
          <w:rFonts w:hint="eastAsia" w:ascii="宋体" w:hAnsi="Times New Roman" w:eastAsia="宋体" w:cs="Times New Roman"/>
          <w:b/>
          <w:szCs w:val="21"/>
          <w:highlight w:val="none"/>
        </w:rPr>
        <w:t xml:space="preserve">对投标人的纪律要求 </w:t>
      </w:r>
    </w:p>
    <w:p w14:paraId="7095D0D3">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04E2D3E3">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43.</w:t>
      </w:r>
      <w:r>
        <w:rPr>
          <w:rFonts w:hint="eastAsia" w:ascii="宋体" w:hAnsi="Times New Roman" w:eastAsia="宋体" w:cs="Times New Roman"/>
          <w:b/>
          <w:szCs w:val="21"/>
          <w:highlight w:val="none"/>
        </w:rPr>
        <w:t xml:space="preserve">对评标委员会成员的纪律要求 </w:t>
      </w:r>
    </w:p>
    <w:p w14:paraId="29CC3861">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7D0FC0CB">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lang w:val="en-US" w:eastAsia="zh-CN"/>
        </w:rPr>
        <w:t>44.</w:t>
      </w:r>
      <w:r>
        <w:rPr>
          <w:rFonts w:hint="eastAsia" w:ascii="宋体" w:hAnsi="Times New Roman" w:eastAsia="宋体" w:cs="Times New Roman"/>
          <w:b/>
          <w:szCs w:val="21"/>
          <w:highlight w:val="none"/>
        </w:rPr>
        <w:t xml:space="preserve">对与评标活动有关的工作人员的纪律要求 </w:t>
      </w:r>
    </w:p>
    <w:p w14:paraId="680F77D1">
      <w:pPr>
        <w:spacing w:line="420" w:lineRule="exact"/>
        <w:ind w:firstLine="420" w:firstLineChars="200"/>
        <w:jc w:val="left"/>
        <w:rPr>
          <w:rFonts w:hint="eastAsia" w:ascii="宋体" w:hAnsi="宋体" w:eastAsia="宋体" w:cs="宋体"/>
          <w:szCs w:val="21"/>
          <w:highlight w:val="none"/>
        </w:rPr>
      </w:pPr>
      <w:bookmarkStart w:id="68" w:name="_Toc152042355"/>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
    </w:p>
    <w:p w14:paraId="722E34A5">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（八）投诉</w:t>
      </w:r>
    </w:p>
    <w:p w14:paraId="6058017B">
      <w:pPr>
        <w:spacing w:line="420" w:lineRule="exact"/>
        <w:ind w:firstLine="421"/>
        <w:jc w:val="left"/>
        <w:outlineLvl w:val="3"/>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rPr>
        <w:t>4</w:t>
      </w:r>
      <w:r>
        <w:rPr>
          <w:rFonts w:hint="eastAsia" w:ascii="宋体" w:hAnsi="Times New Roman" w:eastAsia="宋体" w:cs="Times New Roman"/>
          <w:b/>
          <w:szCs w:val="21"/>
          <w:highlight w:val="none"/>
          <w:lang w:val="en-US" w:eastAsia="zh-CN"/>
        </w:rPr>
        <w:t>5</w:t>
      </w:r>
      <w:r>
        <w:rPr>
          <w:rFonts w:hint="eastAsia" w:ascii="宋体" w:hAnsi="Times New Roman" w:eastAsia="宋体" w:cs="Times New Roman"/>
          <w:b/>
          <w:szCs w:val="21"/>
          <w:highlight w:val="none"/>
        </w:rPr>
        <w:t>. 投诉</w:t>
      </w:r>
    </w:p>
    <w:p w14:paraId="641DCF93">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.1投标人或者其他利害关系人认为招标投标活动违反法律、法规和规章规定的，有权向相关行政监督部门投诉。投诉应当有明确的请求和必要的证明材料。</w:t>
      </w:r>
    </w:p>
    <w:p w14:paraId="59CF8918">
      <w:pP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.2投标人和其他利害关系人对招标文件、开标和评标结果事项投诉的，应当按照投标人须知的规定先向招标人提出异议。异议答复期间不计算在第4</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.1项规定的期限内。</w:t>
      </w:r>
    </w:p>
    <w:p w14:paraId="3EF1BBDA">
      <w:pPr>
        <w:rPr>
          <w:rFonts w:hint="eastAsia" w:ascii="宋体"/>
          <w:bCs w:val="0"/>
          <w:color w:val="auto"/>
          <w:szCs w:val="32"/>
          <w:highlight w:val="none"/>
        </w:rPr>
      </w:pPr>
      <w:bookmarkStart w:id="69" w:name="_Toc28871"/>
      <w:r>
        <w:rPr>
          <w:rFonts w:hint="eastAsia" w:ascii="宋体"/>
          <w:bCs w:val="0"/>
          <w:color w:val="auto"/>
          <w:szCs w:val="32"/>
          <w:highlight w:val="none"/>
        </w:rPr>
        <w:br w:type="page"/>
      </w:r>
    </w:p>
    <w:p w14:paraId="54F3CDA7">
      <w:pPr>
        <w:pStyle w:val="3"/>
        <w:spacing w:before="0" w:after="0" w:line="240" w:lineRule="auto"/>
        <w:jc w:val="center"/>
        <w:rPr>
          <w:rFonts w:hint="eastAsia"/>
          <w:color w:val="000000"/>
          <w:highlight w:val="none"/>
        </w:rPr>
      </w:pPr>
      <w:r>
        <w:rPr>
          <w:rFonts w:hint="eastAsia" w:ascii="宋体"/>
          <w:b/>
          <w:sz w:val="28"/>
          <w:szCs w:val="28"/>
          <w:highlight w:val="none"/>
        </w:rPr>
        <w:t>第三章 资格审查办法</w:t>
      </w:r>
    </w:p>
    <w:p w14:paraId="748355D2">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资格审查办法前附表</w:t>
      </w:r>
    </w:p>
    <w:tbl>
      <w:tblPr>
        <w:tblStyle w:val="3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6F80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noWrap w:val="0"/>
            <w:vAlign w:val="center"/>
          </w:tcPr>
          <w:p w14:paraId="66FCFF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highlight w:val="none"/>
              </w:rPr>
            </w:pPr>
            <w:r>
              <w:rPr>
                <w:rFonts w:hint="eastAsia" w:ascii="黑体" w:eastAsia="黑体" w:cs="黑体"/>
                <w:b/>
                <w:bCs/>
                <w:color w:val="000000"/>
                <w:szCs w:val="21"/>
                <w:highlight w:val="none"/>
              </w:rPr>
              <w:t>序号</w:t>
            </w:r>
          </w:p>
        </w:tc>
        <w:tc>
          <w:tcPr>
            <w:tcW w:w="4243" w:type="dxa"/>
            <w:gridSpan w:val="2"/>
            <w:noWrap w:val="0"/>
            <w:vAlign w:val="center"/>
          </w:tcPr>
          <w:p w14:paraId="7CCE6A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highlight w:val="none"/>
              </w:rPr>
            </w:pPr>
            <w:r>
              <w:rPr>
                <w:rFonts w:hint="eastAsia" w:ascii="宋体" w:hAnsi="宋体"/>
                <w:color w:val="000000"/>
                <w:szCs w:val="21"/>
                <w:highlight w:val="none"/>
              </w:rPr>
              <w:t>评审因素</w:t>
            </w:r>
          </w:p>
        </w:tc>
        <w:tc>
          <w:tcPr>
            <w:tcW w:w="3929" w:type="dxa"/>
            <w:noWrap w:val="0"/>
            <w:vAlign w:val="center"/>
          </w:tcPr>
          <w:p w14:paraId="447AAD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highlight w:val="none"/>
              </w:rPr>
            </w:pPr>
            <w:r>
              <w:rPr>
                <w:rFonts w:hint="eastAsia" w:ascii="宋体" w:hAnsi="宋体"/>
                <w:color w:val="000000"/>
                <w:szCs w:val="21"/>
                <w:highlight w:val="none"/>
              </w:rPr>
              <w:t>评审标准</w:t>
            </w:r>
          </w:p>
        </w:tc>
      </w:tr>
      <w:tr w14:paraId="71FA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5" w:type="dxa"/>
            <w:noWrap w:val="0"/>
            <w:vAlign w:val="center"/>
          </w:tcPr>
          <w:p w14:paraId="5D444F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w:t>
            </w:r>
          </w:p>
        </w:tc>
        <w:tc>
          <w:tcPr>
            <w:tcW w:w="1235" w:type="dxa"/>
            <w:noWrap w:val="0"/>
            <w:vAlign w:val="center"/>
          </w:tcPr>
          <w:p w14:paraId="5EDE91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highlight w:val="none"/>
              </w:rPr>
            </w:pPr>
            <w:r>
              <w:rPr>
                <w:rFonts w:hint="eastAsia" w:ascii="宋体"/>
                <w:color w:val="000000"/>
                <w:szCs w:val="21"/>
                <w:highlight w:val="none"/>
              </w:rPr>
              <w:t>重要要求</w:t>
            </w:r>
          </w:p>
        </w:tc>
        <w:tc>
          <w:tcPr>
            <w:tcW w:w="3008" w:type="dxa"/>
            <w:noWrap w:val="0"/>
            <w:vAlign w:val="center"/>
          </w:tcPr>
          <w:p w14:paraId="4C0711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Cs w:val="21"/>
                <w:highlight w:val="none"/>
              </w:rPr>
            </w:pPr>
            <w:r>
              <w:rPr>
                <w:rFonts w:hint="eastAsia" w:ascii="宋体" w:hAnsi="宋体" w:cs="宋体"/>
                <w:szCs w:val="21"/>
                <w:highlight w:val="none"/>
              </w:rPr>
              <w:t>（1）法定代表人身份证明和本人有效身份证(或法定代表人授权委托书和委托代理人有效身份证)</w:t>
            </w:r>
          </w:p>
        </w:tc>
        <w:tc>
          <w:tcPr>
            <w:tcW w:w="3929" w:type="dxa"/>
            <w:noWrap w:val="0"/>
            <w:vAlign w:val="center"/>
          </w:tcPr>
          <w:p w14:paraId="438140F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000000"/>
                <w:szCs w:val="21"/>
                <w:highlight w:val="none"/>
              </w:rPr>
            </w:pPr>
            <w:r>
              <w:rPr>
                <w:rFonts w:hint="eastAsia"/>
                <w:color w:val="000000"/>
                <w:highlight w:val="none"/>
              </w:rPr>
              <w:t>检验电子标书。</w:t>
            </w:r>
          </w:p>
        </w:tc>
      </w:tr>
      <w:tr w14:paraId="1F6A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5" w:type="dxa"/>
            <w:vMerge w:val="restart"/>
            <w:noWrap w:val="0"/>
            <w:vAlign w:val="center"/>
          </w:tcPr>
          <w:p w14:paraId="011E03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w:t>
            </w:r>
          </w:p>
        </w:tc>
        <w:tc>
          <w:tcPr>
            <w:tcW w:w="1235" w:type="dxa"/>
            <w:vMerge w:val="restart"/>
            <w:noWrap w:val="0"/>
            <w:vAlign w:val="center"/>
          </w:tcPr>
          <w:p w14:paraId="4B7A07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szCs w:val="21"/>
                <w:highlight w:val="none"/>
              </w:rPr>
            </w:pPr>
            <w:r>
              <w:rPr>
                <w:rFonts w:hint="eastAsia" w:ascii="宋体" w:hAnsi="宋体"/>
                <w:color w:val="000000"/>
                <w:szCs w:val="21"/>
                <w:highlight w:val="none"/>
              </w:rPr>
              <w:t>投标人应符合的基本资格条件</w:t>
            </w:r>
          </w:p>
        </w:tc>
        <w:tc>
          <w:tcPr>
            <w:tcW w:w="3008" w:type="dxa"/>
            <w:noWrap w:val="0"/>
            <w:vAlign w:val="center"/>
          </w:tcPr>
          <w:p w14:paraId="68C650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Cs w:val="21"/>
                <w:highlight w:val="none"/>
              </w:rPr>
            </w:pPr>
            <w:r>
              <w:rPr>
                <w:rFonts w:hint="eastAsia" w:ascii="宋体" w:hAnsi="宋体" w:cs="宋体"/>
                <w:szCs w:val="21"/>
                <w:highlight w:val="none"/>
              </w:rPr>
              <w:t>（2）具有独立承担民事责任的能力</w:t>
            </w:r>
          </w:p>
        </w:tc>
        <w:tc>
          <w:tcPr>
            <w:tcW w:w="3929" w:type="dxa"/>
            <w:noWrap w:val="0"/>
            <w:vAlign w:val="center"/>
          </w:tcPr>
          <w:p w14:paraId="5A2B40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7C57C8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eastAsia="宋体"/>
                <w:color w:val="000000"/>
                <w:szCs w:val="21"/>
                <w:highlight w:val="none"/>
                <w:lang w:eastAsia="zh-CN"/>
              </w:rPr>
            </w:pPr>
            <w:r>
              <w:rPr>
                <w:rFonts w:hint="eastAsia" w:ascii="宋体"/>
                <w:color w:val="000000"/>
                <w:szCs w:val="21"/>
                <w:highlight w:val="none"/>
              </w:rPr>
              <w:t>投标人有效的营业执照、税务登记证、组织机构码证（或“三证合一证书”）</w:t>
            </w:r>
          </w:p>
        </w:tc>
      </w:tr>
      <w:tr w14:paraId="2462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5" w:type="dxa"/>
            <w:vMerge w:val="continue"/>
            <w:noWrap w:val="0"/>
            <w:vAlign w:val="center"/>
          </w:tcPr>
          <w:p w14:paraId="0AA6EF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highlight w:val="none"/>
              </w:rPr>
            </w:pPr>
          </w:p>
        </w:tc>
        <w:tc>
          <w:tcPr>
            <w:tcW w:w="1235" w:type="dxa"/>
            <w:vMerge w:val="continue"/>
            <w:noWrap w:val="0"/>
            <w:vAlign w:val="center"/>
          </w:tcPr>
          <w:p w14:paraId="2B2FD2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szCs w:val="21"/>
                <w:highlight w:val="none"/>
              </w:rPr>
            </w:pPr>
          </w:p>
        </w:tc>
        <w:tc>
          <w:tcPr>
            <w:tcW w:w="3008" w:type="dxa"/>
            <w:noWrap w:val="0"/>
            <w:vAlign w:val="center"/>
          </w:tcPr>
          <w:p w14:paraId="6AAAA8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）项目负责人证书</w:t>
            </w:r>
          </w:p>
        </w:tc>
        <w:tc>
          <w:tcPr>
            <w:tcW w:w="3929" w:type="dxa"/>
            <w:noWrap w:val="0"/>
            <w:vAlign w:val="center"/>
          </w:tcPr>
          <w:p w14:paraId="27DA96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评审核验电子标书中的下列证书、证明材料：拟派任的项目负责人（</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经理）</w:t>
            </w:r>
            <w:r>
              <w:rPr>
                <w:rFonts w:hint="eastAsia" w:ascii="宋体" w:hAnsi="宋体" w:cs="宋体"/>
                <w:szCs w:val="21"/>
                <w:highlight w:val="none"/>
                <w:lang w:val="en-US" w:eastAsia="zh-CN"/>
              </w:rPr>
              <w:t>身份证和</w:t>
            </w:r>
            <w:r>
              <w:rPr>
                <w:rFonts w:hint="eastAsia" w:ascii="宋体" w:hAnsi="宋体" w:eastAsia="宋体" w:cs="宋体"/>
                <w:szCs w:val="21"/>
                <w:highlight w:val="none"/>
              </w:rPr>
              <w:t>具有以下证书之一：①人社部</w:t>
            </w:r>
            <w:r>
              <w:rPr>
                <w:rFonts w:hint="eastAsia" w:ascii="宋体" w:hAnsi="宋体" w:eastAsia="宋体" w:cs="宋体"/>
                <w:szCs w:val="21"/>
                <w:highlight w:val="none"/>
                <w:lang w:val="en-US" w:eastAsia="zh-CN"/>
              </w:rPr>
              <w:t>或省人社厅</w:t>
            </w:r>
            <w:r>
              <w:rPr>
                <w:rFonts w:hint="eastAsia" w:ascii="宋体" w:hAnsi="宋体" w:eastAsia="宋体" w:cs="宋体"/>
                <w:szCs w:val="21"/>
                <w:highlight w:val="none"/>
              </w:rPr>
              <w:t>颁发的《物业管理师》；②建设部人事教育司和住宅与房地产业司联合颁发的《全国物业管理从业人员岗位证书（经理）》</w:t>
            </w:r>
            <w:r>
              <w:rPr>
                <w:rFonts w:hint="eastAsia" w:ascii="宋体" w:hAnsi="宋体" w:eastAsia="宋体" w:cs="宋体"/>
                <w:szCs w:val="21"/>
                <w:highlight w:val="none"/>
                <w:lang w:eastAsia="zh-CN"/>
              </w:rPr>
              <w:t>；</w:t>
            </w:r>
            <w:r>
              <w:rPr>
                <w:rFonts w:hint="eastAsia" w:ascii="宋体" w:hAnsi="宋体" w:eastAsia="宋体" w:cs="宋体"/>
                <w:szCs w:val="21"/>
                <w:highlight w:val="none"/>
              </w:rPr>
              <w:t>③全国</w:t>
            </w:r>
            <w:r>
              <w:rPr>
                <w:rFonts w:hint="eastAsia" w:ascii="宋体" w:hAnsi="宋体" w:eastAsia="宋体" w:cs="宋体"/>
                <w:szCs w:val="21"/>
                <w:highlight w:val="none"/>
                <w:lang w:eastAsia="zh-CN"/>
              </w:rPr>
              <w:t>城建培训中心</w:t>
            </w:r>
            <w:r>
              <w:rPr>
                <w:rFonts w:hint="eastAsia" w:ascii="宋体" w:hAnsi="宋体" w:eastAsia="宋体" w:cs="宋体"/>
                <w:szCs w:val="21"/>
                <w:highlight w:val="none"/>
              </w:rPr>
              <w:t>颁发的《全国物业行业项目经理职业资格证书》或《全国物业管理企业经理证书》</w:t>
            </w:r>
          </w:p>
        </w:tc>
      </w:tr>
      <w:tr w14:paraId="6E87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5" w:type="dxa"/>
            <w:vMerge w:val="continue"/>
            <w:noWrap w:val="0"/>
            <w:vAlign w:val="center"/>
          </w:tcPr>
          <w:p w14:paraId="20A064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highlight w:val="none"/>
              </w:rPr>
            </w:pPr>
          </w:p>
        </w:tc>
        <w:tc>
          <w:tcPr>
            <w:tcW w:w="1235" w:type="dxa"/>
            <w:vMerge w:val="continue"/>
            <w:noWrap w:val="0"/>
            <w:vAlign w:val="center"/>
          </w:tcPr>
          <w:p w14:paraId="155BD4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szCs w:val="21"/>
                <w:highlight w:val="none"/>
              </w:rPr>
            </w:pPr>
          </w:p>
        </w:tc>
        <w:tc>
          <w:tcPr>
            <w:tcW w:w="3008" w:type="dxa"/>
            <w:noWrap w:val="0"/>
            <w:vAlign w:val="center"/>
          </w:tcPr>
          <w:p w14:paraId="4C08ACF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Cs w:val="21"/>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cs="宋体"/>
                <w:szCs w:val="21"/>
                <w:highlight w:val="none"/>
                <w:lang w:val="en-US" w:eastAsia="zh-CN"/>
              </w:rPr>
              <w:t>社保证明</w:t>
            </w:r>
          </w:p>
        </w:tc>
        <w:tc>
          <w:tcPr>
            <w:tcW w:w="3929" w:type="dxa"/>
            <w:noWrap w:val="0"/>
            <w:vAlign w:val="center"/>
          </w:tcPr>
          <w:p w14:paraId="29390A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Cs w:val="21"/>
                <w:highlight w:val="none"/>
                <w:lang w:eastAsia="zh-CN"/>
              </w:rPr>
            </w:pPr>
            <w:r>
              <w:rPr>
                <w:rFonts w:hint="eastAsia" w:ascii="宋体"/>
                <w:b/>
                <w:szCs w:val="21"/>
                <w:highlight w:val="none"/>
              </w:rPr>
              <w:t>评审核验电子标书中的下列证书、证明材料：</w:t>
            </w:r>
            <w:r>
              <w:rPr>
                <w:rFonts w:hint="eastAsia" w:ascii="宋体" w:hAnsi="宋体"/>
                <w:szCs w:val="21"/>
                <w:highlight w:val="none"/>
              </w:rPr>
              <w:t>法定代表人(或委托代理人)和拟任项目负责人须持有社保部门出具的本单位为其缴纳的投标前近</w:t>
            </w:r>
            <w:r>
              <w:rPr>
                <w:rFonts w:hint="eastAsia" w:ascii="宋体" w:hAnsi="宋体"/>
                <w:szCs w:val="21"/>
                <w:highlight w:val="none"/>
                <w:lang w:val="en-US" w:eastAsia="zh-CN"/>
              </w:rPr>
              <w:t>3</w:t>
            </w:r>
            <w:r>
              <w:rPr>
                <w:rFonts w:hint="eastAsia" w:ascii="宋体" w:hAnsi="宋体"/>
                <w:szCs w:val="21"/>
                <w:highlight w:val="none"/>
              </w:rPr>
              <w:t>个月连续的</w:t>
            </w:r>
            <w:r>
              <w:rPr>
                <w:rFonts w:hint="eastAsia" w:ascii="宋体" w:hAnsi="宋体"/>
                <w:szCs w:val="21"/>
                <w:highlight w:val="none"/>
                <w:lang w:val="en-US" w:eastAsia="zh-CN"/>
              </w:rPr>
              <w:t>社保</w:t>
            </w:r>
            <w:r>
              <w:rPr>
                <w:rFonts w:hint="eastAsia" w:ascii="宋体" w:hAnsi="宋体"/>
                <w:szCs w:val="21"/>
                <w:highlight w:val="none"/>
              </w:rPr>
              <w:t>证明（或官网在线打印件，证明文件两个月内有效）（同一人担任不同公司法定代表人的，该法定代表人参加本项目投标时须提供本人在其他公司任法定代表人的营业执照及为其缴纳</w:t>
            </w:r>
            <w:r>
              <w:rPr>
                <w:rFonts w:hint="eastAsia" w:ascii="宋体" w:hAnsi="宋体"/>
                <w:szCs w:val="21"/>
                <w:highlight w:val="none"/>
                <w:lang w:val="en-US" w:eastAsia="zh-CN"/>
              </w:rPr>
              <w:t>社保</w:t>
            </w:r>
            <w:r>
              <w:rPr>
                <w:rFonts w:hint="eastAsia" w:ascii="宋体" w:hAnsi="宋体"/>
                <w:szCs w:val="21"/>
                <w:highlight w:val="none"/>
              </w:rPr>
              <w:t>证明材料），投标人是事业单位的，暂未缴纳社保的，须由其主管部门出具证明</w:t>
            </w:r>
            <w:r>
              <w:rPr>
                <w:rFonts w:hint="eastAsia" w:ascii="宋体" w:hAnsi="宋体"/>
                <w:szCs w:val="21"/>
                <w:highlight w:val="none"/>
                <w:lang w:eastAsia="zh-CN"/>
              </w:rPr>
              <w:t>。</w:t>
            </w:r>
          </w:p>
        </w:tc>
      </w:tr>
      <w:tr w14:paraId="703A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5" w:type="dxa"/>
            <w:vMerge w:val="continue"/>
            <w:noWrap w:val="0"/>
            <w:vAlign w:val="center"/>
          </w:tcPr>
          <w:p w14:paraId="0189E0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highlight w:val="none"/>
              </w:rPr>
            </w:pPr>
          </w:p>
        </w:tc>
        <w:tc>
          <w:tcPr>
            <w:tcW w:w="1235" w:type="dxa"/>
            <w:vMerge w:val="continue"/>
            <w:noWrap w:val="0"/>
            <w:vAlign w:val="center"/>
          </w:tcPr>
          <w:p w14:paraId="47EF57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szCs w:val="21"/>
                <w:highlight w:val="none"/>
              </w:rPr>
            </w:pPr>
          </w:p>
        </w:tc>
        <w:tc>
          <w:tcPr>
            <w:tcW w:w="3008" w:type="dxa"/>
            <w:noWrap w:val="0"/>
            <w:vAlign w:val="top"/>
          </w:tcPr>
          <w:p w14:paraId="57F4EB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color w:val="000000"/>
                <w:szCs w:val="21"/>
                <w:highlight w:val="none"/>
              </w:rPr>
              <w:t>诚信投标承诺书（或《</w:t>
            </w:r>
            <w:r>
              <w:rPr>
                <w:rFonts w:hint="eastAsia" w:ascii="宋体" w:hAnsi="宋体" w:eastAsia="宋体" w:cs="宋体"/>
                <w:color w:val="000000"/>
                <w:kern w:val="0"/>
                <w:szCs w:val="21"/>
                <w:highlight w:val="none"/>
              </w:rPr>
              <w:t>公共信用信息报告（无违法违规证明版或核查版）</w:t>
            </w:r>
            <w:r>
              <w:rPr>
                <w:rFonts w:hint="eastAsia" w:ascii="宋体" w:hAnsi="宋体" w:eastAsia="宋体" w:cs="宋体"/>
                <w:color w:val="000000"/>
                <w:szCs w:val="21"/>
                <w:highlight w:val="none"/>
              </w:rPr>
              <w:t>》</w:t>
            </w:r>
            <w:r>
              <w:rPr>
                <w:rFonts w:hint="eastAsia" w:ascii="宋体" w:hAnsi="宋体" w:eastAsia="宋体" w:cs="宋体"/>
                <w:szCs w:val="21"/>
                <w:highlight w:val="none"/>
              </w:rPr>
              <w:t>）</w:t>
            </w:r>
          </w:p>
        </w:tc>
        <w:tc>
          <w:tcPr>
            <w:tcW w:w="3929" w:type="dxa"/>
            <w:noWrap w:val="0"/>
            <w:vAlign w:val="top"/>
          </w:tcPr>
          <w:p w14:paraId="6F1C49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b/>
                <w:color w:val="000000"/>
                <w:szCs w:val="21"/>
                <w:highlight w:val="none"/>
              </w:rPr>
            </w:pPr>
            <w:r>
              <w:rPr>
                <w:rFonts w:hint="eastAsia"/>
                <w:color w:val="000000"/>
                <w:highlight w:val="none"/>
              </w:rPr>
              <w:t>格式见附件，检验电子标书</w:t>
            </w:r>
          </w:p>
        </w:tc>
      </w:tr>
      <w:tr w14:paraId="3F01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5" w:type="dxa"/>
            <w:vMerge w:val="continue"/>
            <w:noWrap w:val="0"/>
            <w:vAlign w:val="center"/>
          </w:tcPr>
          <w:p w14:paraId="49CC79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szCs w:val="21"/>
                <w:highlight w:val="none"/>
              </w:rPr>
            </w:pPr>
          </w:p>
        </w:tc>
        <w:tc>
          <w:tcPr>
            <w:tcW w:w="1235" w:type="dxa"/>
            <w:vMerge w:val="continue"/>
            <w:noWrap w:val="0"/>
            <w:vAlign w:val="center"/>
          </w:tcPr>
          <w:p w14:paraId="78F255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szCs w:val="21"/>
                <w:highlight w:val="none"/>
              </w:rPr>
            </w:pPr>
          </w:p>
        </w:tc>
        <w:tc>
          <w:tcPr>
            <w:tcW w:w="3008" w:type="dxa"/>
            <w:noWrap w:val="0"/>
            <w:vAlign w:val="center"/>
          </w:tcPr>
          <w:p w14:paraId="2F6B43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）服务承诺书</w:t>
            </w:r>
          </w:p>
        </w:tc>
        <w:tc>
          <w:tcPr>
            <w:tcW w:w="3929" w:type="dxa"/>
            <w:noWrap w:val="0"/>
            <w:vAlign w:val="center"/>
          </w:tcPr>
          <w:p w14:paraId="1B0C6C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000000"/>
                <w:szCs w:val="21"/>
                <w:highlight w:val="none"/>
              </w:rPr>
            </w:pPr>
            <w:r>
              <w:rPr>
                <w:rFonts w:hint="eastAsia"/>
                <w:color w:val="000000"/>
                <w:highlight w:val="none"/>
              </w:rPr>
              <w:t>格式见附件，检验电子标书</w:t>
            </w:r>
          </w:p>
        </w:tc>
      </w:tr>
    </w:tbl>
    <w:p w14:paraId="025DE17C">
      <w:pPr>
        <w:adjustRightInd w:val="0"/>
        <w:snapToGrid w:val="0"/>
        <w:spacing w:line="440" w:lineRule="exact"/>
        <w:ind w:firstLine="422" w:firstLineChars="200"/>
        <w:jc w:val="left"/>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重要提示：</w:t>
      </w:r>
    </w:p>
    <w:p w14:paraId="50056052">
      <w:pPr>
        <w:adjustRightInd w:val="0"/>
        <w:snapToGrid w:val="0"/>
        <w:spacing w:line="440" w:lineRule="exact"/>
        <w:ind w:firstLine="422" w:firstLineChars="200"/>
        <w:jc w:val="left"/>
        <w:rPr>
          <w:rFonts w:hint="eastAsia" w:ascii="黑体" w:hAnsi="黑体" w:eastAsia="黑体" w:cs="黑体"/>
          <w:b/>
          <w:bCs/>
          <w:color w:val="000000"/>
          <w:szCs w:val="21"/>
          <w:highlight w:val="none"/>
        </w:rPr>
      </w:pPr>
      <w:bookmarkStart w:id="70" w:name="_Toc15058909"/>
      <w:bookmarkStart w:id="71" w:name="_Toc95223395"/>
      <w:bookmarkStart w:id="72" w:name="_Toc60061492"/>
      <w:bookmarkStart w:id="73" w:name="_Toc506107320"/>
      <w:r>
        <w:rPr>
          <w:rFonts w:hint="eastAsia" w:ascii="黑体" w:hAnsi="黑体" w:eastAsia="黑体" w:cs="黑体"/>
          <w:b/>
          <w:bCs/>
          <w:color w:val="000000"/>
          <w:szCs w:val="21"/>
          <w:highlight w:val="none"/>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5CF86FB0">
      <w:pPr>
        <w:adjustRightInd w:val="0"/>
        <w:snapToGrid w:val="0"/>
        <w:spacing w:line="440" w:lineRule="exact"/>
        <w:ind w:firstLine="422" w:firstLineChars="200"/>
        <w:jc w:val="left"/>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（2）评标专家在检验电子投标文件过程中，如果由于投标人自身原因导致评标专家无法查看并检验电子投标文件中相关资料的，视为无效标处理。即使投标人将原件携带至现场的，同样按无效标处理。</w:t>
      </w:r>
    </w:p>
    <w:bookmarkEnd w:id="70"/>
    <w:bookmarkEnd w:id="71"/>
    <w:bookmarkEnd w:id="72"/>
    <w:bookmarkEnd w:id="73"/>
    <w:p w14:paraId="018C7FC0">
      <w:pPr>
        <w:adjustRightInd w:val="0"/>
        <w:snapToGrid w:val="0"/>
        <w:spacing w:line="420" w:lineRule="exact"/>
        <w:outlineLvl w:val="1"/>
        <w:rPr>
          <w:rFonts w:hint="eastAsia" w:ascii="宋体" w:hAnsi="宋体" w:cs="宋体"/>
          <w:color w:val="000000"/>
          <w:szCs w:val="21"/>
          <w:highlight w:val="none"/>
        </w:rPr>
      </w:pPr>
      <w:r>
        <w:rPr>
          <w:rFonts w:hint="eastAsia" w:ascii="宋体" w:hAnsi="宋体" w:cs="宋体"/>
          <w:color w:val="000000"/>
          <w:szCs w:val="21"/>
          <w:highlight w:val="none"/>
          <w:lang w:eastAsia="zh-CN"/>
        </w:rPr>
        <w:t>　　</w:t>
      </w:r>
      <w:r>
        <w:rPr>
          <w:rFonts w:hint="eastAsia" w:ascii="宋体" w:hAnsi="宋体" w:cs="宋体"/>
          <w:color w:val="000000"/>
          <w:szCs w:val="21"/>
          <w:highlight w:val="none"/>
        </w:rPr>
        <w:t>1.审查资料</w:t>
      </w:r>
    </w:p>
    <w:p w14:paraId="4FCF6B8D">
      <w:pPr>
        <w:spacing w:line="360" w:lineRule="auto"/>
        <w:rPr>
          <w:rFonts w:hint="eastAsia" w:ascii="宋体" w:hAnsi="宋体" w:eastAsia="宋体" w:cs="宋体"/>
          <w:color w:val="000000"/>
          <w:szCs w:val="21"/>
          <w:highlight w:val="none"/>
        </w:rPr>
      </w:pPr>
      <w:r>
        <w:rPr>
          <w:rFonts w:hint="eastAsia" w:ascii="宋体" w:hAnsi="宋体" w:cs="宋体"/>
          <w:color w:val="000000"/>
          <w:szCs w:val="21"/>
          <w:highlight w:val="none"/>
          <w:lang w:eastAsia="zh-CN"/>
        </w:rPr>
        <w:t>　　</w:t>
      </w:r>
      <w:r>
        <w:rPr>
          <w:rFonts w:hint="eastAsia" w:ascii="宋体" w:hAnsi="宋体" w:cs="宋体"/>
          <w:color w:val="000000"/>
          <w:szCs w:val="21"/>
          <w:highlight w:val="none"/>
        </w:rPr>
        <w:t>（1）法定代表人身份证明及其有效身份证（或法定代表人授权委托书</w:t>
      </w:r>
      <w:r>
        <w:rPr>
          <w:rFonts w:hint="eastAsia" w:ascii="宋体" w:hAnsi="宋体" w:eastAsia="宋体" w:cs="宋体"/>
          <w:color w:val="000000"/>
          <w:szCs w:val="21"/>
          <w:highlight w:val="none"/>
        </w:rPr>
        <w:t>及其有效身份证）（格式见附件）；</w:t>
      </w:r>
    </w:p>
    <w:p w14:paraId="4044013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eastAsia="宋体" w:cs="宋体"/>
          <w:color w:val="000000"/>
          <w:szCs w:val="21"/>
          <w:highlight w:val="none"/>
        </w:rPr>
        <w:t>投标人有效的营业执照、税务登记证、组织机构代码证（或三合一证书）</w:t>
      </w:r>
      <w:r>
        <w:rPr>
          <w:rFonts w:hint="eastAsia" w:ascii="宋体" w:hAnsi="宋体" w:cs="宋体"/>
          <w:color w:val="000000"/>
          <w:szCs w:val="21"/>
          <w:highlight w:val="none"/>
        </w:rPr>
        <w:t>；</w:t>
      </w:r>
    </w:p>
    <w:p w14:paraId="51CF5DB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eastAsia="宋体" w:cs="宋体"/>
          <w:szCs w:val="21"/>
          <w:highlight w:val="none"/>
        </w:rPr>
        <w:t>项目负责人证书</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和资格证书</w:t>
      </w:r>
      <w:r>
        <w:rPr>
          <w:rFonts w:hint="eastAsia" w:ascii="宋体" w:hAnsi="宋体" w:cs="宋体"/>
          <w:color w:val="000000"/>
          <w:szCs w:val="21"/>
          <w:highlight w:val="none"/>
        </w:rPr>
        <w:t>；</w:t>
      </w:r>
    </w:p>
    <w:p w14:paraId="7BE5C27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szCs w:val="21"/>
          <w:highlight w:val="none"/>
        </w:rPr>
        <w:t>法定代表人(或委托代理人)和拟任项目负责人须持有社保部门出具的本单位为其缴纳的投标前近</w:t>
      </w:r>
      <w:r>
        <w:rPr>
          <w:rFonts w:hint="eastAsia" w:ascii="宋体" w:hAnsi="宋体"/>
          <w:szCs w:val="21"/>
          <w:highlight w:val="none"/>
          <w:lang w:val="en-US" w:eastAsia="zh-CN"/>
        </w:rPr>
        <w:t>3</w:t>
      </w:r>
      <w:r>
        <w:rPr>
          <w:rFonts w:hint="eastAsia" w:ascii="宋体" w:hAnsi="宋体"/>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77B0C74D">
      <w:pPr>
        <w:spacing w:line="360" w:lineRule="auto"/>
        <w:ind w:firstLine="420" w:firstLineChars="200"/>
        <w:rPr>
          <w:rFonts w:hint="eastAsia" w:ascii="宋体" w:hAnsi="宋体" w:cs="宋体"/>
          <w:color w:val="000000"/>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rPr>
        <w:t>诚信投标承诺书（或</w:t>
      </w:r>
      <w:r>
        <w:rPr>
          <w:rFonts w:hint="eastAsia" w:ascii="宋体" w:hAnsi="宋体" w:cs="宋体"/>
          <w:color w:val="000000"/>
          <w:szCs w:val="21"/>
          <w:highlight w:val="none"/>
        </w:rPr>
        <w:t>《公共信用信息报告（无违法违规证明版或核查版）》</w:t>
      </w:r>
      <w:r>
        <w:rPr>
          <w:rFonts w:hint="eastAsia" w:ascii="宋体" w:hAnsi="宋体" w:cs="宋体"/>
          <w:szCs w:val="21"/>
          <w:highlight w:val="none"/>
        </w:rPr>
        <w:t>）</w:t>
      </w:r>
      <w:r>
        <w:rPr>
          <w:rFonts w:hint="eastAsia" w:ascii="宋体" w:hAnsi="宋体" w:cs="宋体"/>
          <w:color w:val="000000"/>
          <w:szCs w:val="21"/>
          <w:highlight w:val="none"/>
        </w:rPr>
        <w:t>；</w:t>
      </w:r>
    </w:p>
    <w:p w14:paraId="098FD8D7">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）服务承诺：是否响应招标文件要求的书面说明和服务承诺书（格式见附件）</w:t>
      </w:r>
      <w:r>
        <w:rPr>
          <w:rFonts w:hint="eastAsia" w:ascii="宋体" w:hAnsi="宋体" w:cs="宋体"/>
          <w:color w:val="000000"/>
          <w:szCs w:val="21"/>
          <w:highlight w:val="none"/>
          <w:lang w:eastAsia="zh-CN"/>
        </w:rPr>
        <w:t>。</w:t>
      </w:r>
    </w:p>
    <w:p w14:paraId="0FD27E0E">
      <w:pPr>
        <w:adjustRightInd w:val="0"/>
        <w:snapToGrid w:val="0"/>
        <w:spacing w:line="420" w:lineRule="exact"/>
        <w:outlineLvl w:val="1"/>
        <w:rPr>
          <w:rFonts w:hint="eastAsia" w:ascii="宋体" w:hAnsi="宋体" w:cs="宋体"/>
          <w:color w:val="000000"/>
          <w:szCs w:val="21"/>
          <w:highlight w:val="none"/>
        </w:rPr>
      </w:pPr>
      <w:r>
        <w:rPr>
          <w:rFonts w:hint="eastAsia" w:ascii="宋体" w:hAnsi="宋体" w:cs="宋体"/>
          <w:color w:val="000000"/>
          <w:szCs w:val="21"/>
          <w:highlight w:val="none"/>
          <w:lang w:eastAsia="zh-CN"/>
        </w:rPr>
        <w:t>　　</w:t>
      </w:r>
      <w:r>
        <w:rPr>
          <w:rFonts w:hint="eastAsia" w:ascii="宋体" w:hAnsi="宋体" w:cs="宋体"/>
          <w:color w:val="000000"/>
          <w:szCs w:val="21"/>
          <w:highlight w:val="none"/>
        </w:rPr>
        <w:t>2.审查办法</w:t>
      </w:r>
    </w:p>
    <w:p w14:paraId="0C9081E2">
      <w:pPr>
        <w:spacing w:line="360" w:lineRule="auto"/>
        <w:rPr>
          <w:rFonts w:hint="eastAsia" w:ascii="宋体" w:hAnsi="宋体" w:cs="宋体"/>
          <w:color w:val="000000"/>
          <w:szCs w:val="21"/>
          <w:highlight w:val="none"/>
        </w:rPr>
      </w:pPr>
      <w:bookmarkStart w:id="74" w:name="_Toc15058910"/>
      <w:bookmarkStart w:id="75" w:name="_Toc506107321"/>
      <w:bookmarkStart w:id="76" w:name="_Toc60061493"/>
      <w:bookmarkStart w:id="77" w:name="_Toc324404868"/>
      <w:r>
        <w:rPr>
          <w:rFonts w:hint="eastAsia" w:ascii="宋体" w:hAnsi="宋体" w:cs="宋体"/>
          <w:color w:val="000000"/>
          <w:szCs w:val="21"/>
          <w:highlight w:val="none"/>
          <w:lang w:eastAsia="zh-CN"/>
        </w:rPr>
        <w:t>　　</w:t>
      </w:r>
      <w:r>
        <w:rPr>
          <w:rFonts w:hint="eastAsia" w:ascii="宋体" w:hAnsi="宋体" w:cs="宋体"/>
          <w:color w:val="000000"/>
          <w:szCs w:val="21"/>
          <w:highlight w:val="none"/>
        </w:rPr>
        <w:t>由资格审查委员会（评标委员会）按资格审查办法前附表中资格审查必要合格条件评审表要求对投标人审查资料进行核验。</w:t>
      </w:r>
    </w:p>
    <w:p w14:paraId="674AAC97">
      <w:pPr>
        <w:adjustRightInd w:val="0"/>
        <w:snapToGrid w:val="0"/>
        <w:spacing w:line="420" w:lineRule="exact"/>
        <w:outlineLvl w:val="1"/>
        <w:rPr>
          <w:rFonts w:hint="eastAsia" w:ascii="宋体" w:hAnsi="宋体" w:cs="宋体"/>
          <w:color w:val="000000"/>
          <w:szCs w:val="21"/>
          <w:highlight w:val="none"/>
        </w:rPr>
      </w:pPr>
      <w:bookmarkStart w:id="78" w:name="_Toc95223396"/>
      <w:r>
        <w:rPr>
          <w:rFonts w:hint="eastAsia" w:ascii="宋体" w:hAnsi="宋体" w:cs="宋体"/>
          <w:color w:val="000000"/>
          <w:szCs w:val="21"/>
          <w:highlight w:val="none"/>
          <w:lang w:eastAsia="zh-CN"/>
        </w:rPr>
        <w:t>　　</w:t>
      </w:r>
      <w:r>
        <w:rPr>
          <w:rFonts w:hint="eastAsia" w:ascii="宋体" w:hAnsi="宋体" w:cs="宋体"/>
          <w:color w:val="000000"/>
          <w:szCs w:val="21"/>
          <w:highlight w:val="none"/>
        </w:rPr>
        <w:t>3.资格审查委员会和审查标准</w:t>
      </w:r>
      <w:bookmarkEnd w:id="74"/>
      <w:bookmarkEnd w:id="75"/>
      <w:bookmarkEnd w:id="76"/>
      <w:bookmarkEnd w:id="77"/>
      <w:bookmarkEnd w:id="78"/>
    </w:p>
    <w:p w14:paraId="4588CBCF">
      <w:pPr>
        <w:adjustRightInd w:val="0"/>
        <w:snapToGrid w:val="0"/>
        <w:spacing w:line="420" w:lineRule="exact"/>
        <w:rPr>
          <w:rFonts w:hint="eastAsia" w:ascii="宋体" w:hAnsi="宋体" w:cs="宋体"/>
          <w:color w:val="000000"/>
          <w:szCs w:val="21"/>
          <w:highlight w:val="none"/>
        </w:rPr>
      </w:pPr>
      <w:r>
        <w:rPr>
          <w:rFonts w:hint="eastAsia" w:ascii="宋体" w:hAnsi="宋体" w:cs="宋体"/>
          <w:color w:val="000000"/>
          <w:szCs w:val="21"/>
          <w:highlight w:val="none"/>
          <w:lang w:eastAsia="zh-CN"/>
        </w:rPr>
        <w:t>　　</w:t>
      </w:r>
      <w:r>
        <w:rPr>
          <w:rFonts w:hint="eastAsia" w:ascii="宋体" w:hAnsi="宋体" w:cs="宋体"/>
          <w:color w:val="000000"/>
          <w:szCs w:val="21"/>
          <w:highlight w:val="none"/>
        </w:rPr>
        <w:t>3.1资格审查由招标人依法组建的资格审查委员会（或评标委员会）负责。审查标准见资格审查办法前附表。</w:t>
      </w:r>
    </w:p>
    <w:p w14:paraId="416C8022">
      <w:pPr>
        <w:adjustRightInd w:val="0"/>
        <w:snapToGrid w:val="0"/>
        <w:spacing w:line="420" w:lineRule="exact"/>
        <w:rPr>
          <w:rFonts w:hint="eastAsia" w:ascii="宋体" w:hAnsi="宋体" w:cs="宋体"/>
          <w:color w:val="000000"/>
          <w:szCs w:val="21"/>
          <w:highlight w:val="none"/>
        </w:rPr>
      </w:pPr>
      <w:r>
        <w:rPr>
          <w:rFonts w:hint="eastAsia" w:ascii="宋体" w:hAnsi="宋体" w:cs="宋体"/>
          <w:color w:val="000000"/>
          <w:szCs w:val="21"/>
          <w:highlight w:val="none"/>
          <w:lang w:eastAsia="zh-CN"/>
        </w:rPr>
        <w:t>　　</w:t>
      </w:r>
      <w:r>
        <w:rPr>
          <w:rFonts w:hint="eastAsia" w:ascii="宋体" w:hAnsi="宋体" w:cs="宋体"/>
          <w:color w:val="000000"/>
          <w:szCs w:val="21"/>
          <w:highlight w:val="none"/>
        </w:rPr>
        <w:t xml:space="preserve">3.2由资格审查委员会（评标委员会）按资格审查办法前附表要求对投标人的审查资料进行核验。投标申请人有下列情形之一的，其资格审查为不合格： </w:t>
      </w:r>
    </w:p>
    <w:p w14:paraId="6F6E0C7C">
      <w:pPr>
        <w:adjustRightInd w:val="0"/>
        <w:snapToGrid w:val="0"/>
        <w:spacing w:line="420" w:lineRule="exact"/>
        <w:ind w:firstLine="315" w:firstLineChars="150"/>
        <w:rPr>
          <w:rFonts w:hint="eastAsia" w:ascii="宋体" w:hAnsi="宋体" w:cs="宋体"/>
          <w:color w:val="000000"/>
          <w:szCs w:val="21"/>
          <w:highlight w:val="none"/>
        </w:rPr>
      </w:pPr>
      <w:bookmarkStart w:id="79" w:name="_Toc506107322"/>
      <w:bookmarkStart w:id="80" w:name="_Toc60061494"/>
      <w:bookmarkStart w:id="81" w:name="_Toc324404869"/>
      <w:bookmarkStart w:id="82" w:name="_Toc95223397"/>
      <w:bookmarkStart w:id="83" w:name="_Toc15058911"/>
      <w:r>
        <w:rPr>
          <w:rFonts w:hint="eastAsia" w:ascii="宋体" w:hAnsi="宋体" w:cs="宋体"/>
          <w:color w:val="000000"/>
          <w:szCs w:val="21"/>
          <w:highlight w:val="none"/>
        </w:rPr>
        <w:t>（1）未上传电子标书或电子标书经审查不合格；</w:t>
      </w:r>
    </w:p>
    <w:p w14:paraId="34933A40">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（2）联合体投标人没有提交联合体协议书</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本条不采用）</w:t>
      </w:r>
      <w:r>
        <w:rPr>
          <w:rFonts w:hint="eastAsia" w:ascii="宋体" w:hAnsi="宋体" w:cs="宋体"/>
          <w:color w:val="000000"/>
          <w:szCs w:val="21"/>
          <w:highlight w:val="none"/>
        </w:rPr>
        <w:t>；</w:t>
      </w:r>
    </w:p>
    <w:p w14:paraId="4B652808">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 xml:space="preserve">（3）保证金不按第一章“招标公告”要求提交投标保证金的； </w:t>
      </w:r>
    </w:p>
    <w:p w14:paraId="561C1AC5">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（4）投标人未办理省主体库登记入库手续的；</w:t>
      </w:r>
    </w:p>
    <w:p w14:paraId="70E1B12C">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（5）投标人投标 MAC 地址一致的；</w:t>
      </w:r>
    </w:p>
    <w:p w14:paraId="3E34D904">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（6）投标人申请开具电子保函 MAC 地址一致的；</w:t>
      </w:r>
    </w:p>
    <w:p w14:paraId="0EE0BFE4">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（7）投标人投标文件制作机器码、文件创建标识码及造价软件加密锁号信息雷同的；</w:t>
      </w:r>
    </w:p>
    <w:p w14:paraId="7213BE79">
      <w:pPr>
        <w:adjustRightInd w:val="0"/>
        <w:snapToGrid w:val="0"/>
        <w:spacing w:line="420" w:lineRule="exact"/>
        <w:ind w:firstLine="315" w:firstLineChars="150"/>
        <w:outlineLvl w:val="2"/>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）法律、法规规定的其他情形。</w:t>
      </w:r>
    </w:p>
    <w:p w14:paraId="0F383BB1">
      <w:pPr>
        <w:adjustRightInd w:val="0"/>
        <w:snapToGrid w:val="0"/>
        <w:spacing w:line="420" w:lineRule="exact"/>
        <w:outlineLvl w:val="1"/>
        <w:rPr>
          <w:rFonts w:hint="eastAsia" w:ascii="宋体" w:hAnsi="宋体" w:cs="宋体"/>
          <w:color w:val="000000"/>
          <w:szCs w:val="21"/>
          <w:highlight w:val="none"/>
        </w:rPr>
      </w:pPr>
      <w:r>
        <w:rPr>
          <w:rFonts w:hint="eastAsia" w:ascii="宋体" w:hAnsi="宋体" w:cs="宋体"/>
          <w:color w:val="000000"/>
          <w:szCs w:val="21"/>
          <w:highlight w:val="none"/>
          <w:lang w:eastAsia="zh-CN"/>
        </w:rPr>
        <w:t>　　</w:t>
      </w:r>
      <w:r>
        <w:rPr>
          <w:rFonts w:hint="eastAsia" w:ascii="宋体" w:hAnsi="宋体" w:cs="宋体"/>
          <w:color w:val="000000"/>
          <w:szCs w:val="21"/>
          <w:highlight w:val="none"/>
        </w:rPr>
        <w:t>4.审查结果</w:t>
      </w:r>
      <w:bookmarkEnd w:id="79"/>
      <w:bookmarkEnd w:id="80"/>
      <w:bookmarkEnd w:id="81"/>
      <w:bookmarkEnd w:id="82"/>
      <w:bookmarkEnd w:id="83"/>
    </w:p>
    <w:p w14:paraId="62AAAD8C">
      <w:pPr>
        <w:adjustRightInd w:val="0"/>
        <w:snapToGrid w:val="0"/>
        <w:spacing w:line="420" w:lineRule="exact"/>
        <w:rPr>
          <w:rFonts w:hint="eastAsia" w:ascii="宋体" w:hAnsi="宋体" w:cs="宋体"/>
          <w:color w:val="000000"/>
          <w:szCs w:val="21"/>
          <w:highlight w:val="none"/>
        </w:rPr>
      </w:pPr>
      <w:r>
        <w:rPr>
          <w:rFonts w:hint="eastAsia" w:ascii="宋体" w:hAnsi="宋体" w:cs="宋体"/>
          <w:color w:val="000000"/>
          <w:szCs w:val="21"/>
          <w:highlight w:val="none"/>
          <w:lang w:eastAsia="zh-CN"/>
        </w:rPr>
        <w:t>　　</w:t>
      </w:r>
      <w:r>
        <w:rPr>
          <w:rFonts w:hint="eastAsia" w:ascii="宋体" w:hAnsi="宋体" w:cs="宋体"/>
          <w:color w:val="000000"/>
          <w:szCs w:val="21"/>
          <w:highlight w:val="none"/>
        </w:rPr>
        <w:t>只有通过资格审查的投标人才能进入下一步的评标程序。</w:t>
      </w:r>
    </w:p>
    <w:p w14:paraId="5E974C57">
      <w:pPr>
        <w:rPr>
          <w:rFonts w:hint="eastAsia" w:ascii="华文中宋" w:hAnsi="华文中宋" w:eastAsia="华文中宋"/>
          <w:color w:val="auto"/>
          <w:highlight w:val="none"/>
        </w:rPr>
      </w:pPr>
      <w:r>
        <w:rPr>
          <w:rFonts w:hint="eastAsia" w:ascii="华文中宋" w:hAnsi="华文中宋" w:eastAsia="华文中宋"/>
          <w:color w:val="auto"/>
          <w:highlight w:val="none"/>
        </w:rPr>
        <w:br w:type="page"/>
      </w:r>
    </w:p>
    <w:bookmarkEnd w:id="69"/>
    <w:p w14:paraId="12D27F70">
      <w:pPr>
        <w:pStyle w:val="3"/>
        <w:adjustRightInd w:val="0"/>
        <w:snapToGrid w:val="0"/>
        <w:spacing w:before="0" w:after="0" w:line="560" w:lineRule="exact"/>
        <w:jc w:val="center"/>
        <w:rPr>
          <w:rFonts w:hint="eastAsia"/>
          <w:color w:val="000000"/>
          <w:highlight w:val="none"/>
        </w:rPr>
      </w:pPr>
      <w:bookmarkStart w:id="84" w:name="_Toc95223428"/>
      <w:bookmarkStart w:id="85" w:name="_Toc267320058"/>
      <w:bookmarkStart w:id="86" w:name="_Toc363135205"/>
      <w:r>
        <w:rPr>
          <w:rFonts w:hint="eastAsia"/>
          <w:color w:val="000000"/>
          <w:highlight w:val="none"/>
        </w:rPr>
        <w:t>第四章 评标办法</w:t>
      </w:r>
      <w:bookmarkEnd w:id="84"/>
    </w:p>
    <w:p w14:paraId="0506901A">
      <w:pPr>
        <w:numPr>
          <w:ilvl w:val="0"/>
          <w:numId w:val="8"/>
        </w:numPr>
        <w:spacing w:line="560" w:lineRule="exact"/>
        <w:ind w:left="0"/>
        <w:jc w:val="center"/>
        <w:outlineLvl w:val="1"/>
        <w:rPr>
          <w:rFonts w:hint="eastAsia"/>
          <w:b/>
          <w:color w:val="000000"/>
          <w:sz w:val="28"/>
          <w:szCs w:val="21"/>
          <w:highlight w:val="none"/>
        </w:rPr>
      </w:pPr>
      <w:r>
        <w:rPr>
          <w:rFonts w:hint="eastAsia"/>
          <w:b/>
          <w:color w:val="000000"/>
          <w:sz w:val="28"/>
          <w:szCs w:val="21"/>
          <w:highlight w:val="none"/>
        </w:rPr>
        <w:t>中标候选人的确定</w:t>
      </w:r>
    </w:p>
    <w:p w14:paraId="34DB69BC">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eastAsia="宋体" w:cs="宋体"/>
          <w:color w:val="auto"/>
          <w:szCs w:val="21"/>
          <w:highlight w:val="none"/>
        </w:rPr>
        <w:t>评标委员会对投标人依次进行资信、技术、商务文件审查，对均满足要求的投标人进行各项评审因素打分，合计的总得分按照从高到低进行排序，总得分第一的投标人为第一中标候选人。如总得分相等，以投标报价低的优先，投标报价仍相等，由评标委员会主任委员或招标人随机抽取确定排名。</w:t>
      </w:r>
    </w:p>
    <w:p w14:paraId="0E30B5EB">
      <w:pPr>
        <w:numPr>
          <w:ilvl w:val="0"/>
          <w:numId w:val="8"/>
        </w:numPr>
        <w:spacing w:line="560" w:lineRule="exact"/>
        <w:ind w:left="0"/>
        <w:jc w:val="center"/>
        <w:rPr>
          <w:rFonts w:hint="eastAsia" w:ascii="Times New Roman" w:hAnsi="Times New Roman" w:eastAsia="宋体" w:cs="Times New Roman"/>
          <w:b/>
          <w:color w:val="000000"/>
          <w:sz w:val="28"/>
          <w:szCs w:val="21"/>
          <w:highlight w:val="none"/>
        </w:rPr>
      </w:pPr>
      <w:r>
        <w:rPr>
          <w:rFonts w:hint="eastAsia" w:ascii="Times New Roman" w:hAnsi="Times New Roman" w:eastAsia="宋体" w:cs="Times New Roman"/>
          <w:b/>
          <w:color w:val="000000"/>
          <w:sz w:val="28"/>
          <w:szCs w:val="21"/>
          <w:highlight w:val="none"/>
        </w:rPr>
        <w:t>资信标评审</w:t>
      </w:r>
      <w:r>
        <w:rPr>
          <w:rFonts w:hint="eastAsia" w:cs="Times New Roman"/>
          <w:b/>
          <w:color w:val="000000"/>
          <w:sz w:val="28"/>
          <w:szCs w:val="21"/>
          <w:highlight w:val="none"/>
          <w:lang w:eastAsia="zh-CN"/>
        </w:rPr>
        <w:t>（</w:t>
      </w:r>
      <w:r>
        <w:rPr>
          <w:rFonts w:hint="eastAsia" w:cs="Times New Roman"/>
          <w:b/>
          <w:color w:val="000000"/>
          <w:sz w:val="28"/>
          <w:szCs w:val="21"/>
          <w:highlight w:val="none"/>
          <w:lang w:val="en-US" w:eastAsia="zh-CN"/>
        </w:rPr>
        <w:t>55分）</w:t>
      </w:r>
    </w:p>
    <w:tbl>
      <w:tblPr>
        <w:tblStyle w:val="37"/>
        <w:tblW w:w="9887"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78"/>
        <w:gridCol w:w="840"/>
        <w:gridCol w:w="7217"/>
      </w:tblGrid>
      <w:tr w14:paraId="495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5AC8552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078" w:type="dxa"/>
            <w:shd w:val="clear" w:color="auto" w:fill="auto"/>
            <w:noWrap/>
            <w:vAlign w:val="center"/>
          </w:tcPr>
          <w:p w14:paraId="00818E1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840" w:type="dxa"/>
            <w:shd w:val="clear" w:color="auto" w:fill="auto"/>
            <w:noWrap/>
            <w:vAlign w:val="center"/>
          </w:tcPr>
          <w:p w14:paraId="2232519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7217" w:type="dxa"/>
            <w:shd w:val="clear" w:color="auto" w:fill="auto"/>
            <w:noWrap/>
            <w:vAlign w:val="center"/>
          </w:tcPr>
          <w:p w14:paraId="774C137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评审细则</w:t>
            </w:r>
          </w:p>
        </w:tc>
      </w:tr>
      <w:tr w14:paraId="7CEE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5785668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078" w:type="dxa"/>
            <w:shd w:val="clear" w:color="auto" w:fill="auto"/>
            <w:noWrap/>
            <w:vAlign w:val="center"/>
          </w:tcPr>
          <w:p w14:paraId="423BB1E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业绩</w:t>
            </w:r>
          </w:p>
        </w:tc>
        <w:tc>
          <w:tcPr>
            <w:tcW w:w="840" w:type="dxa"/>
            <w:shd w:val="clear" w:color="auto" w:fill="auto"/>
            <w:noWrap/>
            <w:vAlign w:val="center"/>
          </w:tcPr>
          <w:p w14:paraId="3CC7D41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10分</w:t>
            </w:r>
          </w:p>
        </w:tc>
        <w:tc>
          <w:tcPr>
            <w:tcW w:w="7217" w:type="dxa"/>
            <w:shd w:val="clear" w:color="auto" w:fill="auto"/>
            <w:noWrap/>
            <w:vAlign w:val="center"/>
          </w:tcPr>
          <w:p w14:paraId="23B1F614">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baseline"/>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.自</w:t>
            </w:r>
            <w:r>
              <w:rPr>
                <w:rFonts w:hint="default" w:ascii="宋体" w:hAnsi="宋体" w:eastAsia="宋体" w:cs="宋体"/>
                <w:bCs/>
                <w:color w:val="auto"/>
                <w:sz w:val="21"/>
                <w:szCs w:val="21"/>
                <w:highlight w:val="none"/>
                <w:lang w:val="en-US" w:eastAsia="zh-CN"/>
              </w:rPr>
              <w:t>202</w:t>
            </w:r>
            <w:r>
              <w:rPr>
                <w:rFonts w:hint="eastAsia" w:ascii="宋体" w:hAnsi="宋体" w:eastAsia="宋体" w:cs="宋体"/>
                <w:bCs/>
                <w:color w:val="auto"/>
                <w:sz w:val="21"/>
                <w:szCs w:val="21"/>
                <w:highlight w:val="none"/>
                <w:lang w:val="en-US" w:eastAsia="zh-CN"/>
              </w:rPr>
              <w:t>1年</w:t>
            </w:r>
            <w:r>
              <w:rPr>
                <w:rFonts w:hint="default"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月</w:t>
            </w:r>
            <w:r>
              <w:rPr>
                <w:rFonts w:hint="default"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日以来（以合同签订时间为准），投标人具有住宅类项目业绩（含在管、已履约完毕的业绩）每提供</w:t>
            </w:r>
            <w:r>
              <w:rPr>
                <w:rFonts w:hint="default"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个业绩得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0714FE25">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baseline"/>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 xml:space="preserve">.拟投入本项目的项目经理，自 </w:t>
            </w:r>
            <w:r>
              <w:rPr>
                <w:rFonts w:hint="default" w:ascii="宋体" w:hAnsi="宋体" w:eastAsia="宋体" w:cs="宋体"/>
                <w:bCs/>
                <w:color w:val="auto"/>
                <w:sz w:val="21"/>
                <w:szCs w:val="21"/>
                <w:highlight w:val="none"/>
                <w:lang w:val="en-US" w:eastAsia="zh-CN"/>
              </w:rPr>
              <w:t>202</w:t>
            </w:r>
            <w:r>
              <w:rPr>
                <w:rFonts w:hint="eastAsia" w:ascii="宋体" w:hAnsi="宋体" w:eastAsia="宋体" w:cs="宋体"/>
                <w:bCs/>
                <w:color w:val="auto"/>
                <w:sz w:val="21"/>
                <w:szCs w:val="21"/>
                <w:highlight w:val="none"/>
                <w:lang w:val="en-US" w:eastAsia="zh-CN"/>
              </w:rPr>
              <w:t>1年</w:t>
            </w:r>
            <w:r>
              <w:rPr>
                <w:rFonts w:hint="default"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月</w:t>
            </w:r>
            <w:r>
              <w:rPr>
                <w:rFonts w:hint="default"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日以来（以合同签订时间为准）， 以项目经理身份承担过有住宅小区物业服务管理业绩（含在管、已履约完毕的业绩）每提供</w:t>
            </w:r>
            <w:r>
              <w:rPr>
                <w:rFonts w:hint="default"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个业绩得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34C2F173">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eastAsia="宋体"/>
                <w:b/>
                <w:bCs w:val="0"/>
                <w:highlight w:val="none"/>
                <w:lang w:eastAsia="zh-CN"/>
              </w:rPr>
            </w:pPr>
            <w:r>
              <w:rPr>
                <w:rFonts w:hint="eastAsia" w:ascii="宋体" w:hAnsi="宋体" w:cs="宋体"/>
                <w:b/>
                <w:bCs/>
                <w:color w:val="000000"/>
                <w:kern w:val="0"/>
                <w:sz w:val="21"/>
                <w:szCs w:val="21"/>
                <w:highlight w:val="none"/>
                <w:lang w:val="en-US" w:eastAsia="zh-CN" w:bidi="ar"/>
              </w:rPr>
              <w:t>【</w:t>
            </w:r>
            <w:r>
              <w:rPr>
                <w:rFonts w:hint="eastAsia" w:ascii="宋体" w:hAnsi="宋体" w:eastAsia="宋体" w:cs="宋体"/>
                <w:b/>
                <w:bCs/>
                <w:color w:val="000000"/>
                <w:kern w:val="0"/>
                <w:sz w:val="21"/>
                <w:szCs w:val="21"/>
                <w:highlight w:val="none"/>
                <w:lang w:val="en-US" w:eastAsia="zh-CN" w:bidi="ar"/>
              </w:rPr>
              <w:t>投标文件中须同时提供①中标通知书扫描件</w:t>
            </w:r>
            <w:r>
              <w:rPr>
                <w:rFonts w:hint="default" w:ascii="Times New Roman" w:hAnsi="Times New Roman" w:eastAsia="宋体" w:cs="Times New Roman"/>
                <w:b/>
                <w:bCs/>
                <w:color w:val="000000"/>
                <w:kern w:val="0"/>
                <w:sz w:val="21"/>
                <w:szCs w:val="21"/>
                <w:highlight w:val="none"/>
                <w:lang w:val="en-US" w:eastAsia="zh-CN" w:bidi="ar"/>
              </w:rPr>
              <w:t>(</w:t>
            </w:r>
            <w:r>
              <w:rPr>
                <w:rFonts w:hint="eastAsia" w:ascii="宋体" w:hAnsi="宋体" w:eastAsia="宋体" w:cs="宋体"/>
                <w:b/>
                <w:bCs/>
                <w:color w:val="000000"/>
                <w:kern w:val="0"/>
                <w:sz w:val="21"/>
                <w:szCs w:val="21"/>
                <w:highlight w:val="none"/>
                <w:lang w:val="en-US" w:eastAsia="zh-CN" w:bidi="ar"/>
              </w:rPr>
              <w:t>须加盖招投标管理部门印章或招投标管理部门备案印章，无印章的还须提供公共资源交易平台官网发布的中标公示网页截图及有效网址链接</w:t>
            </w:r>
            <w:r>
              <w:rPr>
                <w:rFonts w:hint="default" w:ascii="Times New Roman" w:hAnsi="Times New Roman" w:eastAsia="宋体" w:cs="Times New Roman"/>
                <w:b/>
                <w:bCs/>
                <w:color w:val="000000"/>
                <w:kern w:val="0"/>
                <w:sz w:val="21"/>
                <w:szCs w:val="21"/>
                <w:highlight w:val="none"/>
                <w:lang w:val="en-US" w:eastAsia="zh-CN" w:bidi="ar"/>
              </w:rPr>
              <w:t>)</w:t>
            </w:r>
            <w:r>
              <w:rPr>
                <w:rFonts w:hint="eastAsia" w:ascii="宋体" w:hAnsi="宋体" w:eastAsia="宋体" w:cs="宋体"/>
                <w:b/>
                <w:bCs/>
                <w:color w:val="000000"/>
                <w:kern w:val="0"/>
                <w:sz w:val="21"/>
                <w:szCs w:val="21"/>
                <w:highlight w:val="none"/>
                <w:lang w:val="en-US" w:eastAsia="zh-CN" w:bidi="ar"/>
              </w:rPr>
              <w:t>；②物业合同扫描件；上述材料缺一不可，如上述材料</w:t>
            </w:r>
            <w:r>
              <w:rPr>
                <w:rFonts w:hint="eastAsia" w:ascii="宋体" w:hAnsi="宋体" w:cs="宋体"/>
                <w:b/>
                <w:bCs/>
                <w:color w:val="000000"/>
                <w:kern w:val="0"/>
                <w:sz w:val="21"/>
                <w:szCs w:val="21"/>
                <w:highlight w:val="none"/>
                <w:lang w:val="en-US" w:eastAsia="zh-CN" w:bidi="ar"/>
              </w:rPr>
              <w:t>中体现不出评审因素的</w:t>
            </w:r>
            <w:r>
              <w:rPr>
                <w:rFonts w:hint="eastAsia" w:ascii="宋体" w:hAnsi="宋体" w:eastAsia="宋体" w:cs="宋体"/>
                <w:b/>
                <w:bCs/>
                <w:color w:val="000000"/>
                <w:kern w:val="0"/>
                <w:sz w:val="21"/>
                <w:szCs w:val="21"/>
                <w:highlight w:val="none"/>
                <w:lang w:val="en-US" w:eastAsia="zh-CN" w:bidi="ar"/>
              </w:rPr>
              <w:t>，</w:t>
            </w:r>
            <w:r>
              <w:rPr>
                <w:rFonts w:hint="eastAsia" w:ascii="宋体" w:hAnsi="宋体" w:cs="宋体"/>
                <w:b/>
                <w:bCs/>
                <w:color w:val="000000"/>
                <w:kern w:val="0"/>
                <w:sz w:val="21"/>
                <w:szCs w:val="21"/>
                <w:highlight w:val="none"/>
                <w:lang w:val="en-US" w:eastAsia="zh-CN" w:bidi="ar"/>
              </w:rPr>
              <w:t>须</w:t>
            </w:r>
            <w:r>
              <w:rPr>
                <w:rFonts w:hint="eastAsia" w:ascii="宋体" w:hAnsi="宋体" w:eastAsia="宋体" w:cs="宋体"/>
                <w:b/>
                <w:bCs/>
                <w:color w:val="000000"/>
                <w:kern w:val="0"/>
                <w:sz w:val="21"/>
                <w:szCs w:val="21"/>
                <w:highlight w:val="none"/>
                <w:lang w:val="en-US" w:eastAsia="zh-CN" w:bidi="ar"/>
              </w:rPr>
              <w:t>另</w:t>
            </w:r>
            <w:r>
              <w:rPr>
                <w:rFonts w:hint="eastAsia" w:ascii="宋体" w:hAnsi="宋体" w:cs="宋体"/>
                <w:b/>
                <w:bCs/>
                <w:color w:val="000000"/>
                <w:kern w:val="0"/>
                <w:sz w:val="21"/>
                <w:szCs w:val="21"/>
                <w:highlight w:val="none"/>
                <w:lang w:val="en-US" w:eastAsia="zh-CN" w:bidi="ar"/>
              </w:rPr>
              <w:t>附业主盖章</w:t>
            </w:r>
            <w:r>
              <w:rPr>
                <w:rFonts w:hint="eastAsia" w:ascii="宋体" w:hAnsi="宋体" w:eastAsia="宋体" w:cs="宋体"/>
                <w:b/>
                <w:bCs/>
                <w:color w:val="000000"/>
                <w:kern w:val="0"/>
                <w:sz w:val="21"/>
                <w:szCs w:val="21"/>
                <w:highlight w:val="none"/>
                <w:lang w:val="en-US" w:eastAsia="zh-CN" w:bidi="ar"/>
              </w:rPr>
              <w:t>证明材料扫描件，</w:t>
            </w:r>
            <w:r>
              <w:rPr>
                <w:rFonts w:hint="eastAsia"/>
                <w:b/>
                <w:bCs w:val="0"/>
                <w:highlight w:val="none"/>
                <w:lang w:val="en-US" w:eastAsia="zh-CN"/>
              </w:rPr>
              <w:t>证明材料</w:t>
            </w:r>
            <w:r>
              <w:rPr>
                <w:rFonts w:hint="eastAsia"/>
                <w:b/>
                <w:bCs w:val="0"/>
                <w:highlight w:val="none"/>
              </w:rPr>
              <w:t>必须提供业主单位联系方式以便核实，否则不得分。</w:t>
            </w:r>
            <w:r>
              <w:rPr>
                <w:rFonts w:hint="eastAsia"/>
                <w:b/>
                <w:bCs w:val="0"/>
                <w:highlight w:val="none"/>
                <w:lang w:eastAsia="zh-CN"/>
              </w:rPr>
              <w:t>】</w:t>
            </w:r>
          </w:p>
          <w:p w14:paraId="1A021DFB">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w:t>
            </w:r>
            <w:r>
              <w:rPr>
                <w:rFonts w:hint="default" w:ascii="宋体" w:hAnsi="宋体" w:eastAsia="宋体" w:cs="宋体"/>
                <w:kern w:val="0"/>
                <w:sz w:val="21"/>
                <w:szCs w:val="21"/>
                <w:highlight w:val="none"/>
                <w:lang w:val="en-US" w:eastAsia="zh-CN" w:bidi="ar-SA"/>
              </w:rPr>
              <w:t>①</w:t>
            </w:r>
            <w:r>
              <w:rPr>
                <w:rFonts w:hint="eastAsia" w:ascii="宋体" w:hAnsi="宋体" w:eastAsia="宋体" w:cs="宋体"/>
                <w:kern w:val="0"/>
                <w:sz w:val="21"/>
                <w:szCs w:val="21"/>
                <w:highlight w:val="none"/>
                <w:lang w:val="en-US" w:eastAsia="zh-CN" w:bidi="ar-SA"/>
              </w:rPr>
              <w:t>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04704E5B">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②</w:t>
            </w:r>
            <w:r>
              <w:rPr>
                <w:rFonts w:hint="eastAsia" w:ascii="宋体" w:hAnsi="宋体" w:cs="宋体"/>
                <w:kern w:val="0"/>
                <w:sz w:val="21"/>
                <w:szCs w:val="21"/>
                <w:highlight w:val="none"/>
                <w:lang w:val="en-US" w:eastAsia="zh-CN" w:bidi="ar-SA"/>
              </w:rPr>
              <w:t>投标人业绩和项目经理业绩相同的可累计计分。</w:t>
            </w:r>
          </w:p>
        </w:tc>
      </w:tr>
      <w:tr w14:paraId="60B6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36D39DE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078" w:type="dxa"/>
            <w:shd w:val="clear" w:color="auto" w:fill="auto"/>
            <w:noWrap/>
            <w:vAlign w:val="center"/>
          </w:tcPr>
          <w:p w14:paraId="1EB8E87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荣誉</w:t>
            </w:r>
          </w:p>
        </w:tc>
        <w:tc>
          <w:tcPr>
            <w:tcW w:w="840" w:type="dxa"/>
            <w:shd w:val="clear" w:color="auto" w:fill="auto"/>
            <w:noWrap/>
            <w:vAlign w:val="center"/>
          </w:tcPr>
          <w:p w14:paraId="488B602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9分</w:t>
            </w:r>
          </w:p>
        </w:tc>
        <w:tc>
          <w:tcPr>
            <w:tcW w:w="7217" w:type="dxa"/>
            <w:shd w:val="clear" w:color="auto" w:fill="auto"/>
            <w:noWrap/>
            <w:vAlign w:val="center"/>
          </w:tcPr>
          <w:p w14:paraId="125A1F8E">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.投标人作为物业服务企业，成立党组织的加3分。</w:t>
            </w:r>
          </w:p>
          <w:p w14:paraId="63F40C7E">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 xml:space="preserve">【投标文件中提供上级党组织出具的成立公文扫描件】 </w:t>
            </w:r>
          </w:p>
          <w:p w14:paraId="2276F639">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.自</w:t>
            </w:r>
            <w:r>
              <w:rPr>
                <w:rFonts w:hint="default" w:ascii="Times New Roman" w:hAnsi="Times New Roman" w:eastAsia="宋体" w:cs="Times New Roman"/>
                <w:color w:val="000000"/>
                <w:kern w:val="0"/>
                <w:sz w:val="21"/>
                <w:szCs w:val="21"/>
                <w:highlight w:val="none"/>
                <w:lang w:val="en-US" w:eastAsia="zh-CN" w:bidi="ar"/>
              </w:rPr>
              <w:t>202</w:t>
            </w:r>
            <w:r>
              <w:rPr>
                <w:rFonts w:hint="eastAsia"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年</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月</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日以来（以证书或者证明文件的颁发时间为准），投标人</w:t>
            </w:r>
            <w:r>
              <w:rPr>
                <w:rFonts w:hint="eastAsia" w:ascii="宋体" w:hAnsi="宋体" w:cs="宋体"/>
                <w:color w:val="000000"/>
                <w:kern w:val="0"/>
                <w:sz w:val="21"/>
                <w:szCs w:val="21"/>
                <w:highlight w:val="none"/>
                <w:lang w:val="en-US" w:eastAsia="zh-CN" w:bidi="ar"/>
              </w:rPr>
              <w:t>承揽</w:t>
            </w:r>
            <w:r>
              <w:rPr>
                <w:rFonts w:hint="eastAsia" w:ascii="宋体" w:hAnsi="宋体" w:eastAsia="宋体" w:cs="宋体"/>
                <w:color w:val="000000"/>
                <w:kern w:val="0"/>
                <w:sz w:val="21"/>
                <w:szCs w:val="21"/>
                <w:highlight w:val="none"/>
                <w:lang w:val="en-US" w:eastAsia="zh-CN" w:bidi="ar"/>
              </w:rPr>
              <w:t>物业服务项目在物业服务期间获得地市级以上政府或者物业行政主管部门（不含协会）表彰的（含先进、</w:t>
            </w:r>
            <w:r>
              <w:rPr>
                <w:rFonts w:hint="eastAsia" w:ascii="宋体" w:hAnsi="宋体" w:cs="宋体"/>
                <w:color w:val="000000"/>
                <w:kern w:val="0"/>
                <w:sz w:val="21"/>
                <w:szCs w:val="21"/>
                <w:highlight w:val="none"/>
                <w:lang w:val="en-US" w:eastAsia="zh-CN" w:bidi="ar"/>
              </w:rPr>
              <w:t>示</w:t>
            </w:r>
            <w:r>
              <w:rPr>
                <w:rFonts w:hint="eastAsia" w:ascii="宋体" w:hAnsi="宋体" w:eastAsia="宋体" w:cs="宋体"/>
                <w:color w:val="000000"/>
                <w:kern w:val="0"/>
                <w:sz w:val="21"/>
                <w:szCs w:val="21"/>
                <w:highlight w:val="none"/>
                <w:lang w:val="en-US" w:eastAsia="zh-CN" w:bidi="ar"/>
              </w:rPr>
              <w:t>范、优秀），每提供一个得</w:t>
            </w:r>
            <w:r>
              <w:rPr>
                <w:rFonts w:hint="eastAsia" w:cs="Times New Roman"/>
                <w:color w:val="000000"/>
                <w:kern w:val="0"/>
                <w:sz w:val="21"/>
                <w:szCs w:val="21"/>
                <w:highlight w:val="none"/>
                <w:lang w:val="en-US" w:eastAsia="zh-CN" w:bidi="ar"/>
              </w:rPr>
              <w:t>3分</w:t>
            </w:r>
            <w:r>
              <w:rPr>
                <w:rFonts w:hint="eastAsia" w:ascii="宋体" w:hAnsi="宋体" w:eastAsia="宋体" w:cs="宋体"/>
                <w:color w:val="000000"/>
                <w:kern w:val="0"/>
                <w:sz w:val="21"/>
                <w:szCs w:val="21"/>
                <w:highlight w:val="none"/>
                <w:lang w:val="en-US" w:eastAsia="zh-CN" w:bidi="ar"/>
              </w:rPr>
              <w:t>，最高得</w:t>
            </w:r>
            <w:r>
              <w:rPr>
                <w:rFonts w:hint="eastAsia"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分。 </w:t>
            </w:r>
          </w:p>
          <w:p w14:paraId="17FF5129">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投标文件中提供证书、批复、颁发单位荣誉文件、网上公示截图（具有其中之一即可）等证明材料。以上材料提供扫描件，须能体现投标人在物业管理工作中获得的荣誉，如无法体现，须另附颁发单位的相关证明材料，未提供或提供不全的不得分。如为所管项目荣誉，投标文件中同时提供业绩合同扫描件。</w:t>
            </w:r>
            <w:r>
              <w:rPr>
                <w:rFonts w:hint="eastAsia" w:ascii="宋体" w:hAnsi="宋体" w:eastAsia="宋体" w:cs="宋体"/>
                <w:b/>
                <w:bCs/>
                <w:color w:val="auto"/>
                <w:kern w:val="0"/>
                <w:szCs w:val="21"/>
                <w:highlight w:val="none"/>
                <w:lang w:val="en-US" w:bidi="zh-CN"/>
              </w:rPr>
              <w:t>必须提供荣誉颁发单位联系方式以便核实，否则不得分。</w:t>
            </w:r>
            <w:r>
              <w:rPr>
                <w:rFonts w:hint="eastAsia" w:ascii="宋体" w:hAnsi="宋体" w:eastAsia="宋体" w:cs="宋体"/>
                <w:color w:val="auto"/>
                <w:kern w:val="0"/>
                <w:szCs w:val="21"/>
                <w:highlight w:val="none"/>
                <w:lang w:val="en-US" w:eastAsia="zh-CN" w:bidi="zh-CN"/>
              </w:rPr>
              <w:t>本项仅限</w:t>
            </w:r>
            <w:r>
              <w:rPr>
                <w:rFonts w:hint="eastAsia" w:ascii="宋体" w:hAnsi="宋体" w:eastAsia="宋体" w:cs="宋体"/>
                <w:kern w:val="0"/>
                <w:sz w:val="21"/>
                <w:szCs w:val="21"/>
                <w:highlight w:val="none"/>
                <w:lang w:val="en-US" w:eastAsia="zh-CN" w:bidi="ar-SA"/>
              </w:rPr>
              <w:t>提供一个企业荣誉，按照投标文件排序评审第一项荣誉，其余超出部分不再评审。</w:t>
            </w:r>
            <w:r>
              <w:rPr>
                <w:rFonts w:hint="eastAsia" w:ascii="宋体" w:hAnsi="宋体" w:eastAsia="宋体" w:cs="宋体"/>
                <w:b/>
                <w:bCs/>
                <w:color w:val="auto"/>
                <w:kern w:val="0"/>
                <w:szCs w:val="21"/>
                <w:highlight w:val="none"/>
                <w:lang w:val="en-US" w:bidi="zh-CN"/>
              </w:rPr>
              <w:t>】</w:t>
            </w:r>
          </w:p>
          <w:p w14:paraId="3D9620DF">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.自</w:t>
            </w:r>
            <w:r>
              <w:rPr>
                <w:rFonts w:hint="default" w:ascii="Times New Roman" w:hAnsi="Times New Roman" w:eastAsia="宋体" w:cs="Times New Roman"/>
                <w:color w:val="000000"/>
                <w:kern w:val="0"/>
                <w:sz w:val="21"/>
                <w:szCs w:val="21"/>
                <w:highlight w:val="none"/>
                <w:lang w:val="en-US" w:eastAsia="zh-CN" w:bidi="ar"/>
              </w:rPr>
              <w:t>202</w:t>
            </w:r>
            <w:r>
              <w:rPr>
                <w:rFonts w:hint="eastAsia"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年</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月</w:t>
            </w: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日以来（以证书或者证明文件的颁发时间为准），投标人物业信用等级被市级及以上物业行政主管部门评为A级（类）的得</w:t>
            </w:r>
            <w:r>
              <w:rPr>
                <w:rFonts w:hint="eastAsia"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分，被评为B级（类）的得2分</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最高得</w:t>
            </w:r>
            <w:r>
              <w:rPr>
                <w:rFonts w:hint="eastAsia"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分。 </w:t>
            </w:r>
          </w:p>
          <w:p w14:paraId="765EEAF2">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注：自高到低全国各地规定、说法可能不一致，如</w:t>
            </w:r>
            <w:r>
              <w:rPr>
                <w:rFonts w:hint="default"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val="en-US" w:eastAsia="zh-CN" w:bidi="ar"/>
              </w:rPr>
              <w:t>ABCDE级</w:t>
            </w:r>
            <w:r>
              <w:rPr>
                <w:rFonts w:hint="default" w:ascii="Times New Roman" w:hAnsi="Times New Roman" w:eastAsia="宋体" w:cs="Times New Roman"/>
                <w:color w:val="000000"/>
                <w:kern w:val="0"/>
                <w:sz w:val="21"/>
                <w:szCs w:val="21"/>
                <w:highlight w:val="none"/>
                <w:lang w:val="en-US" w:eastAsia="zh-CN" w:bidi="ar"/>
              </w:rPr>
              <w:t xml:space="preserve"> </w:t>
            </w:r>
            <w:r>
              <w:rPr>
                <w:rFonts w:hint="eastAsia"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甲乙丙级</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类</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AAA</w:t>
            </w: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AA </w:t>
            </w:r>
            <w:r>
              <w:rPr>
                <w:rFonts w:hint="eastAsia" w:ascii="宋体" w:hAnsi="宋体" w:eastAsia="宋体" w:cs="宋体"/>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A </w:t>
            </w:r>
            <w:r>
              <w:rPr>
                <w:rFonts w:hint="eastAsia" w:ascii="宋体" w:hAnsi="宋体" w:eastAsia="宋体" w:cs="宋体"/>
                <w:color w:val="000000"/>
                <w:kern w:val="0"/>
                <w:sz w:val="21"/>
                <w:szCs w:val="21"/>
                <w:highlight w:val="none"/>
                <w:lang w:val="en-US" w:eastAsia="zh-CN" w:bidi="ar"/>
              </w:rPr>
              <w:t>级</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类</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一二三级</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类</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等，物业信用等级命名如有不同，性质相同均予以认可。</w:t>
            </w:r>
          </w:p>
          <w:p w14:paraId="3805583A">
            <w:pPr>
              <w:keepNext w:val="0"/>
              <w:keepLines w:val="0"/>
              <w:widowControl/>
              <w:suppressLineNumbers w:val="0"/>
              <w:jc w:val="left"/>
              <w:rPr>
                <w:rFonts w:hint="eastAsia" w:ascii="宋体" w:hAnsi="宋体" w:eastAsia="宋体" w:cs="宋体"/>
                <w:b/>
                <w:bCs/>
                <w:color w:val="auto"/>
                <w:sz w:val="21"/>
                <w:szCs w:val="21"/>
                <w:highlight w:val="none"/>
              </w:rPr>
            </w:pPr>
            <w:r>
              <w:rPr>
                <w:rFonts w:hint="eastAsia" w:ascii="宋体" w:hAnsi="宋体" w:eastAsia="宋体" w:cs="宋体"/>
                <w:color w:val="000000"/>
                <w:kern w:val="0"/>
                <w:sz w:val="21"/>
                <w:szCs w:val="21"/>
                <w:highlight w:val="none"/>
                <w:lang w:val="en-US" w:eastAsia="zh-CN" w:bidi="ar"/>
              </w:rPr>
              <w:t>【投标文件中提供市级及以上物业行政主管部门颁发的证明文件或网上公示 截图等材料扫描件；信用等级命名不同的，还须提供市级及以上物业行政主管部门划分信用等级的证明材料扫描件。</w:t>
            </w:r>
            <w:r>
              <w:rPr>
                <w:rFonts w:hint="eastAsia" w:ascii="宋体" w:hAnsi="宋体" w:eastAsia="宋体" w:cs="宋体"/>
                <w:b/>
                <w:bCs/>
                <w:color w:val="auto"/>
                <w:kern w:val="0"/>
                <w:szCs w:val="21"/>
                <w:highlight w:val="none"/>
                <w:lang w:val="en-US" w:bidi="zh-CN"/>
              </w:rPr>
              <w:t>】</w:t>
            </w:r>
          </w:p>
        </w:tc>
      </w:tr>
      <w:tr w14:paraId="0B27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4EA62AC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1078" w:type="dxa"/>
            <w:shd w:val="clear" w:color="auto" w:fill="auto"/>
            <w:noWrap/>
            <w:vAlign w:val="center"/>
          </w:tcPr>
          <w:p w14:paraId="47C4BA0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人员配置</w:t>
            </w:r>
          </w:p>
        </w:tc>
        <w:tc>
          <w:tcPr>
            <w:tcW w:w="840" w:type="dxa"/>
            <w:shd w:val="clear" w:color="auto" w:fill="auto"/>
            <w:noWrap/>
            <w:vAlign w:val="center"/>
          </w:tcPr>
          <w:p w14:paraId="64C0125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26分</w:t>
            </w:r>
          </w:p>
        </w:tc>
        <w:tc>
          <w:tcPr>
            <w:tcW w:w="7217" w:type="dxa"/>
            <w:shd w:val="clear" w:color="auto" w:fill="auto"/>
            <w:noWrap/>
            <w:vAlign w:val="center"/>
          </w:tcPr>
          <w:p w14:paraId="192FB653">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一、拟为本项目配备的项目经理：</w:t>
            </w:r>
          </w:p>
          <w:p w14:paraId="3BD123E0">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具有本科及以上学历、中级</w:t>
            </w:r>
            <w:r>
              <w:rPr>
                <w:rFonts w:hint="eastAsia" w:ascii="宋体" w:hAnsi="宋体" w:cs="宋体"/>
                <w:color w:val="000000"/>
                <w:kern w:val="0"/>
                <w:sz w:val="21"/>
                <w:szCs w:val="21"/>
                <w:highlight w:val="none"/>
                <w:lang w:val="en-US" w:eastAsia="zh-CN" w:bidi="ar"/>
              </w:rPr>
              <w:t>及以上</w:t>
            </w:r>
            <w:r>
              <w:rPr>
                <w:rFonts w:hint="eastAsia" w:ascii="宋体" w:hAnsi="宋体" w:eastAsia="宋体" w:cs="宋体"/>
                <w:color w:val="000000"/>
                <w:kern w:val="0"/>
                <w:sz w:val="21"/>
                <w:szCs w:val="21"/>
                <w:highlight w:val="none"/>
                <w:lang w:val="en-US" w:eastAsia="zh-CN" w:bidi="ar"/>
              </w:rPr>
              <w:t>职称证书。须提供①学历证书②业绩证明（《物业服务项目经理备案登记表》</w:t>
            </w:r>
            <w:r>
              <w:rPr>
                <w:rFonts w:hint="eastAsia" w:ascii="宋体" w:hAnsi="宋体" w:cs="宋体"/>
                <w:color w:val="000000"/>
                <w:kern w:val="0"/>
                <w:sz w:val="21"/>
                <w:szCs w:val="21"/>
                <w:highlight w:val="none"/>
                <w:lang w:val="en-US" w:eastAsia="zh-CN" w:bidi="ar"/>
              </w:rPr>
              <w:t>或项目负责人备案证明材料</w:t>
            </w:r>
            <w:r>
              <w:rPr>
                <w:rFonts w:hint="eastAsia" w:ascii="宋体" w:hAnsi="宋体" w:eastAsia="宋体" w:cs="宋体"/>
                <w:color w:val="000000"/>
                <w:kern w:val="0"/>
                <w:sz w:val="21"/>
                <w:szCs w:val="21"/>
                <w:highlight w:val="none"/>
                <w:lang w:val="en-US" w:eastAsia="zh-CN" w:bidi="ar"/>
              </w:rPr>
              <w:t>）③中级</w:t>
            </w:r>
            <w:r>
              <w:rPr>
                <w:rFonts w:hint="eastAsia" w:ascii="宋体" w:hAnsi="宋体" w:cs="宋体"/>
                <w:color w:val="000000"/>
                <w:kern w:val="0"/>
                <w:sz w:val="21"/>
                <w:szCs w:val="21"/>
                <w:highlight w:val="none"/>
                <w:lang w:val="en-US" w:eastAsia="zh-CN" w:bidi="ar"/>
              </w:rPr>
              <w:t>及以上</w:t>
            </w:r>
            <w:r>
              <w:rPr>
                <w:rFonts w:hint="eastAsia" w:ascii="宋体" w:hAnsi="宋体" w:eastAsia="宋体" w:cs="宋体"/>
                <w:color w:val="000000"/>
                <w:kern w:val="0"/>
                <w:sz w:val="21"/>
                <w:szCs w:val="21"/>
                <w:highlight w:val="none"/>
                <w:lang w:val="en-US" w:eastAsia="zh-CN" w:bidi="ar"/>
              </w:rPr>
              <w:t>职称证书扫描件；满足上述要求的得</w:t>
            </w:r>
            <w:r>
              <w:rPr>
                <w:rFonts w:hint="default" w:ascii="Times New Roman" w:hAnsi="Times New Roman" w:eastAsia="宋体" w:cs="Times New Roman"/>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 xml:space="preserve">分；  </w:t>
            </w:r>
          </w:p>
          <w:p w14:paraId="3989A447">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二、其他人员（除项目经理外）： </w:t>
            </w:r>
          </w:p>
          <w:p w14:paraId="65029143">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.项目主管：同时具备《全国物业管理企业经理》或《全国物业项目经理岗位证书》、</w:t>
            </w:r>
            <w:bookmarkStart w:id="121" w:name="_GoBack"/>
            <w:r>
              <w:rPr>
                <w:rFonts w:hint="eastAsia" w:ascii="宋体" w:hAnsi="宋体" w:eastAsia="宋体" w:cs="宋体"/>
                <w:color w:val="000000"/>
                <w:kern w:val="0"/>
                <w:sz w:val="21"/>
                <w:szCs w:val="21"/>
                <w:highlight w:val="none"/>
                <w:lang w:val="en-US" w:eastAsia="zh-CN" w:bidi="ar"/>
              </w:rPr>
              <w:t>本科及以上学历</w:t>
            </w:r>
            <w:r>
              <w:rPr>
                <w:rFonts w:hint="eastAsia" w:ascii="宋体" w:hAnsi="宋体" w:eastAsia="宋体" w:cs="宋体"/>
                <w:color w:val="000000"/>
                <w:kern w:val="0"/>
                <w:sz w:val="21"/>
                <w:szCs w:val="21"/>
                <w:highlight w:val="none"/>
                <w:lang w:val="en-US" w:eastAsia="zh-CN" w:bidi="ar"/>
              </w:rPr>
              <w:t>、</w:t>
            </w:r>
            <w:bookmarkEnd w:id="121"/>
            <w:r>
              <w:rPr>
                <w:rFonts w:hint="eastAsia" w:ascii="宋体" w:hAnsi="宋体" w:cs="宋体"/>
                <w:color w:val="000000"/>
                <w:kern w:val="0"/>
                <w:sz w:val="21"/>
                <w:szCs w:val="21"/>
                <w:highlight w:val="none"/>
                <w:lang w:val="en-US" w:eastAsia="zh-CN" w:bidi="ar"/>
              </w:rPr>
              <w:t>企业</w:t>
            </w:r>
            <w:r>
              <w:rPr>
                <w:rFonts w:hint="eastAsia" w:ascii="宋体" w:hAnsi="宋体" w:eastAsia="宋体" w:cs="宋体"/>
                <w:color w:val="000000"/>
                <w:kern w:val="0"/>
                <w:sz w:val="21"/>
                <w:szCs w:val="21"/>
                <w:highlight w:val="none"/>
                <w:lang w:val="en-US" w:eastAsia="zh-CN" w:bidi="ar"/>
              </w:rPr>
              <w:t>人力资源管理师证书、年龄</w:t>
            </w:r>
            <w:r>
              <w:rPr>
                <w:rFonts w:hint="eastAsia" w:ascii="宋体" w:hAnsi="宋体" w:cs="宋体"/>
                <w:color w:val="000000"/>
                <w:kern w:val="0"/>
                <w:sz w:val="21"/>
                <w:szCs w:val="21"/>
                <w:highlight w:val="none"/>
                <w:lang w:val="en-US" w:eastAsia="zh-CN" w:bidi="ar"/>
              </w:rPr>
              <w:t>40</w:t>
            </w:r>
            <w:r>
              <w:rPr>
                <w:rFonts w:hint="eastAsia" w:ascii="宋体" w:hAnsi="宋体" w:eastAsia="宋体" w:cs="宋体"/>
                <w:color w:val="000000"/>
                <w:kern w:val="0"/>
                <w:sz w:val="21"/>
                <w:szCs w:val="21"/>
                <w:highlight w:val="none"/>
                <w:lang w:val="en-US" w:eastAsia="zh-CN" w:bidi="ar"/>
              </w:rPr>
              <w:t>周岁</w:t>
            </w:r>
            <w:r>
              <w:rPr>
                <w:rFonts w:hint="eastAsia" w:ascii="宋体" w:hAnsi="宋体" w:cs="宋体"/>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以下</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得</w:t>
            </w: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分；</w:t>
            </w:r>
          </w:p>
          <w:p w14:paraId="6EBD1636">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文员兼人事</w:t>
            </w:r>
            <w:r>
              <w:rPr>
                <w:rFonts w:hint="eastAsia" w:ascii="宋体" w:hAnsi="宋体" w:eastAsia="宋体" w:cs="宋体"/>
                <w:color w:val="000000"/>
                <w:kern w:val="0"/>
                <w:sz w:val="21"/>
                <w:szCs w:val="21"/>
                <w:highlight w:val="none"/>
                <w:lang w:val="en-US" w:eastAsia="zh-CN" w:bidi="ar"/>
              </w:rPr>
              <w:t>：同时具备</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全国物业管理企业经理》或《全国物业项目经理岗位证书》</w:t>
            </w:r>
            <w:r>
              <w:rPr>
                <w:rFonts w:hint="eastAsia" w:ascii="宋体" w:hAnsi="宋体" w:cs="宋体"/>
                <w:color w:val="000000"/>
                <w:kern w:val="0"/>
                <w:sz w:val="21"/>
                <w:szCs w:val="21"/>
                <w:highlight w:val="none"/>
                <w:lang w:val="en-US" w:eastAsia="zh-CN" w:bidi="ar"/>
              </w:rPr>
              <w:t>、企业</w:t>
            </w:r>
            <w:r>
              <w:rPr>
                <w:rFonts w:hint="eastAsia" w:ascii="宋体" w:hAnsi="宋体" w:eastAsia="宋体" w:cs="宋体"/>
                <w:color w:val="000000"/>
                <w:kern w:val="0"/>
                <w:sz w:val="21"/>
                <w:szCs w:val="21"/>
                <w:highlight w:val="none"/>
                <w:lang w:val="en-US" w:eastAsia="zh-CN" w:bidi="ar"/>
              </w:rPr>
              <w:t>人力资源管理师证书、</w:t>
            </w:r>
            <w:r>
              <w:rPr>
                <w:rFonts w:hint="eastAsia" w:ascii="宋体" w:hAnsi="宋体" w:cs="宋体"/>
                <w:color w:val="000000"/>
                <w:kern w:val="0"/>
                <w:sz w:val="21"/>
                <w:szCs w:val="21"/>
                <w:highlight w:val="none"/>
                <w:lang w:val="en-US" w:eastAsia="zh-CN" w:bidi="ar"/>
              </w:rPr>
              <w:t>年龄</w:t>
            </w:r>
            <w:r>
              <w:rPr>
                <w:rFonts w:hint="default" w:ascii="Times New Roman" w:hAnsi="Times New Roman" w:eastAsia="宋体" w:cs="Times New Roman"/>
                <w:color w:val="000000"/>
                <w:kern w:val="0"/>
                <w:sz w:val="21"/>
                <w:szCs w:val="21"/>
                <w:highlight w:val="none"/>
                <w:lang w:val="en-US" w:eastAsia="zh-CN" w:bidi="ar"/>
              </w:rPr>
              <w:t>4</w:t>
            </w:r>
            <w:r>
              <w:rPr>
                <w:rFonts w:hint="eastAsia"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周岁</w:t>
            </w:r>
            <w:r>
              <w:rPr>
                <w:rFonts w:hint="eastAsia" w:ascii="宋体" w:hAnsi="宋体" w:cs="宋体"/>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以下</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，专科及以上学历得</w:t>
            </w:r>
            <w:r>
              <w:rPr>
                <w:rFonts w:hint="eastAsia"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分</w:t>
            </w:r>
            <w:r>
              <w:rPr>
                <w:rFonts w:hint="eastAsia" w:ascii="宋体" w:hAnsi="宋体" w:cs="宋体"/>
                <w:color w:val="000000"/>
                <w:kern w:val="0"/>
                <w:sz w:val="21"/>
                <w:szCs w:val="21"/>
                <w:highlight w:val="none"/>
                <w:lang w:val="en-US" w:eastAsia="zh-CN" w:bidi="ar"/>
              </w:rPr>
              <w:t>；</w:t>
            </w:r>
          </w:p>
          <w:p w14:paraId="4BFF8D3B">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维修/工程技工</w:t>
            </w:r>
            <w:r>
              <w:rPr>
                <w:rFonts w:hint="eastAsia" w:ascii="宋体" w:hAnsi="宋体" w:eastAsia="宋体" w:cs="宋体"/>
                <w:color w:val="000000"/>
                <w:kern w:val="0"/>
                <w:sz w:val="21"/>
                <w:szCs w:val="21"/>
                <w:highlight w:val="none"/>
                <w:lang w:val="en-US" w:eastAsia="zh-CN" w:bidi="ar"/>
              </w:rPr>
              <w:t>：同时具备</w:t>
            </w:r>
            <w:r>
              <w:rPr>
                <w:rFonts w:hint="eastAsia" w:ascii="宋体" w:hAnsi="宋体" w:cs="宋体"/>
                <w:color w:val="000000"/>
                <w:kern w:val="0"/>
                <w:sz w:val="21"/>
                <w:szCs w:val="21"/>
                <w:highlight w:val="none"/>
                <w:lang w:val="en-US" w:eastAsia="zh-CN" w:bidi="ar"/>
              </w:rPr>
              <w:t>消防设施操作员证或建构物消防员证、</w:t>
            </w:r>
            <w:r>
              <w:rPr>
                <w:rFonts w:hint="eastAsia" w:ascii="宋体" w:hAnsi="宋体" w:eastAsia="宋体" w:cs="宋体"/>
                <w:color w:val="000000"/>
                <w:kern w:val="0"/>
                <w:sz w:val="21"/>
                <w:szCs w:val="21"/>
                <w:highlight w:val="none"/>
                <w:lang w:val="en-US" w:eastAsia="zh-CN" w:bidi="ar"/>
              </w:rPr>
              <w:t>高压电工作业证</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专科及以上学历</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年龄</w:t>
            </w:r>
            <w:r>
              <w:rPr>
                <w:rFonts w:hint="eastAsia" w:ascii="宋体" w:hAnsi="宋体" w:cs="宋体"/>
                <w:color w:val="000000"/>
                <w:kern w:val="0"/>
                <w:sz w:val="21"/>
                <w:szCs w:val="21"/>
                <w:highlight w:val="none"/>
                <w:lang w:val="en-US" w:eastAsia="zh-CN" w:bidi="ar"/>
              </w:rPr>
              <w:t>45</w:t>
            </w:r>
            <w:r>
              <w:rPr>
                <w:rFonts w:hint="eastAsia" w:ascii="宋体" w:hAnsi="宋体" w:eastAsia="宋体" w:cs="宋体"/>
                <w:color w:val="000000"/>
                <w:kern w:val="0"/>
                <w:sz w:val="21"/>
                <w:szCs w:val="21"/>
                <w:highlight w:val="none"/>
                <w:lang w:val="en-US" w:eastAsia="zh-CN" w:bidi="ar"/>
              </w:rPr>
              <w:t>周岁</w:t>
            </w:r>
            <w:r>
              <w:rPr>
                <w:rFonts w:hint="eastAsia" w:ascii="宋体" w:hAnsi="宋体" w:cs="宋体"/>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以下</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得</w:t>
            </w: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分；</w:t>
            </w:r>
          </w:p>
          <w:p w14:paraId="4BEAD06D">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安保队长</w:t>
            </w:r>
            <w:r>
              <w:rPr>
                <w:rFonts w:hint="eastAsia" w:ascii="宋体" w:hAnsi="宋体" w:eastAsia="宋体" w:cs="宋体"/>
                <w:color w:val="000000"/>
                <w:kern w:val="0"/>
                <w:sz w:val="21"/>
                <w:szCs w:val="21"/>
                <w:highlight w:val="none"/>
                <w:lang w:val="en-US" w:eastAsia="zh-CN" w:bidi="ar"/>
              </w:rPr>
              <w:t>：同时具备</w:t>
            </w:r>
            <w:r>
              <w:rPr>
                <w:rFonts w:hint="eastAsia" w:ascii="宋体" w:hAnsi="宋体" w:cs="宋体"/>
                <w:color w:val="000000"/>
                <w:kern w:val="0"/>
                <w:sz w:val="21"/>
                <w:szCs w:val="21"/>
                <w:highlight w:val="none"/>
                <w:lang w:val="en-US" w:eastAsia="zh-CN" w:bidi="ar"/>
              </w:rPr>
              <w:t>保安员证或保安员上岗证</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消防设施操作员证或建构物消防员证的得4分；</w:t>
            </w:r>
          </w:p>
          <w:p w14:paraId="121BE33B">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保洁班长</w:t>
            </w:r>
            <w:r>
              <w:rPr>
                <w:rFonts w:hint="eastAsia" w:ascii="宋体" w:hAnsi="宋体" w:eastAsia="宋体" w:cs="宋体"/>
                <w:color w:val="000000"/>
                <w:kern w:val="0"/>
                <w:sz w:val="21"/>
                <w:szCs w:val="21"/>
                <w:highlight w:val="none"/>
                <w:lang w:val="en-US" w:eastAsia="zh-CN" w:bidi="ar"/>
              </w:rPr>
              <w:t>：同时具备《全国物业管理企业经理》或《全国物业项目经理岗位证书》、《</w:t>
            </w:r>
            <w:r>
              <w:rPr>
                <w:rFonts w:hint="eastAsia" w:ascii="宋体" w:hAnsi="宋体" w:cs="宋体"/>
                <w:color w:val="000000"/>
                <w:kern w:val="0"/>
                <w:sz w:val="21"/>
                <w:szCs w:val="21"/>
                <w:highlight w:val="none"/>
                <w:lang w:val="en-US" w:eastAsia="zh-CN" w:bidi="ar"/>
              </w:rPr>
              <w:t>高级有害生物防治员证书</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年龄</w:t>
            </w:r>
            <w:r>
              <w:rPr>
                <w:rFonts w:hint="default" w:ascii="Times New Roman" w:hAnsi="Times New Roman" w:eastAsia="宋体" w:cs="Times New Roman"/>
                <w:color w:val="000000"/>
                <w:kern w:val="0"/>
                <w:sz w:val="21"/>
                <w:szCs w:val="21"/>
                <w:highlight w:val="none"/>
                <w:lang w:val="en-US" w:eastAsia="zh-CN" w:bidi="ar"/>
              </w:rPr>
              <w:t>40</w:t>
            </w:r>
            <w:r>
              <w:rPr>
                <w:rFonts w:hint="eastAsia" w:ascii="宋体" w:hAnsi="宋体" w:eastAsia="宋体" w:cs="宋体"/>
                <w:color w:val="000000"/>
                <w:kern w:val="0"/>
                <w:sz w:val="21"/>
                <w:szCs w:val="21"/>
                <w:highlight w:val="none"/>
                <w:lang w:val="en-US" w:eastAsia="zh-CN" w:bidi="ar"/>
              </w:rPr>
              <w:t>周岁</w:t>
            </w:r>
            <w:r>
              <w:rPr>
                <w:rFonts w:hint="eastAsia" w:ascii="宋体" w:hAnsi="宋体" w:cs="宋体"/>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以下</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，专科及以上学历，得</w:t>
            </w: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分</w:t>
            </w:r>
            <w:r>
              <w:rPr>
                <w:rFonts w:hint="eastAsia" w:ascii="宋体" w:hAnsi="宋体" w:cs="宋体"/>
                <w:color w:val="000000"/>
                <w:kern w:val="0"/>
                <w:sz w:val="21"/>
                <w:szCs w:val="21"/>
                <w:highlight w:val="none"/>
                <w:lang w:val="en-US" w:eastAsia="zh-CN" w:bidi="ar"/>
              </w:rPr>
              <w:t>。</w:t>
            </w:r>
          </w:p>
          <w:p w14:paraId="1983A515">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【投标文件中须同时提供①人员名单（格式自拟）；②上述人员有效证书扫描件；③社保部门出具的本单位为其缴纳的投标前近三个月内的社保证明。上述材料缺一不可。】 </w:t>
            </w:r>
          </w:p>
        </w:tc>
      </w:tr>
      <w:tr w14:paraId="725F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5F08063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078" w:type="dxa"/>
            <w:shd w:val="clear" w:color="auto" w:fill="auto"/>
            <w:noWrap/>
            <w:vAlign w:val="center"/>
          </w:tcPr>
          <w:p w14:paraId="704FA5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管理体系</w:t>
            </w:r>
          </w:p>
          <w:p w14:paraId="40006A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认证</w:t>
            </w:r>
          </w:p>
        </w:tc>
        <w:tc>
          <w:tcPr>
            <w:tcW w:w="840" w:type="dxa"/>
            <w:shd w:val="clear" w:color="auto" w:fill="auto"/>
            <w:noWrap/>
            <w:vAlign w:val="center"/>
          </w:tcPr>
          <w:p w14:paraId="1ED75B5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10分</w:t>
            </w:r>
          </w:p>
        </w:tc>
        <w:tc>
          <w:tcPr>
            <w:tcW w:w="7217" w:type="dxa"/>
            <w:shd w:val="clear" w:color="auto" w:fill="auto"/>
            <w:noWrap/>
            <w:vAlign w:val="center"/>
          </w:tcPr>
          <w:p w14:paraId="304A759D">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投标人具有经中国国家认证认可监督管理委员会认证机构颁发的有效的下列证书： </w:t>
            </w:r>
          </w:p>
          <w:p w14:paraId="3D081A4C">
            <w:pPr>
              <w:keepNext w:val="0"/>
              <w:keepLines w:val="0"/>
              <w:widowControl/>
              <w:suppressLineNumbers w:val="0"/>
              <w:jc w:val="left"/>
              <w:rPr>
                <w:rFonts w:hint="default"/>
                <w:highlight w:val="none"/>
                <w:lang w:val="en-US"/>
              </w:rPr>
            </w:pPr>
            <w:r>
              <w:rPr>
                <w:rFonts w:hint="eastAsia" w:ascii="宋体" w:hAnsi="宋体" w:eastAsia="宋体" w:cs="宋体"/>
                <w:color w:val="000000"/>
                <w:kern w:val="0"/>
                <w:sz w:val="21"/>
                <w:szCs w:val="21"/>
                <w:highlight w:val="none"/>
                <w:lang w:val="en-US" w:eastAsia="zh-CN" w:bidi="ar"/>
              </w:rPr>
              <w:t xml:space="preserve">（1）投标企业具有有效期内的质量管理体系认证； </w:t>
            </w:r>
          </w:p>
          <w:p w14:paraId="2791930E">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（2）投标企业具有有效期内的环境管理体系认证； </w:t>
            </w:r>
          </w:p>
          <w:p w14:paraId="766E01F1">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（3）投标企业具有有效期内的职业健康安全管理体系认证；</w:t>
            </w:r>
          </w:p>
          <w:p w14:paraId="0BB5CC6B">
            <w:pPr>
              <w:keepNext w:val="0"/>
              <w:keepLines w:val="0"/>
              <w:widowControl/>
              <w:suppressLineNumbers w:val="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）投标企业具有有效期内的</w:t>
            </w:r>
            <w:r>
              <w:rPr>
                <w:rFonts w:hint="eastAsia" w:ascii="宋体" w:hAnsi="宋体" w:eastAsia="宋体" w:cs="宋体"/>
                <w:kern w:val="0"/>
                <w:szCs w:val="21"/>
                <w:highlight w:val="none"/>
                <w:lang w:val="en-US" w:bidi="zh-CN"/>
              </w:rPr>
              <w:t>能源管理体系认证</w:t>
            </w:r>
            <w:r>
              <w:rPr>
                <w:rFonts w:hint="eastAsia" w:ascii="宋体" w:hAnsi="宋体" w:eastAsia="宋体" w:cs="宋体"/>
                <w:color w:val="000000"/>
                <w:kern w:val="0"/>
                <w:sz w:val="21"/>
                <w:szCs w:val="21"/>
                <w:highlight w:val="none"/>
                <w:lang w:val="en-US" w:eastAsia="zh-CN" w:bidi="ar"/>
              </w:rPr>
              <w:t>；</w:t>
            </w:r>
          </w:p>
          <w:p w14:paraId="092338B9">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）投标企业具有有效期内的</w:t>
            </w:r>
            <w:r>
              <w:rPr>
                <w:rFonts w:hint="eastAsia" w:ascii="宋体" w:hAnsi="宋体" w:eastAsia="宋体" w:cs="宋体"/>
                <w:kern w:val="0"/>
                <w:szCs w:val="21"/>
                <w:highlight w:val="none"/>
                <w:lang w:val="en-US" w:bidi="zh-CN"/>
              </w:rPr>
              <w:t>生活垃圾分类服务能力认证</w:t>
            </w:r>
            <w:r>
              <w:rPr>
                <w:rFonts w:hint="eastAsia" w:ascii="宋体" w:hAnsi="宋体" w:eastAsia="宋体" w:cs="宋体"/>
                <w:color w:val="000000"/>
                <w:kern w:val="0"/>
                <w:sz w:val="21"/>
                <w:szCs w:val="21"/>
                <w:highlight w:val="none"/>
                <w:lang w:val="en-US" w:eastAsia="zh-CN" w:bidi="ar"/>
              </w:rPr>
              <w:t>；</w:t>
            </w:r>
          </w:p>
          <w:p w14:paraId="4B463F99">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每提供1个得2分，最高得10分</w:t>
            </w:r>
            <w:r>
              <w:rPr>
                <w:rFonts w:hint="eastAsia" w:ascii="宋体" w:hAnsi="宋体" w:cs="宋体"/>
                <w:color w:val="000000"/>
                <w:kern w:val="0"/>
                <w:sz w:val="21"/>
                <w:szCs w:val="21"/>
                <w:highlight w:val="none"/>
                <w:lang w:val="en-US" w:eastAsia="zh-CN" w:bidi="ar"/>
              </w:rPr>
              <w:t>。</w:t>
            </w:r>
          </w:p>
          <w:p w14:paraId="7951E98C">
            <w:pPr>
              <w:keepNext w:val="0"/>
              <w:keepLines w:val="0"/>
              <w:widowControl/>
              <w:suppressLineNumbers w:val="0"/>
              <w:jc w:val="left"/>
              <w:rPr>
                <w:rFonts w:hint="eastAsia" w:ascii="宋体" w:hAnsi="宋体" w:eastAsia="宋体" w:cs="宋体"/>
                <w:b/>
                <w:bCs/>
                <w:color w:val="auto"/>
                <w:sz w:val="21"/>
                <w:szCs w:val="21"/>
                <w:highlight w:val="none"/>
              </w:rPr>
            </w:pPr>
            <w:r>
              <w:rPr>
                <w:rFonts w:hint="eastAsia" w:ascii="宋体" w:hAnsi="宋体" w:eastAsia="宋体" w:cs="宋体"/>
                <w:color w:val="000000"/>
                <w:kern w:val="0"/>
                <w:sz w:val="21"/>
                <w:szCs w:val="21"/>
                <w:highlight w:val="none"/>
                <w:lang w:val="en-US" w:eastAsia="zh-CN" w:bidi="ar"/>
              </w:rPr>
              <w:t>【上述证书均在有效期内，并提供全国认证认可信息公共服务平台官网查询截图，且与投标人所提供的认证证书一致，检验电子标书，证书单位名称与投标人名称一致，否则不得分。】</w:t>
            </w:r>
          </w:p>
        </w:tc>
      </w:tr>
    </w:tbl>
    <w:p w14:paraId="365A53DB">
      <w:pPr>
        <w:pStyle w:val="13"/>
        <w:adjustRightInd w:val="0"/>
        <w:snapToGrid w:val="0"/>
        <w:spacing w:after="0" w:line="560" w:lineRule="exact"/>
        <w:ind w:left="0" w:leftChars="0" w:firstLine="0" w:firstLineChars="0"/>
        <w:jc w:val="center"/>
        <w:rPr>
          <w:rFonts w:hint="eastAsia"/>
          <w:b/>
          <w:color w:val="000000"/>
          <w:sz w:val="28"/>
          <w:szCs w:val="21"/>
          <w:highlight w:val="none"/>
        </w:rPr>
      </w:pPr>
    </w:p>
    <w:p w14:paraId="30AD3120">
      <w:pPr>
        <w:pStyle w:val="13"/>
        <w:adjustRightInd w:val="0"/>
        <w:snapToGrid w:val="0"/>
        <w:spacing w:after="0" w:line="560" w:lineRule="exact"/>
        <w:ind w:left="0" w:leftChars="0" w:firstLine="0" w:firstLineChars="0"/>
        <w:jc w:val="center"/>
        <w:rPr>
          <w:rFonts w:hint="eastAsia"/>
          <w:b/>
          <w:color w:val="000000"/>
          <w:sz w:val="28"/>
          <w:szCs w:val="21"/>
          <w:highlight w:val="none"/>
        </w:rPr>
      </w:pPr>
    </w:p>
    <w:p w14:paraId="29D1CC74">
      <w:pPr>
        <w:pStyle w:val="13"/>
        <w:adjustRightInd w:val="0"/>
        <w:snapToGrid w:val="0"/>
        <w:spacing w:after="0" w:line="560" w:lineRule="exact"/>
        <w:ind w:left="0" w:leftChars="0" w:firstLine="0" w:firstLineChars="0"/>
        <w:jc w:val="center"/>
        <w:rPr>
          <w:rFonts w:hint="eastAsia"/>
          <w:b/>
          <w:color w:val="000000"/>
          <w:sz w:val="28"/>
          <w:szCs w:val="21"/>
          <w:highlight w:val="none"/>
        </w:rPr>
      </w:pPr>
    </w:p>
    <w:p w14:paraId="4E4E7B34">
      <w:pPr>
        <w:pStyle w:val="13"/>
        <w:adjustRightInd w:val="0"/>
        <w:snapToGrid w:val="0"/>
        <w:spacing w:after="0" w:line="560" w:lineRule="exact"/>
        <w:ind w:left="0" w:leftChars="0" w:firstLine="0" w:firstLineChars="0"/>
        <w:jc w:val="center"/>
        <w:rPr>
          <w:rFonts w:hint="default" w:eastAsia="宋体"/>
          <w:b/>
          <w:color w:val="000000"/>
          <w:sz w:val="28"/>
          <w:szCs w:val="21"/>
          <w:highlight w:val="none"/>
          <w:lang w:val="en-US" w:eastAsia="zh-CN"/>
        </w:rPr>
      </w:pPr>
      <w:r>
        <w:rPr>
          <w:rFonts w:hint="eastAsia"/>
          <w:b/>
          <w:color w:val="000000"/>
          <w:sz w:val="28"/>
          <w:szCs w:val="21"/>
          <w:highlight w:val="none"/>
        </w:rPr>
        <w:t>（三）技术标评审</w:t>
      </w:r>
      <w:r>
        <w:rPr>
          <w:rFonts w:hint="eastAsia"/>
          <w:b/>
          <w:color w:val="000000"/>
          <w:sz w:val="28"/>
          <w:szCs w:val="21"/>
          <w:highlight w:val="none"/>
          <w:lang w:eastAsia="zh-CN"/>
        </w:rPr>
        <w:t>（</w:t>
      </w:r>
      <w:r>
        <w:rPr>
          <w:rFonts w:hint="eastAsia"/>
          <w:b/>
          <w:color w:val="000000"/>
          <w:sz w:val="28"/>
          <w:szCs w:val="21"/>
          <w:highlight w:val="none"/>
          <w:lang w:val="en-US" w:eastAsia="zh-CN"/>
        </w:rPr>
        <w:t>25分）</w:t>
      </w:r>
    </w:p>
    <w:bookmarkEnd w:id="85"/>
    <w:tbl>
      <w:tblPr>
        <w:tblStyle w:val="37"/>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130"/>
        <w:gridCol w:w="825"/>
        <w:gridCol w:w="6460"/>
      </w:tblGrid>
      <w:tr w14:paraId="36B9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642" w:type="dxa"/>
            <w:noWrap w:val="0"/>
            <w:vAlign w:val="center"/>
          </w:tcPr>
          <w:p w14:paraId="23541F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bookmarkStart w:id="87" w:name="_Toc362983805"/>
            <w:r>
              <w:rPr>
                <w:rFonts w:hint="eastAsia" w:ascii="宋体" w:hAnsi="宋体" w:eastAsia="宋体" w:cs="宋体"/>
                <w:color w:val="auto"/>
                <w:sz w:val="21"/>
                <w:szCs w:val="21"/>
                <w:highlight w:val="none"/>
              </w:rPr>
              <w:t>序号</w:t>
            </w:r>
          </w:p>
        </w:tc>
        <w:tc>
          <w:tcPr>
            <w:tcW w:w="2130" w:type="dxa"/>
            <w:noWrap w:val="0"/>
            <w:vAlign w:val="center"/>
          </w:tcPr>
          <w:p w14:paraId="0F0C32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825" w:type="dxa"/>
            <w:noWrap w:val="0"/>
            <w:vAlign w:val="center"/>
          </w:tcPr>
          <w:p w14:paraId="241092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460" w:type="dxa"/>
            <w:noWrap w:val="0"/>
            <w:vAlign w:val="center"/>
          </w:tcPr>
          <w:p w14:paraId="3FA4EDE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技术标评审细则</w:t>
            </w:r>
          </w:p>
        </w:tc>
      </w:tr>
      <w:tr w14:paraId="01FF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0C2A5C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130" w:type="dxa"/>
            <w:noWrap w:val="0"/>
            <w:vAlign w:val="center"/>
          </w:tcPr>
          <w:p w14:paraId="5DD96ED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物业管理方案</w:t>
            </w:r>
          </w:p>
        </w:tc>
        <w:tc>
          <w:tcPr>
            <w:tcW w:w="825" w:type="dxa"/>
            <w:noWrap w:val="0"/>
            <w:vAlign w:val="center"/>
          </w:tcPr>
          <w:p w14:paraId="74E592C8">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5分</w:t>
            </w:r>
          </w:p>
        </w:tc>
        <w:tc>
          <w:tcPr>
            <w:tcW w:w="6460" w:type="dxa"/>
            <w:noWrap w:val="0"/>
            <w:vAlign w:val="center"/>
          </w:tcPr>
          <w:p w14:paraId="5D9373F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本项目的特点制定涉及各项工作具体的物业服务方案，至少包括公租房管理服务方案、物业承接查验方案、秩序维护及车辆管理方案、环境清洁保洁方案、各类设施设备运行维护方案、项目零星维修方案等。要求符合规范、详细完整，具有可操作性、方便执行。优秀得5分，良好得4分，一般得3分，缺项不得分。</w:t>
            </w:r>
          </w:p>
        </w:tc>
      </w:tr>
      <w:tr w14:paraId="2FF0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1600AF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130" w:type="dxa"/>
            <w:noWrap w:val="0"/>
            <w:vAlign w:val="center"/>
          </w:tcPr>
          <w:p w14:paraId="65DF189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人员管理方案</w:t>
            </w:r>
          </w:p>
        </w:tc>
        <w:tc>
          <w:tcPr>
            <w:tcW w:w="825" w:type="dxa"/>
            <w:noWrap w:val="0"/>
            <w:vAlign w:val="center"/>
          </w:tcPr>
          <w:p w14:paraId="037B9927">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3分</w:t>
            </w:r>
          </w:p>
        </w:tc>
        <w:tc>
          <w:tcPr>
            <w:tcW w:w="6460" w:type="dxa"/>
            <w:noWrap w:val="0"/>
            <w:vAlign w:val="center"/>
          </w:tcPr>
          <w:p w14:paraId="0BE837D1">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根据招标文件的项目人员岗位名称制定各岗位职责、考核、培训等人员管理方案。要求符合规范、详细完整，具有可操作性、方便执行。优秀得3分，良好得2.4分，一般得1.8分，缺项不得分。</w:t>
            </w:r>
          </w:p>
          <w:p w14:paraId="59334555">
            <w:pPr>
              <w:keepNext w:val="0"/>
              <w:keepLines w:val="0"/>
              <w:pageBreakBefore w:val="0"/>
              <w:kinsoku/>
              <w:wordWrap/>
              <w:overflowPunct/>
              <w:topLinePunct w:val="0"/>
              <w:autoSpaceDE/>
              <w:autoSpaceDN/>
              <w:bidi w:val="0"/>
              <w:adjustRightInd/>
              <w:snapToGrid/>
              <w:spacing w:line="380" w:lineRule="exact"/>
              <w:jc w:val="left"/>
              <w:textAlignment w:val="auto"/>
              <w:rPr>
                <w:rFonts w:hint="default"/>
                <w:highlight w:val="none"/>
                <w:lang w:val="en-US" w:eastAsia="zh-CN"/>
              </w:rPr>
            </w:pPr>
            <w:r>
              <w:rPr>
                <w:rFonts w:hint="eastAsia" w:ascii="宋体" w:hAnsi="宋体" w:eastAsia="宋体" w:cs="宋体"/>
                <w:b/>
                <w:bCs w:val="0"/>
                <w:color w:val="auto"/>
                <w:kern w:val="2"/>
                <w:sz w:val="21"/>
                <w:szCs w:val="21"/>
                <w:highlight w:val="none"/>
                <w:lang w:val="en-US" w:eastAsia="zh-CN" w:bidi="ar-SA"/>
              </w:rPr>
              <w:t>注：技术标为暗标评审，此项不得体现具体人员姓名、身份证号及联系电话等个人信息。</w:t>
            </w:r>
          </w:p>
        </w:tc>
      </w:tr>
      <w:tr w14:paraId="52CB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02B125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130" w:type="dxa"/>
            <w:noWrap w:val="0"/>
            <w:vAlign w:val="center"/>
          </w:tcPr>
          <w:p w14:paraId="6B51D6D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各项指标承诺及采取的措施</w:t>
            </w:r>
          </w:p>
        </w:tc>
        <w:tc>
          <w:tcPr>
            <w:tcW w:w="825" w:type="dxa"/>
            <w:noWrap w:val="0"/>
            <w:vAlign w:val="center"/>
          </w:tcPr>
          <w:p w14:paraId="0D044D97">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8分</w:t>
            </w:r>
          </w:p>
        </w:tc>
        <w:tc>
          <w:tcPr>
            <w:tcW w:w="6460" w:type="dxa"/>
            <w:noWrap w:val="0"/>
            <w:vAlign w:val="center"/>
          </w:tcPr>
          <w:p w14:paraId="62FA7EBF">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1.代收租户租金收缴率；</w:t>
            </w:r>
          </w:p>
          <w:p w14:paraId="791454E0">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2.代收租户水电费收缴率；</w:t>
            </w:r>
          </w:p>
          <w:p w14:paraId="3E0269E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3.物业人员考勤到岗率；</w:t>
            </w:r>
          </w:p>
          <w:p w14:paraId="508E66EB">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4.火灾发生率；</w:t>
            </w:r>
          </w:p>
          <w:p w14:paraId="783F40BA">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5.治安案件发生率；</w:t>
            </w:r>
          </w:p>
          <w:p w14:paraId="3428E6A9">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6.电梯系统设施设备完好率；</w:t>
            </w:r>
          </w:p>
          <w:p w14:paraId="3C7560E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7.消防系统设施设备完好率；</w:t>
            </w:r>
          </w:p>
          <w:p w14:paraId="4CCC09AD">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8.路灯、楼道灯和应急照明等供配电系统完好率；</w:t>
            </w:r>
          </w:p>
          <w:p w14:paraId="5D14886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9.监控设施设备完好率；</w:t>
            </w:r>
          </w:p>
          <w:p w14:paraId="48142BEF">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10.公共部位、生活水箱等清洁、保洁率；</w:t>
            </w:r>
          </w:p>
          <w:p w14:paraId="1BA0E27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11.绿化完好率；</w:t>
            </w:r>
          </w:p>
          <w:p w14:paraId="3A09B736">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12.道路完好和使用率；</w:t>
            </w:r>
          </w:p>
          <w:p w14:paraId="6D701DB2">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13.地下和地上机动车和非机动车停车场完好率；</w:t>
            </w:r>
          </w:p>
          <w:p w14:paraId="3278E0E6">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14.化粪池、雨水井、污水井完好率； </w:t>
            </w:r>
          </w:p>
          <w:p w14:paraId="1BF57B1C">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15.给水排水系统完好率；</w:t>
            </w:r>
          </w:p>
          <w:p w14:paraId="1E00308F">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16.房屋零修、急修及时率；</w:t>
            </w:r>
          </w:p>
          <w:p w14:paraId="63FC4D0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17.维修工程质量合格和回访率；</w:t>
            </w:r>
          </w:p>
          <w:p w14:paraId="5CA8A082">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18.租户有效投诉率和处理率；</w:t>
            </w:r>
          </w:p>
          <w:p w14:paraId="37D2064A">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19.项目人员入职和专题培训率；</w:t>
            </w:r>
          </w:p>
          <w:p w14:paraId="0756C9DF">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20.租户对物业管理满意率。</w:t>
            </w:r>
          </w:p>
          <w:p w14:paraId="49BF6D6A">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根据项目情况制定各项指标承诺及采取措施。要求符合规范、详细完整，具有可操作性、方便执行。优秀得8分，良好得6.4分，一般得</w:t>
            </w:r>
            <w:r>
              <w:rPr>
                <w:rFonts w:hint="eastAsia" w:ascii="宋体" w:hAnsi="宋体" w:cs="宋体"/>
                <w:bCs/>
                <w:color w:val="auto"/>
                <w:kern w:val="2"/>
                <w:sz w:val="21"/>
                <w:szCs w:val="21"/>
                <w:highlight w:val="none"/>
                <w:lang w:val="en-US" w:eastAsia="zh-CN" w:bidi="ar-SA"/>
              </w:rPr>
              <w:t>4.8</w:t>
            </w:r>
            <w:r>
              <w:rPr>
                <w:rFonts w:hint="eastAsia" w:ascii="宋体" w:hAnsi="宋体" w:eastAsia="宋体" w:cs="宋体"/>
                <w:bCs/>
                <w:color w:val="auto"/>
                <w:kern w:val="2"/>
                <w:sz w:val="21"/>
                <w:szCs w:val="21"/>
                <w:highlight w:val="none"/>
                <w:lang w:val="en-US" w:eastAsia="zh-CN" w:bidi="ar-SA"/>
              </w:rPr>
              <w:t>分，缺项的不得分。</w:t>
            </w:r>
          </w:p>
        </w:tc>
      </w:tr>
      <w:tr w14:paraId="47CD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243FE27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130" w:type="dxa"/>
            <w:noWrap w:val="0"/>
            <w:vAlign w:val="center"/>
          </w:tcPr>
          <w:p w14:paraId="34DCF17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应急预案</w:t>
            </w:r>
          </w:p>
        </w:tc>
        <w:tc>
          <w:tcPr>
            <w:tcW w:w="825" w:type="dxa"/>
            <w:noWrap w:val="0"/>
            <w:vAlign w:val="center"/>
          </w:tcPr>
          <w:p w14:paraId="1C5EA6F7">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3分</w:t>
            </w:r>
          </w:p>
        </w:tc>
        <w:tc>
          <w:tcPr>
            <w:tcW w:w="6460" w:type="dxa"/>
            <w:noWrap w:val="0"/>
            <w:vAlign w:val="center"/>
          </w:tcPr>
          <w:p w14:paraId="606BF03F">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项目情况和物业管理服务规律和可能发生的紧急事件，制定消防、电梯、给排水、供配电等共用设施设备事故应急预案；制定自然灾害、公共卫生、治安、交通等突发事件的应急预案。要求符合规范、详细完整，具有可操作性、方便执行。优秀得3分，良好得2.4分，一般得1.8分，缺项不得分。</w:t>
            </w:r>
          </w:p>
        </w:tc>
      </w:tr>
      <w:tr w14:paraId="6CF3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3A8E2A0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130" w:type="dxa"/>
            <w:noWrap w:val="0"/>
            <w:vAlign w:val="center"/>
          </w:tcPr>
          <w:p w14:paraId="1F19538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设备投入</w:t>
            </w:r>
          </w:p>
        </w:tc>
        <w:tc>
          <w:tcPr>
            <w:tcW w:w="825" w:type="dxa"/>
            <w:noWrap w:val="0"/>
            <w:vAlign w:val="center"/>
          </w:tcPr>
          <w:p w14:paraId="1A9446A5">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6分</w:t>
            </w:r>
          </w:p>
        </w:tc>
        <w:tc>
          <w:tcPr>
            <w:tcW w:w="6460" w:type="dxa"/>
            <w:noWrap w:val="0"/>
            <w:vAlign w:val="center"/>
          </w:tcPr>
          <w:p w14:paraId="184B51C3">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根据项目情况拟投入秩序维护、卫生保洁、疫情防护、行政办公等物业工作的设备和工具清单（须有明确数量），承诺中标后新配置至少一辆通勤车</w:t>
            </w:r>
            <w:r>
              <w:rPr>
                <w:rFonts w:hint="eastAsia" w:ascii="宋体" w:hAnsi="宋体" w:cs="宋体"/>
                <w:bCs/>
                <w:color w:val="auto"/>
                <w:kern w:val="2"/>
                <w:sz w:val="21"/>
                <w:szCs w:val="21"/>
                <w:highlight w:val="none"/>
                <w:lang w:val="en-US" w:eastAsia="zh-CN" w:bidi="ar-SA"/>
              </w:rPr>
              <w:t>（不纳入项目费用，中标人自行承担）</w:t>
            </w:r>
            <w:r>
              <w:rPr>
                <w:rFonts w:hint="eastAsia" w:ascii="宋体" w:hAnsi="宋体" w:eastAsia="宋体" w:cs="宋体"/>
                <w:bCs/>
                <w:color w:val="auto"/>
                <w:kern w:val="2"/>
                <w:sz w:val="21"/>
                <w:szCs w:val="21"/>
                <w:highlight w:val="none"/>
                <w:lang w:val="en-US" w:eastAsia="zh-CN" w:bidi="ar-SA"/>
              </w:rPr>
              <w:t>，设备投入（可购可租）必须按投标文件清单数量配齐进驻项目。优秀（提供承诺的）得6分，良好（提供承诺的）得4.8分，一般（提供承诺的）得3.6分，缺项或未提供承诺书的不得分。</w:t>
            </w:r>
          </w:p>
          <w:p w14:paraId="67149429">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注：①技术标为暗标评审，此项承诺书不得体现投标人信息，也不得签章。</w:t>
            </w:r>
          </w:p>
          <w:p w14:paraId="3BC2C8B8">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②合同履行期内未按此项响应内容履约的，当季考核按清单设备市场购置总费用的0.5-1倍进行扣款至整改到位。</w:t>
            </w:r>
          </w:p>
        </w:tc>
      </w:tr>
      <w:tr w14:paraId="3E9E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57" w:type="dxa"/>
            <w:gridSpan w:val="4"/>
            <w:noWrap w:val="0"/>
            <w:vAlign w:val="center"/>
          </w:tcPr>
          <w:p w14:paraId="5397C29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注：1</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该项由专家评委评审打分，取所有评委评分中分别去掉一个最高和最低评分后的平均值为最终得分，保留两位小数点，第三位四舍五入。</w:t>
            </w:r>
          </w:p>
          <w:p w14:paraId="177381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46E7AB7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 技术标暗标不设空白页。技术标投标文件封面不出现投标人、法定代表人签章内容，格式以系统设置为准。正文必须按招标文件要求的顺序进行排版；</w:t>
            </w:r>
          </w:p>
          <w:p w14:paraId="486A33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64549F5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7861EDA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技术标暗标文件的格式、制作不符合上述要求的，每一分项扣0.2分。技术标实行暗标的，对技术标（暗标）部分不予澄清、说明或者补正。</w:t>
            </w:r>
          </w:p>
          <w:p w14:paraId="34ABBE5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val="en-US" w:eastAsia="zh-CN" w:bidi="ar"/>
              </w:rPr>
              <w:t>.</w:t>
            </w:r>
            <w:r>
              <w:rPr>
                <w:rFonts w:hint="eastAsia" w:ascii="宋体" w:hAnsi="宋体"/>
                <w:color w:val="000000"/>
                <w:szCs w:val="21"/>
                <w:highlight w:val="none"/>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75C71B7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w:t>
            </w:r>
            <w:r>
              <w:rPr>
                <w:rFonts w:hint="eastAsia" w:ascii="宋体" w:hAnsi="宋体"/>
                <w:color w:val="000000"/>
                <w:szCs w:val="21"/>
                <w:highlight w:val="none"/>
              </w:rPr>
              <w:t>如所有投标企业技术标都出现能反映企业信息等相关内容的，该项目流标。</w:t>
            </w:r>
          </w:p>
        </w:tc>
      </w:tr>
    </w:tbl>
    <w:p w14:paraId="753A7430">
      <w:pPr>
        <w:pStyle w:val="13"/>
        <w:adjustRightInd w:val="0"/>
        <w:snapToGrid w:val="0"/>
        <w:spacing w:after="0" w:line="560" w:lineRule="exact"/>
        <w:ind w:left="0" w:leftChars="0" w:firstLine="0" w:firstLineChars="0"/>
        <w:jc w:val="center"/>
        <w:rPr>
          <w:rFonts w:hint="eastAsia"/>
          <w:b/>
          <w:color w:val="000000"/>
          <w:sz w:val="28"/>
          <w:szCs w:val="21"/>
          <w:highlight w:val="none"/>
        </w:rPr>
      </w:pPr>
      <w:bookmarkStart w:id="88" w:name="_Toc23311"/>
      <w:bookmarkStart w:id="89" w:name="_Toc58430321"/>
      <w:bookmarkStart w:id="90" w:name="_Toc449028881"/>
      <w:r>
        <w:rPr>
          <w:rFonts w:hint="eastAsia"/>
          <w:b/>
          <w:color w:val="000000"/>
          <w:sz w:val="28"/>
          <w:szCs w:val="21"/>
          <w:highlight w:val="none"/>
        </w:rPr>
        <w:t>（四）商务标评审</w:t>
      </w:r>
    </w:p>
    <w:tbl>
      <w:tblPr>
        <w:tblStyle w:val="37"/>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85"/>
        <w:gridCol w:w="1665"/>
        <w:gridCol w:w="6870"/>
      </w:tblGrid>
      <w:tr w14:paraId="39B4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14:paraId="03B71DF3">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序号</w:t>
            </w:r>
          </w:p>
        </w:tc>
        <w:tc>
          <w:tcPr>
            <w:tcW w:w="2450" w:type="dxa"/>
            <w:gridSpan w:val="2"/>
            <w:noWrap w:val="0"/>
            <w:vAlign w:val="center"/>
          </w:tcPr>
          <w:p w14:paraId="5FFAC6EF">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审查因素</w:t>
            </w:r>
          </w:p>
        </w:tc>
        <w:tc>
          <w:tcPr>
            <w:tcW w:w="6870" w:type="dxa"/>
            <w:noWrap w:val="0"/>
            <w:vAlign w:val="center"/>
          </w:tcPr>
          <w:p w14:paraId="47883491">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审查内容</w:t>
            </w:r>
          </w:p>
        </w:tc>
      </w:tr>
      <w:tr w14:paraId="5847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31" w:type="dxa"/>
            <w:vMerge w:val="restart"/>
            <w:noWrap w:val="0"/>
            <w:vAlign w:val="center"/>
          </w:tcPr>
          <w:p w14:paraId="66FAE903">
            <w:pPr>
              <w:spacing w:line="320" w:lineRule="atLeast"/>
              <w:jc w:val="center"/>
              <w:rPr>
                <w:rFonts w:hint="eastAsia" w:ascii="宋体"/>
                <w:color w:val="000000"/>
                <w:szCs w:val="21"/>
                <w:highlight w:val="none"/>
              </w:rPr>
            </w:pPr>
            <w:r>
              <w:rPr>
                <w:rFonts w:hint="eastAsia" w:ascii="宋体"/>
                <w:color w:val="000000"/>
                <w:szCs w:val="21"/>
                <w:highlight w:val="none"/>
              </w:rPr>
              <w:t>1</w:t>
            </w:r>
          </w:p>
        </w:tc>
        <w:tc>
          <w:tcPr>
            <w:tcW w:w="785" w:type="dxa"/>
            <w:vMerge w:val="restart"/>
            <w:noWrap w:val="0"/>
            <w:vAlign w:val="center"/>
          </w:tcPr>
          <w:p w14:paraId="56129254">
            <w:pPr>
              <w:spacing w:line="320" w:lineRule="atLeast"/>
              <w:jc w:val="center"/>
              <w:rPr>
                <w:rFonts w:hint="eastAsia" w:ascii="宋体" w:cs="仿宋_GB2312"/>
                <w:color w:val="000000"/>
                <w:szCs w:val="21"/>
                <w:highlight w:val="none"/>
                <w:lang w:val="zh-CN"/>
              </w:rPr>
            </w:pPr>
            <w:r>
              <w:rPr>
                <w:rFonts w:hint="eastAsia" w:ascii="宋体" w:hAnsi="宋体" w:cs="宋体"/>
                <w:color w:val="000000"/>
                <w:szCs w:val="21"/>
                <w:highlight w:val="none"/>
              </w:rPr>
              <w:t>形式评审标准</w:t>
            </w:r>
          </w:p>
        </w:tc>
        <w:tc>
          <w:tcPr>
            <w:tcW w:w="1665" w:type="dxa"/>
            <w:noWrap w:val="0"/>
            <w:vAlign w:val="center"/>
          </w:tcPr>
          <w:p w14:paraId="3F603F2B">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投标函签字盖章</w:t>
            </w:r>
          </w:p>
        </w:tc>
        <w:tc>
          <w:tcPr>
            <w:tcW w:w="6870" w:type="dxa"/>
            <w:noWrap w:val="0"/>
            <w:vAlign w:val="center"/>
          </w:tcPr>
          <w:p w14:paraId="7A62A8D7">
            <w:pPr>
              <w:adjustRightInd w:val="0"/>
              <w:snapToGrid w:val="0"/>
              <w:spacing w:line="560" w:lineRule="exact"/>
              <w:jc w:val="left"/>
              <w:rPr>
                <w:rFonts w:hint="eastAsia" w:ascii="宋体" w:cs="仿宋_GB2312"/>
                <w:color w:val="000000"/>
                <w:szCs w:val="21"/>
                <w:highlight w:val="none"/>
                <w:lang w:val="zh-CN"/>
              </w:rPr>
            </w:pPr>
            <w:r>
              <w:rPr>
                <w:rFonts w:hint="eastAsia" w:ascii="宋体" w:hAnsi="宋体" w:cs="宋体"/>
                <w:color w:val="000000"/>
                <w:szCs w:val="21"/>
                <w:highlight w:val="none"/>
              </w:rPr>
              <w:t>有投标人及其法定代表人签章。</w:t>
            </w:r>
          </w:p>
        </w:tc>
      </w:tr>
      <w:tr w14:paraId="2A6C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14:paraId="3D9A310A">
            <w:pPr>
              <w:spacing w:line="320" w:lineRule="atLeast"/>
              <w:rPr>
                <w:color w:val="000000"/>
                <w:highlight w:val="none"/>
              </w:rPr>
            </w:pPr>
          </w:p>
        </w:tc>
        <w:tc>
          <w:tcPr>
            <w:tcW w:w="785" w:type="dxa"/>
            <w:vMerge w:val="continue"/>
            <w:noWrap w:val="0"/>
            <w:vAlign w:val="center"/>
          </w:tcPr>
          <w:p w14:paraId="6F83179E">
            <w:pPr>
              <w:spacing w:line="320" w:lineRule="atLeast"/>
              <w:rPr>
                <w:color w:val="000000"/>
                <w:highlight w:val="none"/>
              </w:rPr>
            </w:pPr>
          </w:p>
        </w:tc>
        <w:tc>
          <w:tcPr>
            <w:tcW w:w="1665" w:type="dxa"/>
            <w:noWrap w:val="0"/>
            <w:vAlign w:val="center"/>
          </w:tcPr>
          <w:p w14:paraId="1486F7CD">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投标文件格式</w:t>
            </w:r>
          </w:p>
        </w:tc>
        <w:tc>
          <w:tcPr>
            <w:tcW w:w="6870" w:type="dxa"/>
            <w:noWrap w:val="0"/>
            <w:vAlign w:val="center"/>
          </w:tcPr>
          <w:p w14:paraId="1E1BEE1E">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rPr>
              <w:t>符合第七章“投标文件格式”的要求。</w:t>
            </w:r>
          </w:p>
        </w:tc>
      </w:tr>
      <w:tr w14:paraId="2015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731" w:type="dxa"/>
            <w:vMerge w:val="continue"/>
            <w:noWrap w:val="0"/>
            <w:vAlign w:val="center"/>
          </w:tcPr>
          <w:p w14:paraId="1AA60712">
            <w:pPr>
              <w:spacing w:line="320" w:lineRule="atLeast"/>
              <w:rPr>
                <w:color w:val="000000"/>
                <w:highlight w:val="none"/>
              </w:rPr>
            </w:pPr>
          </w:p>
        </w:tc>
        <w:tc>
          <w:tcPr>
            <w:tcW w:w="785" w:type="dxa"/>
            <w:vMerge w:val="continue"/>
            <w:noWrap w:val="0"/>
            <w:vAlign w:val="center"/>
          </w:tcPr>
          <w:p w14:paraId="65D87E98">
            <w:pPr>
              <w:spacing w:line="320" w:lineRule="atLeast"/>
              <w:rPr>
                <w:color w:val="000000"/>
                <w:highlight w:val="none"/>
              </w:rPr>
            </w:pPr>
          </w:p>
        </w:tc>
        <w:tc>
          <w:tcPr>
            <w:tcW w:w="1665" w:type="dxa"/>
            <w:noWrap w:val="0"/>
            <w:vAlign w:val="center"/>
          </w:tcPr>
          <w:p w14:paraId="27E7D540">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商务标签字盖章</w:t>
            </w:r>
          </w:p>
        </w:tc>
        <w:tc>
          <w:tcPr>
            <w:tcW w:w="6870" w:type="dxa"/>
            <w:noWrap w:val="0"/>
            <w:vAlign w:val="center"/>
          </w:tcPr>
          <w:p w14:paraId="70209C0D">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rPr>
              <w:t>按投标文件格式要求签章。</w:t>
            </w:r>
          </w:p>
        </w:tc>
      </w:tr>
      <w:tr w14:paraId="089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14:paraId="095FD667">
            <w:pPr>
              <w:spacing w:line="320" w:lineRule="atLeast"/>
              <w:rPr>
                <w:color w:val="000000"/>
                <w:highlight w:val="none"/>
              </w:rPr>
            </w:pPr>
          </w:p>
        </w:tc>
        <w:tc>
          <w:tcPr>
            <w:tcW w:w="785" w:type="dxa"/>
            <w:vMerge w:val="continue"/>
            <w:noWrap w:val="0"/>
            <w:vAlign w:val="center"/>
          </w:tcPr>
          <w:p w14:paraId="67BDAEAE">
            <w:pPr>
              <w:spacing w:line="320" w:lineRule="atLeast"/>
              <w:rPr>
                <w:color w:val="000000"/>
                <w:highlight w:val="none"/>
              </w:rPr>
            </w:pPr>
          </w:p>
        </w:tc>
        <w:tc>
          <w:tcPr>
            <w:tcW w:w="1665" w:type="dxa"/>
            <w:noWrap w:val="0"/>
            <w:vAlign w:val="center"/>
          </w:tcPr>
          <w:p w14:paraId="6254107D">
            <w:pPr>
              <w:adjustRightInd w:val="0"/>
              <w:snapToGrid w:val="0"/>
              <w:spacing w:line="560" w:lineRule="exact"/>
              <w:rPr>
                <w:rFonts w:hint="eastAsia" w:ascii="宋体"/>
                <w:color w:val="000000"/>
                <w:szCs w:val="21"/>
                <w:highlight w:val="none"/>
              </w:rPr>
            </w:pPr>
            <w:r>
              <w:rPr>
                <w:rFonts w:hint="eastAsia" w:ascii="宋体" w:hAnsi="宋体" w:cs="宋体"/>
                <w:color w:val="000000"/>
                <w:szCs w:val="21"/>
                <w:highlight w:val="none"/>
              </w:rPr>
              <w:t>报价唯一</w:t>
            </w:r>
          </w:p>
        </w:tc>
        <w:tc>
          <w:tcPr>
            <w:tcW w:w="6870" w:type="dxa"/>
            <w:noWrap w:val="0"/>
            <w:vAlign w:val="center"/>
          </w:tcPr>
          <w:p w14:paraId="0A675E26">
            <w:pPr>
              <w:adjustRightInd w:val="0"/>
              <w:snapToGrid w:val="0"/>
              <w:spacing w:line="560" w:lineRule="exact"/>
              <w:jc w:val="left"/>
              <w:rPr>
                <w:rFonts w:hint="eastAsia" w:ascii="宋体" w:cs="仿宋_GB2312"/>
                <w:color w:val="000000"/>
                <w:szCs w:val="21"/>
                <w:highlight w:val="none"/>
                <w:lang w:val="zh-CN"/>
              </w:rPr>
            </w:pPr>
            <w:r>
              <w:rPr>
                <w:rFonts w:hint="eastAsia" w:ascii="宋体" w:hAnsi="宋体" w:cs="宋体"/>
                <w:color w:val="000000"/>
                <w:szCs w:val="21"/>
                <w:highlight w:val="none"/>
              </w:rPr>
              <w:t>只能有一个报价。</w:t>
            </w:r>
          </w:p>
        </w:tc>
      </w:tr>
      <w:tr w14:paraId="517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14:paraId="0BE5CCD9">
            <w:pPr>
              <w:spacing w:line="320" w:lineRule="atLeast"/>
              <w:jc w:val="center"/>
              <w:rPr>
                <w:rFonts w:hint="eastAsia" w:ascii="宋体"/>
                <w:color w:val="000000"/>
                <w:szCs w:val="21"/>
                <w:highlight w:val="none"/>
              </w:rPr>
            </w:pPr>
            <w:r>
              <w:rPr>
                <w:rFonts w:hint="eastAsia" w:ascii="宋体"/>
                <w:color w:val="000000"/>
                <w:szCs w:val="21"/>
                <w:highlight w:val="none"/>
              </w:rPr>
              <w:t>2</w:t>
            </w:r>
          </w:p>
        </w:tc>
        <w:tc>
          <w:tcPr>
            <w:tcW w:w="785" w:type="dxa"/>
            <w:vMerge w:val="restart"/>
            <w:noWrap w:val="0"/>
            <w:vAlign w:val="center"/>
          </w:tcPr>
          <w:p w14:paraId="061E10CA">
            <w:pPr>
              <w:adjustRightInd w:val="0"/>
              <w:snapToGrid w:val="0"/>
              <w:spacing w:line="560" w:lineRule="exact"/>
              <w:jc w:val="center"/>
              <w:rPr>
                <w:rFonts w:hint="eastAsia" w:ascii="宋体" w:cs="仿宋_GB2312"/>
                <w:color w:val="000000"/>
                <w:szCs w:val="21"/>
                <w:highlight w:val="none"/>
                <w:lang w:val="zh-CN"/>
              </w:rPr>
            </w:pPr>
            <w:r>
              <w:rPr>
                <w:rFonts w:hint="eastAsia" w:ascii="宋体" w:hAnsi="宋体" w:cs="宋体"/>
                <w:color w:val="000000"/>
                <w:szCs w:val="21"/>
                <w:highlight w:val="none"/>
              </w:rPr>
              <w:t>响应性评审标准</w:t>
            </w:r>
          </w:p>
        </w:tc>
        <w:tc>
          <w:tcPr>
            <w:tcW w:w="1665" w:type="dxa"/>
            <w:noWrap w:val="0"/>
            <w:vAlign w:val="center"/>
          </w:tcPr>
          <w:p w14:paraId="350EAB8C">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期限</w:t>
            </w:r>
          </w:p>
        </w:tc>
        <w:tc>
          <w:tcPr>
            <w:tcW w:w="6870" w:type="dxa"/>
            <w:noWrap w:val="0"/>
            <w:vAlign w:val="center"/>
          </w:tcPr>
          <w:p w14:paraId="5ED6E7EF">
            <w:pPr>
              <w:adjustRightInd w:val="0"/>
              <w:snapToGrid w:val="0"/>
              <w:spacing w:line="560" w:lineRule="exact"/>
              <w:rPr>
                <w:rFonts w:hint="eastAsia" w:ascii="宋体" w:cs="宋体"/>
                <w:color w:val="000000"/>
                <w:szCs w:val="21"/>
                <w:highlight w:val="none"/>
              </w:rPr>
            </w:pPr>
            <w:r>
              <w:rPr>
                <w:rFonts w:hint="eastAsia" w:ascii="宋体" w:hAnsi="宋体" w:cs="宋体"/>
                <w:color w:val="000000"/>
                <w:szCs w:val="21"/>
                <w:highlight w:val="none"/>
              </w:rPr>
              <w:t>符合投标须知前附表规定。</w:t>
            </w:r>
          </w:p>
        </w:tc>
      </w:tr>
      <w:tr w14:paraId="63CA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14:paraId="6A304BF3">
            <w:pPr>
              <w:spacing w:line="320" w:lineRule="atLeast"/>
              <w:rPr>
                <w:color w:val="000000"/>
                <w:highlight w:val="none"/>
              </w:rPr>
            </w:pPr>
          </w:p>
        </w:tc>
        <w:tc>
          <w:tcPr>
            <w:tcW w:w="785" w:type="dxa"/>
            <w:vMerge w:val="continue"/>
            <w:noWrap w:val="0"/>
            <w:vAlign w:val="center"/>
          </w:tcPr>
          <w:p w14:paraId="5C6C08BF">
            <w:pPr>
              <w:spacing w:line="320" w:lineRule="atLeast"/>
              <w:rPr>
                <w:color w:val="000000"/>
                <w:highlight w:val="none"/>
              </w:rPr>
            </w:pPr>
          </w:p>
        </w:tc>
        <w:tc>
          <w:tcPr>
            <w:tcW w:w="1665" w:type="dxa"/>
            <w:noWrap w:val="0"/>
            <w:vAlign w:val="center"/>
          </w:tcPr>
          <w:p w14:paraId="2FBA6190">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投标有效期</w:t>
            </w:r>
          </w:p>
        </w:tc>
        <w:tc>
          <w:tcPr>
            <w:tcW w:w="6870" w:type="dxa"/>
            <w:noWrap w:val="0"/>
            <w:vAlign w:val="center"/>
          </w:tcPr>
          <w:p w14:paraId="62069A61">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符合投标须知前附表规定。</w:t>
            </w:r>
          </w:p>
        </w:tc>
      </w:tr>
      <w:tr w14:paraId="5BAE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14:paraId="06300615">
            <w:pPr>
              <w:spacing w:line="320" w:lineRule="atLeast"/>
              <w:rPr>
                <w:color w:val="000000"/>
                <w:highlight w:val="none"/>
              </w:rPr>
            </w:pPr>
          </w:p>
        </w:tc>
        <w:tc>
          <w:tcPr>
            <w:tcW w:w="785" w:type="dxa"/>
            <w:vMerge w:val="continue"/>
            <w:noWrap w:val="0"/>
            <w:vAlign w:val="center"/>
          </w:tcPr>
          <w:p w14:paraId="1F30535F">
            <w:pPr>
              <w:spacing w:line="320" w:lineRule="atLeast"/>
              <w:rPr>
                <w:color w:val="000000"/>
                <w:highlight w:val="none"/>
              </w:rPr>
            </w:pPr>
          </w:p>
        </w:tc>
        <w:tc>
          <w:tcPr>
            <w:tcW w:w="1665" w:type="dxa"/>
            <w:noWrap w:val="0"/>
            <w:vAlign w:val="center"/>
          </w:tcPr>
          <w:p w14:paraId="1CD868D2">
            <w:pPr>
              <w:adjustRightInd w:val="0"/>
              <w:snapToGrid w:val="0"/>
              <w:spacing w:line="560" w:lineRule="exact"/>
              <w:rPr>
                <w:rFonts w:hint="eastAsia" w:ascii="宋体" w:hAnsi="宋体" w:cs="宋体"/>
                <w:color w:val="000000"/>
                <w:szCs w:val="21"/>
                <w:highlight w:val="none"/>
              </w:rPr>
            </w:pPr>
            <w:r>
              <w:rPr>
                <w:rFonts w:hint="eastAsia" w:ascii="宋体" w:hAnsi="宋体" w:cs="宋体"/>
                <w:color w:val="000000"/>
                <w:szCs w:val="21"/>
                <w:highlight w:val="none"/>
              </w:rPr>
              <w:t>投标报价评审</w:t>
            </w:r>
          </w:p>
        </w:tc>
        <w:tc>
          <w:tcPr>
            <w:tcW w:w="6870" w:type="dxa"/>
            <w:noWrap w:val="0"/>
            <w:vAlign w:val="center"/>
          </w:tcPr>
          <w:p w14:paraId="26AE5F93">
            <w:pPr>
              <w:adjustRightInd w:val="0"/>
              <w:snapToGrid w:val="0"/>
              <w:spacing w:line="560" w:lineRule="exact"/>
              <w:rPr>
                <w:rFonts w:hint="eastAsia" w:ascii="宋体" w:hAnsi="宋体" w:cs="宋体"/>
                <w:color w:val="000000"/>
                <w:szCs w:val="21"/>
                <w:highlight w:val="none"/>
              </w:rPr>
            </w:pPr>
            <w:r>
              <w:rPr>
                <w:rFonts w:hint="eastAsia" w:ascii="宋体" w:hAnsi="宋体" w:cs="宋体"/>
                <w:color w:val="000000"/>
                <w:spacing w:val="-6"/>
                <w:szCs w:val="21"/>
                <w:highlight w:val="none"/>
              </w:rPr>
              <w:t>不得高于最高投标限价。</w:t>
            </w:r>
          </w:p>
        </w:tc>
      </w:tr>
      <w:tr w14:paraId="7AC4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1" w:type="dxa"/>
            <w:noWrap w:val="0"/>
            <w:vAlign w:val="center"/>
          </w:tcPr>
          <w:p w14:paraId="5B87D19F">
            <w:pPr>
              <w:adjustRightInd w:val="0"/>
              <w:snapToGrid w:val="0"/>
              <w:spacing w:line="560" w:lineRule="exact"/>
              <w:jc w:val="center"/>
              <w:rPr>
                <w:rFonts w:hint="eastAsia" w:ascii="宋体" w:hAnsi="宋体" w:cs="宋体"/>
                <w:color w:val="000000"/>
                <w:spacing w:val="-6"/>
                <w:szCs w:val="21"/>
                <w:highlight w:val="none"/>
              </w:rPr>
            </w:pPr>
            <w:r>
              <w:rPr>
                <w:rFonts w:hint="eastAsia" w:ascii="宋体" w:hAnsi="宋体" w:cs="宋体"/>
                <w:color w:val="000000"/>
                <w:spacing w:val="-6"/>
                <w:szCs w:val="21"/>
                <w:highlight w:val="none"/>
              </w:rPr>
              <w:t>3</w:t>
            </w:r>
          </w:p>
        </w:tc>
        <w:tc>
          <w:tcPr>
            <w:tcW w:w="2450" w:type="dxa"/>
            <w:gridSpan w:val="2"/>
            <w:noWrap w:val="0"/>
            <w:vAlign w:val="center"/>
          </w:tcPr>
          <w:p w14:paraId="451093D1">
            <w:pPr>
              <w:adjustRightInd w:val="0"/>
              <w:snapToGrid w:val="0"/>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投标报价（</w:t>
            </w: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0</w:t>
            </w:r>
            <w:r>
              <w:rPr>
                <w:rFonts w:hint="eastAsia" w:ascii="宋体" w:hAnsi="宋体" w:eastAsia="宋体" w:cs="宋体"/>
                <w:szCs w:val="21"/>
                <w:highlight w:val="none"/>
              </w:rPr>
              <w:t>分）</w:t>
            </w:r>
          </w:p>
        </w:tc>
        <w:tc>
          <w:tcPr>
            <w:tcW w:w="6870" w:type="dxa"/>
            <w:noWrap w:val="0"/>
            <w:vAlign w:val="center"/>
          </w:tcPr>
          <w:p w14:paraId="7059F7FE">
            <w:pPr>
              <w:keepNext w:val="0"/>
              <w:keepLines w:val="0"/>
              <w:pageBreakBefore w:val="0"/>
              <w:widowControl w:val="0"/>
              <w:tabs>
                <w:tab w:val="left" w:pos="1080"/>
              </w:tabs>
              <w:kinsoku/>
              <w:wordWrap/>
              <w:overflowPunct/>
              <w:topLinePunct w:val="0"/>
              <w:autoSpaceDE/>
              <w:autoSpaceDN/>
              <w:bidi w:val="0"/>
              <w:spacing w:line="400" w:lineRule="exact"/>
              <w:ind w:right="105"/>
              <w:textAlignment w:val="auto"/>
              <w:rPr>
                <w:highlight w:val="none"/>
              </w:rPr>
            </w:pPr>
            <w:r>
              <w:rPr>
                <w:rFonts w:hint="eastAsia" w:ascii="宋体" w:hAnsi="宋体" w:eastAsia="宋体" w:cs="宋体"/>
                <w:color w:val="auto"/>
                <w:kern w:val="2"/>
                <w:sz w:val="21"/>
                <w:szCs w:val="21"/>
                <w:highlight w:val="none"/>
                <w:u w:val="none" w:color="000000"/>
                <w:lang w:val="en-US" w:eastAsia="zh-CN" w:bidi="ar-SA"/>
              </w:rPr>
              <w:t>本项目投标最高限价：2201038.3</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元/年，6603114.9</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元/三年；项目企业利润为153811.2</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元/年（461433.6</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三年）是按（人员费用+项目费用）*占比8%，利润属于可调整报价费用，按%占比进行调整报价；根据本项目服务需求表中人员费用、项目费用、税费为固定费用，属于报价部分但不作为可调整价格（中标人每月根据物业企业经营实际发生已支付后到招标人处进行报销，按照安徽省物业管理条例第67条相关规定要求除企业利润外其他费用独立建</w:t>
            </w:r>
            <w:r>
              <w:rPr>
                <w:rFonts w:hint="eastAsia" w:ascii="宋体" w:hAnsi="宋体" w:cs="宋体"/>
                <w:color w:val="auto"/>
                <w:kern w:val="2"/>
                <w:sz w:val="21"/>
                <w:szCs w:val="21"/>
                <w:highlight w:val="none"/>
                <w:u w:val="none" w:color="000000"/>
                <w:lang w:val="en-US" w:eastAsia="zh-CN" w:bidi="ar-SA"/>
              </w:rPr>
              <w:t>账</w:t>
            </w:r>
            <w:r>
              <w:rPr>
                <w:rFonts w:hint="eastAsia" w:ascii="宋体" w:hAnsi="宋体" w:eastAsia="宋体" w:cs="宋体"/>
                <w:color w:val="auto"/>
                <w:kern w:val="2"/>
                <w:sz w:val="21"/>
                <w:szCs w:val="21"/>
                <w:highlight w:val="none"/>
                <w:u w:val="none" w:color="000000"/>
                <w:lang w:val="en-US" w:eastAsia="zh-CN" w:bidi="ar-SA"/>
              </w:rPr>
              <w:t>，专项用于项目专项支出，根据招标人需求公布收支使用情况并接受招标人监督。）投标报价高于（不含等于）最高限价的，按无效投标处理。如投标人在分项报价中，将不可调整部分进行调整，则按无效标处理。</w:t>
            </w:r>
          </w:p>
          <w:p w14:paraId="2DCDA3D6">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宋体" w:cs="Times New Roman"/>
                <w:highlight w:val="none"/>
              </w:rPr>
            </w:pPr>
            <w:r>
              <w:rPr>
                <w:rFonts w:hint="eastAsia"/>
                <w:highlight w:val="none"/>
                <w:lang w:val="en-US" w:eastAsia="zh-CN"/>
              </w:rPr>
              <w:t>1.</w:t>
            </w:r>
            <w:r>
              <w:rPr>
                <w:rFonts w:hint="eastAsia" w:ascii="Times New Roman" w:hAnsi="Times New Roman" w:eastAsia="宋体" w:cs="Times New Roman"/>
                <w:highlight w:val="none"/>
              </w:rPr>
              <w:t>评标基准价=所有有效投标人的最低报价；其得分为满分</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0分；</w:t>
            </w:r>
          </w:p>
          <w:p w14:paraId="62F673FC">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eastAsia="zh-CN"/>
              </w:rPr>
              <w:t>其他</w:t>
            </w:r>
            <w:r>
              <w:rPr>
                <w:rFonts w:hint="eastAsia" w:ascii="Times New Roman" w:hAnsi="Times New Roman" w:eastAsia="宋体" w:cs="Times New Roman"/>
                <w:highlight w:val="none"/>
              </w:rPr>
              <w:t>报价得分=评标基准价/投标报价×</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0分，小数点后保留两位小数，第三位四舍五入</w:t>
            </w:r>
            <w:r>
              <w:rPr>
                <w:rFonts w:hint="eastAsia" w:ascii="Times New Roman" w:hAnsi="Times New Roman" w:eastAsia="宋体" w:cs="Times New Roman"/>
                <w:highlight w:val="none"/>
                <w:lang w:val="en-US" w:eastAsia="zh-CN"/>
              </w:rPr>
              <w:t>；</w:t>
            </w:r>
          </w:p>
          <w:p w14:paraId="32990F1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Cs w:val="21"/>
                <w:highlight w:val="none"/>
              </w:rPr>
            </w:pPr>
            <w:r>
              <w:rPr>
                <w:rFonts w:hint="eastAsia" w:ascii="Times New Roman" w:hAnsi="Times New Roman" w:eastAsia="宋体" w:cs="Times New Roman"/>
                <w:highlight w:val="none"/>
                <w:lang w:val="en-US" w:eastAsia="zh-CN"/>
              </w:rPr>
              <w:t>3.本项分值由评标委员会负责组织计算。</w:t>
            </w:r>
          </w:p>
        </w:tc>
      </w:tr>
    </w:tbl>
    <w:p w14:paraId="08A7B8D5">
      <w:pPr>
        <w:pStyle w:val="13"/>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特别说明：</w:t>
      </w:r>
    </w:p>
    <w:p w14:paraId="25834879">
      <w:pPr>
        <w:pStyle w:val="13"/>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评标专家检验电子投标文件的上述材料，如果由于投标人自身原因导致评标专家无法查看并检验电子投标文件中以上相关资料的，后果由投标人自行承担。</w:t>
      </w:r>
    </w:p>
    <w:p w14:paraId="706AF445">
      <w:pPr>
        <w:pStyle w:val="13"/>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420" w:firstLineChars="200"/>
        <w:jc w:val="left"/>
        <w:textAlignment w:val="auto"/>
        <w:outlineLvl w:val="2"/>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以上分值均保留二位小数，小数点后第三位四舍五入。</w:t>
      </w:r>
    </w:p>
    <w:bookmarkEnd w:id="86"/>
    <w:bookmarkEnd w:id="87"/>
    <w:bookmarkEnd w:id="88"/>
    <w:bookmarkEnd w:id="89"/>
    <w:bookmarkEnd w:id="90"/>
    <w:p w14:paraId="2A67CB8F">
      <w:pPr>
        <w:pStyle w:val="13"/>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420" w:firstLineChars="200"/>
        <w:jc w:val="left"/>
        <w:textAlignment w:val="auto"/>
        <w:rPr>
          <w:rFonts w:hint="default" w:ascii="宋体" w:hAnsi="宋体" w:eastAsia="宋体" w:cs="宋体"/>
          <w:color w:val="auto"/>
          <w:kern w:val="0"/>
          <w:sz w:val="21"/>
          <w:szCs w:val="21"/>
          <w:highlight w:val="none"/>
          <w:lang w:val="en-US" w:eastAsia="zh-CN" w:bidi="ar-SA"/>
        </w:rPr>
      </w:pPr>
      <w:bookmarkStart w:id="91" w:name="_Toc30417"/>
      <w:bookmarkStart w:id="92" w:name="_Toc22340"/>
      <w:bookmarkStart w:id="93" w:name="_Toc449028945"/>
      <w:r>
        <w:rPr>
          <w:rFonts w:hint="eastAsia" w:ascii="宋体" w:hAnsi="宋体" w:eastAsia="宋体" w:cs="宋体"/>
          <w:color w:val="auto"/>
          <w:kern w:val="0"/>
          <w:sz w:val="21"/>
          <w:szCs w:val="21"/>
          <w:highlight w:val="none"/>
          <w:lang w:val="en-US" w:eastAsia="zh-CN" w:bidi="ar-SA"/>
        </w:rPr>
        <w:t>（3）本项目投标最高限价：2201038.3元/年，6603114.9元/三年；项目企业利润为153811.2元/年（461433.6元/三年）是按（人员费用+项目费用）*占比8%，利润属于可调整报价费用，按%占比进行调整报价；根据本项目服务需求表中人员费用、项目费用、税费为固定费用，属于报价部分但不作为可调整价格（中标人每月根据物业企业经营实际发生已支付后到招标人处进行报销，按照安徽省物业管理条例第67条相关规定要求除企业利润外其他费用独立建账，专项用于项目专项支出，根据招标人需求公布收支使用情况并接受招标人监督。）</w:t>
      </w:r>
    </w:p>
    <w:p w14:paraId="4120F44A">
      <w:pPr>
        <w:keepNext w:val="0"/>
        <w:keepLines w:val="0"/>
        <w:pageBreakBefore w:val="0"/>
        <w:widowControl w:val="0"/>
        <w:kinsoku/>
        <w:wordWrap/>
        <w:overflowPunct/>
        <w:topLinePunct w:val="0"/>
        <w:autoSpaceDE/>
        <w:autoSpaceDN/>
        <w:bidi w:val="0"/>
        <w:spacing w:line="400" w:lineRule="exact"/>
        <w:textAlignment w:val="auto"/>
        <w:outlineLvl w:val="3"/>
        <w:rPr>
          <w:rFonts w:hint="eastAsia" w:ascii="宋体" w:hAnsi="宋体" w:cs="宋体"/>
          <w:b/>
          <w:bCs/>
          <w:szCs w:val="21"/>
          <w:highlight w:val="none"/>
        </w:rPr>
      </w:pPr>
      <w:r>
        <w:rPr>
          <w:rFonts w:hint="eastAsia" w:ascii="宋体" w:hAnsi="宋体" w:cs="宋体"/>
          <w:b/>
          <w:bCs/>
          <w:szCs w:val="21"/>
          <w:highlight w:val="none"/>
          <w:lang w:val="en-US" w:eastAsia="zh-CN"/>
        </w:rPr>
        <w:t>　　1</w:t>
      </w:r>
      <w:r>
        <w:rPr>
          <w:rFonts w:hint="eastAsia" w:ascii="宋体" w:hAnsi="宋体" w:cs="宋体"/>
          <w:b/>
          <w:bCs/>
          <w:szCs w:val="21"/>
          <w:highlight w:val="none"/>
        </w:rPr>
        <w:t>．评标方法</w:t>
      </w:r>
    </w:p>
    <w:p w14:paraId="1611629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szCs w:val="21"/>
          <w:highlight w:val="none"/>
        </w:rPr>
      </w:pPr>
      <w:r>
        <w:rPr>
          <w:rFonts w:hint="eastAsia" w:ascii="宋体" w:hAnsi="宋体" w:cs="宋体"/>
          <w:szCs w:val="21"/>
          <w:highlight w:val="none"/>
          <w:lang w:val="en-US" w:eastAsia="zh-CN"/>
        </w:rPr>
        <w:t>　　1</w:t>
      </w:r>
      <w:r>
        <w:rPr>
          <w:rFonts w:hint="eastAsia" w:ascii="宋体" w:hAnsi="宋体" w:cs="宋体"/>
          <w:szCs w:val="21"/>
          <w:highlight w:val="none"/>
        </w:rPr>
        <w:t>.1本次评标采用</w:t>
      </w:r>
      <w:r>
        <w:rPr>
          <w:rFonts w:hint="eastAsia" w:ascii="宋体" w:hAnsi="宋体" w:cs="宋体"/>
          <w:b/>
          <w:bCs/>
          <w:szCs w:val="21"/>
          <w:highlight w:val="none"/>
        </w:rPr>
        <w:t>综合评</w:t>
      </w:r>
      <w:r>
        <w:rPr>
          <w:rFonts w:hint="eastAsia" w:ascii="宋体" w:hAnsi="宋体" w:cs="宋体"/>
          <w:b/>
          <w:bCs/>
          <w:szCs w:val="21"/>
          <w:highlight w:val="none"/>
          <w:lang w:val="en-US" w:eastAsia="zh-CN"/>
        </w:rPr>
        <w:t>分</w:t>
      </w:r>
      <w:r>
        <w:rPr>
          <w:rFonts w:hint="eastAsia" w:ascii="宋体" w:hAnsi="宋体" w:cs="宋体"/>
          <w:b/>
          <w:bCs/>
          <w:szCs w:val="21"/>
          <w:highlight w:val="none"/>
        </w:rPr>
        <w:t>法</w:t>
      </w:r>
      <w:r>
        <w:rPr>
          <w:rFonts w:hint="eastAsia" w:ascii="宋体" w:hAnsi="宋体" w:cs="宋体"/>
          <w:szCs w:val="21"/>
          <w:highlight w:val="none"/>
        </w:rPr>
        <w:t>。评标委员会对满足招标文件实质性要求的投标文件，按照本章规定的评分标准进行打分，并按总得分由高到低顺序推荐中标候选人应当不超过3名，并标明排序，但投标报价低于其成本的除外。如总得分相等，以投标报价低的优先，投标报价仍相等，由评标委员会主任委员或招标人随机抽取确定排名。</w:t>
      </w:r>
    </w:p>
    <w:p w14:paraId="4A1E33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.2</w:t>
      </w:r>
      <w:r>
        <w:rPr>
          <w:rFonts w:hint="eastAsia" w:ascii="宋体" w:hAnsi="宋体" w:eastAsia="宋体" w:cs="宋体"/>
          <w:szCs w:val="21"/>
          <w:highlight w:val="none"/>
          <w:lang w:val="en-US" w:eastAsia="zh-CN"/>
        </w:rPr>
        <w:t>根据评标委员会评审初步结论，项目单位（代理机构）对预中标候选人、法定代表人及其项目经理</w:t>
      </w:r>
      <w:r>
        <w:rPr>
          <w:rFonts w:hint="eastAsia" w:ascii="宋体" w:hAnsi="宋体" w:cs="宋体"/>
          <w:color w:val="000000"/>
          <w:szCs w:val="21"/>
          <w:highlight w:val="none"/>
        </w:rPr>
        <w:t>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70DC48A">
      <w:pPr>
        <w:keepNext w:val="0"/>
        <w:keepLines w:val="0"/>
        <w:pageBreakBefore w:val="0"/>
        <w:widowControl w:val="0"/>
        <w:kinsoku/>
        <w:wordWrap/>
        <w:overflowPunct/>
        <w:topLinePunct w:val="0"/>
        <w:autoSpaceDE/>
        <w:autoSpaceDN/>
        <w:bidi w:val="0"/>
        <w:spacing w:line="400" w:lineRule="exact"/>
        <w:textAlignment w:val="auto"/>
        <w:outlineLvl w:val="3"/>
        <w:rPr>
          <w:rFonts w:hint="eastAsia" w:ascii="宋体" w:hAnsi="宋体" w:eastAsia="宋体" w:cs="宋体"/>
          <w:b/>
          <w:bCs/>
          <w:szCs w:val="21"/>
          <w:highlight w:val="none"/>
          <w:lang w:val="en-US" w:eastAsia="zh-CN"/>
        </w:rPr>
      </w:pPr>
      <w:bookmarkStart w:id="94" w:name="_Toc95223405"/>
      <w:r>
        <w:rPr>
          <w:rFonts w:hint="eastAsia" w:ascii="宋体" w:hAnsi="宋体" w:cs="宋体"/>
          <w:b/>
          <w:bCs/>
          <w:szCs w:val="21"/>
          <w:highlight w:val="none"/>
          <w:lang w:val="en-US" w:eastAsia="zh-CN"/>
        </w:rPr>
        <w:t>　　</w:t>
      </w:r>
      <w:r>
        <w:rPr>
          <w:rFonts w:hint="eastAsia" w:ascii="宋体" w:hAnsi="宋体" w:eastAsia="宋体" w:cs="宋体"/>
          <w:b/>
          <w:bCs/>
          <w:szCs w:val="21"/>
          <w:highlight w:val="none"/>
          <w:lang w:val="en-US" w:eastAsia="zh-CN"/>
        </w:rPr>
        <w:t>2.评标委员会的职责</w:t>
      </w:r>
    </w:p>
    <w:p w14:paraId="31BC62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03543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73068E4B">
      <w:pPr>
        <w:keepNext w:val="0"/>
        <w:keepLines w:val="0"/>
        <w:pageBreakBefore w:val="0"/>
        <w:widowControl w:val="0"/>
        <w:kinsoku/>
        <w:wordWrap/>
        <w:overflowPunct/>
        <w:topLinePunct w:val="0"/>
        <w:autoSpaceDE/>
        <w:autoSpaceDN/>
        <w:bidi w:val="0"/>
        <w:spacing w:line="400" w:lineRule="exact"/>
        <w:jc w:val="left"/>
        <w:textAlignment w:val="auto"/>
        <w:outlineLvl w:val="3"/>
        <w:rPr>
          <w:rFonts w:hint="eastAsia" w:ascii="宋体"/>
          <w:b/>
          <w:color w:val="000000"/>
          <w:szCs w:val="21"/>
          <w:highlight w:val="none"/>
        </w:rPr>
      </w:pPr>
      <w:r>
        <w:rPr>
          <w:rFonts w:hint="eastAsia" w:ascii="宋体"/>
          <w:b/>
          <w:color w:val="000000"/>
          <w:szCs w:val="21"/>
          <w:highlight w:val="none"/>
          <w:lang w:val="en-US" w:eastAsia="zh-CN"/>
        </w:rPr>
        <w:t>　　3</w:t>
      </w:r>
      <w:r>
        <w:rPr>
          <w:rFonts w:hint="eastAsia" w:ascii="宋体"/>
          <w:b/>
          <w:color w:val="000000"/>
          <w:szCs w:val="21"/>
          <w:highlight w:val="none"/>
        </w:rPr>
        <w:t>.评标程序</w:t>
      </w:r>
    </w:p>
    <w:p w14:paraId="47A7FB74">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olor w:val="000000"/>
          <w:szCs w:val="21"/>
          <w:highlight w:val="none"/>
        </w:rPr>
      </w:pPr>
      <w:bookmarkStart w:id="95" w:name="_Toc95223402"/>
      <w:r>
        <w:rPr>
          <w:rFonts w:hint="eastAsia" w:ascii="宋体" w:hAnsi="宋体"/>
          <w:color w:val="000000"/>
          <w:szCs w:val="21"/>
          <w:highlight w:val="none"/>
        </w:rPr>
        <w:t>评标先做准备工作，再进行资格、技术标评审，然后进行商务标评审。</w:t>
      </w:r>
    </w:p>
    <w:p w14:paraId="67034C50">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4"/>
        <w:rPr>
          <w:rFonts w:hint="eastAsia"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.1评标准备工作</w:t>
      </w:r>
      <w:bookmarkEnd w:id="95"/>
    </w:p>
    <w:p w14:paraId="6CF87342">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评标委员会熟悉评标工作情况：</w:t>
      </w:r>
    </w:p>
    <w:p w14:paraId="4C6A8E2A">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（1）阅读由招标人或者其委</w:t>
      </w:r>
      <w:bookmarkStart w:id="96" w:name="_Toc15058916"/>
      <w:bookmarkStart w:id="97" w:name="_Toc60061499"/>
      <w:r>
        <w:rPr>
          <w:rFonts w:hint="eastAsia" w:ascii="宋体" w:hAnsi="宋体" w:cs="宋体"/>
          <w:color w:val="000000"/>
          <w:highlight w:val="none"/>
        </w:rPr>
        <w:t>托的代理机构编</w:t>
      </w:r>
      <w:bookmarkEnd w:id="96"/>
      <w:bookmarkEnd w:id="97"/>
      <w:r>
        <w:rPr>
          <w:rFonts w:hint="eastAsia" w:ascii="宋体" w:hAnsi="宋体" w:cs="宋体"/>
          <w:color w:val="000000"/>
          <w:highlight w:val="none"/>
        </w:rPr>
        <w:t>制的招标项目情况材料。</w:t>
      </w:r>
    </w:p>
    <w:p w14:paraId="15CCB3AC">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（2）阅读、研究招标文件和相关评标资料，获取评标所需要的重要信息和数据，至少应了解和熟悉以下内容：招标项目的范围和性质，招标文件规定的主要技术要求、标准和商务条款。</w:t>
      </w:r>
    </w:p>
    <w:p w14:paraId="0ABCF810">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（3）熟悉招标文件规定的评标标准和评标方法及在评标过程中需要考虑的相关因素。</w:t>
      </w:r>
    </w:p>
    <w:p w14:paraId="3A0EE21A">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2"/>
        <w:rPr>
          <w:rFonts w:hint="eastAsia" w:ascii="宋体" w:hAnsi="宋体" w:cs="宋体"/>
          <w:color w:val="000000"/>
          <w:highlight w:val="none"/>
        </w:rPr>
      </w:pPr>
      <w:r>
        <w:rPr>
          <w:rFonts w:hint="eastAsia" w:ascii="宋体" w:hAnsi="宋体" w:cs="宋体"/>
          <w:color w:val="000000"/>
          <w:highlight w:val="none"/>
        </w:rPr>
        <w:t>（4）核对评标工作用表。</w:t>
      </w:r>
    </w:p>
    <w:p w14:paraId="28BA8867">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3"/>
        <w:rPr>
          <w:rFonts w:hint="eastAsia" w:ascii="宋体" w:hAnsi="宋体" w:cs="宋体"/>
          <w:color w:val="000000"/>
          <w:highlight w:val="none"/>
        </w:rPr>
      </w:pPr>
      <w:bookmarkStart w:id="98" w:name="_Toc15058917"/>
      <w:bookmarkStart w:id="99" w:name="_Toc60061500"/>
      <w:r>
        <w:rPr>
          <w:rFonts w:hint="eastAsia" w:ascii="宋体" w:hAnsi="宋体" w:cs="宋体"/>
          <w:color w:val="000000"/>
          <w:highlight w:val="none"/>
          <w:lang w:val="en-US" w:eastAsia="zh-CN"/>
        </w:rPr>
        <w:t>3</w:t>
      </w:r>
      <w:r>
        <w:rPr>
          <w:rFonts w:hint="eastAsia" w:ascii="宋体" w:hAnsi="宋体" w:cs="宋体"/>
          <w:color w:val="000000"/>
          <w:highlight w:val="none"/>
        </w:rPr>
        <w:t>.2推荐中标候</w:t>
      </w:r>
      <w:bookmarkEnd w:id="98"/>
      <w:bookmarkEnd w:id="99"/>
      <w:r>
        <w:rPr>
          <w:rFonts w:hint="eastAsia" w:ascii="宋体" w:hAnsi="宋体" w:cs="宋体"/>
          <w:color w:val="000000"/>
          <w:highlight w:val="none"/>
        </w:rPr>
        <w:t>选人</w:t>
      </w:r>
    </w:p>
    <w:p w14:paraId="5E595A71">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资信评审、技术标评审、商务标评审后，推荐中标候选人，并标明排序。</w:t>
      </w:r>
    </w:p>
    <w:bookmarkEnd w:id="94"/>
    <w:p w14:paraId="144FA5D7">
      <w:pPr>
        <w:keepNext w:val="0"/>
        <w:keepLines w:val="0"/>
        <w:pageBreakBefore w:val="0"/>
        <w:widowControl w:val="0"/>
        <w:kinsoku/>
        <w:wordWrap/>
        <w:overflowPunct/>
        <w:topLinePunct w:val="0"/>
        <w:autoSpaceDE/>
        <w:autoSpaceDN/>
        <w:bidi w:val="0"/>
        <w:spacing w:line="400" w:lineRule="exact"/>
        <w:ind w:firstLine="316" w:firstLineChars="150"/>
        <w:jc w:val="left"/>
        <w:textAlignment w:val="auto"/>
        <w:outlineLvl w:val="4"/>
        <w:rPr>
          <w:rFonts w:hint="eastAsia" w:ascii="宋体"/>
          <w:b/>
          <w:color w:val="000000"/>
          <w:szCs w:val="21"/>
          <w:highlight w:val="none"/>
        </w:rPr>
      </w:pPr>
      <w:bookmarkStart w:id="100" w:name="_Hlk61815781"/>
      <w:r>
        <w:rPr>
          <w:rFonts w:hint="eastAsia" w:ascii="宋体"/>
          <w:b/>
          <w:color w:val="000000"/>
          <w:szCs w:val="21"/>
          <w:highlight w:val="none"/>
          <w:lang w:val="en-US" w:eastAsia="zh-CN"/>
        </w:rPr>
        <w:t>4</w:t>
      </w:r>
      <w:r>
        <w:rPr>
          <w:rFonts w:hint="eastAsia" w:ascii="宋体"/>
          <w:b/>
          <w:color w:val="000000"/>
          <w:szCs w:val="21"/>
          <w:highlight w:val="none"/>
        </w:rPr>
        <w:t>.评审内容</w:t>
      </w:r>
    </w:p>
    <w:bookmarkEnd w:id="100"/>
    <w:p w14:paraId="2DB4C847">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3"/>
        <w:rPr>
          <w:rFonts w:hint="eastAsia" w:ascii="宋体" w:hAnsi="宋体" w:eastAsia="宋体" w:cs="宋体"/>
          <w:color w:val="000000"/>
          <w:highlight w:val="none"/>
        </w:rPr>
      </w:pPr>
      <w:bookmarkStart w:id="101" w:name="_Toc95223437"/>
      <w:bookmarkStart w:id="102" w:name="_Toc95223439"/>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商务标评审</w:t>
      </w:r>
      <w:bookmarkEnd w:id="101"/>
    </w:p>
    <w:p w14:paraId="41C68420">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只有通过技术标评</w:t>
      </w:r>
      <w:r>
        <w:rPr>
          <w:rFonts w:hint="eastAsia" w:ascii="宋体" w:hAnsi="宋体" w:eastAsia="宋体" w:cs="宋体"/>
          <w:color w:val="000000"/>
          <w:highlight w:val="none"/>
          <w:lang w:val="en-US" w:eastAsia="zh-CN"/>
        </w:rPr>
        <w:t>分</w:t>
      </w:r>
      <w:r>
        <w:rPr>
          <w:rFonts w:hint="eastAsia" w:ascii="宋体" w:hAnsi="宋体" w:eastAsia="宋体" w:cs="宋体"/>
          <w:color w:val="000000"/>
          <w:highlight w:val="none"/>
        </w:rPr>
        <w:t>的投标才能够进入本阶段评审。</w:t>
      </w:r>
    </w:p>
    <w:p w14:paraId="29C4E57D">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.1形式性评审标准：见商务标评审表。</w:t>
      </w:r>
    </w:p>
    <w:p w14:paraId="4C85F25C">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.2响应性评审标准：见商务标评审表。</w:t>
      </w:r>
    </w:p>
    <w:p w14:paraId="0BEBA138">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评标委员会依据上述标准对投标文件进行初步评审。有一项不符合评审标准的，作无效投标处理。</w:t>
      </w:r>
    </w:p>
    <w:p w14:paraId="2BBCE470">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4"/>
        <w:rPr>
          <w:rFonts w:hint="eastAsia"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.3详细评审标准：见商务标评审表。</w:t>
      </w:r>
    </w:p>
    <w:p w14:paraId="2E1FD9C8">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评标委员会审查投标文件，看其是否有计算或表达上的错误，投标报价有错误的，评标委员会按以下原则对投标报价进行修正。</w:t>
      </w:r>
    </w:p>
    <w:p w14:paraId="61B1B86F">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（1）投标文件中的大写金额与小写金额不一致的，以大写金额为准。</w:t>
      </w:r>
    </w:p>
    <w:p w14:paraId="79A2D603">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（2）总价金额与依据单价计算出的结果不一致的，以单价金额为准修正总价，但单价金额小数点有明显错误的除外。</w:t>
      </w:r>
    </w:p>
    <w:p w14:paraId="3A179BB1">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2560A778">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b/>
          <w:color w:val="000000"/>
          <w:szCs w:val="21"/>
          <w:highlight w:val="none"/>
        </w:rPr>
      </w:pPr>
      <w:r>
        <w:rPr>
          <w:rFonts w:hint="eastAsia" w:ascii="宋体"/>
          <w:b/>
          <w:color w:val="000000"/>
          <w:szCs w:val="21"/>
          <w:highlight w:val="none"/>
          <w:lang w:val="en-US" w:eastAsia="zh-CN"/>
        </w:rPr>
        <w:t>　　5</w:t>
      </w:r>
      <w:r>
        <w:rPr>
          <w:rFonts w:hint="eastAsia" w:ascii="宋体"/>
          <w:b/>
          <w:color w:val="000000"/>
          <w:szCs w:val="21"/>
          <w:highlight w:val="none"/>
        </w:rPr>
        <w:t>.无效投标条款</w:t>
      </w:r>
    </w:p>
    <w:p w14:paraId="48611024">
      <w:pPr>
        <w:keepNext w:val="0"/>
        <w:keepLines w:val="0"/>
        <w:pageBreakBefore w:val="0"/>
        <w:widowControl w:val="0"/>
        <w:kinsoku/>
        <w:wordWrap/>
        <w:overflowPunct/>
        <w:topLinePunct w:val="0"/>
        <w:autoSpaceDE/>
        <w:autoSpaceDN/>
        <w:bidi w:val="0"/>
        <w:spacing w:line="400" w:lineRule="exact"/>
        <w:jc w:val="left"/>
        <w:textAlignment w:val="auto"/>
        <w:outlineLvl w:val="3"/>
        <w:rPr>
          <w:rFonts w:hint="eastAsia" w:ascii="宋体" w:hAnsi="宋体" w:eastAsia="宋体" w:cs="宋体"/>
          <w:color w:val="000000"/>
          <w:highlight w:val="none"/>
        </w:rPr>
      </w:pPr>
      <w:r>
        <w:rPr>
          <w:rFonts w:hint="eastAsia" w:ascii="宋体" w:hAnsi="宋体" w:cs="宋体"/>
          <w:color w:val="000000"/>
          <w:highlight w:val="none"/>
          <w:lang w:val="en-US" w:eastAsia="zh-CN"/>
        </w:rPr>
        <w:t>　　</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.1投标人存在下列情形的招标人将拒收投标文件:</w:t>
      </w:r>
    </w:p>
    <w:p w14:paraId="11F160EC">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cs="宋体"/>
          <w:color w:val="000000"/>
          <w:highlight w:val="none"/>
        </w:rPr>
      </w:pPr>
      <w:r>
        <w:rPr>
          <w:rFonts w:hint="eastAsia" w:ascii="宋体" w:hAnsi="宋体" w:cs="宋体"/>
          <w:color w:val="000000"/>
          <w:highlight w:val="none"/>
          <w:lang w:eastAsia="zh-CN"/>
        </w:rPr>
        <w:t>　　</w:t>
      </w:r>
      <w:r>
        <w:rPr>
          <w:rFonts w:hint="eastAsia" w:ascii="宋体" w:hAnsi="宋体" w:cs="宋体"/>
          <w:color w:val="000000"/>
          <w:highlight w:val="none"/>
        </w:rPr>
        <w:t>(1)未在开标截止时间前通过网上招标投标系统递交有效电子投标文件的，开标系统不予接收，投标将被拒绝。</w:t>
      </w:r>
    </w:p>
    <w:p w14:paraId="52CB6BA9">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2</w:t>
      </w:r>
      <w:r>
        <w:rPr>
          <w:rFonts w:hint="eastAsia" w:ascii="宋体" w:hAnsi="宋体" w:cs="宋体"/>
          <w:color w:val="000000"/>
          <w:highlight w:val="none"/>
        </w:rPr>
        <w:t>)</w:t>
      </w:r>
      <w:r>
        <w:rPr>
          <w:rFonts w:hint="eastAsia" w:ascii="宋体" w:hAnsi="宋体" w:eastAsia="宋体" w:cs="宋体"/>
          <w:color w:val="000000"/>
          <w:highlight w:val="none"/>
        </w:rPr>
        <w:t>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A501A14">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3"/>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.2投标人有下列情形的，经评审后其投标作无效投标处理：</w:t>
      </w:r>
    </w:p>
    <w:p w14:paraId="04DEA8A0">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4"/>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.2.1商务标评审</w:t>
      </w:r>
    </w:p>
    <w:p w14:paraId="3A4A2D94">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(1)评标委员会依据《商务标评审表》进行形式性评审和响应性评审。有一项不符合评审标准的，做无效投标处理；</w:t>
      </w:r>
    </w:p>
    <w:p w14:paraId="31E2836E">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(2)商务标详细评审标准中有任何一项不能通过评审的，作无效投标处理。</w:t>
      </w:r>
    </w:p>
    <w:p w14:paraId="59705663">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3"/>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.3其他无效投标情况：</w:t>
      </w:r>
    </w:p>
    <w:p w14:paraId="3AB9E9B8">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6110BD42">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（2）调整或修正投标文件的投标报价，调整或修正的价格经投标人书面确认后具有约束力。投标人不接受修正价格的，其投标将被拒绝。</w:t>
      </w:r>
    </w:p>
    <w:p w14:paraId="3656DB58">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2"/>
        <w:rPr>
          <w:rFonts w:hint="eastAsia" w:ascii="宋体" w:hAnsi="宋体" w:eastAsia="宋体" w:cs="宋体"/>
          <w:color w:val="000000"/>
          <w:highlight w:val="none"/>
        </w:rPr>
      </w:pPr>
      <w:r>
        <w:rPr>
          <w:rFonts w:hint="eastAsia" w:ascii="宋体" w:hAnsi="宋体" w:eastAsia="宋体" w:cs="宋体"/>
          <w:color w:val="000000"/>
          <w:highlight w:val="none"/>
        </w:rPr>
        <w:t>（3）第二章“投标人须知”第</w:t>
      </w:r>
      <w:r>
        <w:rPr>
          <w:rFonts w:hint="eastAsia" w:ascii="宋体" w:hAnsi="宋体" w:eastAsia="宋体" w:cs="宋体"/>
          <w:color w:val="000000"/>
          <w:highlight w:val="none"/>
          <w:lang w:val="en-US" w:eastAsia="zh-CN"/>
        </w:rPr>
        <w:t>13.4</w:t>
      </w:r>
      <w:r>
        <w:rPr>
          <w:rFonts w:hint="eastAsia" w:ascii="宋体" w:hAnsi="宋体" w:eastAsia="宋体" w:cs="宋体"/>
          <w:color w:val="000000"/>
          <w:highlight w:val="none"/>
        </w:rPr>
        <w:t>项规定</w:t>
      </w:r>
      <w:r>
        <w:rPr>
          <w:rFonts w:hint="eastAsia" w:ascii="宋体" w:hAnsi="宋体" w:eastAsia="宋体" w:cs="宋体"/>
          <w:color w:val="000000"/>
          <w:highlight w:val="none"/>
          <w:lang w:val="en-US" w:eastAsia="zh-CN"/>
        </w:rPr>
        <w:t>的</w:t>
      </w:r>
      <w:r>
        <w:rPr>
          <w:rFonts w:hint="eastAsia" w:ascii="宋体" w:hAnsi="宋体" w:eastAsia="宋体" w:cs="宋体"/>
          <w:color w:val="000000"/>
          <w:highlight w:val="none"/>
        </w:rPr>
        <w:t>情形。</w:t>
      </w:r>
    </w:p>
    <w:p w14:paraId="02ACDCC1">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）投标人有串通投标、视为串通投标、弄虚作假、行贿等违法行为。</w:t>
      </w:r>
    </w:p>
    <w:p w14:paraId="3D663762">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2"/>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）投标文件没有对招标文件的实质性要求和条件作出响应。</w:t>
      </w:r>
    </w:p>
    <w:p w14:paraId="0C8E0A21">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6</w:t>
      </w:r>
      <w:r>
        <w:rPr>
          <w:rFonts w:hint="eastAsia" w:ascii="宋体" w:hAnsi="宋体" w:cs="宋体"/>
          <w:color w:val="000000"/>
          <w:highlight w:val="none"/>
        </w:rPr>
        <w:t>）未按规定的格式填写导致实质性内容不全以及实质上不响应，或者关键字迹模糊、无法辨认；经公共资源交易监督部门核准的。</w:t>
      </w:r>
    </w:p>
    <w:p w14:paraId="1E4F2E01">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7</w:t>
      </w:r>
      <w:r>
        <w:rPr>
          <w:rFonts w:hint="eastAsia" w:ascii="宋体" w:hAnsi="宋体" w:cs="宋体"/>
          <w:color w:val="000000"/>
          <w:highlight w:val="none"/>
        </w:rPr>
        <w:t>）同一投标人提交两个以上不同的投标文件或者投标报价，但招标文件规定提交备选投标的除外。</w:t>
      </w:r>
    </w:p>
    <w:p w14:paraId="42084875">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outlineLvl w:val="2"/>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8</w:t>
      </w:r>
      <w:r>
        <w:rPr>
          <w:rFonts w:hint="eastAsia" w:ascii="宋体" w:hAnsi="宋体" w:cs="宋体"/>
          <w:color w:val="000000"/>
          <w:highlight w:val="none"/>
        </w:rPr>
        <w:t>）投标文件中存在招标人不能接受的其他实质性条件。</w:t>
      </w:r>
    </w:p>
    <w:p w14:paraId="5A41DDEA">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9</w:t>
      </w:r>
      <w:r>
        <w:rPr>
          <w:rFonts w:hint="eastAsia" w:ascii="宋体" w:hAnsi="宋体" w:cs="宋体"/>
          <w:color w:val="000000"/>
          <w:highlight w:val="none"/>
        </w:rPr>
        <w:t>）投标文件中填报的拟任项目经理与资格审查通过的项目经理前后不一致的。</w:t>
      </w:r>
    </w:p>
    <w:p w14:paraId="3209B016">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10</w:t>
      </w:r>
      <w:r>
        <w:rPr>
          <w:rFonts w:hint="eastAsia" w:ascii="宋体" w:hAnsi="宋体" w:cs="宋体"/>
          <w:color w:val="000000"/>
          <w:highlight w:val="none"/>
        </w:rPr>
        <w:t>）投标人拒不按照要求对投标文件进行澄清、说明、补正的，或评标委员会根据招标文件的规定对招标文件的计算错误进行修正后，投标人不接受修正的投标报价的。</w:t>
      </w:r>
    </w:p>
    <w:p w14:paraId="4939B71F">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1</w:t>
      </w:r>
      <w:r>
        <w:rPr>
          <w:rFonts w:hint="eastAsia" w:ascii="宋体" w:hAnsi="宋体" w:cs="宋体"/>
          <w:color w:val="000000"/>
          <w:highlight w:val="none"/>
        </w:rPr>
        <w:t>）投标人投标MAC地址一致。</w:t>
      </w:r>
    </w:p>
    <w:p w14:paraId="0C18A30A">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2</w:t>
      </w:r>
      <w:r>
        <w:rPr>
          <w:rFonts w:hint="eastAsia" w:ascii="宋体" w:hAnsi="宋体" w:cs="宋体"/>
          <w:color w:val="000000"/>
          <w:highlight w:val="none"/>
        </w:rPr>
        <w:t>）投标人单方面出现其他投标人材料。</w:t>
      </w:r>
    </w:p>
    <w:p w14:paraId="1433924F">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3</w:t>
      </w:r>
      <w:r>
        <w:rPr>
          <w:rFonts w:hint="eastAsia" w:ascii="宋体" w:hAnsi="宋体" w:cs="宋体"/>
          <w:color w:val="000000"/>
          <w:highlight w:val="none"/>
        </w:rPr>
        <w:t>）评标时查询投标文件制作机器码、文件创建标识码及造价软件加密锁号。若存在投标文件制作机器码或创建标识码或造价软件加密锁号信息与其他投标人雷同的，投标无效。</w:t>
      </w:r>
    </w:p>
    <w:p w14:paraId="385C77A3">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4</w:t>
      </w:r>
      <w:r>
        <w:rPr>
          <w:rFonts w:hint="eastAsia" w:ascii="宋体" w:hAnsi="宋体" w:cs="宋体"/>
          <w:color w:val="000000"/>
          <w:highlight w:val="none"/>
        </w:rPr>
        <w:t>）投标人申请开具电子保函MAC地址一致。</w:t>
      </w:r>
    </w:p>
    <w:p w14:paraId="7369AD83">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5</w:t>
      </w:r>
      <w:r>
        <w:rPr>
          <w:rFonts w:hint="eastAsia" w:ascii="宋体" w:hAnsi="宋体" w:cs="宋体"/>
          <w:color w:val="000000"/>
          <w:highlight w:val="none"/>
        </w:rPr>
        <w:t>）</w:t>
      </w:r>
      <w:r>
        <w:rPr>
          <w:rFonts w:hint="eastAsia" w:ascii="宋体" w:hAnsi="宋体" w:cs="宋体"/>
          <w:color w:val="000000"/>
          <w:szCs w:val="21"/>
          <w:highlight w:val="none"/>
        </w:rPr>
        <w:t>投标人联系人或联系电话相同的。</w:t>
      </w:r>
    </w:p>
    <w:p w14:paraId="5F862C1D">
      <w:pPr>
        <w:keepNext w:val="0"/>
        <w:keepLines w:val="0"/>
        <w:pageBreakBefore w:val="0"/>
        <w:widowControl w:val="0"/>
        <w:kinsoku/>
        <w:wordWrap/>
        <w:overflowPunct/>
        <w:topLinePunct w:val="0"/>
        <w:autoSpaceDE/>
        <w:autoSpaceDN/>
        <w:bidi w:val="0"/>
        <w:spacing w:line="400" w:lineRule="exact"/>
        <w:ind w:firstLine="315" w:firstLineChars="150"/>
        <w:jc w:val="left"/>
        <w:textAlignment w:val="auto"/>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6</w:t>
      </w:r>
      <w:r>
        <w:rPr>
          <w:rFonts w:hint="eastAsia" w:ascii="宋体" w:hAnsi="宋体" w:cs="宋体"/>
          <w:color w:val="000000"/>
          <w:highlight w:val="none"/>
        </w:rPr>
        <w:t>）法律、法规规定的其他情形。</w:t>
      </w:r>
    </w:p>
    <w:p w14:paraId="353EF8C0">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outlineLvl w:val="3"/>
        <w:rPr>
          <w:rFonts w:hint="eastAsia" w:ascii="宋体"/>
          <w:b/>
          <w:color w:val="000000"/>
          <w:szCs w:val="21"/>
          <w:highlight w:val="none"/>
        </w:rPr>
      </w:pPr>
      <w:r>
        <w:rPr>
          <w:rFonts w:hint="eastAsia" w:ascii="宋体"/>
          <w:b/>
          <w:color w:val="000000"/>
          <w:szCs w:val="21"/>
          <w:highlight w:val="none"/>
          <w:lang w:val="en-US" w:eastAsia="zh-CN"/>
        </w:rPr>
        <w:t>6</w:t>
      </w:r>
      <w:r>
        <w:rPr>
          <w:rFonts w:hint="eastAsia" w:ascii="宋体"/>
          <w:b/>
          <w:color w:val="000000"/>
          <w:szCs w:val="21"/>
          <w:highlight w:val="none"/>
        </w:rPr>
        <w:t>.投标文件的澄清和补正</w:t>
      </w:r>
      <w:bookmarkEnd w:id="102"/>
    </w:p>
    <w:p w14:paraId="5B17C81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highlight w:val="none"/>
        </w:rPr>
      </w:pPr>
      <w:bookmarkStart w:id="103" w:name="_Toc95223410"/>
      <w:bookmarkStart w:id="104" w:name="_Toc95223441"/>
      <w:r>
        <w:rPr>
          <w:rFonts w:hint="eastAsia" w:ascii="宋体" w:hAnsi="宋体" w:cs="宋体"/>
          <w:color w:val="000000"/>
          <w:szCs w:val="21"/>
          <w:highlight w:val="none"/>
        </w:rPr>
        <w:t>6.1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6F6125B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6.2澄清、说明和补正不得改变投标文件的实质性内容（算术性错误修正的除外）。投标人的书面澄清、说明和补正属于投标文件的组成部分。</w:t>
      </w:r>
    </w:p>
    <w:p w14:paraId="6DE563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6.3评标委员会对投标人提交的澄清、说明和补正有疑问的，可以要求投标人进一步澄清、说明或补正、直至满足评标委员会的要求。</w:t>
      </w:r>
    </w:p>
    <w:p w14:paraId="7A39502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按照投标文件规定进行澄清、补正后的投标报价经投标人的法定代表人或其委托代理人确认后即为该投标人的最终投标报价。投标人一旦中标，此报价即为中标价。</w:t>
      </w:r>
    </w:p>
    <w:p w14:paraId="22963629">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outlineLvl w:val="3"/>
        <w:rPr>
          <w:rFonts w:hint="eastAsia" w:ascii="宋体" w:hAnsi="Times New Roman" w:eastAsia="宋体" w:cs="Times New Roman"/>
          <w:b/>
          <w:color w:val="000000"/>
          <w:szCs w:val="21"/>
          <w:highlight w:val="none"/>
        </w:rPr>
      </w:pPr>
      <w:r>
        <w:rPr>
          <w:rFonts w:hint="eastAsia" w:ascii="宋体" w:hAnsi="Times New Roman" w:eastAsia="宋体" w:cs="Times New Roman"/>
          <w:b/>
          <w:color w:val="000000"/>
          <w:szCs w:val="21"/>
          <w:highlight w:val="none"/>
          <w:lang w:val="en-US" w:eastAsia="zh-CN"/>
        </w:rPr>
        <w:t>7.</w:t>
      </w:r>
      <w:r>
        <w:rPr>
          <w:rFonts w:hint="eastAsia" w:ascii="宋体" w:hAnsi="Times New Roman" w:eastAsia="宋体" w:cs="Times New Roman"/>
          <w:b/>
          <w:color w:val="000000"/>
          <w:szCs w:val="21"/>
          <w:highlight w:val="none"/>
        </w:rPr>
        <w:t>评委会修正错误的原则：</w:t>
      </w:r>
    </w:p>
    <w:p w14:paraId="1071EED5">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779A6873">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.2如果单价与数量的乘积和总价不一致，以单价为准，修正总价及开标一览表；当单价小数点有明显的错位时，评委会将以总价为准，并修正其单价。</w:t>
      </w:r>
    </w:p>
    <w:p w14:paraId="07D1C0F7">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评委会将按上述修正错误的方法调整投标文件中的投标报价，调整后的价格应对投标人具有约束力。无论投标人是接受或是拒绝调整后的价格，都应当由投标人在系统中确认。投标人拒绝对投标文件出现的错漏按上述原则进行修正、澄清、说明，评标委员会应当否决其投标。</w:t>
      </w:r>
    </w:p>
    <w:p w14:paraId="6CCEA04B">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outlineLvl w:val="3"/>
        <w:rPr>
          <w:rFonts w:hint="eastAsia" w:ascii="宋体"/>
          <w:b/>
          <w:color w:val="000000"/>
          <w:szCs w:val="21"/>
          <w:highlight w:val="none"/>
        </w:rPr>
      </w:pPr>
      <w:r>
        <w:rPr>
          <w:rFonts w:hint="eastAsia" w:ascii="宋体"/>
          <w:b/>
          <w:color w:val="000000"/>
          <w:szCs w:val="21"/>
          <w:highlight w:val="none"/>
          <w:lang w:val="en-US" w:eastAsia="zh-CN"/>
        </w:rPr>
        <w:t>8</w:t>
      </w:r>
      <w:r>
        <w:rPr>
          <w:rFonts w:hint="eastAsia" w:ascii="宋体"/>
          <w:b/>
          <w:color w:val="000000"/>
          <w:szCs w:val="21"/>
          <w:highlight w:val="none"/>
        </w:rPr>
        <w:t>.评分标准</w:t>
      </w:r>
      <w:bookmarkEnd w:id="103"/>
    </w:p>
    <w:p w14:paraId="2BCA20DF">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.1资信标评分标准：见资信标评审表。</w:t>
      </w:r>
    </w:p>
    <w:p w14:paraId="42376F58">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.2技术标评分标准：见技术标评审表。</w:t>
      </w:r>
    </w:p>
    <w:p w14:paraId="4BDD2743">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.3商务标评分标准：见商务标评审表。</w:t>
      </w:r>
    </w:p>
    <w:p w14:paraId="47AAFF18">
      <w:pPr>
        <w:keepNext w:val="0"/>
        <w:keepLines w:val="0"/>
        <w:pageBreakBefore w:val="0"/>
        <w:widowControl w:val="0"/>
        <w:kinsoku/>
        <w:wordWrap/>
        <w:overflowPunct/>
        <w:topLinePunct w:val="0"/>
        <w:autoSpaceDE/>
        <w:autoSpaceDN/>
        <w:bidi w:val="0"/>
        <w:snapToGrid w:val="0"/>
        <w:spacing w:line="400" w:lineRule="exact"/>
        <w:ind w:firstLine="420"/>
        <w:textAlignment w:val="auto"/>
        <w:outlineLvl w:val="3"/>
        <w:rPr>
          <w:rFonts w:hint="eastAsia" w:ascii="宋体" w:hAnsi="宋体" w:cs="宋体"/>
          <w:color w:val="000000"/>
          <w:szCs w:val="21"/>
          <w:highlight w:val="none"/>
        </w:rPr>
      </w:pPr>
      <w:r>
        <w:rPr>
          <w:rFonts w:hint="eastAsia" w:ascii="宋体"/>
          <w:b/>
          <w:color w:val="000000"/>
          <w:szCs w:val="21"/>
          <w:highlight w:val="none"/>
          <w:lang w:val="en-US" w:eastAsia="zh-CN"/>
        </w:rPr>
        <w:t>9</w:t>
      </w:r>
      <w:r>
        <w:rPr>
          <w:rFonts w:hint="eastAsia" w:ascii="宋体"/>
          <w:b/>
          <w:color w:val="000000"/>
          <w:szCs w:val="21"/>
          <w:highlight w:val="none"/>
        </w:rPr>
        <w:t>.评审结果</w:t>
      </w:r>
      <w:bookmarkEnd w:id="104"/>
    </w:p>
    <w:p w14:paraId="18DAE077">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.1除第二章“投标人须知”及其前附表授权直接确定中标人外，评标委员会按照总得分由高到低顺序推荐中标候选人。</w:t>
      </w:r>
    </w:p>
    <w:p w14:paraId="14CE2612">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.2评标委员会完成评标后，应当向招标人提交书面评标报告。评标报告应当如实记载以下内容：</w:t>
      </w:r>
    </w:p>
    <w:p w14:paraId="7B81237A">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（1）基本情况和数据表。</w:t>
      </w:r>
    </w:p>
    <w:p w14:paraId="2DCB9050">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（2）评标委员会成员名单。</w:t>
      </w:r>
    </w:p>
    <w:p w14:paraId="04543F3F">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（3）开标记录。</w:t>
      </w:r>
    </w:p>
    <w:p w14:paraId="63AB3403">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（4）符合要求的投标人一览表。</w:t>
      </w:r>
    </w:p>
    <w:p w14:paraId="1A1A82CF">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（5）否决投标情况说明。</w:t>
      </w:r>
    </w:p>
    <w:p w14:paraId="72423F94">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（6）评标标准、评标方法或者评标因素。</w:t>
      </w:r>
    </w:p>
    <w:p w14:paraId="1266BA11">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（7）评标情况一览表。</w:t>
      </w:r>
    </w:p>
    <w:p w14:paraId="49146F6E">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（8）经评审的投标人排序。</w:t>
      </w:r>
    </w:p>
    <w:p w14:paraId="45A634F7">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（9）推荐的中标候选人名单与签订合同前要处理的事宜。</w:t>
      </w:r>
    </w:p>
    <w:p w14:paraId="5E40679F">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000000"/>
          <w:szCs w:val="21"/>
          <w:highlight w:val="none"/>
        </w:rPr>
      </w:pPr>
      <w:r>
        <w:rPr>
          <w:rFonts w:hint="eastAsia" w:ascii="宋体" w:hAnsi="宋体" w:cs="宋体"/>
          <w:color w:val="000000"/>
          <w:szCs w:val="21"/>
          <w:highlight w:val="none"/>
        </w:rPr>
        <w:t>（10）澄清、说明、补正事项纪要。</w:t>
      </w:r>
    </w:p>
    <w:p w14:paraId="1286D251">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outlineLvl w:val="3"/>
        <w:rPr>
          <w:rFonts w:hint="eastAsia" w:ascii="宋体"/>
          <w:b/>
          <w:color w:val="000000"/>
          <w:szCs w:val="21"/>
          <w:highlight w:val="none"/>
        </w:rPr>
      </w:pPr>
      <w:bookmarkStart w:id="105" w:name="_Toc95223442"/>
      <w:r>
        <w:rPr>
          <w:rFonts w:hint="eastAsia" w:ascii="宋体"/>
          <w:b/>
          <w:color w:val="000000"/>
          <w:szCs w:val="21"/>
          <w:highlight w:val="none"/>
          <w:lang w:val="en-US" w:eastAsia="zh-CN"/>
        </w:rPr>
        <w:t>10</w:t>
      </w:r>
      <w:r>
        <w:rPr>
          <w:rFonts w:hint="eastAsia" w:ascii="宋体"/>
          <w:b/>
          <w:color w:val="000000"/>
          <w:szCs w:val="21"/>
          <w:highlight w:val="none"/>
        </w:rPr>
        <w:t>.其他</w:t>
      </w:r>
      <w:bookmarkEnd w:id="105"/>
    </w:p>
    <w:p w14:paraId="2C0E4D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b/>
          <w:sz w:val="32"/>
          <w:szCs w:val="32"/>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rPr>
        <w:t>.1投标人提供的与投标文件有关的各类证书、证明、文件、资料等的真实性、合法性由投标人负全责。</w:t>
      </w:r>
      <w:r>
        <w:rPr>
          <w:rFonts w:hint="eastAsia" w:ascii="宋体"/>
          <w:b/>
          <w:sz w:val="32"/>
          <w:szCs w:val="32"/>
          <w:highlight w:val="none"/>
        </w:rPr>
        <w:t xml:space="preserve"> </w:t>
      </w:r>
    </w:p>
    <w:p w14:paraId="61B08675">
      <w:pPr>
        <w:rPr>
          <w:rFonts w:hint="eastAsia" w:ascii="宋体"/>
          <w:b/>
          <w:color w:val="auto"/>
          <w:sz w:val="32"/>
          <w:szCs w:val="32"/>
          <w:highlight w:val="none"/>
          <w:lang w:val="en-US" w:eastAsia="zh-CN"/>
        </w:rPr>
      </w:pPr>
      <w:r>
        <w:rPr>
          <w:rFonts w:hint="eastAsia" w:ascii="宋体"/>
          <w:b/>
          <w:color w:val="auto"/>
          <w:sz w:val="32"/>
          <w:szCs w:val="32"/>
          <w:highlight w:val="none"/>
          <w:lang w:val="en-US" w:eastAsia="zh-CN"/>
        </w:rPr>
        <w:br w:type="page"/>
      </w:r>
    </w:p>
    <w:bookmarkEnd w:id="91"/>
    <w:p w14:paraId="6FFA10D3">
      <w:pPr>
        <w:keepNext w:val="0"/>
        <w:keepLines w:val="0"/>
        <w:pageBreakBefore w:val="0"/>
        <w:widowControl w:val="0"/>
        <w:numPr>
          <w:ilvl w:val="0"/>
          <w:numId w:val="9"/>
        </w:numPr>
        <w:kinsoku/>
        <w:wordWrap/>
        <w:overflowPunct/>
        <w:topLinePunct w:val="0"/>
        <w:autoSpaceDE/>
        <w:autoSpaceDN/>
        <w:bidi w:val="0"/>
        <w:adjustRightInd/>
        <w:snapToGrid/>
        <w:spacing w:before="95" w:beforeLines="30" w:after="95" w:afterLines="30" w:line="360" w:lineRule="exact"/>
        <w:ind w:right="0"/>
        <w:jc w:val="center"/>
        <w:textAlignment w:val="auto"/>
        <w:outlineLvl w:val="0"/>
        <w:rPr>
          <w:rFonts w:hint="eastAsia" w:ascii="宋体"/>
          <w:b/>
          <w:sz w:val="32"/>
          <w:szCs w:val="32"/>
          <w:highlight w:val="none"/>
          <w:lang w:eastAsia="zh-CN"/>
        </w:rPr>
      </w:pPr>
      <w:r>
        <w:rPr>
          <w:rFonts w:hint="eastAsia" w:ascii="宋体"/>
          <w:b/>
          <w:sz w:val="32"/>
          <w:szCs w:val="32"/>
          <w:highlight w:val="none"/>
          <w:lang w:eastAsia="zh-CN"/>
        </w:rPr>
        <w:t>采购需求</w:t>
      </w:r>
      <w:r>
        <w:rPr>
          <w:rFonts w:hint="eastAsia" w:ascii="宋体"/>
          <w:b/>
          <w:sz w:val="32"/>
          <w:szCs w:val="32"/>
          <w:highlight w:val="none"/>
          <w:lang w:val="en-US" w:eastAsia="zh-CN"/>
        </w:rPr>
        <w:t>及服务要求</w:t>
      </w:r>
    </w:p>
    <w:p w14:paraId="0A7F167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w:t>
      </w:r>
      <w:r>
        <w:rPr>
          <w:rFonts w:hint="eastAsia" w:ascii="宋体" w:hAnsi="宋体" w:eastAsia="宋体" w:cs="宋体"/>
          <w:b/>
          <w:bCs/>
          <w:color w:val="auto"/>
          <w:sz w:val="21"/>
          <w:szCs w:val="21"/>
          <w:highlight w:val="none"/>
          <w:lang w:val="en-US" w:eastAsia="zh-CN"/>
        </w:rPr>
        <w:t>一、项目概况</w:t>
      </w:r>
    </w:p>
    <w:p w14:paraId="324D3803">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后勤服务中心位于上海北路719号，隶属滁州经开区同创公司自有产权的国有资产，用于保障符合相关条件的园区企业职工入驻，属于经开区政府投资公共租赁住房项目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日常委托滁州经开区同业公司运营管理</w:t>
      </w:r>
      <w:r>
        <w:rPr>
          <w:rFonts w:hint="eastAsia" w:ascii="宋体" w:hAnsi="宋体" w:eastAsia="宋体" w:cs="宋体"/>
          <w:b w:val="0"/>
          <w:bCs w:val="0"/>
          <w:color w:val="auto"/>
          <w:sz w:val="21"/>
          <w:szCs w:val="21"/>
          <w:highlight w:val="none"/>
        </w:rPr>
        <w:t>。项目占地34752m²</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约51.86亩</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，总建筑面积66544.8m²（物业服务面积为</w:t>
      </w:r>
      <w:r>
        <w:rPr>
          <w:rFonts w:hint="eastAsia" w:ascii="宋体" w:hAnsi="宋体" w:eastAsia="宋体" w:cs="宋体"/>
          <w:b w:val="0"/>
          <w:bCs w:val="0"/>
          <w:color w:val="auto"/>
          <w:sz w:val="21"/>
          <w:szCs w:val="21"/>
          <w:highlight w:val="none"/>
          <w:lang w:val="en-US" w:eastAsia="zh-CN"/>
        </w:rPr>
        <w:t>57649.8</w:t>
      </w:r>
      <w:r>
        <w:rPr>
          <w:rFonts w:hint="eastAsia" w:ascii="宋体" w:hAnsi="宋体" w:eastAsia="宋体" w:cs="宋体"/>
          <w:b w:val="0"/>
          <w:bCs w:val="0"/>
          <w:color w:val="auto"/>
          <w:sz w:val="21"/>
          <w:szCs w:val="21"/>
          <w:highlight w:val="none"/>
        </w:rPr>
        <w:t>m²），共有9栋建筑物合计，分别是5栋11层单身公寓1-5#共1250间计44475m²（8895m²/栋，250间/栋）、3栋白领公寓1-3#共284户计17695.9m²（白领1#11层5050.2m²,白领2#18层4251.4m²，白领3#18层8394.3m²）、1栋2层会所1960.2m²、非机动车库2413.7m²（4827.4m²按一半面积计算），非机动车停车位3200个，机动车地面停车位约</w:t>
      </w:r>
      <w:r>
        <w:rPr>
          <w:rFonts w:hint="eastAsia" w:ascii="宋体" w:hAnsi="宋体" w:cs="宋体"/>
          <w:b w:val="0"/>
          <w:bCs w:val="0"/>
          <w:color w:val="auto"/>
          <w:sz w:val="21"/>
          <w:szCs w:val="21"/>
          <w:highlight w:val="none"/>
          <w:lang w:val="en-US" w:eastAsia="zh-CN"/>
        </w:rPr>
        <w:t>92</w:t>
      </w:r>
      <w:r>
        <w:rPr>
          <w:rFonts w:hint="eastAsia" w:ascii="宋体" w:hAnsi="宋体" w:eastAsia="宋体" w:cs="宋体"/>
          <w:b w:val="0"/>
          <w:bCs w:val="0"/>
          <w:color w:val="auto"/>
          <w:sz w:val="21"/>
          <w:szCs w:val="21"/>
          <w:highlight w:val="none"/>
        </w:rPr>
        <w:t>个，地下室5677m²（车库约5069m²，地下停车位约140个）。道路总面积约5769㎡，绿化总面积约</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000㎡。设备情况：1座二次供水泵房、</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部电梯（另有</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部电梯由长电科技自行维保）、消防系统（含地下消防控制室）、1台开闭、所、5台箱式变（7台变电压器）、1座柴油发电机房等共用设施设备的维修维护；1台环网柜、2个配电房。</w:t>
      </w:r>
      <w:r>
        <w:rPr>
          <w:rFonts w:hint="eastAsia" w:ascii="宋体" w:hAnsi="宋体" w:eastAsia="宋体" w:cs="宋体"/>
          <w:b w:val="0"/>
          <w:bCs w:val="0"/>
          <w:color w:val="auto"/>
          <w:sz w:val="21"/>
          <w:szCs w:val="21"/>
          <w:highlight w:val="none"/>
          <w:lang w:val="en-US" w:eastAsia="zh-CN"/>
        </w:rPr>
        <w:t>按照安徽省物业管理条例第47条，可配置约200m²的物业服务用房（包括行政办公、工具储藏、值班宿舍等）。</w:t>
      </w:r>
      <w:r>
        <w:rPr>
          <w:rFonts w:hint="eastAsia" w:ascii="宋体" w:hAnsi="宋体" w:eastAsia="宋体" w:cs="宋体"/>
          <w:b/>
          <w:bCs/>
          <w:color w:val="auto"/>
          <w:sz w:val="21"/>
          <w:szCs w:val="21"/>
          <w:highlight w:val="none"/>
        </w:rPr>
        <w:t>详细情况自行现场勘看，项目概况以现场实际存在为准。</w:t>
      </w:r>
    </w:p>
    <w:p w14:paraId="54C65BC7">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后勤服务中心物业服务项目拟招标</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年服务期，物业服务费用预算为</w:t>
      </w:r>
      <w:r>
        <w:rPr>
          <w:rFonts w:hint="eastAsia" w:ascii="宋体" w:hAnsi="宋体" w:eastAsia="宋体" w:cs="宋体"/>
          <w:b w:val="0"/>
          <w:bCs w:val="0"/>
          <w:color w:val="auto"/>
          <w:sz w:val="21"/>
          <w:szCs w:val="21"/>
          <w:highlight w:val="none"/>
          <w:lang w:val="en-US" w:eastAsia="zh-CN"/>
        </w:rPr>
        <w:t>2201038.30元/年，6603114.90元/三年，本次招标服务周期为合同签订后办理正式入驻手续起三年，具体进场时间按采购单位正式发函为准。</w:t>
      </w:r>
      <w:r>
        <w:rPr>
          <w:rFonts w:hint="eastAsia" w:ascii="宋体" w:hAnsi="宋体" w:eastAsia="宋体" w:cs="宋体"/>
          <w:b w:val="0"/>
          <w:bCs w:val="0"/>
          <w:color w:val="auto"/>
          <w:kern w:val="2"/>
          <w:sz w:val="21"/>
          <w:szCs w:val="21"/>
          <w:highlight w:val="none"/>
          <w:lang w:val="en-US" w:eastAsia="zh-CN" w:bidi="ar-SA"/>
        </w:rPr>
        <w:t>服务期限届满后，招标人没有依法作出续聘或者另聘物业服务人的决定时，物业服务单位无需签订合同直接按原物业服务合同继续提供物业服务，服务期限为不定期。</w:t>
      </w:r>
      <w:r>
        <w:rPr>
          <w:rFonts w:hint="eastAsia" w:ascii="宋体" w:hAnsi="宋体" w:eastAsia="宋体" w:cs="宋体"/>
          <w:color w:val="auto"/>
          <w:sz w:val="21"/>
          <w:szCs w:val="21"/>
          <w:highlight w:val="none"/>
        </w:rPr>
        <w:t>合同履行期</w:t>
      </w:r>
      <w:r>
        <w:rPr>
          <w:rFonts w:hint="eastAsia" w:ascii="宋体" w:hAnsi="宋体" w:eastAsia="宋体" w:cs="宋体"/>
          <w:color w:val="auto"/>
          <w:kern w:val="2"/>
          <w:sz w:val="21"/>
          <w:szCs w:val="21"/>
          <w:highlight w:val="none"/>
          <w:u w:val="none" w:color="000000"/>
          <w:lang w:val="en-US" w:eastAsia="zh-CN" w:bidi="ar-SA"/>
        </w:rPr>
        <w:t>内合同一年一签，上年考核标准平均分值达90分及以上续签下一年合同，低于90分以下或有</w:t>
      </w:r>
      <w:r>
        <w:rPr>
          <w:rFonts w:hint="eastAsia" w:ascii="宋体" w:hAnsi="宋体" w:cs="宋体"/>
          <w:color w:val="auto"/>
          <w:kern w:val="2"/>
          <w:sz w:val="21"/>
          <w:szCs w:val="21"/>
          <w:highlight w:val="none"/>
          <w:u w:val="none" w:color="000000"/>
          <w:lang w:val="en-US" w:eastAsia="zh-CN" w:bidi="ar-SA"/>
        </w:rPr>
        <w:t>重大</w:t>
      </w:r>
      <w:r>
        <w:rPr>
          <w:rFonts w:hint="eastAsia" w:ascii="宋体" w:hAnsi="宋体" w:eastAsia="宋体" w:cs="宋体"/>
          <w:color w:val="auto"/>
          <w:kern w:val="2"/>
          <w:sz w:val="21"/>
          <w:szCs w:val="21"/>
          <w:highlight w:val="none"/>
          <w:u w:val="none" w:color="000000"/>
          <w:lang w:val="en-US" w:eastAsia="zh-CN" w:bidi="ar-SA"/>
        </w:rPr>
        <w:t>不良记录不予续签，则重新招标，最终解释权归招标人所有。因全年考核平均分值不合格终止服务的，履约担保为转</w:t>
      </w:r>
      <w:r>
        <w:rPr>
          <w:rFonts w:hint="eastAsia" w:ascii="宋体" w:hAnsi="宋体" w:cs="宋体"/>
          <w:color w:val="auto"/>
          <w:kern w:val="2"/>
          <w:sz w:val="21"/>
          <w:szCs w:val="21"/>
          <w:highlight w:val="none"/>
          <w:u w:val="none" w:color="000000"/>
          <w:lang w:val="en-US" w:eastAsia="zh-CN" w:bidi="ar-SA"/>
        </w:rPr>
        <w:t>账</w:t>
      </w:r>
      <w:r>
        <w:rPr>
          <w:rFonts w:hint="eastAsia" w:ascii="宋体" w:hAnsi="宋体" w:eastAsia="宋体" w:cs="宋体"/>
          <w:color w:val="auto"/>
          <w:kern w:val="2"/>
          <w:sz w:val="21"/>
          <w:szCs w:val="21"/>
          <w:highlight w:val="none"/>
          <w:u w:val="none" w:color="000000"/>
          <w:lang w:val="en-US" w:eastAsia="zh-CN" w:bidi="ar-SA"/>
        </w:rPr>
        <w:t>方式的，一个月内减半退还，履约担保为其他方式的，须缴纳履约保证金额的一半作为违约金后办理退还手续</w:t>
      </w:r>
      <w:r>
        <w:rPr>
          <w:rFonts w:hint="eastAsia" w:ascii="宋体" w:hAnsi="宋体" w:cs="宋体"/>
          <w:color w:val="auto"/>
          <w:kern w:val="2"/>
          <w:sz w:val="21"/>
          <w:szCs w:val="21"/>
          <w:highlight w:val="none"/>
          <w:u w:val="none" w:color="000000"/>
          <w:lang w:val="en-US" w:eastAsia="zh-CN" w:bidi="ar-SA"/>
        </w:rPr>
        <w:t>。</w:t>
      </w:r>
    </w:p>
    <w:p w14:paraId="01C41DD0">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w:t>
      </w:r>
      <w:r>
        <w:rPr>
          <w:rFonts w:hint="eastAsia" w:ascii="宋体" w:hAnsi="宋体" w:eastAsia="宋体" w:cs="宋体"/>
          <w:b/>
          <w:bCs/>
          <w:color w:val="auto"/>
          <w:sz w:val="21"/>
          <w:szCs w:val="21"/>
          <w:highlight w:val="none"/>
          <w:lang w:val="en-US" w:eastAsia="zh-CN"/>
        </w:rPr>
        <w:t>二、物业服务人员要求</w:t>
      </w:r>
    </w:p>
    <w:p w14:paraId="6AA54F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服务人员配置标准及要求</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不低于27人，参考《滁州市城区住宅小区物业服务等级标准（建物〔2019〕102号）A级服务和安徽省住房和城乡建设厅与安徽省质量技术监督局联合发布-住宅区物业服务标准DB34/ 5000-2013中A级服务等级</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p w14:paraId="592780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（一）项目</w:t>
      </w:r>
      <w:r>
        <w:rPr>
          <w:rFonts w:hint="eastAsia" w:ascii="宋体" w:hAnsi="宋体" w:eastAsia="宋体" w:cs="宋体"/>
          <w:b w:val="0"/>
          <w:bCs w:val="0"/>
          <w:color w:val="auto"/>
          <w:sz w:val="21"/>
          <w:szCs w:val="21"/>
          <w:highlight w:val="none"/>
          <w:lang w:val="en-US" w:eastAsia="zh-CN"/>
        </w:rPr>
        <w:t>经理1人，项目主管1人，客服兼管家2人，文员兼人事1人，维修2人，安保队长1人，</w:t>
      </w:r>
      <w:r>
        <w:rPr>
          <w:rFonts w:hint="eastAsia" w:ascii="宋体" w:hAnsi="宋体" w:eastAsia="宋体" w:cs="宋体"/>
          <w:b w:val="0"/>
          <w:bCs w:val="0"/>
          <w:color w:val="auto"/>
          <w:kern w:val="2"/>
          <w:sz w:val="21"/>
          <w:szCs w:val="21"/>
          <w:highlight w:val="none"/>
          <w:lang w:val="en-US" w:eastAsia="zh-CN" w:bidi="ar-SA"/>
        </w:rPr>
        <w:t>秩序维护8人</w:t>
      </w:r>
      <w:r>
        <w:rPr>
          <w:rFonts w:hint="eastAsia" w:ascii="宋体" w:hAnsi="宋体" w:eastAsia="宋体" w:cs="宋体"/>
          <w:color w:val="auto"/>
          <w:kern w:val="0"/>
          <w:sz w:val="21"/>
          <w:szCs w:val="21"/>
          <w:highlight w:val="none"/>
          <w:lang w:val="en-US" w:eastAsia="zh-CN" w:bidi="ar"/>
        </w:rPr>
        <w:t>（形象岗1人、监控岗2人、普通4人、巡逻岗1人）</w:t>
      </w:r>
      <w:r>
        <w:rPr>
          <w:rFonts w:hint="eastAsia" w:ascii="宋体" w:hAnsi="宋体" w:eastAsia="宋体" w:cs="宋体"/>
          <w:b w:val="0"/>
          <w:bCs w:val="0"/>
          <w:color w:val="auto"/>
          <w:kern w:val="2"/>
          <w:sz w:val="21"/>
          <w:szCs w:val="21"/>
          <w:highlight w:val="none"/>
          <w:lang w:val="en-US" w:eastAsia="zh-CN" w:bidi="ar-SA"/>
        </w:rPr>
        <w:t>，保洁班长1人</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保洁10人（含绿化1人）（</w:t>
      </w:r>
      <w:r>
        <w:rPr>
          <w:rFonts w:hint="eastAsia" w:ascii="宋体" w:hAnsi="宋体" w:eastAsia="宋体" w:cs="宋体"/>
          <w:sz w:val="21"/>
          <w:szCs w:val="21"/>
          <w:highlight w:val="none"/>
          <w:lang w:val="en-US" w:eastAsia="zh-CN"/>
        </w:rPr>
        <w:t>保洁单身4人、白领3人、会所1人/路面2人）</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项目服务人员除投标的管理层3人外，所有服务人员工作内容不限于本岗位职责，可根据项目实际状况，对各类人员配备和工作岗位进行调剂。</w:t>
      </w:r>
      <w:r>
        <w:rPr>
          <w:rFonts w:hint="eastAsia" w:ascii="宋体" w:hAnsi="宋体" w:eastAsia="宋体" w:cs="宋体"/>
          <w:b w:val="0"/>
          <w:bCs w:val="0"/>
          <w:color w:val="auto"/>
          <w:sz w:val="21"/>
          <w:szCs w:val="21"/>
          <w:highlight w:val="none"/>
          <w:lang w:val="en-US" w:eastAsia="zh-CN"/>
        </w:rPr>
        <w:t>要求秩序维护和保洁男性在58周岁以下，女性在50周岁以下。项目在主管部门办理物业项目和项目经理备案手续后3个月内，须向招标人提供项目配备人员花名册、健康证、简历表、劳动合同、购买社保证明等相关材料进行报备，后续按月进行更新报备。</w:t>
      </w:r>
    </w:p>
    <w:p w14:paraId="721A39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）除</w:t>
      </w:r>
      <w:r>
        <w:rPr>
          <w:rFonts w:hint="eastAsia" w:ascii="宋体" w:hAnsi="宋体" w:eastAsia="宋体" w:cs="宋体"/>
          <w:b w:val="0"/>
          <w:bCs w:val="0"/>
          <w:color w:val="auto"/>
          <w:kern w:val="2"/>
          <w:sz w:val="21"/>
          <w:szCs w:val="21"/>
          <w:highlight w:val="none"/>
          <w:lang w:val="en-US" w:eastAsia="zh-CN" w:bidi="ar-SA"/>
        </w:rPr>
        <w:t>秩序维护</w:t>
      </w:r>
      <w:r>
        <w:rPr>
          <w:rFonts w:hint="eastAsia" w:ascii="宋体" w:hAnsi="宋体" w:eastAsia="宋体" w:cs="宋体"/>
          <w:b w:val="0"/>
          <w:bCs w:val="0"/>
          <w:color w:val="auto"/>
          <w:sz w:val="21"/>
          <w:szCs w:val="21"/>
          <w:highlight w:val="none"/>
          <w:lang w:val="en-US" w:eastAsia="zh-CN"/>
        </w:rPr>
        <w:t>和保洁外的行政管理人员，原则上不得实行人力外包，须按法定要求购买社保和公积金。特殊情况经采购人书面批准后，</w:t>
      </w:r>
      <w:r>
        <w:rPr>
          <w:rFonts w:hint="eastAsia" w:ascii="宋体" w:hAnsi="宋体" w:eastAsia="宋体" w:cs="宋体"/>
          <w:b w:val="0"/>
          <w:bCs w:val="0"/>
          <w:color w:val="auto"/>
          <w:kern w:val="2"/>
          <w:sz w:val="21"/>
          <w:szCs w:val="21"/>
          <w:highlight w:val="none"/>
          <w:lang w:val="en-US" w:eastAsia="zh-CN" w:bidi="ar-SA"/>
        </w:rPr>
        <w:t>秩序维护</w:t>
      </w:r>
      <w:r>
        <w:rPr>
          <w:rFonts w:hint="eastAsia" w:ascii="宋体" w:hAnsi="宋体" w:eastAsia="宋体" w:cs="宋体"/>
          <w:b w:val="0"/>
          <w:bCs w:val="0"/>
          <w:color w:val="auto"/>
          <w:sz w:val="21"/>
          <w:szCs w:val="21"/>
          <w:highlight w:val="none"/>
          <w:lang w:val="en-US" w:eastAsia="zh-CN"/>
        </w:rPr>
        <w:t>和保洁外包人数不得超过项目总人数50%且支出总费用不降低（专业外包单位须经采购单位认可），中标人采用分公司或子公司（全资或控股超50%）人员不属于人员外包。</w:t>
      </w:r>
    </w:p>
    <w:p w14:paraId="2C5D224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val="en-US" w:eastAsia="zh-CN"/>
        </w:rPr>
        <w:t>）所有人员统一着装，挂牌上岗，现场必须实行钉钉人脸考勤（招标人</w:t>
      </w:r>
      <w:r>
        <w:rPr>
          <w:rFonts w:hint="eastAsia" w:ascii="宋体" w:hAnsi="宋体" w:eastAsia="宋体" w:cs="宋体"/>
          <w:b w:val="0"/>
          <w:bCs w:val="0"/>
          <w:color w:val="auto"/>
          <w:kern w:val="2"/>
          <w:sz w:val="21"/>
          <w:szCs w:val="21"/>
          <w:highlight w:val="none"/>
          <w:lang w:val="en-US" w:eastAsia="zh-CN" w:bidi="ar-SA"/>
        </w:rPr>
        <w:t>现场已配备），人员数量考核以考勤</w:t>
      </w:r>
      <w:r>
        <w:rPr>
          <w:rFonts w:hint="eastAsia" w:ascii="宋体" w:hAnsi="宋体" w:cs="宋体"/>
          <w:b w:val="0"/>
          <w:bCs w:val="0"/>
          <w:color w:val="auto"/>
          <w:kern w:val="2"/>
          <w:sz w:val="21"/>
          <w:szCs w:val="21"/>
          <w:highlight w:val="none"/>
          <w:lang w:val="en-US" w:eastAsia="zh-CN" w:bidi="ar-SA"/>
        </w:rPr>
        <w:t>机</w:t>
      </w:r>
      <w:r>
        <w:rPr>
          <w:rFonts w:hint="eastAsia" w:ascii="宋体" w:hAnsi="宋体" w:eastAsia="宋体" w:cs="宋体"/>
          <w:b w:val="0"/>
          <w:bCs w:val="0"/>
          <w:color w:val="auto"/>
          <w:kern w:val="2"/>
          <w:sz w:val="21"/>
          <w:szCs w:val="21"/>
          <w:highlight w:val="none"/>
          <w:lang w:val="en-US" w:eastAsia="zh-CN" w:bidi="ar-SA"/>
        </w:rPr>
        <w:t>记录为主。</w:t>
      </w:r>
      <w:r>
        <w:rPr>
          <w:rFonts w:hint="eastAsia" w:ascii="宋体" w:hAnsi="宋体" w:eastAsia="宋体" w:cs="宋体"/>
          <w:b/>
          <w:bCs/>
          <w:color w:val="auto"/>
          <w:kern w:val="2"/>
          <w:sz w:val="21"/>
          <w:szCs w:val="21"/>
          <w:highlight w:val="none"/>
          <w:lang w:val="en-US" w:eastAsia="zh-CN" w:bidi="ar-SA"/>
        </w:rPr>
        <w:t>中标后项目经理仅在本小区服务，不得到其他小区任项目经理，每周须在岗五天。</w:t>
      </w:r>
      <w:r>
        <w:rPr>
          <w:rFonts w:hint="eastAsia" w:ascii="宋体" w:hAnsi="宋体" w:eastAsia="宋体" w:cs="宋体"/>
          <w:b w:val="0"/>
          <w:bCs w:val="0"/>
          <w:color w:val="auto"/>
          <w:kern w:val="2"/>
          <w:sz w:val="21"/>
          <w:szCs w:val="21"/>
          <w:highlight w:val="none"/>
          <w:lang w:val="en-US" w:eastAsia="zh-CN" w:bidi="ar-SA"/>
        </w:rPr>
        <w:t>特殊情况须向招标人请假，经批准后方可离岗。合同签订后，项目经理、主管、安保队长和保洁班长等物业行政管理人员原则上不得更换（业主单位提出的除外），确需更换的，须经招标人书面批准同意后，方可更换，且更换后人员的资历、能力等必须等于或优于更换前人员，物业公司擅自更换人员或未按要求更换人员的，招标人有权对其处以违约金，情节严重的，招标人有权终止合同。</w:t>
      </w:r>
    </w:p>
    <w:p w14:paraId="1EB550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）中标后须按投标时资信标和技术标投标的要求履行到位，否则按情况在季度（3个月）考核中</w:t>
      </w:r>
      <w:r>
        <w:rPr>
          <w:rFonts w:hint="eastAsia" w:ascii="宋体" w:hAnsi="宋体" w:eastAsia="宋体" w:cs="宋体"/>
          <w:b w:val="0"/>
          <w:bCs w:val="0"/>
          <w:color w:val="auto"/>
          <w:kern w:val="2"/>
          <w:sz w:val="21"/>
          <w:szCs w:val="21"/>
          <w:highlight w:val="none"/>
          <w:lang w:val="en-US" w:eastAsia="zh-CN" w:bidi="ar-SA"/>
        </w:rPr>
        <w:t>扣除</w:t>
      </w:r>
      <w:r>
        <w:rPr>
          <w:rFonts w:hint="eastAsia" w:ascii="宋体" w:hAnsi="宋体" w:eastAsia="宋体" w:cs="宋体"/>
          <w:b w:val="0"/>
          <w:bCs w:val="0"/>
          <w:color w:val="auto"/>
          <w:sz w:val="21"/>
          <w:szCs w:val="21"/>
          <w:highlight w:val="none"/>
          <w:lang w:val="en-US" w:eastAsia="zh-CN"/>
        </w:rPr>
        <w:t>2000-10000元/次，直至整改到位。</w:t>
      </w:r>
    </w:p>
    <w:p w14:paraId="5EFBCF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五</w:t>
      </w:r>
      <w:r>
        <w:rPr>
          <w:rFonts w:hint="eastAsia" w:ascii="宋体" w:hAnsi="宋体" w:eastAsia="宋体" w:cs="宋体"/>
          <w:b w:val="0"/>
          <w:bCs w:val="0"/>
          <w:color w:val="auto"/>
          <w:kern w:val="2"/>
          <w:sz w:val="21"/>
          <w:szCs w:val="21"/>
          <w:highlight w:val="none"/>
          <w:lang w:val="en-US" w:eastAsia="zh-CN" w:bidi="ar-SA"/>
        </w:rPr>
        <w:t>）项目进场3个月后若出现人员数量无法满足要求的，发现一次扣除500-2000元/人次（从企业利润项扣除，不足从其他项扣除），并限时补充上岗；人员不得兼岗，否则发现一次扣除500-2000元 /人次（从企业利润项扣除，不足从其他项扣除），并限时补充上岗；发现人员数量不足达到5次的可单方面终止合同，扣除履约保证金，通报物业主管部门和公管局。</w:t>
      </w:r>
    </w:p>
    <w:p w14:paraId="0F6DC7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六</w:t>
      </w:r>
      <w:r>
        <w:rPr>
          <w:rFonts w:hint="eastAsia" w:ascii="宋体" w:hAnsi="宋体" w:eastAsia="宋体" w:cs="宋体"/>
          <w:b w:val="0"/>
          <w:bCs w:val="0"/>
          <w:color w:val="auto"/>
          <w:kern w:val="2"/>
          <w:sz w:val="21"/>
          <w:szCs w:val="21"/>
          <w:highlight w:val="none"/>
          <w:lang w:val="en-US" w:eastAsia="zh-CN" w:bidi="ar-SA"/>
        </w:rPr>
        <w:t>）人员配置的资格不符合岗位要求的，发现一次扣500-2000元/人次（从企业利润项扣除，不足从其他项扣除），发现5次可单方面终止合同，扣除履约保证金，通报物业主管部门和公管局</w:t>
      </w:r>
      <w:r>
        <w:rPr>
          <w:rFonts w:hint="eastAsia" w:ascii="宋体" w:hAnsi="宋体" w:eastAsia="宋体" w:cs="宋体"/>
          <w:b/>
          <w:bCs/>
          <w:color w:val="auto"/>
          <w:kern w:val="2"/>
          <w:sz w:val="21"/>
          <w:szCs w:val="21"/>
          <w:highlight w:val="none"/>
          <w:lang w:val="en-US" w:eastAsia="zh-CN" w:bidi="ar-SA"/>
        </w:rPr>
        <w:t>。</w:t>
      </w:r>
    </w:p>
    <w:p w14:paraId="7695401C">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0"/>
        <w:textAlignment w:val="auto"/>
        <w:rPr>
          <w:rFonts w:hint="default"/>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七</w:t>
      </w:r>
      <w:r>
        <w:rPr>
          <w:rFonts w:hint="eastAsia" w:ascii="宋体" w:hAnsi="宋体" w:eastAsia="宋体" w:cs="宋体"/>
          <w:b w:val="0"/>
          <w:bCs w:val="0"/>
          <w:color w:val="auto"/>
          <w:kern w:val="2"/>
          <w:sz w:val="21"/>
          <w:szCs w:val="21"/>
          <w:highlight w:val="none"/>
          <w:lang w:val="en-US" w:eastAsia="zh-CN" w:bidi="ar-SA"/>
        </w:rPr>
        <w:t>）物业服务期间，各服务场地若有空置面积较多时，招标人可以要求物业保洁人员按现场实际情况进行人员核减，办理书面手续后当季（3个月）按核减后结算人员费用。</w:t>
      </w:r>
    </w:p>
    <w:p w14:paraId="1B2111EF">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w:t>
      </w:r>
      <w:r>
        <w:rPr>
          <w:rFonts w:hint="eastAsia" w:ascii="宋体" w:hAnsi="宋体" w:eastAsia="宋体" w:cs="宋体"/>
          <w:b/>
          <w:bCs/>
          <w:color w:val="auto"/>
          <w:sz w:val="21"/>
          <w:szCs w:val="21"/>
          <w:highlight w:val="none"/>
          <w:lang w:val="en-US" w:eastAsia="zh-CN"/>
        </w:rPr>
        <w:t>三、后勤服务中心（公租房）年度物业服务费用预算表</w:t>
      </w:r>
    </w:p>
    <w:tbl>
      <w:tblPr>
        <w:tblStyle w:val="37"/>
        <w:tblW w:w="9820" w:type="dxa"/>
        <w:jc w:val="center"/>
        <w:tblLayout w:type="fixed"/>
        <w:tblCellMar>
          <w:top w:w="0" w:type="dxa"/>
          <w:left w:w="0" w:type="dxa"/>
          <w:bottom w:w="0" w:type="dxa"/>
          <w:right w:w="0" w:type="dxa"/>
        </w:tblCellMar>
      </w:tblPr>
      <w:tblGrid>
        <w:gridCol w:w="509"/>
        <w:gridCol w:w="126"/>
        <w:gridCol w:w="1944"/>
        <w:gridCol w:w="303"/>
        <w:gridCol w:w="9"/>
        <w:gridCol w:w="312"/>
        <w:gridCol w:w="989"/>
        <w:gridCol w:w="1561"/>
        <w:gridCol w:w="1159"/>
        <w:gridCol w:w="1161"/>
        <w:gridCol w:w="509"/>
        <w:gridCol w:w="1238"/>
      </w:tblGrid>
      <w:tr w14:paraId="6AF7E4FB">
        <w:tblPrEx>
          <w:tblCellMar>
            <w:top w:w="0" w:type="dxa"/>
            <w:left w:w="0" w:type="dxa"/>
            <w:bottom w:w="0" w:type="dxa"/>
            <w:right w:w="0" w:type="dxa"/>
          </w:tblCellMar>
        </w:tblPrEx>
        <w:trPr>
          <w:trHeight w:val="510" w:hRule="exact"/>
          <w:jc w:val="center"/>
        </w:trPr>
        <w:tc>
          <w:tcPr>
            <w:tcW w:w="9820" w:type="dxa"/>
            <w:gridSpan w:val="12"/>
            <w:tcBorders>
              <w:top w:val="nil"/>
              <w:left w:val="nil"/>
              <w:bottom w:val="single" w:color="000000" w:sz="4" w:space="0"/>
              <w:right w:val="nil"/>
            </w:tcBorders>
            <w:noWrap/>
            <w:tcMar>
              <w:top w:w="12" w:type="dxa"/>
              <w:left w:w="12" w:type="dxa"/>
              <w:right w:w="12" w:type="dxa"/>
            </w:tcMar>
            <w:vAlign w:val="center"/>
          </w:tcPr>
          <w:p w14:paraId="4FFA300F">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后勤服务中心（公租房）年度物业服务费用预算表</w:t>
            </w:r>
          </w:p>
        </w:tc>
      </w:tr>
      <w:tr w14:paraId="3758EEE1">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6A2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5244"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D88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费用内容</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D8F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B904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055C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DAE9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年合计</w:t>
            </w:r>
          </w:p>
        </w:tc>
      </w:tr>
      <w:tr w14:paraId="2BA52DCB">
        <w:tblPrEx>
          <w:tblCellMar>
            <w:top w:w="0" w:type="dxa"/>
            <w:left w:w="0" w:type="dxa"/>
            <w:bottom w:w="0" w:type="dxa"/>
            <w:right w:w="0" w:type="dxa"/>
          </w:tblCellMar>
        </w:tblPrEx>
        <w:trPr>
          <w:trHeight w:val="400" w:hRule="atLeast"/>
          <w:jc w:val="center"/>
        </w:trPr>
        <w:tc>
          <w:tcPr>
            <w:tcW w:w="5753" w:type="dxa"/>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CE08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一、费用总计=人员费用+项目费用+利润+税费</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BDF4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D8B9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183419.86</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D8E2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12 </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8ADD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2201038.3</w:t>
            </w:r>
          </w:p>
        </w:tc>
      </w:tr>
      <w:tr w14:paraId="0CE53451">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589F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spacing w:val="-11"/>
                <w:kern w:val="0"/>
                <w:sz w:val="21"/>
                <w:szCs w:val="21"/>
                <w:highlight w:val="none"/>
                <w:u w:val="none"/>
                <w:lang w:val="en-US" w:eastAsia="zh-CN" w:bidi="ar"/>
              </w:rPr>
              <w:t>（一）人员费用/27人</w:t>
            </w:r>
            <w:r>
              <w:rPr>
                <w:rFonts w:hint="eastAsia" w:ascii="宋体" w:hAnsi="宋体" w:eastAsia="宋体" w:cs="宋体"/>
                <w:b/>
                <w:bCs/>
                <w:color w:val="auto"/>
                <w:spacing w:val="-11"/>
                <w:kern w:val="2"/>
                <w:sz w:val="21"/>
                <w:szCs w:val="21"/>
                <w:highlight w:val="none"/>
                <w:vertAlign w:val="baseline"/>
                <w:lang w:val="en-US" w:eastAsia="zh-CN" w:bidi="ar-SA"/>
              </w:rPr>
              <w:t>（结算金额按全体人员实际总支出核实确定/缺员超半月以上直接按岗位费用总额扣除）</w:t>
            </w:r>
          </w:p>
        </w:tc>
      </w:tr>
      <w:tr w14:paraId="03BA7087">
        <w:tblPrEx>
          <w:tblCellMar>
            <w:top w:w="0" w:type="dxa"/>
            <w:left w:w="0" w:type="dxa"/>
            <w:bottom w:w="0" w:type="dxa"/>
            <w:right w:w="0" w:type="dxa"/>
          </w:tblCellMar>
        </w:tblPrEx>
        <w:trPr>
          <w:trHeight w:val="509"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68AB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9B91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岗位</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830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人数</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32A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工资标准</w:t>
            </w:r>
          </w:p>
        </w:tc>
        <w:tc>
          <w:tcPr>
            <w:tcW w:w="1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485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五险绩效等其他（按工资的30%）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D67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月单计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013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A36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6F35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年合计</w:t>
            </w:r>
          </w:p>
        </w:tc>
      </w:tr>
      <w:tr w14:paraId="5C7FB8FD">
        <w:tblPrEx>
          <w:tblCellMar>
            <w:top w:w="0" w:type="dxa"/>
            <w:left w:w="0" w:type="dxa"/>
            <w:bottom w:w="0" w:type="dxa"/>
            <w:right w:w="0" w:type="dxa"/>
          </w:tblCellMar>
        </w:tblPrEx>
        <w:trPr>
          <w:trHeight w:val="400" w:hRule="atLeast"/>
          <w:jc w:val="center"/>
        </w:trPr>
        <w:tc>
          <w:tcPr>
            <w:tcW w:w="2579"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267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合计</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6F2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27</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5B773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auto"/>
                <w:sz w:val="21"/>
                <w:szCs w:val="21"/>
                <w:highlight w:val="none"/>
                <w:u w:val="none"/>
              </w:rPr>
            </w:pP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9BFE9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E9E5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1AD7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131820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EAC1A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087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1581840</w:t>
            </w:r>
          </w:p>
        </w:tc>
      </w:tr>
      <w:tr w14:paraId="108F5259">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7FF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366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项目经理</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77F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5F1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425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D0A2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1980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D964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8580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9FF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8580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6F7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DC77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102960</w:t>
            </w:r>
          </w:p>
        </w:tc>
      </w:tr>
      <w:tr w14:paraId="39CAB42C">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675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286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项目主管</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9588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7BB7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6E59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4B8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BACF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7280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E74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7280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E89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58A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87360</w:t>
            </w:r>
          </w:p>
        </w:tc>
      </w:tr>
      <w:tr w14:paraId="5DCD8ACC">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05E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ECE6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客服兼管家</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A318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910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011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BF0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6D17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5590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97D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11180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7A1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3D48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134160</w:t>
            </w:r>
          </w:p>
        </w:tc>
      </w:tr>
      <w:tr w14:paraId="7C5094DB">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F90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6F1A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文员兼人事</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4D36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95E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78D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713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E3F3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5590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305C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5590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7C7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3044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67080</w:t>
            </w:r>
          </w:p>
        </w:tc>
      </w:tr>
      <w:tr w14:paraId="221F54CD">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7A64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9A21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维修</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43C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E074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A47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848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6276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CEB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CAA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D4F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156000</w:t>
            </w:r>
          </w:p>
        </w:tc>
      </w:tr>
      <w:tr w14:paraId="1418CA0D">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0D7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72D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安保队长</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F7E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FA6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02F7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F37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1350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44B6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5850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C3C0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5850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9EB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B4E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70200</w:t>
            </w:r>
          </w:p>
        </w:tc>
      </w:tr>
      <w:tr w14:paraId="047AD3B3">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15D5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327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秩序维护/形象岗</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9AE2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91D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0DE2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65A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1140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A5A9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4940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188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4940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C036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3BB9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59280</w:t>
            </w:r>
          </w:p>
        </w:tc>
      </w:tr>
      <w:tr w14:paraId="28CBC73C">
        <w:tblPrEx>
          <w:tblCellMar>
            <w:top w:w="0" w:type="dxa"/>
            <w:left w:w="0" w:type="dxa"/>
            <w:bottom w:w="0" w:type="dxa"/>
            <w:right w:w="0" w:type="dxa"/>
          </w:tblCellMar>
        </w:tblPrEx>
        <w:trPr>
          <w:trHeight w:val="501"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9BA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5D3095">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秩序维护/普通岗（监控岗2人/普通4人/巡逻岗1人）</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31C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9C5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0AB3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4E9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1050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6F3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4550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1ED3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31850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E35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7C2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382200</w:t>
            </w:r>
          </w:p>
        </w:tc>
      </w:tr>
      <w:tr w14:paraId="08A37086">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29CC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8572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保洁班长</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1569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32D5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030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81D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1050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F919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4550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C5C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4550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AC31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D697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54600</w:t>
            </w:r>
          </w:p>
        </w:tc>
      </w:tr>
      <w:tr w14:paraId="2748874E">
        <w:tblPrEx>
          <w:tblCellMar>
            <w:top w:w="0" w:type="dxa"/>
            <w:left w:w="0" w:type="dxa"/>
            <w:bottom w:w="0" w:type="dxa"/>
            <w:right w:w="0" w:type="dxa"/>
          </w:tblCellMar>
        </w:tblPrEx>
        <w:trPr>
          <w:trHeight w:val="387"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FAE5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46ED1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r>
              <w:rPr>
                <w:rFonts w:hint="eastAsia" w:ascii="宋体" w:hAnsi="宋体" w:eastAsia="宋体" w:cs="宋体"/>
                <w:sz w:val="21"/>
                <w:szCs w:val="21"/>
                <w:highlight w:val="none"/>
                <w:lang w:val="en-US" w:eastAsia="zh-CN"/>
              </w:rPr>
              <w:t>保洁（含绿化1人）（单身4人/白领3人/会所1人/路面2人）</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0B1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254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94C8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E1F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900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4D1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3900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8A9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39000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0DDB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4060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468000</w:t>
            </w:r>
          </w:p>
        </w:tc>
      </w:tr>
      <w:tr w14:paraId="3F30C34A">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FBAE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（二）项目费用/7项</w:t>
            </w:r>
          </w:p>
        </w:tc>
      </w:tr>
      <w:tr w14:paraId="49827720">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957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BD5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项目内容</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789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月数量</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931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月均费用</w:t>
            </w:r>
          </w:p>
        </w:tc>
        <w:tc>
          <w:tcPr>
            <w:tcW w:w="1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E9E8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E9C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月小计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5498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735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DB0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年合计</w:t>
            </w:r>
          </w:p>
        </w:tc>
      </w:tr>
      <w:tr w14:paraId="408796F5">
        <w:tblPrEx>
          <w:tblCellMar>
            <w:top w:w="0" w:type="dxa"/>
            <w:left w:w="0" w:type="dxa"/>
            <w:bottom w:w="0" w:type="dxa"/>
            <w:right w:w="0" w:type="dxa"/>
          </w:tblCellMar>
        </w:tblPrEx>
        <w:trPr>
          <w:trHeight w:val="400" w:hRule="atLeast"/>
          <w:jc w:val="center"/>
        </w:trPr>
        <w:tc>
          <w:tcPr>
            <w:tcW w:w="2579"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0B7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合计</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8F6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 </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ACE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rPr>
            </w:pP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3ECFC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9DF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A12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28400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6BA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1C18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340800</w:t>
            </w:r>
          </w:p>
        </w:tc>
      </w:tr>
      <w:tr w14:paraId="3BEA20B2">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6510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B26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电梯维保</w:t>
            </w:r>
          </w:p>
          <w:p w14:paraId="73C6071D">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i w:val="0"/>
                <w:color w:val="auto"/>
                <w:kern w:val="0"/>
                <w:sz w:val="21"/>
                <w:szCs w:val="21"/>
                <w:highlight w:val="none"/>
                <w:u w:val="none"/>
                <w:lang w:val="en-US" w:eastAsia="zh-CN" w:bidi="ar"/>
              </w:rPr>
              <w:t>（单身12/白领10）</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C143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22</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AE9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部</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3055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EED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C68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4E8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8800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235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936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105600</w:t>
            </w:r>
          </w:p>
        </w:tc>
      </w:tr>
      <w:tr w14:paraId="6D1BACE2">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F69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4324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消防维保</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9E1C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2F2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0276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6DDE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3F2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818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BA8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53E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36000</w:t>
            </w:r>
          </w:p>
        </w:tc>
      </w:tr>
      <w:tr w14:paraId="6EF03F51">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AEF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2974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绿化养护</w:t>
            </w:r>
          </w:p>
          <w:p w14:paraId="359C7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（约0.9万m²）</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43D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0C2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2633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21D31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E62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4B9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C46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25F7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30000</w:t>
            </w:r>
          </w:p>
        </w:tc>
      </w:tr>
      <w:tr w14:paraId="079C1759">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804C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C2AC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零星维修/智能维保</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774B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25A9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5FB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AEB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C632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E546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DFEF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0EF3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96000</w:t>
            </w:r>
          </w:p>
        </w:tc>
      </w:tr>
      <w:tr w14:paraId="766A7488">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05F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DA17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垃圾清运</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FE98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474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FDB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E5E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54B4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732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F17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1AE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36000</w:t>
            </w:r>
          </w:p>
        </w:tc>
      </w:tr>
      <w:tr w14:paraId="06120148">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6F84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2A4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公众责任保险</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372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A60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次</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B763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AC81C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70D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6313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55C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AF9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19200</w:t>
            </w:r>
          </w:p>
        </w:tc>
      </w:tr>
      <w:tr w14:paraId="29293E72">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B68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D42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行政办公</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C80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AC41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次</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21F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C18C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E00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FCB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FB56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3A2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18000</w:t>
            </w:r>
          </w:p>
        </w:tc>
      </w:tr>
      <w:tr w14:paraId="73E30546">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3290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w:t>
            </w:r>
            <w:r>
              <w:rPr>
                <w:rFonts w:hint="eastAsia" w:ascii="宋体" w:hAnsi="宋体" w:eastAsia="宋体" w:cs="宋体"/>
                <w:b/>
                <w:bCs/>
                <w:i w:val="0"/>
                <w:iCs w:val="0"/>
                <w:color w:val="000000"/>
                <w:kern w:val="0"/>
                <w:sz w:val="21"/>
                <w:szCs w:val="21"/>
                <w:highlight w:val="none"/>
                <w:u w:val="none"/>
                <w:lang w:val="en-US" w:eastAsia="zh-CN" w:bidi="ar"/>
              </w:rPr>
              <w:t>利润=（当季实际人员费用+当季实际项目费用）*占比8%（以投标费率为准）*考核分值比例</w:t>
            </w:r>
          </w:p>
        </w:tc>
      </w:tr>
      <w:tr w14:paraId="1E451A56">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15B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C8B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项目内容</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47D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月数量</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BA23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月均费用</w:t>
            </w:r>
          </w:p>
        </w:tc>
        <w:tc>
          <w:tcPr>
            <w:tcW w:w="1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39B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占比(报价上限)</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4FD7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B5E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716C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183E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年合计</w:t>
            </w:r>
          </w:p>
        </w:tc>
      </w:tr>
      <w:tr w14:paraId="16AB86CA">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AE1C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2AA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综合利润</w:t>
            </w:r>
          </w:p>
        </w:tc>
        <w:tc>
          <w:tcPr>
            <w:tcW w:w="3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DEE1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2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C9AF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9B8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8DA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8232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716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12817.6</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833B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23F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153811.2 </w:t>
            </w:r>
          </w:p>
        </w:tc>
      </w:tr>
      <w:tr w14:paraId="4221E0FD">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DD37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（四）税费=（人员费用+项目费用+利润）*实际开票税率(暂定)</w:t>
            </w:r>
          </w:p>
        </w:tc>
      </w:tr>
      <w:tr w14:paraId="504BAE28">
        <w:tblPrEx>
          <w:tblCellMar>
            <w:top w:w="0" w:type="dxa"/>
            <w:left w:w="0" w:type="dxa"/>
            <w:bottom w:w="0" w:type="dxa"/>
            <w:right w:w="0" w:type="dxa"/>
          </w:tblCellMar>
        </w:tblPrEx>
        <w:trPr>
          <w:trHeight w:val="400" w:hRule="atLeast"/>
          <w:jc w:val="center"/>
        </w:trPr>
        <w:tc>
          <w:tcPr>
            <w:tcW w:w="63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3B49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2CE4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项目内容</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EA3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月数量</w:t>
            </w:r>
          </w:p>
        </w:tc>
        <w:tc>
          <w:tcPr>
            <w:tcW w:w="9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897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月均费用</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7876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税率(暂定)</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8BB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ACD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5DD5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2A56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年合计</w:t>
            </w:r>
          </w:p>
        </w:tc>
      </w:tr>
      <w:tr w14:paraId="1D177956">
        <w:tblPrEx>
          <w:tblCellMar>
            <w:top w:w="0" w:type="dxa"/>
            <w:left w:w="0" w:type="dxa"/>
            <w:bottom w:w="0" w:type="dxa"/>
            <w:right w:w="0" w:type="dxa"/>
          </w:tblCellMar>
        </w:tblPrEx>
        <w:trPr>
          <w:trHeight w:val="400" w:hRule="atLeast"/>
          <w:jc w:val="center"/>
        </w:trPr>
        <w:tc>
          <w:tcPr>
            <w:tcW w:w="63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6F7B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D99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开票税费</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44F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2B8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619F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highlight w:val="none"/>
                <w:lang w:val="en-US"/>
              </w:rPr>
            </w:pP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D4F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E91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lang w:val="en-US"/>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613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10382.26</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B5C3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642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 xml:space="preserve">124587.07 </w:t>
            </w:r>
          </w:p>
        </w:tc>
      </w:tr>
    </w:tbl>
    <w:p w14:paraId="589A7060">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四、物业服务内容</w:t>
      </w:r>
    </w:p>
    <w:p w14:paraId="3843F5E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中标人提供的物业服务标准需达到《滁州市城区住宅小区物业服务等级标准（建物〔2019〕102号）A级服务和安徽省住房和城乡建设厅与安徽省质量技术监督局联合发布-住宅区物业服务标准DB34/ 5000-2013中A级服务等级，包括并不限于以下事项：</w:t>
      </w:r>
    </w:p>
    <w:p w14:paraId="1B773657">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1.客户服务。</w:t>
      </w:r>
      <w:r>
        <w:rPr>
          <w:rFonts w:hint="eastAsia" w:ascii="宋体" w:hAnsi="宋体" w:eastAsia="宋体" w:cs="宋体"/>
          <w:b w:val="0"/>
          <w:bCs w:val="0"/>
          <w:color w:val="auto"/>
          <w:kern w:val="2"/>
          <w:sz w:val="21"/>
          <w:szCs w:val="21"/>
          <w:highlight w:val="none"/>
          <w:lang w:val="en-US" w:eastAsia="zh-CN" w:bidi="ar-SA"/>
        </w:rPr>
        <w:t>辖区租户日常接待、电话客服、房屋报修等客户服务，招标人和房屋租赁企业对中标人的年度满意率达到90%以上；</w:t>
      </w:r>
    </w:p>
    <w:p w14:paraId="6A6A20A8">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2.房屋共用部位管理。</w:t>
      </w:r>
      <w:r>
        <w:rPr>
          <w:rFonts w:hint="eastAsia" w:ascii="宋体" w:hAnsi="宋体" w:eastAsia="宋体" w:cs="宋体"/>
          <w:b w:val="0"/>
          <w:bCs w:val="0"/>
          <w:color w:val="auto"/>
          <w:kern w:val="2"/>
          <w:sz w:val="21"/>
          <w:szCs w:val="21"/>
          <w:highlight w:val="none"/>
          <w:lang w:val="en-US" w:eastAsia="zh-CN" w:bidi="ar-SA"/>
        </w:rPr>
        <w:t>辖区所有房屋共用部位（房屋主体承重结构部位、户外墙面、门厅、楼梯间、地面架空层、走廊通道等）维修养护管理、定期组织开展房屋共用部位使用状况检查、巡查区域内私搭乱建和擅自改变房屋用途以及违规规约事宜、租户室内装饰装修管理服务、房屋租赁管理服务（公寓和会所等房屋的入驻、装修、使用、退出和空置房屋管理等），协助招标人办理租赁合同的签订、续签和变更等相关手续，租户租金、保证金和水电气等项目费用管理和代收服务。</w:t>
      </w:r>
    </w:p>
    <w:p w14:paraId="1EB6117E">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3.共用设施设备管理。</w:t>
      </w:r>
      <w:r>
        <w:rPr>
          <w:rFonts w:hint="eastAsia" w:ascii="宋体" w:hAnsi="宋体" w:eastAsia="宋体" w:cs="宋体"/>
          <w:b w:val="0"/>
          <w:bCs w:val="0"/>
          <w:color w:val="auto"/>
          <w:kern w:val="2"/>
          <w:sz w:val="21"/>
          <w:szCs w:val="21"/>
          <w:highlight w:val="none"/>
          <w:lang w:val="en-US" w:eastAsia="zh-CN" w:bidi="ar-SA"/>
        </w:rPr>
        <w:t>辖区内共用设施设备（共用上下水管道、落水管、水箱、加压水泵、供配电、电梯、天线、照明、发电机、消防设施、绿地、道路、路灯、露天广场、车场车库、文体器械和场地等）管理养护，包括电梯系统管理、消防系统管理、给排水系统管理、供电系统管理（含照明系统）、安全技术防范系统管理、防雷设施管理、道路设施管理和其他设施管理（地下车库/人防工程、非机动车层、健身器材等）。</w:t>
      </w:r>
    </w:p>
    <w:p w14:paraId="4B4DDB4C">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4.公共秩序管理。</w:t>
      </w:r>
      <w:r>
        <w:rPr>
          <w:rFonts w:hint="eastAsia" w:ascii="宋体" w:hAnsi="宋体" w:eastAsia="宋体" w:cs="宋体"/>
          <w:b w:val="0"/>
          <w:bCs w:val="0"/>
          <w:color w:val="auto"/>
          <w:kern w:val="2"/>
          <w:sz w:val="21"/>
          <w:szCs w:val="21"/>
          <w:highlight w:val="none"/>
          <w:lang w:val="en-US" w:eastAsia="zh-CN" w:bidi="ar-SA"/>
        </w:rPr>
        <w:t>辖区内公共秩序维护管理，包括安全防范管理、消防管理、车辆管理、后勤服务管理等事宜。</w:t>
      </w:r>
    </w:p>
    <w:p w14:paraId="6D4BBAF4">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5.环境卫生管理。</w:t>
      </w:r>
      <w:r>
        <w:rPr>
          <w:rFonts w:hint="eastAsia" w:ascii="宋体" w:hAnsi="宋体" w:eastAsia="宋体" w:cs="宋体"/>
          <w:b w:val="0"/>
          <w:bCs w:val="0"/>
          <w:color w:val="auto"/>
          <w:kern w:val="2"/>
          <w:sz w:val="21"/>
          <w:szCs w:val="21"/>
          <w:highlight w:val="none"/>
          <w:lang w:val="en-US" w:eastAsia="zh-CN" w:bidi="ar-SA"/>
        </w:rPr>
        <w:t>辖区内公共部位的环境卫生清洁，包括楼顶门厅保洁、楼道和楼梯保洁、电梯内外保洁、楼外道路保洁、公共设施保洁、天台屋面保洁、车库保洁、绿化园林保洁、空置房屋保洁、垃圾收集清运、有害生物预防和控制等。</w:t>
      </w:r>
    </w:p>
    <w:p w14:paraId="076EED32">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6.绿化与园林小品管理。</w:t>
      </w:r>
      <w:r>
        <w:rPr>
          <w:rFonts w:hint="eastAsia" w:ascii="宋体" w:hAnsi="宋体" w:eastAsia="宋体" w:cs="宋体"/>
          <w:b w:val="0"/>
          <w:bCs w:val="0"/>
          <w:color w:val="auto"/>
          <w:kern w:val="2"/>
          <w:sz w:val="21"/>
          <w:szCs w:val="21"/>
          <w:highlight w:val="none"/>
          <w:lang w:val="en-US" w:eastAsia="zh-CN" w:bidi="ar-SA"/>
        </w:rPr>
        <w:t>辖区内绿化和园林小品养护管理，包括日常绿化修剪、灌溉、施肥；绿化补值补种、树干涂白、病虫害防治等。</w:t>
      </w:r>
    </w:p>
    <w:p w14:paraId="6B174F22">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7.区域文化建设管理。</w:t>
      </w:r>
      <w:r>
        <w:rPr>
          <w:rFonts w:hint="eastAsia" w:ascii="宋体" w:hAnsi="宋体" w:eastAsia="宋体" w:cs="宋体"/>
          <w:b w:val="0"/>
          <w:bCs w:val="0"/>
          <w:color w:val="auto"/>
          <w:kern w:val="2"/>
          <w:sz w:val="21"/>
          <w:szCs w:val="21"/>
          <w:highlight w:val="none"/>
          <w:lang w:val="en-US" w:eastAsia="zh-CN" w:bidi="ar-SA"/>
        </w:rPr>
        <w:t>辖区社区文化活动服务管理，根据项目租户群体和社区文化活动要求，开展区域文化建设服务工作。</w:t>
      </w:r>
    </w:p>
    <w:p w14:paraId="092B394C">
      <w:pPr>
        <w:keepNext w:val="0"/>
        <w:keepLines w:val="0"/>
        <w:pageBreakBefore w:val="0"/>
        <w:widowControl/>
        <w:kinsoku/>
        <w:wordWrap/>
        <w:overflowPunct/>
        <w:topLinePunct w:val="0"/>
        <w:autoSpaceDE/>
        <w:autoSpaceDN/>
        <w:bidi w:val="0"/>
        <w:adjustRightInd/>
        <w:snapToGrid/>
        <w:spacing w:after="0" w:line="360" w:lineRule="exact"/>
        <w:ind w:left="0" w:leftChars="0"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w:t>
      </w:r>
      <w:r>
        <w:rPr>
          <w:rFonts w:hint="eastAsia" w:ascii="宋体" w:hAnsi="宋体" w:cs="宋体"/>
          <w:b/>
          <w:bCs/>
          <w:color w:val="auto"/>
          <w:kern w:val="2"/>
          <w:sz w:val="21"/>
          <w:szCs w:val="21"/>
          <w:highlight w:val="none"/>
          <w:lang w:val="en-US" w:eastAsia="zh-CN" w:bidi="ar-SA"/>
        </w:rPr>
        <w:t>园区生活配套服务</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如招标人需启动园区生活配套服务设施（如超市、食堂等），可委托中标人进行经营管理，具体要求另行协商</w:t>
      </w:r>
      <w:r>
        <w:rPr>
          <w:rFonts w:hint="eastAsia" w:ascii="宋体" w:hAnsi="宋体" w:eastAsia="宋体" w:cs="宋体"/>
          <w:b w:val="0"/>
          <w:bCs w:val="0"/>
          <w:color w:val="auto"/>
          <w:kern w:val="2"/>
          <w:sz w:val="21"/>
          <w:szCs w:val="21"/>
          <w:highlight w:val="none"/>
          <w:lang w:val="en-US" w:eastAsia="zh-CN" w:bidi="ar-SA"/>
        </w:rPr>
        <w:t xml:space="preserve">。 </w:t>
      </w:r>
    </w:p>
    <w:p w14:paraId="1D8A9E65">
      <w:pPr>
        <w:keepNext w:val="0"/>
        <w:keepLines w:val="0"/>
        <w:pageBreakBefore w:val="0"/>
        <w:widowControl/>
        <w:kinsoku/>
        <w:wordWrap/>
        <w:overflowPunct/>
        <w:topLinePunct w:val="0"/>
        <w:autoSpaceDE/>
        <w:autoSpaceDN/>
        <w:bidi w:val="0"/>
        <w:adjustRightInd/>
        <w:snapToGrid/>
        <w:spacing w:after="0" w:line="360" w:lineRule="exact"/>
        <w:ind w:left="0" w:leftChars="0"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9</w:t>
      </w:r>
      <w:r>
        <w:rPr>
          <w:rFonts w:hint="eastAsia" w:ascii="宋体" w:hAnsi="宋体" w:eastAsia="宋体" w:cs="宋体"/>
          <w:b/>
          <w:bCs/>
          <w:color w:val="auto"/>
          <w:kern w:val="2"/>
          <w:sz w:val="21"/>
          <w:szCs w:val="21"/>
          <w:highlight w:val="none"/>
          <w:lang w:val="en-US" w:eastAsia="zh-CN" w:bidi="ar-SA"/>
        </w:rPr>
        <w:t>.其他服务工作。</w:t>
      </w:r>
      <w:r>
        <w:rPr>
          <w:rFonts w:hint="eastAsia" w:ascii="宋体" w:hAnsi="宋体" w:eastAsia="宋体" w:cs="宋体"/>
          <w:b w:val="0"/>
          <w:bCs w:val="0"/>
          <w:color w:val="auto"/>
          <w:kern w:val="2"/>
          <w:sz w:val="21"/>
          <w:szCs w:val="21"/>
          <w:highlight w:val="none"/>
          <w:lang w:val="en-US" w:eastAsia="zh-CN" w:bidi="ar-SA"/>
        </w:rPr>
        <w:t xml:space="preserve">辖区其他物业管理范畴（突发事件应急管理等）的服务和招标人交办的其他工作。 </w:t>
      </w:r>
    </w:p>
    <w:p w14:paraId="4D523CC7">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上述物业服务质量不低于物业管理服务的行业指导标准，达到约定的标准。</w:t>
      </w:r>
    </w:p>
    <w:p w14:paraId="62440E6D">
      <w:pPr>
        <w:keepNext w:val="0"/>
        <w:keepLines w:val="0"/>
        <w:pageBreakBefore w:val="0"/>
        <w:kinsoku/>
        <w:wordWrap/>
        <w:overflowPunct/>
        <w:topLinePunct w:val="0"/>
        <w:autoSpaceDE/>
        <w:autoSpaceDN/>
        <w:bidi w:val="0"/>
        <w:adjustRightInd/>
        <w:snapToGrid/>
        <w:spacing w:line="36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五、季度物业考核标准</w:t>
      </w:r>
    </w:p>
    <w:p w14:paraId="57B722E0">
      <w:pPr>
        <w:pStyle w:val="13"/>
        <w:keepNext w:val="0"/>
        <w:keepLines w:val="0"/>
        <w:pageBreakBefore w:val="0"/>
        <w:kinsoku/>
        <w:wordWrap/>
        <w:overflowPunct/>
        <w:topLinePunct w:val="0"/>
        <w:autoSpaceDE/>
        <w:autoSpaceDN/>
        <w:bidi w:val="0"/>
        <w:adjustRightInd/>
        <w:snapToGrid/>
        <w:spacing w:line="360" w:lineRule="exact"/>
        <w:ind w:left="0" w:leftChars="0" w:firstLine="0" w:firstLineChars="0"/>
        <w:jc w:val="center"/>
        <w:outlineLvl w:val="0"/>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后勤服务中心(公租房)季度物业考核标准</w:t>
      </w:r>
    </w:p>
    <w:p w14:paraId="7799FF5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考核季度：    年第   季度（   月-  月 ）                 考核时间：   年   月    日</w:t>
      </w:r>
    </w:p>
    <w:tbl>
      <w:tblPr>
        <w:tblStyle w:val="38"/>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36"/>
        <w:gridCol w:w="742"/>
        <w:gridCol w:w="1883"/>
        <w:gridCol w:w="1687"/>
        <w:gridCol w:w="2068"/>
        <w:gridCol w:w="658"/>
        <w:gridCol w:w="4"/>
        <w:gridCol w:w="763"/>
        <w:gridCol w:w="388"/>
        <w:gridCol w:w="888"/>
      </w:tblGrid>
      <w:tr w14:paraId="77AA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4" w:type="dxa"/>
            <w:noWrap w:val="0"/>
            <w:vAlign w:val="center"/>
          </w:tcPr>
          <w:p w14:paraId="258D044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7274" w:type="dxa"/>
            <w:gridSpan w:val="6"/>
            <w:noWrap w:val="0"/>
            <w:vAlign w:val="center"/>
          </w:tcPr>
          <w:p w14:paraId="6D8333B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考核内容</w:t>
            </w:r>
          </w:p>
        </w:tc>
        <w:tc>
          <w:tcPr>
            <w:tcW w:w="1155" w:type="dxa"/>
            <w:gridSpan w:val="3"/>
            <w:noWrap w:val="0"/>
            <w:vAlign w:val="center"/>
          </w:tcPr>
          <w:p w14:paraId="0491FE9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分值</w:t>
            </w:r>
          </w:p>
        </w:tc>
        <w:tc>
          <w:tcPr>
            <w:tcW w:w="888" w:type="dxa"/>
            <w:noWrap w:val="0"/>
            <w:vAlign w:val="center"/>
          </w:tcPr>
          <w:p w14:paraId="07531C1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扣分</w:t>
            </w:r>
          </w:p>
        </w:tc>
      </w:tr>
      <w:tr w14:paraId="203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71" w:type="dxa"/>
            <w:gridSpan w:val="11"/>
            <w:noWrap w:val="0"/>
            <w:vAlign w:val="center"/>
          </w:tcPr>
          <w:p w14:paraId="7BD000A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一、综合管理（10%/10分）</w:t>
            </w:r>
          </w:p>
        </w:tc>
      </w:tr>
      <w:tr w14:paraId="5E58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5F59E2F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7274" w:type="dxa"/>
            <w:gridSpan w:val="6"/>
            <w:noWrap w:val="0"/>
            <w:vAlign w:val="center"/>
          </w:tcPr>
          <w:p w14:paraId="620BE14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设置物业服务接待场所，办公区域整洁有序，公示管理服务人员情况、监督和报修电话、各项规章制度、工作流程等，配置能满足物业服务办公需求的办公家具、计算机、电话、传真机、复印机、考勤机（钉钉或海康威视）、对讲机、巡逻设备、维修工具等办公设施和办公用品</w:t>
            </w:r>
          </w:p>
        </w:tc>
        <w:tc>
          <w:tcPr>
            <w:tcW w:w="1155" w:type="dxa"/>
            <w:gridSpan w:val="3"/>
            <w:noWrap w:val="0"/>
            <w:vAlign w:val="center"/>
          </w:tcPr>
          <w:p w14:paraId="1BBBDBB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E88470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D7B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046E25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7274" w:type="dxa"/>
            <w:gridSpan w:val="6"/>
            <w:noWrap w:val="0"/>
            <w:vAlign w:val="center"/>
          </w:tcPr>
          <w:p w14:paraId="2FB3EFE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1.2物业服务人员按招投标文件和服务合同约定配置齐全，各专业人员有相应资格证书或操作上岗证，入职人员有岗前培训和日常专业技能培训，统一着装、佩戴服务标识（牌）</w:t>
            </w:r>
          </w:p>
        </w:tc>
        <w:tc>
          <w:tcPr>
            <w:tcW w:w="1155" w:type="dxa"/>
            <w:gridSpan w:val="3"/>
            <w:noWrap w:val="0"/>
            <w:vAlign w:val="center"/>
          </w:tcPr>
          <w:p w14:paraId="16D1147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7C857E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004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9DEDEF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7274" w:type="dxa"/>
            <w:gridSpan w:val="6"/>
            <w:noWrap w:val="0"/>
            <w:vAlign w:val="center"/>
          </w:tcPr>
          <w:p w14:paraId="5989396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1.3服务人员行为规范，服务主动、细致、热情、周到，使用普通话，用语准确、称呼恰当、问候亲切，使用文明用语</w:t>
            </w:r>
          </w:p>
        </w:tc>
        <w:tc>
          <w:tcPr>
            <w:tcW w:w="1155" w:type="dxa"/>
            <w:gridSpan w:val="3"/>
            <w:noWrap w:val="0"/>
            <w:vAlign w:val="center"/>
          </w:tcPr>
          <w:p w14:paraId="344086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33FE1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9CC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4" w:type="dxa"/>
            <w:noWrap w:val="0"/>
            <w:vAlign w:val="center"/>
          </w:tcPr>
          <w:p w14:paraId="373C7A1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7274" w:type="dxa"/>
            <w:gridSpan w:val="6"/>
            <w:noWrap w:val="0"/>
            <w:vAlign w:val="center"/>
          </w:tcPr>
          <w:p w14:paraId="4B89D2D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1.4每季度以书面形式向业主单位提交物业服务合同履行情况、运营报告</w:t>
            </w:r>
          </w:p>
        </w:tc>
        <w:tc>
          <w:tcPr>
            <w:tcW w:w="1155" w:type="dxa"/>
            <w:gridSpan w:val="3"/>
            <w:noWrap w:val="0"/>
            <w:vAlign w:val="center"/>
          </w:tcPr>
          <w:p w14:paraId="38D8D08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2844C5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7D1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07B9D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7274" w:type="dxa"/>
            <w:gridSpan w:val="6"/>
            <w:noWrap w:val="0"/>
            <w:vAlign w:val="center"/>
          </w:tcPr>
          <w:p w14:paraId="0999B46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1.5制定消防、电梯、给排水、供配电等共用设施设备事故应急预案，制定自然灾害、公共卫生、治安、交通等方面突发事件的配合性预案，应急预案定期演练并作好记录</w:t>
            </w:r>
          </w:p>
        </w:tc>
        <w:tc>
          <w:tcPr>
            <w:tcW w:w="1155" w:type="dxa"/>
            <w:gridSpan w:val="3"/>
            <w:noWrap w:val="0"/>
            <w:vAlign w:val="center"/>
          </w:tcPr>
          <w:p w14:paraId="53F806E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26CF50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C14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7073E4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7274" w:type="dxa"/>
            <w:gridSpan w:val="6"/>
            <w:noWrap w:val="0"/>
            <w:vAlign w:val="center"/>
          </w:tcPr>
          <w:p w14:paraId="4876BE3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1.6建立项目服务人员培训体系，根据不同岗位特点制订并落实分类培训计划</w:t>
            </w:r>
          </w:p>
        </w:tc>
        <w:tc>
          <w:tcPr>
            <w:tcW w:w="1155" w:type="dxa"/>
            <w:gridSpan w:val="3"/>
            <w:noWrap w:val="0"/>
            <w:vAlign w:val="center"/>
          </w:tcPr>
          <w:p w14:paraId="587F7AD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4E8AD0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7BC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4432B3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7274" w:type="dxa"/>
            <w:gridSpan w:val="6"/>
            <w:noWrap w:val="0"/>
            <w:vAlign w:val="center"/>
          </w:tcPr>
          <w:p w14:paraId="12D13ED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1.7对小区内房屋建筑、设施设备、绿化、保洁、安保、环境等实施专业化管理，提供多种便民和特色服务</w:t>
            </w:r>
          </w:p>
        </w:tc>
        <w:tc>
          <w:tcPr>
            <w:tcW w:w="1155" w:type="dxa"/>
            <w:gridSpan w:val="3"/>
            <w:noWrap w:val="0"/>
            <w:vAlign w:val="center"/>
          </w:tcPr>
          <w:p w14:paraId="01937DF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78833E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74A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6FF56B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7274" w:type="dxa"/>
            <w:gridSpan w:val="6"/>
            <w:noWrap w:val="0"/>
            <w:vAlign w:val="center"/>
          </w:tcPr>
          <w:p w14:paraId="71D013F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1.8建立24小值班制度，公示24小时服务电话，及时处理租户对小区管理方面的投诉和建议，受理租户投诉，应核实情况做好记录，及时处理登记存档。</w:t>
            </w:r>
          </w:p>
        </w:tc>
        <w:tc>
          <w:tcPr>
            <w:tcW w:w="1155" w:type="dxa"/>
            <w:gridSpan w:val="3"/>
            <w:noWrap w:val="0"/>
            <w:vAlign w:val="center"/>
          </w:tcPr>
          <w:p w14:paraId="7C049B3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243A17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D73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991E7A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7274" w:type="dxa"/>
            <w:gridSpan w:val="6"/>
            <w:noWrap w:val="0"/>
            <w:vAlign w:val="center"/>
          </w:tcPr>
          <w:p w14:paraId="3B5CAB7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1.9接管物业项目时，对小区共用部位、共用设施设备、房屋情况等进行承接查验，日常定期按承接查验标准进行巡查，及时收集汇总相关问题并形成书面材料提出相关建议</w:t>
            </w:r>
          </w:p>
        </w:tc>
        <w:tc>
          <w:tcPr>
            <w:tcW w:w="1155" w:type="dxa"/>
            <w:gridSpan w:val="3"/>
            <w:noWrap w:val="0"/>
            <w:vAlign w:val="center"/>
          </w:tcPr>
          <w:p w14:paraId="5DE8CEF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846353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2BF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BD19DB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7274" w:type="dxa"/>
            <w:gridSpan w:val="6"/>
            <w:noWrap w:val="0"/>
            <w:vAlign w:val="center"/>
          </w:tcPr>
          <w:p w14:paraId="572B066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1.10主动接受居委会的领导，加强与租户的沟通，配合办事处、居委会、派出所等行政主管部门开展社区工作</w:t>
            </w:r>
          </w:p>
        </w:tc>
        <w:tc>
          <w:tcPr>
            <w:tcW w:w="1155" w:type="dxa"/>
            <w:gridSpan w:val="3"/>
            <w:noWrap w:val="0"/>
            <w:vAlign w:val="center"/>
          </w:tcPr>
          <w:p w14:paraId="6C8C908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00825B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AA7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2" w:type="dxa"/>
            <w:gridSpan w:val="8"/>
            <w:noWrap w:val="0"/>
            <w:vAlign w:val="center"/>
          </w:tcPr>
          <w:p w14:paraId="670E6E4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第一项小计</w:t>
            </w:r>
          </w:p>
        </w:tc>
        <w:tc>
          <w:tcPr>
            <w:tcW w:w="1151" w:type="dxa"/>
            <w:gridSpan w:val="2"/>
            <w:noWrap w:val="0"/>
            <w:vAlign w:val="center"/>
          </w:tcPr>
          <w:p w14:paraId="3808846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3F42015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D1E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71" w:type="dxa"/>
            <w:gridSpan w:val="11"/>
            <w:noWrap w:val="0"/>
            <w:vAlign w:val="center"/>
          </w:tcPr>
          <w:p w14:paraId="6E5C5EF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二、租赁管理（10%/10分）</w:t>
            </w:r>
          </w:p>
        </w:tc>
      </w:tr>
      <w:tr w14:paraId="238B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1473795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7274" w:type="dxa"/>
            <w:gridSpan w:val="6"/>
            <w:noWrap w:val="0"/>
            <w:vAlign w:val="center"/>
          </w:tcPr>
          <w:p w14:paraId="26AD113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2.1做好租户入住和退出管理，办理租赁合同的签订、续签、变更手续，采集住户基本信息，建立住户档案、空置房、机动车辆等租赁档案和动态信息</w:t>
            </w:r>
          </w:p>
        </w:tc>
        <w:tc>
          <w:tcPr>
            <w:tcW w:w="1155" w:type="dxa"/>
            <w:gridSpan w:val="3"/>
            <w:noWrap w:val="0"/>
            <w:vAlign w:val="center"/>
          </w:tcPr>
          <w:p w14:paraId="0FE0500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507409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46F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A8BEAA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7274" w:type="dxa"/>
            <w:gridSpan w:val="6"/>
            <w:noWrap w:val="0"/>
            <w:vAlign w:val="center"/>
          </w:tcPr>
          <w:p w14:paraId="40AF454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2.2按财务工作规定和程序，建立健全租金、保证金和水电费台账，按租赁合同约定做好租户各类费用收缴工作，定期统计并上报业主单位</w:t>
            </w:r>
          </w:p>
        </w:tc>
        <w:tc>
          <w:tcPr>
            <w:tcW w:w="1155" w:type="dxa"/>
            <w:gridSpan w:val="3"/>
            <w:noWrap w:val="0"/>
            <w:vAlign w:val="center"/>
          </w:tcPr>
          <w:p w14:paraId="32D0030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5D4AC0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D7B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5B82F4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7274" w:type="dxa"/>
            <w:gridSpan w:val="6"/>
            <w:noWrap w:val="0"/>
            <w:vAlign w:val="center"/>
          </w:tcPr>
          <w:p w14:paraId="797B8C0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2.3按月统计上报空置房情况，做好空置房的清洁、维修等管理事务</w:t>
            </w:r>
          </w:p>
        </w:tc>
        <w:tc>
          <w:tcPr>
            <w:tcW w:w="1155" w:type="dxa"/>
            <w:gridSpan w:val="3"/>
            <w:noWrap w:val="0"/>
            <w:vAlign w:val="center"/>
          </w:tcPr>
          <w:p w14:paraId="302AAF2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477937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8C4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CDCA4D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7274" w:type="dxa"/>
            <w:gridSpan w:val="6"/>
            <w:noWrap w:val="0"/>
            <w:vAlign w:val="center"/>
          </w:tcPr>
          <w:p w14:paraId="306753D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2.4建立入户回访和日常巡查制度，充分发挥物业管家服务职能，按月进行入户回访和安全检查</w:t>
            </w:r>
          </w:p>
        </w:tc>
        <w:tc>
          <w:tcPr>
            <w:tcW w:w="1155" w:type="dxa"/>
            <w:gridSpan w:val="3"/>
            <w:noWrap w:val="0"/>
            <w:vAlign w:val="center"/>
          </w:tcPr>
          <w:p w14:paraId="07D3964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6694BB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F47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A30E2E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7274" w:type="dxa"/>
            <w:gridSpan w:val="6"/>
            <w:noWrap w:val="0"/>
            <w:vAlign w:val="center"/>
          </w:tcPr>
          <w:p w14:paraId="725FF87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2.5及时发现、处置违法、违规、违约使用公租房行为并上报，负责向当事人追偿损失或落实恢复原状</w:t>
            </w:r>
          </w:p>
        </w:tc>
        <w:tc>
          <w:tcPr>
            <w:tcW w:w="1155" w:type="dxa"/>
            <w:gridSpan w:val="3"/>
            <w:noWrap w:val="0"/>
            <w:vAlign w:val="center"/>
          </w:tcPr>
          <w:p w14:paraId="604619D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AEDF52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C8C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EE4B7A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7274" w:type="dxa"/>
            <w:gridSpan w:val="6"/>
            <w:noWrap w:val="0"/>
            <w:vAlign w:val="center"/>
          </w:tcPr>
          <w:p w14:paraId="14AE683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2.6管理、配置小区文化娱乐活动场所（棋牌、球类等），每日开放，每月组织开展不少于1次活动，不定期开展小区公益服务（健康义诊、便民维修等），做好社区文化体系建设</w:t>
            </w:r>
          </w:p>
        </w:tc>
        <w:tc>
          <w:tcPr>
            <w:tcW w:w="1155" w:type="dxa"/>
            <w:gridSpan w:val="3"/>
            <w:noWrap w:val="0"/>
            <w:vAlign w:val="center"/>
          </w:tcPr>
          <w:p w14:paraId="3BDF477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ECF290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CE7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20B197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7274" w:type="dxa"/>
            <w:gridSpan w:val="6"/>
            <w:noWrap w:val="0"/>
            <w:vAlign w:val="center"/>
          </w:tcPr>
          <w:p w14:paraId="3C81D01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2.7及时处理小区房屋租赁事务和纠纷，与入住企业宿管等管理方加强沟通，做好防火、防盗工作</w:t>
            </w:r>
          </w:p>
        </w:tc>
        <w:tc>
          <w:tcPr>
            <w:tcW w:w="1155" w:type="dxa"/>
            <w:gridSpan w:val="3"/>
            <w:noWrap w:val="0"/>
            <w:vAlign w:val="center"/>
          </w:tcPr>
          <w:p w14:paraId="431F691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AC2183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423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B5B091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7274" w:type="dxa"/>
            <w:gridSpan w:val="6"/>
            <w:noWrap w:val="0"/>
            <w:vAlign w:val="center"/>
          </w:tcPr>
          <w:p w14:paraId="265CE98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2.8加强房屋安全使用的预防宣传，建立安全生产巡查制度</w:t>
            </w:r>
          </w:p>
        </w:tc>
        <w:tc>
          <w:tcPr>
            <w:tcW w:w="1155" w:type="dxa"/>
            <w:gridSpan w:val="3"/>
            <w:noWrap w:val="0"/>
            <w:vAlign w:val="center"/>
          </w:tcPr>
          <w:p w14:paraId="4797D55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E19937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01F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D5E752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7274" w:type="dxa"/>
            <w:gridSpan w:val="6"/>
            <w:noWrap w:val="0"/>
            <w:vAlign w:val="center"/>
          </w:tcPr>
          <w:p w14:paraId="398A465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2.9根据公租房管理办法，做好各类材料统计上报工作</w:t>
            </w:r>
          </w:p>
        </w:tc>
        <w:tc>
          <w:tcPr>
            <w:tcW w:w="1155" w:type="dxa"/>
            <w:gridSpan w:val="3"/>
            <w:noWrap w:val="0"/>
            <w:vAlign w:val="center"/>
          </w:tcPr>
          <w:p w14:paraId="6871EB1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ACEE9C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C94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05B068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7274" w:type="dxa"/>
            <w:gridSpan w:val="6"/>
            <w:noWrap w:val="0"/>
            <w:vAlign w:val="center"/>
          </w:tcPr>
          <w:p w14:paraId="04FEF44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2.10及时报备媒体采访报道、上级领导或相关单位的巡检、参观工作。未经通知的媒体采访，及时报告业主单位，按要求处置</w:t>
            </w:r>
          </w:p>
        </w:tc>
        <w:tc>
          <w:tcPr>
            <w:tcW w:w="1155" w:type="dxa"/>
            <w:gridSpan w:val="3"/>
            <w:noWrap w:val="0"/>
            <w:vAlign w:val="center"/>
          </w:tcPr>
          <w:p w14:paraId="146B6BD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28BDF4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0B1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58D0CBF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第二项小计</w:t>
            </w:r>
          </w:p>
        </w:tc>
        <w:tc>
          <w:tcPr>
            <w:tcW w:w="1151" w:type="dxa"/>
            <w:gridSpan w:val="2"/>
            <w:noWrap w:val="0"/>
            <w:vAlign w:val="center"/>
          </w:tcPr>
          <w:p w14:paraId="097CDA3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2935CE4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242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971" w:type="dxa"/>
            <w:gridSpan w:val="11"/>
            <w:noWrap w:val="0"/>
            <w:vAlign w:val="center"/>
          </w:tcPr>
          <w:p w14:paraId="65B0621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三、房屋管理（7%/7分）</w:t>
            </w:r>
          </w:p>
        </w:tc>
      </w:tr>
      <w:tr w14:paraId="2D5B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245169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7274" w:type="dxa"/>
            <w:gridSpan w:val="6"/>
            <w:noWrap w:val="0"/>
            <w:vAlign w:val="center"/>
          </w:tcPr>
          <w:p w14:paraId="70632DD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3.1每年两次以上对房屋结构、涉及使用安全的部位进行检查并有记录，发现损坏及时告知租户、业主单位并安排专项维修</w:t>
            </w:r>
          </w:p>
        </w:tc>
        <w:tc>
          <w:tcPr>
            <w:tcW w:w="1155" w:type="dxa"/>
            <w:gridSpan w:val="3"/>
            <w:noWrap w:val="0"/>
            <w:vAlign w:val="center"/>
          </w:tcPr>
          <w:p w14:paraId="370B8A5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921C7D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64E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D88A19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7274" w:type="dxa"/>
            <w:gridSpan w:val="6"/>
            <w:noWrap w:val="0"/>
            <w:vAlign w:val="center"/>
          </w:tcPr>
          <w:p w14:paraId="4E65245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3.2定期做好房屋屋面、地漏、单元门、楼梯、通道、窗等共用部位巡查，发现损坏及时维修养护并做好记录</w:t>
            </w:r>
          </w:p>
        </w:tc>
        <w:tc>
          <w:tcPr>
            <w:tcW w:w="1155" w:type="dxa"/>
            <w:gridSpan w:val="3"/>
            <w:noWrap w:val="0"/>
            <w:vAlign w:val="center"/>
          </w:tcPr>
          <w:p w14:paraId="0637A4B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B51A17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80C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F9CD4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w:t>
            </w:r>
          </w:p>
        </w:tc>
        <w:tc>
          <w:tcPr>
            <w:tcW w:w="7274" w:type="dxa"/>
            <w:gridSpan w:val="6"/>
            <w:noWrap w:val="0"/>
            <w:vAlign w:val="center"/>
          </w:tcPr>
          <w:p w14:paraId="126A1AC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3.3门窗无破损，楼梯、通道以及楼顶无乱堆乱放现象，屋面无渗漏和积水，地漏无堵塞，楼顶进入有监控措施，物业采取必要的安全保障措施防止租户从建筑物中抛掷物品造成他人损害</w:t>
            </w:r>
          </w:p>
        </w:tc>
        <w:tc>
          <w:tcPr>
            <w:tcW w:w="1155" w:type="dxa"/>
            <w:gridSpan w:val="3"/>
            <w:noWrap w:val="0"/>
            <w:vAlign w:val="center"/>
          </w:tcPr>
          <w:p w14:paraId="2572DE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8AC431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E69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1E0AD4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w:t>
            </w:r>
          </w:p>
        </w:tc>
        <w:tc>
          <w:tcPr>
            <w:tcW w:w="7274" w:type="dxa"/>
            <w:gridSpan w:val="6"/>
            <w:noWrap w:val="0"/>
            <w:vAlign w:val="center"/>
          </w:tcPr>
          <w:p w14:paraId="4F81A6A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3.4定期巡查房屋使用状况，发现梁、板、柱等承重结构有变形、开裂等现象时，应及时建议业主单位申请房屋安全鉴定，并采取必要的警示和防护措施</w:t>
            </w:r>
          </w:p>
        </w:tc>
        <w:tc>
          <w:tcPr>
            <w:tcW w:w="1155" w:type="dxa"/>
            <w:gridSpan w:val="3"/>
            <w:noWrap w:val="0"/>
            <w:vAlign w:val="center"/>
          </w:tcPr>
          <w:p w14:paraId="2E9B4ED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BB2AC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5F4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E71691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w:t>
            </w:r>
          </w:p>
        </w:tc>
        <w:tc>
          <w:tcPr>
            <w:tcW w:w="7274" w:type="dxa"/>
            <w:gridSpan w:val="6"/>
            <w:noWrap w:val="0"/>
            <w:vAlign w:val="center"/>
          </w:tcPr>
          <w:p w14:paraId="552ACAD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3.5房屋外观完好、整洁，空调室外机安装位置统一，冷凝水集中收集排放畅通，管线整齐，美观大方</w:t>
            </w:r>
          </w:p>
        </w:tc>
        <w:tc>
          <w:tcPr>
            <w:tcW w:w="1155" w:type="dxa"/>
            <w:gridSpan w:val="3"/>
            <w:noWrap w:val="0"/>
            <w:vAlign w:val="center"/>
          </w:tcPr>
          <w:p w14:paraId="7571925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681BA1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942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54" w:type="dxa"/>
            <w:noWrap w:val="0"/>
            <w:vAlign w:val="center"/>
          </w:tcPr>
          <w:p w14:paraId="3FB2A15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w:t>
            </w:r>
          </w:p>
        </w:tc>
        <w:tc>
          <w:tcPr>
            <w:tcW w:w="7274" w:type="dxa"/>
            <w:gridSpan w:val="6"/>
            <w:noWrap w:val="0"/>
            <w:vAlign w:val="center"/>
          </w:tcPr>
          <w:p w14:paraId="44E2FF6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在小区主出入口设置小区平面示意图且规范清晰，管理区域安全标识、告示注意事项，明确禁止行为。禁止标志、警告标志、提示标志、消防安全标志、道路交通标志和标线、楼栋层标志、公共信息符号标志、停车场导向标志和设施设备图形符号标志符合相关国标规范</w:t>
            </w:r>
          </w:p>
        </w:tc>
        <w:tc>
          <w:tcPr>
            <w:tcW w:w="1155" w:type="dxa"/>
            <w:gridSpan w:val="3"/>
            <w:noWrap w:val="0"/>
            <w:vAlign w:val="center"/>
          </w:tcPr>
          <w:p w14:paraId="2B1A143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BA9FA0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028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1BF0C3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w:t>
            </w:r>
          </w:p>
        </w:tc>
        <w:tc>
          <w:tcPr>
            <w:tcW w:w="7274" w:type="dxa"/>
            <w:gridSpan w:val="6"/>
            <w:noWrap w:val="0"/>
            <w:vAlign w:val="center"/>
          </w:tcPr>
          <w:p w14:paraId="5E5657B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对租户申报的装饰装修方案进行登记，办理装修施工手续，书面告知租户及施工单位关于装饰装修的禁止行为和注意事项，做好装修现场的消防及安全防范措施，定期巡视装饰装修现场，纠正违规和制止违规行为，制止无效及时上报</w:t>
            </w:r>
          </w:p>
        </w:tc>
        <w:tc>
          <w:tcPr>
            <w:tcW w:w="1155" w:type="dxa"/>
            <w:gridSpan w:val="3"/>
            <w:noWrap w:val="0"/>
            <w:vAlign w:val="center"/>
          </w:tcPr>
          <w:p w14:paraId="451CBCD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9D987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8B3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28" w:type="dxa"/>
            <w:gridSpan w:val="7"/>
            <w:noWrap w:val="0"/>
            <w:vAlign w:val="center"/>
          </w:tcPr>
          <w:p w14:paraId="064B2DC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第三项小计</w:t>
            </w:r>
          </w:p>
        </w:tc>
        <w:tc>
          <w:tcPr>
            <w:tcW w:w="1155" w:type="dxa"/>
            <w:gridSpan w:val="3"/>
            <w:noWrap w:val="0"/>
            <w:vAlign w:val="center"/>
          </w:tcPr>
          <w:p w14:paraId="71C4B19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7分</w:t>
            </w:r>
          </w:p>
        </w:tc>
        <w:tc>
          <w:tcPr>
            <w:tcW w:w="888" w:type="dxa"/>
            <w:noWrap w:val="0"/>
            <w:vAlign w:val="center"/>
          </w:tcPr>
          <w:p w14:paraId="272ADE0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061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71" w:type="dxa"/>
            <w:gridSpan w:val="11"/>
            <w:noWrap w:val="0"/>
            <w:vAlign w:val="center"/>
          </w:tcPr>
          <w:p w14:paraId="4B56396C">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四、安保管理（10%/10分）</w:t>
            </w:r>
          </w:p>
        </w:tc>
      </w:tr>
      <w:tr w14:paraId="7030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58DB390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w:t>
            </w:r>
          </w:p>
        </w:tc>
        <w:tc>
          <w:tcPr>
            <w:tcW w:w="7274" w:type="dxa"/>
            <w:gridSpan w:val="6"/>
            <w:noWrap w:val="0"/>
            <w:vAlign w:val="center"/>
          </w:tcPr>
          <w:p w14:paraId="6F64E2F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4.1安保人员接受过安全技术训练并持证上岗，能能正确使用各类消防、物防、技防器械和设备，熟悉小区环境，熟知治安管理有关法律法规。熟悉各类刑事、治安案件和各类灾害事故的应急预案</w:t>
            </w:r>
          </w:p>
        </w:tc>
        <w:tc>
          <w:tcPr>
            <w:tcW w:w="1155" w:type="dxa"/>
            <w:gridSpan w:val="3"/>
            <w:noWrap w:val="0"/>
            <w:vAlign w:val="center"/>
          </w:tcPr>
          <w:p w14:paraId="7BAC0B4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72889A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D23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77ABC8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w:t>
            </w:r>
          </w:p>
        </w:tc>
        <w:tc>
          <w:tcPr>
            <w:tcW w:w="7274" w:type="dxa"/>
            <w:gridSpan w:val="6"/>
            <w:noWrap w:val="0"/>
            <w:vAlign w:val="center"/>
          </w:tcPr>
          <w:p w14:paraId="6FAEF5D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4.2实行封闭式管理，主出入口和值班室（监控室）24 小时有人值守，门岗实行着制服站岗制度（7：00-8：00，11：30-12：30，14：00-15：00，17：00-18：00），有详细交接班记录和小区外来车辆的登记记录</w:t>
            </w:r>
          </w:p>
        </w:tc>
        <w:tc>
          <w:tcPr>
            <w:tcW w:w="1155" w:type="dxa"/>
            <w:gridSpan w:val="3"/>
            <w:noWrap w:val="0"/>
            <w:vAlign w:val="center"/>
          </w:tcPr>
          <w:p w14:paraId="69362D9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ED90B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313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4" w:type="dxa"/>
            <w:noWrap w:val="0"/>
            <w:vAlign w:val="center"/>
          </w:tcPr>
          <w:p w14:paraId="4FBA449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w:t>
            </w:r>
          </w:p>
        </w:tc>
        <w:tc>
          <w:tcPr>
            <w:tcW w:w="7274" w:type="dxa"/>
            <w:gridSpan w:val="6"/>
            <w:noWrap w:val="0"/>
            <w:vAlign w:val="center"/>
          </w:tcPr>
          <w:p w14:paraId="6FE50BC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4.3对进出车辆进行管理、疏导，保证出入口环境整洁、有序、通畅，对大件物品搬出进行登记，保证车辆进出道闸、地下停车场设施运行良好</w:t>
            </w:r>
          </w:p>
        </w:tc>
        <w:tc>
          <w:tcPr>
            <w:tcW w:w="1155" w:type="dxa"/>
            <w:gridSpan w:val="3"/>
            <w:noWrap w:val="0"/>
            <w:vAlign w:val="center"/>
          </w:tcPr>
          <w:p w14:paraId="46CC04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EA2B00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635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383AEE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w:t>
            </w:r>
          </w:p>
        </w:tc>
        <w:tc>
          <w:tcPr>
            <w:tcW w:w="7274" w:type="dxa"/>
            <w:gridSpan w:val="6"/>
            <w:noWrap w:val="0"/>
            <w:vAlign w:val="center"/>
          </w:tcPr>
          <w:p w14:paraId="3120F99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安保人员按设定路线每2小时巡查一次，安全巡逻重点包括不限于可疑外来人员、堵塞消防通道车辆、乱堆放可燃易燃物品、公共区域水电气等，维持交通秩序劝阻违章停车，确保消防通道畅通，物业按要求配备对进机、警棍、口哨、巡更采集器等安保设备</w:t>
            </w:r>
          </w:p>
        </w:tc>
        <w:tc>
          <w:tcPr>
            <w:tcW w:w="1155" w:type="dxa"/>
            <w:gridSpan w:val="3"/>
            <w:noWrap w:val="0"/>
            <w:vAlign w:val="center"/>
          </w:tcPr>
          <w:p w14:paraId="725F771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D31E0B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23B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F36100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w:t>
            </w:r>
          </w:p>
        </w:tc>
        <w:tc>
          <w:tcPr>
            <w:tcW w:w="7274" w:type="dxa"/>
            <w:gridSpan w:val="6"/>
            <w:noWrap w:val="0"/>
            <w:vAlign w:val="center"/>
          </w:tcPr>
          <w:p w14:paraId="039FCAD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4.5安保人员坚守岗位，忠于职守，严格执行岗位责任制，不脱岗、窜岗、睡岗，注意观察人员进出情况，发现疑点及时询问，敢于制止违法犯罪行为并及时报警，减少小区治安、盗窃等案发率</w:t>
            </w:r>
          </w:p>
        </w:tc>
        <w:tc>
          <w:tcPr>
            <w:tcW w:w="1155" w:type="dxa"/>
            <w:gridSpan w:val="3"/>
            <w:noWrap w:val="0"/>
            <w:vAlign w:val="center"/>
          </w:tcPr>
          <w:p w14:paraId="183E8D1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028E67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88B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62BE8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w:t>
            </w:r>
          </w:p>
        </w:tc>
        <w:tc>
          <w:tcPr>
            <w:tcW w:w="7274" w:type="dxa"/>
            <w:gridSpan w:val="6"/>
            <w:noWrap w:val="0"/>
            <w:vAlign w:val="center"/>
          </w:tcPr>
          <w:p w14:paraId="55B1F37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4.6对火灾、治安等突发事件有应急预案，事发时及时赶到现场采取相应的应对措施，及时报告业主单位和有关部门</w:t>
            </w:r>
          </w:p>
        </w:tc>
        <w:tc>
          <w:tcPr>
            <w:tcW w:w="1155" w:type="dxa"/>
            <w:gridSpan w:val="3"/>
            <w:noWrap w:val="0"/>
            <w:vAlign w:val="center"/>
          </w:tcPr>
          <w:p w14:paraId="25D4C8E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130620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4FA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6050E2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w:t>
            </w:r>
          </w:p>
        </w:tc>
        <w:tc>
          <w:tcPr>
            <w:tcW w:w="7274" w:type="dxa"/>
            <w:gridSpan w:val="6"/>
            <w:noWrap w:val="0"/>
            <w:vAlign w:val="center"/>
          </w:tcPr>
          <w:p w14:paraId="1550E8F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4.7监控室实施24小时专人值守，熟悉监控设备操作，对监控设备反映的异常信息实施管理并及时处理上报</w:t>
            </w:r>
          </w:p>
        </w:tc>
        <w:tc>
          <w:tcPr>
            <w:tcW w:w="1155" w:type="dxa"/>
            <w:gridSpan w:val="3"/>
            <w:noWrap w:val="0"/>
            <w:vAlign w:val="center"/>
          </w:tcPr>
          <w:p w14:paraId="415D885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5FDCA6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0B4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F27BB8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w:t>
            </w:r>
          </w:p>
        </w:tc>
        <w:tc>
          <w:tcPr>
            <w:tcW w:w="7274" w:type="dxa"/>
            <w:gridSpan w:val="6"/>
            <w:noWrap w:val="0"/>
            <w:vAlign w:val="center"/>
          </w:tcPr>
          <w:p w14:paraId="5E4923C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4.8安保人员值班时禁止喝酒、吃东西，不准嬉笑、打闹、看书报、听收音机、打瞌睡，不准做其他与值班职责无关的事</w:t>
            </w:r>
          </w:p>
        </w:tc>
        <w:tc>
          <w:tcPr>
            <w:tcW w:w="1155" w:type="dxa"/>
            <w:gridSpan w:val="3"/>
            <w:noWrap w:val="0"/>
            <w:vAlign w:val="center"/>
          </w:tcPr>
          <w:p w14:paraId="2ABFDF9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A6049A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843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54" w:type="dxa"/>
            <w:noWrap w:val="0"/>
            <w:vAlign w:val="center"/>
          </w:tcPr>
          <w:p w14:paraId="7FA2A36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7274" w:type="dxa"/>
            <w:gridSpan w:val="6"/>
            <w:noWrap w:val="0"/>
            <w:vAlign w:val="center"/>
          </w:tcPr>
          <w:p w14:paraId="7642C99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4.9非机动车辆有集中停放场地，管理制度落实，管理有序，停放整齐，场地整洁</w:t>
            </w:r>
          </w:p>
        </w:tc>
        <w:tc>
          <w:tcPr>
            <w:tcW w:w="1155" w:type="dxa"/>
            <w:gridSpan w:val="3"/>
            <w:noWrap w:val="0"/>
            <w:vAlign w:val="center"/>
          </w:tcPr>
          <w:p w14:paraId="07E73C3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19993E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EA2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6435F3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w:t>
            </w:r>
          </w:p>
        </w:tc>
        <w:tc>
          <w:tcPr>
            <w:tcW w:w="7274" w:type="dxa"/>
            <w:gridSpan w:val="6"/>
            <w:noWrap w:val="0"/>
            <w:vAlign w:val="center"/>
          </w:tcPr>
          <w:p w14:paraId="742D903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4.10小区无安全隐患，在有可能发生事故处设有明显标志和防范措施，加强安保人员处突能力，不准与租户发生争吵或出现有效投诉</w:t>
            </w:r>
          </w:p>
        </w:tc>
        <w:tc>
          <w:tcPr>
            <w:tcW w:w="1155" w:type="dxa"/>
            <w:gridSpan w:val="3"/>
            <w:noWrap w:val="0"/>
            <w:vAlign w:val="center"/>
          </w:tcPr>
          <w:p w14:paraId="1AB4CC1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571283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A4C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06320CA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第四项小计</w:t>
            </w:r>
          </w:p>
        </w:tc>
        <w:tc>
          <w:tcPr>
            <w:tcW w:w="1151" w:type="dxa"/>
            <w:gridSpan w:val="2"/>
            <w:noWrap w:val="0"/>
            <w:vAlign w:val="center"/>
          </w:tcPr>
          <w:p w14:paraId="3FDF7D5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25AFD3E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83C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71" w:type="dxa"/>
            <w:gridSpan w:val="11"/>
            <w:noWrap w:val="0"/>
            <w:vAlign w:val="center"/>
          </w:tcPr>
          <w:p w14:paraId="71E0B163">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五、保洁管理（10%/10分）</w:t>
            </w:r>
          </w:p>
        </w:tc>
      </w:tr>
      <w:tr w14:paraId="76DB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EBB981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w:t>
            </w:r>
          </w:p>
        </w:tc>
        <w:tc>
          <w:tcPr>
            <w:tcW w:w="7274" w:type="dxa"/>
            <w:gridSpan w:val="6"/>
            <w:noWrap w:val="0"/>
            <w:vAlign w:val="center"/>
          </w:tcPr>
          <w:p w14:paraId="0D8CC15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5.1保洁人员配置合理并经过培训，着统一工作服上岗服务，要求责任区域明确，建立保洁制度、消杀制度和操作规程，清洁服务定时定点，保持物业服务公共区域环境整洁、干净，生活垃圾日产日清</w:t>
            </w:r>
          </w:p>
        </w:tc>
        <w:tc>
          <w:tcPr>
            <w:tcW w:w="1155" w:type="dxa"/>
            <w:gridSpan w:val="3"/>
            <w:noWrap w:val="0"/>
            <w:vAlign w:val="center"/>
          </w:tcPr>
          <w:p w14:paraId="413FEB4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8462E7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B2A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ECF433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39</w:t>
            </w:r>
          </w:p>
        </w:tc>
        <w:tc>
          <w:tcPr>
            <w:tcW w:w="7274" w:type="dxa"/>
            <w:gridSpan w:val="6"/>
            <w:noWrap w:val="0"/>
            <w:vAlign w:val="center"/>
          </w:tcPr>
          <w:p w14:paraId="67762EF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5.2公共保洁服务包括不限于共用楼道保洁，电梯及电梯厅保洁，道路保洁，广场环境保洁，停车场及车库保洁，标识、宣传栏、信报箱保洁，休闲、娱乐、健身设施保洁，门卫、岗亭、监控探头保洁，绿化区域保洁、公共卫生间保洁、垃圾收集与清运、卫生消杀、公共疫情应急处理等</w:t>
            </w:r>
          </w:p>
        </w:tc>
        <w:tc>
          <w:tcPr>
            <w:tcW w:w="1155" w:type="dxa"/>
            <w:gridSpan w:val="3"/>
            <w:noWrap w:val="0"/>
            <w:vAlign w:val="center"/>
          </w:tcPr>
          <w:p w14:paraId="1FE927A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AD5AF0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307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AE17D2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w:t>
            </w:r>
          </w:p>
        </w:tc>
        <w:tc>
          <w:tcPr>
            <w:tcW w:w="7274" w:type="dxa"/>
            <w:gridSpan w:val="6"/>
            <w:noWrap w:val="0"/>
            <w:vAlign w:val="center"/>
          </w:tcPr>
          <w:p w14:paraId="262C5C8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5.3定期巡查清理化粪池、雨水井、污水井等管网，通道及楼梯台阶、扶手、栏杆、窗台、开关、门窗、天花板、公共灯具、道路等公共部位保洁每天清扫一次，共用设施设备每两天清洁一次</w:t>
            </w:r>
          </w:p>
        </w:tc>
        <w:tc>
          <w:tcPr>
            <w:tcW w:w="1155" w:type="dxa"/>
            <w:gridSpan w:val="3"/>
            <w:noWrap w:val="0"/>
            <w:vAlign w:val="center"/>
          </w:tcPr>
          <w:p w14:paraId="1200A67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3C65D4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8F6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73E3CB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w:t>
            </w:r>
          </w:p>
        </w:tc>
        <w:tc>
          <w:tcPr>
            <w:tcW w:w="7274" w:type="dxa"/>
            <w:gridSpan w:val="6"/>
            <w:noWrap w:val="0"/>
            <w:vAlign w:val="center"/>
          </w:tcPr>
          <w:p w14:paraId="1CB74F9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5.4停车场或共用车库（棚）每天清扫一次；及时清除地下室进出口的垃圾；发现油迹、污迹、锈迹，应及时擦洗干净；无异味、空气流通；标识、指示牌等公共设施目视无灰尘</w:t>
            </w:r>
          </w:p>
        </w:tc>
        <w:tc>
          <w:tcPr>
            <w:tcW w:w="1155" w:type="dxa"/>
            <w:gridSpan w:val="3"/>
            <w:noWrap w:val="0"/>
            <w:vAlign w:val="center"/>
          </w:tcPr>
          <w:p w14:paraId="790EBC5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F68B3B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7C7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56353F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w:t>
            </w:r>
          </w:p>
        </w:tc>
        <w:tc>
          <w:tcPr>
            <w:tcW w:w="7274" w:type="dxa"/>
            <w:gridSpan w:val="6"/>
            <w:noWrap w:val="0"/>
            <w:vAlign w:val="center"/>
          </w:tcPr>
          <w:p w14:paraId="707B3FD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5.5公共楼梯、走道、天台、墙面、电梯轿厢等公共部位保持清洁，无乱贴、乱画、擅自占用和堆放杂物现象</w:t>
            </w:r>
          </w:p>
        </w:tc>
        <w:tc>
          <w:tcPr>
            <w:tcW w:w="1155" w:type="dxa"/>
            <w:gridSpan w:val="3"/>
            <w:noWrap w:val="0"/>
            <w:vAlign w:val="center"/>
          </w:tcPr>
          <w:p w14:paraId="6953F9A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9F655F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1B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E55255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w:t>
            </w:r>
          </w:p>
        </w:tc>
        <w:tc>
          <w:tcPr>
            <w:tcW w:w="7274" w:type="dxa"/>
            <w:gridSpan w:val="6"/>
            <w:noWrap w:val="0"/>
            <w:vAlign w:val="center"/>
          </w:tcPr>
          <w:p w14:paraId="37D988B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5.6每日清洁绿化带垃圾一次，秋冬季节或落叶较多季节增加清洁次数</w:t>
            </w:r>
          </w:p>
        </w:tc>
        <w:tc>
          <w:tcPr>
            <w:tcW w:w="1155" w:type="dxa"/>
            <w:gridSpan w:val="3"/>
            <w:noWrap w:val="0"/>
            <w:vAlign w:val="center"/>
          </w:tcPr>
          <w:p w14:paraId="163F91D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D16A5E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F30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F56611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w:t>
            </w:r>
          </w:p>
        </w:tc>
        <w:tc>
          <w:tcPr>
            <w:tcW w:w="7274" w:type="dxa"/>
            <w:gridSpan w:val="6"/>
            <w:noWrap w:val="0"/>
            <w:vAlign w:val="center"/>
          </w:tcPr>
          <w:p w14:paraId="38B132A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vertAlign w:val="baseline"/>
                <w:lang w:val="en-US" w:eastAsia="zh-CN" w:bidi="ar-SA"/>
              </w:rPr>
              <w:t>5.7保洁设施设备配备合理，定期对保洁设施设备进行卫生消毒。有害生物防治符合相关规定，每月对窨井、明沟、垃圾箱等喷洒药水一次，春夏季（4 月、5 月、6 月、7 月、8 月）每月</w:t>
            </w:r>
          </w:p>
          <w:p w14:paraId="09E51BA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灭蚊、蝇、蟑螂、鼠一次，其余每季灭鼠一次。防治鼠害、虫害等有计划、有措施、有记录</w:t>
            </w:r>
          </w:p>
        </w:tc>
        <w:tc>
          <w:tcPr>
            <w:tcW w:w="1155" w:type="dxa"/>
            <w:gridSpan w:val="3"/>
            <w:noWrap w:val="0"/>
            <w:vAlign w:val="center"/>
          </w:tcPr>
          <w:p w14:paraId="276AAAC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8CFB09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BA3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805D58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w:t>
            </w:r>
          </w:p>
        </w:tc>
        <w:tc>
          <w:tcPr>
            <w:tcW w:w="7274" w:type="dxa"/>
            <w:gridSpan w:val="6"/>
            <w:noWrap w:val="0"/>
            <w:vAlign w:val="center"/>
          </w:tcPr>
          <w:p w14:paraId="1CF7601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5.8垃圾桶分类配置，每幢楼至少设置6个大垃圾桶，每日早晚清运各一次，清运垃圾时间避开人流高峰</w:t>
            </w:r>
          </w:p>
        </w:tc>
        <w:tc>
          <w:tcPr>
            <w:tcW w:w="1155" w:type="dxa"/>
            <w:gridSpan w:val="3"/>
            <w:noWrap w:val="0"/>
            <w:vAlign w:val="center"/>
          </w:tcPr>
          <w:p w14:paraId="45882E7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AF1BCF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B2B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31BB75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46</w:t>
            </w:r>
          </w:p>
        </w:tc>
        <w:tc>
          <w:tcPr>
            <w:tcW w:w="7274" w:type="dxa"/>
            <w:gridSpan w:val="6"/>
            <w:noWrap w:val="0"/>
            <w:vAlign w:val="center"/>
          </w:tcPr>
          <w:p w14:paraId="4E271B6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5.9日常各项保洁服务工作应有记录，每个月进行一次汇总存档</w:t>
            </w:r>
          </w:p>
        </w:tc>
        <w:tc>
          <w:tcPr>
            <w:tcW w:w="1155" w:type="dxa"/>
            <w:gridSpan w:val="3"/>
            <w:noWrap w:val="0"/>
            <w:vAlign w:val="center"/>
          </w:tcPr>
          <w:p w14:paraId="72CA799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815C6B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54E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2186DF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47</w:t>
            </w:r>
          </w:p>
        </w:tc>
        <w:tc>
          <w:tcPr>
            <w:tcW w:w="7274" w:type="dxa"/>
            <w:gridSpan w:val="6"/>
            <w:noWrap w:val="0"/>
            <w:vAlign w:val="center"/>
          </w:tcPr>
          <w:p w14:paraId="61A8F03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5.10出现环境污染、公共性疫情等情况，应启动应急预案，配合有关部门处置</w:t>
            </w:r>
          </w:p>
        </w:tc>
        <w:tc>
          <w:tcPr>
            <w:tcW w:w="1155" w:type="dxa"/>
            <w:gridSpan w:val="3"/>
            <w:noWrap w:val="0"/>
            <w:vAlign w:val="center"/>
          </w:tcPr>
          <w:p w14:paraId="1AA39D7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AE8A1E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D7C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28" w:type="dxa"/>
            <w:gridSpan w:val="7"/>
            <w:noWrap w:val="0"/>
            <w:vAlign w:val="center"/>
          </w:tcPr>
          <w:p w14:paraId="163FCBD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第五项小计</w:t>
            </w:r>
          </w:p>
        </w:tc>
        <w:tc>
          <w:tcPr>
            <w:tcW w:w="1155" w:type="dxa"/>
            <w:gridSpan w:val="3"/>
            <w:noWrap w:val="0"/>
            <w:vAlign w:val="center"/>
          </w:tcPr>
          <w:p w14:paraId="3432359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0F63EC5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43B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71" w:type="dxa"/>
            <w:gridSpan w:val="11"/>
            <w:noWrap w:val="0"/>
            <w:vAlign w:val="center"/>
          </w:tcPr>
          <w:p w14:paraId="5DEAC8E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六、设施设备管理（10%/10分）</w:t>
            </w:r>
          </w:p>
        </w:tc>
      </w:tr>
      <w:tr w14:paraId="43A7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83EAC4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w:t>
            </w:r>
          </w:p>
        </w:tc>
        <w:tc>
          <w:tcPr>
            <w:tcW w:w="7274" w:type="dxa"/>
            <w:gridSpan w:val="6"/>
            <w:noWrap w:val="0"/>
            <w:vAlign w:val="center"/>
          </w:tcPr>
          <w:p w14:paraId="144510F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6.1建立健全小区各类公共设施设备明细台账，包括不限于强电系统、公共照明系统、弱电系统、给排水系统、消防电梯系统、避雷系统等</w:t>
            </w:r>
          </w:p>
        </w:tc>
        <w:tc>
          <w:tcPr>
            <w:tcW w:w="1155" w:type="dxa"/>
            <w:gridSpan w:val="3"/>
            <w:noWrap w:val="0"/>
            <w:vAlign w:val="center"/>
          </w:tcPr>
          <w:p w14:paraId="38D8D33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320818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7F3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6AC55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49</w:t>
            </w:r>
          </w:p>
        </w:tc>
        <w:tc>
          <w:tcPr>
            <w:tcW w:w="7274" w:type="dxa"/>
            <w:gridSpan w:val="6"/>
            <w:noWrap w:val="0"/>
            <w:vAlign w:val="center"/>
          </w:tcPr>
          <w:p w14:paraId="7B9D969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6.2道路、停车场运行正常完好，保证道路通畅，停车场汽车停放有序，现场卫生干净整洁，定期维护更新车辆道闸信息系统</w:t>
            </w:r>
          </w:p>
        </w:tc>
        <w:tc>
          <w:tcPr>
            <w:tcW w:w="1155" w:type="dxa"/>
            <w:gridSpan w:val="3"/>
            <w:noWrap w:val="0"/>
            <w:vAlign w:val="center"/>
          </w:tcPr>
          <w:p w14:paraId="7DD65EC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FE4A4B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5B1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D0C44C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w:t>
            </w:r>
          </w:p>
        </w:tc>
        <w:tc>
          <w:tcPr>
            <w:tcW w:w="7274" w:type="dxa"/>
            <w:gridSpan w:val="6"/>
            <w:noWrap w:val="0"/>
            <w:vAlign w:val="center"/>
          </w:tcPr>
          <w:p w14:paraId="6C46EDA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6.3供电系统运行正常完好，设备编号有序，运行、维修、保养、巡检记录完整，保持配电房清洁卫生，做好各类供电表登记统计工作，定期检查维护。每周检查发电机设施设备，保证配电机房灭火设施设备运行正常完好</w:t>
            </w:r>
          </w:p>
        </w:tc>
        <w:tc>
          <w:tcPr>
            <w:tcW w:w="1155" w:type="dxa"/>
            <w:gridSpan w:val="3"/>
            <w:noWrap w:val="0"/>
            <w:vAlign w:val="center"/>
          </w:tcPr>
          <w:p w14:paraId="5A59A43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4DF460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D8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D9F72D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7274" w:type="dxa"/>
            <w:gridSpan w:val="6"/>
            <w:noWrap w:val="0"/>
            <w:vAlign w:val="center"/>
          </w:tcPr>
          <w:p w14:paraId="3B2070E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6.4公共照明系统运行正常完好，每天巡查公共照明、应急照明，及时更换缺损、失效照明设施设备</w:t>
            </w:r>
          </w:p>
        </w:tc>
        <w:tc>
          <w:tcPr>
            <w:tcW w:w="1155" w:type="dxa"/>
            <w:gridSpan w:val="3"/>
            <w:noWrap w:val="0"/>
            <w:vAlign w:val="center"/>
          </w:tcPr>
          <w:p w14:paraId="3E65533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03589F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DEA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7C60051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p>
        </w:tc>
        <w:tc>
          <w:tcPr>
            <w:tcW w:w="7274" w:type="dxa"/>
            <w:gridSpan w:val="6"/>
            <w:noWrap w:val="0"/>
            <w:vAlign w:val="center"/>
          </w:tcPr>
          <w:p w14:paraId="2DD51DA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6.5消防系统运行正常完好，每天巡查消防设施设备，及时发现问题，消防维保单位和物业服务企业要及时处理消防隐患</w:t>
            </w:r>
          </w:p>
        </w:tc>
        <w:tc>
          <w:tcPr>
            <w:tcW w:w="1155" w:type="dxa"/>
            <w:gridSpan w:val="3"/>
            <w:noWrap w:val="0"/>
            <w:vAlign w:val="center"/>
          </w:tcPr>
          <w:p w14:paraId="76FA2C2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6BE4E7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75B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A84D9F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53</w:t>
            </w:r>
          </w:p>
        </w:tc>
        <w:tc>
          <w:tcPr>
            <w:tcW w:w="7274" w:type="dxa"/>
            <w:gridSpan w:val="6"/>
            <w:noWrap w:val="0"/>
            <w:vAlign w:val="center"/>
          </w:tcPr>
          <w:p w14:paraId="46A63C1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6.6</w:t>
            </w:r>
            <w:r>
              <w:rPr>
                <w:rFonts w:hint="eastAsia" w:ascii="宋体" w:hAnsi="宋体" w:eastAsia="宋体" w:cs="宋体"/>
                <w:color w:val="auto"/>
                <w:kern w:val="2"/>
                <w:sz w:val="21"/>
                <w:szCs w:val="21"/>
                <w:highlight w:val="none"/>
                <w:vertAlign w:val="baseline"/>
                <w:lang w:val="en-US" w:eastAsia="zh-CN" w:bidi="ar-SA"/>
              </w:rPr>
              <w:t>弱电安防系统运行正常完好，有小区监控分布图，安防监控出现故障能及时排除故障，保证摄像监控图像清晰，监控室实行24小时专人值班制度，系统每月检查一次有巡查记录档案</w:t>
            </w:r>
          </w:p>
        </w:tc>
        <w:tc>
          <w:tcPr>
            <w:tcW w:w="1155" w:type="dxa"/>
            <w:gridSpan w:val="3"/>
            <w:noWrap w:val="0"/>
            <w:vAlign w:val="center"/>
          </w:tcPr>
          <w:p w14:paraId="68EB97D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575EE6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8F4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9CEF7A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54</w:t>
            </w:r>
          </w:p>
        </w:tc>
        <w:tc>
          <w:tcPr>
            <w:tcW w:w="7274" w:type="dxa"/>
            <w:gridSpan w:val="6"/>
            <w:noWrap w:val="0"/>
            <w:vAlign w:val="center"/>
          </w:tcPr>
          <w:p w14:paraId="60E64FB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6.7给排水系统运行正常完好，有小区给排水管线图，定期巡查、维护保养，记录完整，定期检查生活用水箱、各水泵等给水系统，饮用水水箱每半年清洗、消毒、水质化验一次，水质符合国家标准，做好各类用水表登记统计工作</w:t>
            </w:r>
          </w:p>
        </w:tc>
        <w:tc>
          <w:tcPr>
            <w:tcW w:w="1155" w:type="dxa"/>
            <w:gridSpan w:val="3"/>
            <w:noWrap w:val="0"/>
            <w:vAlign w:val="center"/>
          </w:tcPr>
          <w:p w14:paraId="6BAC619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75F526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A28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3CD9DF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w:t>
            </w:r>
          </w:p>
        </w:tc>
        <w:tc>
          <w:tcPr>
            <w:tcW w:w="7274" w:type="dxa"/>
            <w:gridSpan w:val="6"/>
            <w:noWrap w:val="0"/>
            <w:vAlign w:val="center"/>
          </w:tcPr>
          <w:p w14:paraId="78963BC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6.8避雷系统运行正常完好，有避雷设施位置平面图，定期检查、维护且记录完整，</w:t>
            </w:r>
            <w:r>
              <w:rPr>
                <w:rFonts w:hint="eastAsia" w:ascii="宋体" w:hAnsi="宋体" w:eastAsia="宋体" w:cs="宋体"/>
                <w:color w:val="auto"/>
                <w:sz w:val="21"/>
                <w:szCs w:val="21"/>
                <w:highlight w:val="none"/>
                <w:vertAlign w:val="baseline"/>
                <w:lang w:val="en-US" w:eastAsia="zh-CN"/>
              </w:rPr>
              <w:t>每年雷雨季节来临前检测避雷设施，保证接地电阻不大于10欧姆，保证避雷系统其性能符合国家标准</w:t>
            </w:r>
          </w:p>
        </w:tc>
        <w:tc>
          <w:tcPr>
            <w:tcW w:w="1155" w:type="dxa"/>
            <w:gridSpan w:val="3"/>
            <w:noWrap w:val="0"/>
            <w:vAlign w:val="center"/>
          </w:tcPr>
          <w:p w14:paraId="1141606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F2EEB3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207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65E018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w:t>
            </w:r>
          </w:p>
        </w:tc>
        <w:tc>
          <w:tcPr>
            <w:tcW w:w="7274" w:type="dxa"/>
            <w:gridSpan w:val="6"/>
            <w:noWrap w:val="0"/>
            <w:vAlign w:val="center"/>
          </w:tcPr>
          <w:p w14:paraId="76D2E08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6.9房屋设施设备正常完好，每半年对房屋共用部位、设施设备、道路、绿地等全面检查一次，每半年检查巡视</w:t>
            </w:r>
          </w:p>
        </w:tc>
        <w:tc>
          <w:tcPr>
            <w:tcW w:w="1155" w:type="dxa"/>
            <w:gridSpan w:val="3"/>
            <w:noWrap w:val="0"/>
            <w:vAlign w:val="center"/>
          </w:tcPr>
          <w:p w14:paraId="033DC3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3C9E3B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6DC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F37670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57</w:t>
            </w:r>
          </w:p>
        </w:tc>
        <w:tc>
          <w:tcPr>
            <w:tcW w:w="7274" w:type="dxa"/>
            <w:gridSpan w:val="6"/>
            <w:noWrap w:val="0"/>
            <w:vAlign w:val="center"/>
          </w:tcPr>
          <w:p w14:paraId="47A6442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6.10加强物业服务区域的电信、有线等配套服务设施设备管理，物业公司负责监控有关运营管理单位进入小区维护活动和行为</w:t>
            </w:r>
          </w:p>
        </w:tc>
        <w:tc>
          <w:tcPr>
            <w:tcW w:w="1155" w:type="dxa"/>
            <w:gridSpan w:val="3"/>
            <w:noWrap w:val="0"/>
            <w:vAlign w:val="center"/>
          </w:tcPr>
          <w:p w14:paraId="29F62D1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B058E3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7DE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6CD2447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第六项小计</w:t>
            </w:r>
          </w:p>
        </w:tc>
        <w:tc>
          <w:tcPr>
            <w:tcW w:w="1151" w:type="dxa"/>
            <w:gridSpan w:val="2"/>
            <w:noWrap w:val="0"/>
            <w:vAlign w:val="center"/>
          </w:tcPr>
          <w:p w14:paraId="1B82122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680C931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51A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71" w:type="dxa"/>
            <w:gridSpan w:val="11"/>
            <w:noWrap w:val="0"/>
            <w:vAlign w:val="center"/>
          </w:tcPr>
          <w:p w14:paraId="7D647AB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七、电梯管理（8%/8分）</w:t>
            </w:r>
          </w:p>
        </w:tc>
      </w:tr>
      <w:tr w14:paraId="228A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331B94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w:t>
            </w:r>
          </w:p>
        </w:tc>
        <w:tc>
          <w:tcPr>
            <w:tcW w:w="7274" w:type="dxa"/>
            <w:gridSpan w:val="6"/>
            <w:noWrap w:val="0"/>
            <w:vAlign w:val="center"/>
          </w:tcPr>
          <w:p w14:paraId="11D96B1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7.1电梯准用证、年检合格证、紧急电话和乘客注意事项置于轿厢醒目位置</w:t>
            </w:r>
          </w:p>
        </w:tc>
        <w:tc>
          <w:tcPr>
            <w:tcW w:w="1155" w:type="dxa"/>
            <w:gridSpan w:val="3"/>
            <w:noWrap w:val="0"/>
            <w:vAlign w:val="center"/>
          </w:tcPr>
          <w:p w14:paraId="0EBFD62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2EE6BC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857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20F481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59</w:t>
            </w:r>
          </w:p>
        </w:tc>
        <w:tc>
          <w:tcPr>
            <w:tcW w:w="7274" w:type="dxa"/>
            <w:gridSpan w:val="6"/>
            <w:noWrap w:val="0"/>
            <w:vAlign w:val="center"/>
          </w:tcPr>
          <w:p w14:paraId="7CC2E8E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7.2委托专业机构进行维修和养护，维保单位资质符合规定，电梯维修保养合同规范，资质和合同及时向业主单位报备</w:t>
            </w:r>
          </w:p>
        </w:tc>
        <w:tc>
          <w:tcPr>
            <w:tcW w:w="1155" w:type="dxa"/>
            <w:gridSpan w:val="3"/>
            <w:noWrap w:val="0"/>
            <w:vAlign w:val="center"/>
          </w:tcPr>
          <w:p w14:paraId="57AA873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027EDC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FEB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60CCC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60</w:t>
            </w:r>
          </w:p>
        </w:tc>
        <w:tc>
          <w:tcPr>
            <w:tcW w:w="7274" w:type="dxa"/>
            <w:gridSpan w:val="6"/>
            <w:noWrap w:val="0"/>
            <w:vAlign w:val="center"/>
          </w:tcPr>
          <w:p w14:paraId="0F3B404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7.3电梯机房通风、照明等设施设备情况良好，平层标志线清晰，专业工具齐全</w:t>
            </w:r>
          </w:p>
        </w:tc>
        <w:tc>
          <w:tcPr>
            <w:tcW w:w="1155" w:type="dxa"/>
            <w:gridSpan w:val="3"/>
            <w:noWrap w:val="0"/>
            <w:vAlign w:val="center"/>
          </w:tcPr>
          <w:p w14:paraId="3206663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5CCB34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72B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D02A25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61</w:t>
            </w:r>
          </w:p>
        </w:tc>
        <w:tc>
          <w:tcPr>
            <w:tcW w:w="7274" w:type="dxa"/>
            <w:gridSpan w:val="6"/>
            <w:noWrap w:val="0"/>
            <w:vAlign w:val="center"/>
          </w:tcPr>
          <w:p w14:paraId="70522C1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7.4电梯轿厢、井道内保持清洁，轿厢广告设置有审批手续且张贴有序，无乱贴、乱画现象，加强日常维修保养，适时降温、通风、防雨，防止地面水流入电梯井</w:t>
            </w:r>
          </w:p>
        </w:tc>
        <w:tc>
          <w:tcPr>
            <w:tcW w:w="1155" w:type="dxa"/>
            <w:gridSpan w:val="3"/>
            <w:noWrap w:val="0"/>
            <w:vAlign w:val="center"/>
          </w:tcPr>
          <w:p w14:paraId="7491141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4E2BB1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699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D1C19A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62</w:t>
            </w:r>
          </w:p>
        </w:tc>
        <w:tc>
          <w:tcPr>
            <w:tcW w:w="7274" w:type="dxa"/>
            <w:gridSpan w:val="6"/>
            <w:noWrap w:val="0"/>
            <w:vAlign w:val="center"/>
          </w:tcPr>
          <w:p w14:paraId="0C30C7C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7.5每天检查电梯运行情况，保证电梯运行平稳，维修、保养、检修记录完整，轿厢内设置紧急呼救报警装置或应急救援电话，保证正常使用，并24小时值班室联网专人值守</w:t>
            </w:r>
          </w:p>
        </w:tc>
        <w:tc>
          <w:tcPr>
            <w:tcW w:w="1155" w:type="dxa"/>
            <w:gridSpan w:val="3"/>
            <w:noWrap w:val="0"/>
            <w:vAlign w:val="center"/>
          </w:tcPr>
          <w:p w14:paraId="1C11134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609EDD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655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C26B73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63</w:t>
            </w:r>
          </w:p>
        </w:tc>
        <w:tc>
          <w:tcPr>
            <w:tcW w:w="7274" w:type="dxa"/>
            <w:gridSpan w:val="6"/>
            <w:noWrap w:val="0"/>
            <w:vAlign w:val="center"/>
          </w:tcPr>
          <w:p w14:paraId="7F633A6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7.6电梯要求24小时运行，出现一般故障或险情，维修人员接到报修后60分钟内到达现场，发生电梯困人或其他重大事件时，物业管理人员5分钟之内到场应急处理，专业人员30分钟之内到场进行救助</w:t>
            </w:r>
          </w:p>
        </w:tc>
        <w:tc>
          <w:tcPr>
            <w:tcW w:w="1155" w:type="dxa"/>
            <w:gridSpan w:val="3"/>
            <w:noWrap w:val="0"/>
            <w:vAlign w:val="center"/>
          </w:tcPr>
          <w:p w14:paraId="3932188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CB3FA5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37F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CA250F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64</w:t>
            </w:r>
          </w:p>
        </w:tc>
        <w:tc>
          <w:tcPr>
            <w:tcW w:w="7274" w:type="dxa"/>
            <w:gridSpan w:val="6"/>
            <w:noWrap w:val="0"/>
            <w:vAlign w:val="center"/>
          </w:tcPr>
          <w:p w14:paraId="552A903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7.7定期对机房、轿厢顶和底坑进行检查，发现问题及时处理并做好记录</w:t>
            </w:r>
          </w:p>
        </w:tc>
        <w:tc>
          <w:tcPr>
            <w:tcW w:w="1155" w:type="dxa"/>
            <w:gridSpan w:val="3"/>
            <w:noWrap w:val="0"/>
            <w:vAlign w:val="center"/>
          </w:tcPr>
          <w:p w14:paraId="16F4D66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24C602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56E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26371E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w:t>
            </w:r>
          </w:p>
        </w:tc>
        <w:tc>
          <w:tcPr>
            <w:tcW w:w="7274" w:type="dxa"/>
            <w:gridSpan w:val="6"/>
            <w:noWrap w:val="0"/>
            <w:vAlign w:val="center"/>
          </w:tcPr>
          <w:p w14:paraId="31A5DCD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7.8建立电梯安全技术档案和运行档案，记录电梯运行情况和维修保养工作内容</w:t>
            </w:r>
          </w:p>
        </w:tc>
        <w:tc>
          <w:tcPr>
            <w:tcW w:w="1155" w:type="dxa"/>
            <w:gridSpan w:val="3"/>
            <w:noWrap w:val="0"/>
            <w:vAlign w:val="center"/>
          </w:tcPr>
          <w:p w14:paraId="6DEF759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921922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44B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28" w:type="dxa"/>
            <w:gridSpan w:val="7"/>
            <w:noWrap w:val="0"/>
            <w:vAlign w:val="center"/>
          </w:tcPr>
          <w:p w14:paraId="0D5A009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第七项小计</w:t>
            </w:r>
          </w:p>
        </w:tc>
        <w:tc>
          <w:tcPr>
            <w:tcW w:w="1155" w:type="dxa"/>
            <w:gridSpan w:val="3"/>
            <w:noWrap w:val="0"/>
            <w:vAlign w:val="center"/>
          </w:tcPr>
          <w:p w14:paraId="306B488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8分</w:t>
            </w:r>
          </w:p>
        </w:tc>
        <w:tc>
          <w:tcPr>
            <w:tcW w:w="888" w:type="dxa"/>
            <w:noWrap w:val="0"/>
            <w:vAlign w:val="center"/>
          </w:tcPr>
          <w:p w14:paraId="0644C69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DCF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71" w:type="dxa"/>
            <w:gridSpan w:val="11"/>
            <w:noWrap w:val="0"/>
            <w:vAlign w:val="center"/>
          </w:tcPr>
          <w:p w14:paraId="67E6C16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八、消防管理（10%/10分）</w:t>
            </w:r>
          </w:p>
        </w:tc>
      </w:tr>
      <w:tr w14:paraId="482B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AB5354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66</w:t>
            </w:r>
          </w:p>
        </w:tc>
        <w:tc>
          <w:tcPr>
            <w:tcW w:w="7274" w:type="dxa"/>
            <w:gridSpan w:val="6"/>
            <w:noWrap w:val="0"/>
            <w:vAlign w:val="center"/>
          </w:tcPr>
          <w:p w14:paraId="4711A6D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8.1有消防设施设置平面图、火警疏散示意图，按幢按楼层设置在明显位置</w:t>
            </w:r>
          </w:p>
        </w:tc>
        <w:tc>
          <w:tcPr>
            <w:tcW w:w="1155" w:type="dxa"/>
            <w:gridSpan w:val="3"/>
            <w:noWrap w:val="0"/>
            <w:vAlign w:val="center"/>
          </w:tcPr>
          <w:p w14:paraId="53D4271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BBC989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BC8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407BEC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67</w:t>
            </w:r>
          </w:p>
        </w:tc>
        <w:tc>
          <w:tcPr>
            <w:tcW w:w="7274" w:type="dxa"/>
            <w:gridSpan w:val="6"/>
            <w:noWrap w:val="0"/>
            <w:vAlign w:val="center"/>
          </w:tcPr>
          <w:p w14:paraId="48B6FB3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8.2消防监控系统运行良好，自动和手动报警设施启动正常，地下泵房按规定时间巡查和维保</w:t>
            </w:r>
          </w:p>
        </w:tc>
        <w:tc>
          <w:tcPr>
            <w:tcW w:w="1155" w:type="dxa"/>
            <w:gridSpan w:val="3"/>
            <w:noWrap w:val="0"/>
            <w:vAlign w:val="center"/>
          </w:tcPr>
          <w:p w14:paraId="39C467C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570E8D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5A1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40FA48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68</w:t>
            </w:r>
          </w:p>
        </w:tc>
        <w:tc>
          <w:tcPr>
            <w:tcW w:w="7274" w:type="dxa"/>
            <w:gridSpan w:val="6"/>
            <w:noWrap w:val="0"/>
            <w:vAlign w:val="center"/>
          </w:tcPr>
          <w:p w14:paraId="7C476CF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8.3委托专业机构进行维修和养护，符合法定资质要求的维修保养单位按国家法律法规做好消防维保工作，维保单位资质和合同向业主单位报备</w:t>
            </w:r>
          </w:p>
        </w:tc>
        <w:tc>
          <w:tcPr>
            <w:tcW w:w="1155" w:type="dxa"/>
            <w:gridSpan w:val="3"/>
            <w:noWrap w:val="0"/>
            <w:vAlign w:val="center"/>
          </w:tcPr>
          <w:p w14:paraId="591F96C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BDE552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1F3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EFA6D1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69</w:t>
            </w:r>
          </w:p>
        </w:tc>
        <w:tc>
          <w:tcPr>
            <w:tcW w:w="7274" w:type="dxa"/>
            <w:gridSpan w:val="6"/>
            <w:noWrap w:val="0"/>
            <w:vAlign w:val="center"/>
          </w:tcPr>
          <w:p w14:paraId="7C17313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8.4每月定期开展上门入户消防安全检查，做好检查记录</w:t>
            </w:r>
          </w:p>
        </w:tc>
        <w:tc>
          <w:tcPr>
            <w:tcW w:w="1155" w:type="dxa"/>
            <w:gridSpan w:val="3"/>
            <w:noWrap w:val="0"/>
            <w:vAlign w:val="center"/>
          </w:tcPr>
          <w:p w14:paraId="6990524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29A678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6B6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3CB355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70</w:t>
            </w:r>
          </w:p>
        </w:tc>
        <w:tc>
          <w:tcPr>
            <w:tcW w:w="7274" w:type="dxa"/>
            <w:gridSpan w:val="6"/>
            <w:noWrap w:val="0"/>
            <w:vAlign w:val="center"/>
          </w:tcPr>
          <w:p w14:paraId="71A99EE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8.5消火栓柜、防火卷帘、防火门、灭火器、消防电话、风机房、疏散指示灯，应急照明和应急工具等消防设施设备完好，定期组织检验和保养并做好记录</w:t>
            </w:r>
          </w:p>
        </w:tc>
        <w:tc>
          <w:tcPr>
            <w:tcW w:w="1155" w:type="dxa"/>
            <w:gridSpan w:val="3"/>
            <w:noWrap w:val="0"/>
            <w:vAlign w:val="center"/>
          </w:tcPr>
          <w:p w14:paraId="4818EBC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97CD10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1A4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3171DF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71</w:t>
            </w:r>
          </w:p>
        </w:tc>
        <w:tc>
          <w:tcPr>
            <w:tcW w:w="7274" w:type="dxa"/>
            <w:gridSpan w:val="6"/>
            <w:noWrap w:val="0"/>
            <w:vAlign w:val="center"/>
          </w:tcPr>
          <w:p w14:paraId="59C6BA9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8.6消防加压和稳压设备运行正常，管网压力始终满足消防灭火的要求，管道和阀门无跟冒滴漏，测试、维修、保养记录完整</w:t>
            </w:r>
          </w:p>
        </w:tc>
        <w:tc>
          <w:tcPr>
            <w:tcW w:w="1155" w:type="dxa"/>
            <w:gridSpan w:val="3"/>
            <w:noWrap w:val="0"/>
            <w:vAlign w:val="center"/>
          </w:tcPr>
          <w:p w14:paraId="5C1E8C0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530A88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C0D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343497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72</w:t>
            </w:r>
          </w:p>
        </w:tc>
        <w:tc>
          <w:tcPr>
            <w:tcW w:w="7274" w:type="dxa"/>
            <w:gridSpan w:val="6"/>
            <w:noWrap w:val="0"/>
            <w:vAlign w:val="center"/>
          </w:tcPr>
          <w:p w14:paraId="44685C1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8.7消防通道、安全出口畅通，无杂物堆放，无违章占用，疏散标志、疏散指示灯和示意图等设置合理、醒目，严禁电动自行车违规停放和私接乱拉电线充电</w:t>
            </w:r>
          </w:p>
        </w:tc>
        <w:tc>
          <w:tcPr>
            <w:tcW w:w="1155" w:type="dxa"/>
            <w:gridSpan w:val="3"/>
            <w:noWrap w:val="0"/>
            <w:vAlign w:val="center"/>
          </w:tcPr>
          <w:p w14:paraId="58B0031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A9711D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046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0AE7D2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73</w:t>
            </w:r>
          </w:p>
        </w:tc>
        <w:tc>
          <w:tcPr>
            <w:tcW w:w="7274" w:type="dxa"/>
            <w:gridSpan w:val="6"/>
            <w:noWrap w:val="0"/>
            <w:vAlign w:val="center"/>
          </w:tcPr>
          <w:p w14:paraId="5F62497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8.8定期开展消防演练活动、应急预案，定期为物业服务人员和租户开展消防培训</w:t>
            </w:r>
          </w:p>
        </w:tc>
        <w:tc>
          <w:tcPr>
            <w:tcW w:w="1155" w:type="dxa"/>
            <w:gridSpan w:val="3"/>
            <w:noWrap w:val="0"/>
            <w:vAlign w:val="center"/>
          </w:tcPr>
          <w:p w14:paraId="404982C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A29462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DED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085485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74</w:t>
            </w:r>
          </w:p>
        </w:tc>
        <w:tc>
          <w:tcPr>
            <w:tcW w:w="7274" w:type="dxa"/>
            <w:gridSpan w:val="6"/>
            <w:noWrap w:val="0"/>
            <w:vAlign w:val="center"/>
          </w:tcPr>
          <w:p w14:paraId="13C6F25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8.9消防控制室实行24小时专人值班制度，值班人员持证上岗，记录控制主机运行情况，有巡查记录</w:t>
            </w:r>
          </w:p>
        </w:tc>
        <w:tc>
          <w:tcPr>
            <w:tcW w:w="1155" w:type="dxa"/>
            <w:gridSpan w:val="3"/>
            <w:noWrap w:val="0"/>
            <w:vAlign w:val="center"/>
          </w:tcPr>
          <w:p w14:paraId="1588447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483F8E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8B5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A29981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75</w:t>
            </w:r>
          </w:p>
        </w:tc>
        <w:tc>
          <w:tcPr>
            <w:tcW w:w="7274" w:type="dxa"/>
            <w:gridSpan w:val="6"/>
            <w:noWrap w:val="0"/>
            <w:vAlign w:val="center"/>
          </w:tcPr>
          <w:p w14:paraId="27AFD95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8.10接到火警、警情后要求5分钟到达现场，采取相应措施和协助保护现场，并报告业主单位与警方</w:t>
            </w:r>
          </w:p>
        </w:tc>
        <w:tc>
          <w:tcPr>
            <w:tcW w:w="1155" w:type="dxa"/>
            <w:gridSpan w:val="3"/>
            <w:noWrap w:val="0"/>
            <w:vAlign w:val="center"/>
          </w:tcPr>
          <w:p w14:paraId="445DAF0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C224E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2B2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28" w:type="dxa"/>
            <w:gridSpan w:val="7"/>
            <w:noWrap w:val="0"/>
            <w:vAlign w:val="center"/>
          </w:tcPr>
          <w:p w14:paraId="74B70F0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第八项小计</w:t>
            </w:r>
          </w:p>
        </w:tc>
        <w:tc>
          <w:tcPr>
            <w:tcW w:w="1155" w:type="dxa"/>
            <w:gridSpan w:val="3"/>
            <w:noWrap w:val="0"/>
            <w:vAlign w:val="center"/>
          </w:tcPr>
          <w:p w14:paraId="7157D15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3AEA909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5746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71" w:type="dxa"/>
            <w:gridSpan w:val="11"/>
            <w:noWrap w:val="0"/>
            <w:vAlign w:val="center"/>
          </w:tcPr>
          <w:p w14:paraId="5F2234E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九、绿化管理（5%/5分）</w:t>
            </w:r>
          </w:p>
        </w:tc>
      </w:tr>
      <w:tr w14:paraId="707A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0FCD2E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76</w:t>
            </w:r>
          </w:p>
        </w:tc>
        <w:tc>
          <w:tcPr>
            <w:tcW w:w="7274" w:type="dxa"/>
            <w:gridSpan w:val="6"/>
            <w:noWrap w:val="0"/>
            <w:vAlign w:val="center"/>
          </w:tcPr>
          <w:p w14:paraId="51079FD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9.1绿化图纸、苗木清单等资料齐全，绿化养护责任区域明确，制定并落实绿化养护计划</w:t>
            </w:r>
          </w:p>
        </w:tc>
        <w:tc>
          <w:tcPr>
            <w:tcW w:w="1155" w:type="dxa"/>
            <w:gridSpan w:val="3"/>
            <w:noWrap w:val="0"/>
            <w:vAlign w:val="center"/>
          </w:tcPr>
          <w:p w14:paraId="67827F2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7E76F4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FF2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F843FE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77</w:t>
            </w:r>
          </w:p>
        </w:tc>
        <w:tc>
          <w:tcPr>
            <w:tcW w:w="7274" w:type="dxa"/>
            <w:gridSpan w:val="6"/>
            <w:noWrap w:val="0"/>
            <w:vAlign w:val="center"/>
          </w:tcPr>
          <w:p w14:paraId="3A577A0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9.2可以委托专业机构进行维修和养护，物业，委托专业绿化养护单位定期组织浇灌、施肥、松土和喷药等养护管理，消杀作业前提前将计划在小区内公示，提前做好防涝、防旱和防冻工作，养护工作记录在档</w:t>
            </w:r>
          </w:p>
        </w:tc>
        <w:tc>
          <w:tcPr>
            <w:tcW w:w="1155" w:type="dxa"/>
            <w:gridSpan w:val="3"/>
            <w:noWrap w:val="0"/>
            <w:vAlign w:val="center"/>
          </w:tcPr>
          <w:p w14:paraId="687EA4F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8480F6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78F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BA2C7E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78</w:t>
            </w:r>
          </w:p>
        </w:tc>
        <w:tc>
          <w:tcPr>
            <w:tcW w:w="7274" w:type="dxa"/>
            <w:gridSpan w:val="6"/>
            <w:noWrap w:val="0"/>
            <w:vAlign w:val="center"/>
          </w:tcPr>
          <w:p w14:paraId="02B2DB6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9.3醒目处设置爱护绿化提示标志，重点树木品种实行标牌管理</w:t>
            </w:r>
          </w:p>
        </w:tc>
        <w:tc>
          <w:tcPr>
            <w:tcW w:w="1155" w:type="dxa"/>
            <w:gridSpan w:val="3"/>
            <w:noWrap w:val="0"/>
            <w:vAlign w:val="center"/>
          </w:tcPr>
          <w:p w14:paraId="151210C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E2CEE0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B7A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667D11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79</w:t>
            </w:r>
          </w:p>
        </w:tc>
        <w:tc>
          <w:tcPr>
            <w:tcW w:w="7274" w:type="dxa"/>
            <w:gridSpan w:val="6"/>
            <w:noWrap w:val="0"/>
            <w:vAlign w:val="center"/>
          </w:tcPr>
          <w:p w14:paraId="00EE699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9.4各类乔、灌、草等植物长势良好，修剪整齐美观，无折损、无病虫害、斑秃等现象</w:t>
            </w:r>
          </w:p>
        </w:tc>
        <w:tc>
          <w:tcPr>
            <w:tcW w:w="1155" w:type="dxa"/>
            <w:gridSpan w:val="3"/>
            <w:noWrap w:val="0"/>
            <w:vAlign w:val="center"/>
          </w:tcPr>
          <w:p w14:paraId="50287F6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4415A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80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CF7F25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80</w:t>
            </w:r>
          </w:p>
        </w:tc>
        <w:tc>
          <w:tcPr>
            <w:tcW w:w="7274" w:type="dxa"/>
            <w:gridSpan w:val="6"/>
            <w:noWrap w:val="0"/>
            <w:vAlign w:val="center"/>
          </w:tcPr>
          <w:p w14:paraId="7899445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9.5绿地无破坏、践踏、占用现象，树木无悬挂物及晾晒物品现象</w:t>
            </w:r>
          </w:p>
        </w:tc>
        <w:tc>
          <w:tcPr>
            <w:tcW w:w="1155" w:type="dxa"/>
            <w:gridSpan w:val="3"/>
            <w:noWrap w:val="0"/>
            <w:vAlign w:val="center"/>
          </w:tcPr>
          <w:p w14:paraId="32956F3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A0DFB4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42F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2FBFCFD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第九项小计</w:t>
            </w:r>
          </w:p>
        </w:tc>
        <w:tc>
          <w:tcPr>
            <w:tcW w:w="1151" w:type="dxa"/>
            <w:gridSpan w:val="2"/>
            <w:noWrap w:val="0"/>
            <w:vAlign w:val="center"/>
          </w:tcPr>
          <w:p w14:paraId="6F90143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5分</w:t>
            </w:r>
          </w:p>
        </w:tc>
        <w:tc>
          <w:tcPr>
            <w:tcW w:w="888" w:type="dxa"/>
            <w:noWrap w:val="0"/>
            <w:vAlign w:val="center"/>
          </w:tcPr>
          <w:p w14:paraId="4EDBE4E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839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71" w:type="dxa"/>
            <w:gridSpan w:val="11"/>
            <w:noWrap w:val="0"/>
            <w:vAlign w:val="center"/>
          </w:tcPr>
          <w:p w14:paraId="516434A5">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十、维修管理（10%/10分）</w:t>
            </w:r>
          </w:p>
        </w:tc>
      </w:tr>
      <w:tr w14:paraId="6D7E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D4D43D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w:t>
            </w:r>
          </w:p>
        </w:tc>
        <w:tc>
          <w:tcPr>
            <w:tcW w:w="7274" w:type="dxa"/>
            <w:gridSpan w:val="6"/>
            <w:noWrap w:val="0"/>
            <w:vAlign w:val="center"/>
          </w:tcPr>
          <w:p w14:paraId="7690775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10.1维修工程技术人员配置数量和专业达到合同等相关规定，熟悉物业管理区域公用配套设施设备的各类和分布，掌握各类线路走向、分布、位置以及其维修保养方法</w:t>
            </w:r>
          </w:p>
        </w:tc>
        <w:tc>
          <w:tcPr>
            <w:tcW w:w="1155" w:type="dxa"/>
            <w:gridSpan w:val="3"/>
            <w:noWrap w:val="0"/>
            <w:vAlign w:val="center"/>
          </w:tcPr>
          <w:p w14:paraId="0954BD5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3FC8F6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CC9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9579A2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82</w:t>
            </w:r>
          </w:p>
        </w:tc>
        <w:tc>
          <w:tcPr>
            <w:tcW w:w="7274" w:type="dxa"/>
            <w:gridSpan w:val="6"/>
            <w:noWrap w:val="0"/>
            <w:vAlign w:val="center"/>
          </w:tcPr>
          <w:p w14:paraId="286D8B6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10.2维修人员工作时间按规定着装，佩戴工作牌，严格遵守操作规程、工作标准，坚持贯彻执行安全生产第一的原则</w:t>
            </w:r>
          </w:p>
        </w:tc>
        <w:tc>
          <w:tcPr>
            <w:tcW w:w="1155" w:type="dxa"/>
            <w:gridSpan w:val="3"/>
            <w:noWrap w:val="0"/>
            <w:vAlign w:val="center"/>
          </w:tcPr>
          <w:p w14:paraId="79C5108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B7F4E8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46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D819E6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83</w:t>
            </w:r>
          </w:p>
        </w:tc>
        <w:tc>
          <w:tcPr>
            <w:tcW w:w="7274" w:type="dxa"/>
            <w:gridSpan w:val="6"/>
            <w:noWrap w:val="0"/>
            <w:vAlign w:val="center"/>
          </w:tcPr>
          <w:p w14:paraId="3D48D37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10.3维修人员对物业管理区域经常巡视，发现公用设施有损坏、隐患或其他异常情况，及时上报给予维修，确保公共配套设施设备的正常运行，建立维修档案</w:t>
            </w:r>
          </w:p>
        </w:tc>
        <w:tc>
          <w:tcPr>
            <w:tcW w:w="1155" w:type="dxa"/>
            <w:gridSpan w:val="3"/>
            <w:noWrap w:val="0"/>
            <w:vAlign w:val="center"/>
          </w:tcPr>
          <w:p w14:paraId="16D22E3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128FC3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907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9B030B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84</w:t>
            </w:r>
          </w:p>
        </w:tc>
        <w:tc>
          <w:tcPr>
            <w:tcW w:w="7274" w:type="dxa"/>
            <w:gridSpan w:val="6"/>
            <w:noWrap w:val="0"/>
            <w:vAlign w:val="center"/>
          </w:tcPr>
          <w:p w14:paraId="05ABE9B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10.4及时处理租户报修，日常维修或急修不超过4小时，维修更换的配件必须用知名品牌产品，，上门服务语言规范，态度礼貌，能耐心解答租户问题，维修台账和工作日志资料齐全</w:t>
            </w:r>
          </w:p>
        </w:tc>
        <w:tc>
          <w:tcPr>
            <w:tcW w:w="1155" w:type="dxa"/>
            <w:gridSpan w:val="3"/>
            <w:noWrap w:val="0"/>
            <w:vAlign w:val="center"/>
          </w:tcPr>
          <w:p w14:paraId="04CFF88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540281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55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BA66A7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85</w:t>
            </w:r>
          </w:p>
        </w:tc>
        <w:tc>
          <w:tcPr>
            <w:tcW w:w="7274" w:type="dxa"/>
            <w:gridSpan w:val="6"/>
            <w:noWrap w:val="0"/>
            <w:vAlign w:val="center"/>
          </w:tcPr>
          <w:p w14:paraId="41790A3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10.5报修程序规范，及时受理、检查、处置报修项目，图文信息齐全，无虚报、瞒报现象</w:t>
            </w:r>
          </w:p>
        </w:tc>
        <w:tc>
          <w:tcPr>
            <w:tcW w:w="1155" w:type="dxa"/>
            <w:gridSpan w:val="3"/>
            <w:noWrap w:val="0"/>
            <w:vAlign w:val="center"/>
          </w:tcPr>
          <w:p w14:paraId="3CA5E1A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928A8F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AFE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4" w:type="dxa"/>
            <w:noWrap w:val="0"/>
            <w:vAlign w:val="center"/>
          </w:tcPr>
          <w:p w14:paraId="02BE1A9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86</w:t>
            </w:r>
          </w:p>
        </w:tc>
        <w:tc>
          <w:tcPr>
            <w:tcW w:w="7274" w:type="dxa"/>
            <w:gridSpan w:val="6"/>
            <w:noWrap w:val="0"/>
            <w:vAlign w:val="center"/>
          </w:tcPr>
          <w:p w14:paraId="3A6FA83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10.6制定合理维修养护计划，通过对建筑物和配套设施设备有计划的保养，使其保持美观并延长使用寿命，近期完成维修计划</w:t>
            </w:r>
          </w:p>
        </w:tc>
        <w:tc>
          <w:tcPr>
            <w:tcW w:w="1155" w:type="dxa"/>
            <w:gridSpan w:val="3"/>
            <w:noWrap w:val="0"/>
            <w:vAlign w:val="center"/>
          </w:tcPr>
          <w:p w14:paraId="15B8BCC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0E5C67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A0B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7D6EF9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87</w:t>
            </w:r>
          </w:p>
        </w:tc>
        <w:tc>
          <w:tcPr>
            <w:tcW w:w="7274" w:type="dxa"/>
            <w:gridSpan w:val="6"/>
            <w:noWrap w:val="0"/>
            <w:vAlign w:val="center"/>
          </w:tcPr>
          <w:p w14:paraId="503757B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10.7维修质量符合相关规范标准，报修计划批复后，按时完成施工，专人负责维修质量的控制和自检，维修人员主动清理干净维修现场</w:t>
            </w:r>
          </w:p>
        </w:tc>
        <w:tc>
          <w:tcPr>
            <w:tcW w:w="1155" w:type="dxa"/>
            <w:gridSpan w:val="3"/>
            <w:noWrap w:val="0"/>
            <w:vAlign w:val="center"/>
          </w:tcPr>
          <w:p w14:paraId="7BDC01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37618D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F81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D04E54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88</w:t>
            </w:r>
          </w:p>
        </w:tc>
        <w:tc>
          <w:tcPr>
            <w:tcW w:w="7274" w:type="dxa"/>
            <w:gridSpan w:val="6"/>
            <w:noWrap w:val="0"/>
            <w:vAlign w:val="center"/>
          </w:tcPr>
          <w:p w14:paraId="0395C43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10.8制定维修回访制度且科学合理，维修回访率达100%，维修回访满意率不低于90%，回访过程中发现的问题，24小时内进行整改</w:t>
            </w:r>
          </w:p>
        </w:tc>
        <w:tc>
          <w:tcPr>
            <w:tcW w:w="1155" w:type="dxa"/>
            <w:gridSpan w:val="3"/>
            <w:noWrap w:val="0"/>
            <w:vAlign w:val="center"/>
          </w:tcPr>
          <w:p w14:paraId="66DAAE7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114143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9CD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4" w:type="dxa"/>
            <w:noWrap w:val="0"/>
            <w:vAlign w:val="center"/>
          </w:tcPr>
          <w:p w14:paraId="45CAE8D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89</w:t>
            </w:r>
          </w:p>
        </w:tc>
        <w:tc>
          <w:tcPr>
            <w:tcW w:w="7274" w:type="dxa"/>
            <w:gridSpan w:val="6"/>
            <w:noWrap w:val="0"/>
            <w:vAlign w:val="center"/>
          </w:tcPr>
          <w:p w14:paraId="4BEC262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10.9按时完成物业服务企业承担的维修、养护项目，没有拖延现象</w:t>
            </w:r>
          </w:p>
        </w:tc>
        <w:tc>
          <w:tcPr>
            <w:tcW w:w="1155" w:type="dxa"/>
            <w:gridSpan w:val="3"/>
            <w:noWrap w:val="0"/>
            <w:vAlign w:val="center"/>
          </w:tcPr>
          <w:p w14:paraId="550D4D3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68F124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ED7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F04E26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90</w:t>
            </w:r>
          </w:p>
        </w:tc>
        <w:tc>
          <w:tcPr>
            <w:tcW w:w="7274" w:type="dxa"/>
            <w:gridSpan w:val="6"/>
            <w:noWrap w:val="0"/>
            <w:vAlign w:val="center"/>
          </w:tcPr>
          <w:p w14:paraId="1C61311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10.10做好物业区域大、中修维修现场秩序维护，定时巡查，排除安全隐患并做好标识与围挡，积极配合施工单位维修工作，无推诿、拖拉、吃拿卡要现象发生</w:t>
            </w:r>
          </w:p>
        </w:tc>
        <w:tc>
          <w:tcPr>
            <w:tcW w:w="1155" w:type="dxa"/>
            <w:gridSpan w:val="3"/>
            <w:noWrap w:val="0"/>
            <w:vAlign w:val="center"/>
          </w:tcPr>
          <w:p w14:paraId="10F02A8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E1FA6D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547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28" w:type="dxa"/>
            <w:gridSpan w:val="7"/>
            <w:noWrap w:val="0"/>
            <w:vAlign w:val="center"/>
          </w:tcPr>
          <w:p w14:paraId="3096381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第十项小计</w:t>
            </w:r>
          </w:p>
        </w:tc>
        <w:tc>
          <w:tcPr>
            <w:tcW w:w="1155" w:type="dxa"/>
            <w:gridSpan w:val="3"/>
            <w:noWrap w:val="0"/>
            <w:vAlign w:val="center"/>
          </w:tcPr>
          <w:p w14:paraId="458A6DD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2733B9F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9B0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71" w:type="dxa"/>
            <w:gridSpan w:val="11"/>
            <w:tcBorders>
              <w:bottom w:val="single" w:color="auto" w:sz="4" w:space="0"/>
            </w:tcBorders>
            <w:noWrap w:val="0"/>
            <w:vAlign w:val="center"/>
          </w:tcPr>
          <w:p w14:paraId="3AC75A0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十一、档案管理（5%/5分）</w:t>
            </w:r>
          </w:p>
        </w:tc>
      </w:tr>
      <w:tr w14:paraId="4377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654" w:type="dxa"/>
            <w:tcBorders>
              <w:top w:val="single" w:color="auto" w:sz="4" w:space="0"/>
              <w:bottom w:val="single" w:color="auto" w:sz="4" w:space="0"/>
              <w:right w:val="single" w:color="auto" w:sz="4" w:space="0"/>
            </w:tcBorders>
            <w:noWrap w:val="0"/>
            <w:vAlign w:val="center"/>
          </w:tcPr>
          <w:p w14:paraId="1AA08D4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0A33DF6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11.1项目档案资料齐全、分类规范、查阅方便，包括不限于房屋档案，竣工总平面图，单体建筑、结构、设备竣工图，配套设施、地下管网竣工图等竣工验收资料，项目物业服务合同、招投标材料、人员花名册、劳动合同、租户基本信息、车辆信息档案、租赁合同、电梯消防等档案、公用设施设备档案、租金保证金水电费收缴档案、维修养护档案、车辆收费档案、投诉处理档案、专项服务外包管理档案、各类应急预案、员工培训档案、财务档案、日常管理档案等</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188CAAF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05E1F43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0D80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54" w:type="dxa"/>
            <w:tcBorders>
              <w:top w:val="single" w:color="auto" w:sz="4" w:space="0"/>
              <w:bottom w:val="single" w:color="auto" w:sz="4" w:space="0"/>
              <w:right w:val="single" w:color="auto" w:sz="4" w:space="0"/>
            </w:tcBorders>
            <w:noWrap w:val="0"/>
            <w:vAlign w:val="center"/>
          </w:tcPr>
          <w:p w14:paraId="1C4D2F1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92</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42F5DA1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11.2房屋共用部位、共用设施设备运行、维修、养护档案和住户信息档案实行动态管理，及时更新，及时归档，要求逐步实行档案纸制归档和电子归档两条线管理</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1D21A67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1A595BF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EB4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tcBorders>
              <w:top w:val="single" w:color="auto" w:sz="4" w:space="0"/>
              <w:bottom w:val="single" w:color="auto" w:sz="4" w:space="0"/>
              <w:right w:val="single" w:color="auto" w:sz="4" w:space="0"/>
            </w:tcBorders>
            <w:noWrap w:val="0"/>
            <w:vAlign w:val="center"/>
          </w:tcPr>
          <w:p w14:paraId="551F167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93</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5C3F60B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11.3各类档案存放环境符合规定条件，做好防潮防虫工作</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6D9BC35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67390D3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0FE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tcBorders>
              <w:top w:val="single" w:color="auto" w:sz="4" w:space="0"/>
              <w:bottom w:val="single" w:color="auto" w:sz="4" w:space="0"/>
              <w:right w:val="single" w:color="auto" w:sz="4" w:space="0"/>
            </w:tcBorders>
            <w:noWrap w:val="0"/>
            <w:vAlign w:val="center"/>
          </w:tcPr>
          <w:p w14:paraId="11510DF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94</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16BF7BB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11.4小区开展的各类物业服务活动逐步建立图片、视频等电子存储档案</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5A6878B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0022D21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2F8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tcBorders>
              <w:top w:val="single" w:color="auto" w:sz="4" w:space="0"/>
              <w:bottom w:val="single" w:color="auto" w:sz="4" w:space="0"/>
              <w:right w:val="single" w:color="auto" w:sz="4" w:space="0"/>
            </w:tcBorders>
            <w:noWrap w:val="0"/>
            <w:vAlign w:val="center"/>
          </w:tcPr>
          <w:p w14:paraId="50E3CE2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95</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4F33E8D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11.5做好各类档案的保密工作，日常档案实行上锁管理，领取查阅要求登记记录，无泄露住户信息资料现象</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32E824B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601AB7D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6A14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28" w:type="dxa"/>
            <w:gridSpan w:val="7"/>
            <w:tcBorders>
              <w:top w:val="single" w:color="auto" w:sz="4" w:space="0"/>
              <w:right w:val="single" w:color="auto" w:sz="4" w:space="0"/>
            </w:tcBorders>
            <w:noWrap w:val="0"/>
            <w:vAlign w:val="center"/>
          </w:tcPr>
          <w:p w14:paraId="05E61A8F">
            <w:pPr>
              <w:keepNext w:val="0"/>
              <w:keepLines w:val="0"/>
              <w:pageBreakBefore w:val="0"/>
              <w:tabs>
                <w:tab w:val="left" w:pos="3716"/>
              </w:tabs>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b/>
            </w:r>
            <w:r>
              <w:rPr>
                <w:rFonts w:hint="eastAsia" w:ascii="宋体" w:hAnsi="宋体" w:eastAsia="宋体" w:cs="宋体"/>
                <w:color w:val="auto"/>
                <w:sz w:val="21"/>
                <w:szCs w:val="21"/>
                <w:highlight w:val="none"/>
                <w:vertAlign w:val="baseline"/>
                <w:lang w:val="en-US" w:eastAsia="zh-CN"/>
              </w:rPr>
              <w:t>第十一项小计</w:t>
            </w:r>
          </w:p>
        </w:tc>
        <w:tc>
          <w:tcPr>
            <w:tcW w:w="1155" w:type="dxa"/>
            <w:gridSpan w:val="3"/>
            <w:tcBorders>
              <w:top w:val="single" w:color="auto" w:sz="4" w:space="0"/>
              <w:right w:val="single" w:color="auto" w:sz="4" w:space="0"/>
            </w:tcBorders>
            <w:noWrap w:val="0"/>
            <w:vAlign w:val="center"/>
          </w:tcPr>
          <w:p w14:paraId="6885524C">
            <w:pPr>
              <w:keepNext w:val="0"/>
              <w:keepLines w:val="0"/>
              <w:pageBreakBefore w:val="0"/>
              <w:tabs>
                <w:tab w:val="left" w:pos="3716"/>
              </w:tabs>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5分</w:t>
            </w:r>
          </w:p>
        </w:tc>
        <w:tc>
          <w:tcPr>
            <w:tcW w:w="888" w:type="dxa"/>
            <w:tcBorders>
              <w:top w:val="single" w:color="auto" w:sz="4" w:space="0"/>
              <w:left w:val="single" w:color="auto" w:sz="4" w:space="0"/>
            </w:tcBorders>
            <w:noWrap w:val="0"/>
            <w:vAlign w:val="center"/>
          </w:tcPr>
          <w:p w14:paraId="1A8B0B0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1B7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71" w:type="dxa"/>
            <w:gridSpan w:val="11"/>
            <w:noWrap w:val="0"/>
            <w:vAlign w:val="center"/>
          </w:tcPr>
          <w:p w14:paraId="7E1904A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十二、企业服务（5%/5分）</w:t>
            </w:r>
          </w:p>
        </w:tc>
      </w:tr>
      <w:tr w14:paraId="2561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4" w:type="dxa"/>
            <w:noWrap w:val="0"/>
            <w:vAlign w:val="center"/>
          </w:tcPr>
          <w:p w14:paraId="2C2DB22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96</w:t>
            </w:r>
          </w:p>
        </w:tc>
        <w:tc>
          <w:tcPr>
            <w:tcW w:w="7274" w:type="dxa"/>
            <w:gridSpan w:val="6"/>
            <w:noWrap w:val="0"/>
            <w:vAlign w:val="center"/>
          </w:tcPr>
          <w:p w14:paraId="580CB97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12.1设立物业服务租户企业服务中心，公示物业服务企业营业执照、项目负责人照片、服务电话等信息，有专人负责接待租户来访，24小时受理租户报修和投诉</w:t>
            </w:r>
          </w:p>
        </w:tc>
        <w:tc>
          <w:tcPr>
            <w:tcW w:w="1155" w:type="dxa"/>
            <w:gridSpan w:val="3"/>
            <w:noWrap w:val="0"/>
            <w:vAlign w:val="center"/>
          </w:tcPr>
          <w:p w14:paraId="68C529B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A9304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AA0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C4042B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97</w:t>
            </w:r>
          </w:p>
        </w:tc>
        <w:tc>
          <w:tcPr>
            <w:tcW w:w="7274" w:type="dxa"/>
            <w:gridSpan w:val="6"/>
            <w:noWrap w:val="0"/>
            <w:vAlign w:val="center"/>
          </w:tcPr>
          <w:p w14:paraId="33F4A93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12.2客服接待人员值班记录及时，租户信息处理记录完整，按季进行统计分析不断提升改进服务标准</w:t>
            </w:r>
          </w:p>
        </w:tc>
        <w:tc>
          <w:tcPr>
            <w:tcW w:w="1155" w:type="dxa"/>
            <w:gridSpan w:val="3"/>
            <w:noWrap w:val="0"/>
            <w:vAlign w:val="center"/>
          </w:tcPr>
          <w:p w14:paraId="2913BA5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12382C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857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E7FB5E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98</w:t>
            </w:r>
          </w:p>
        </w:tc>
        <w:tc>
          <w:tcPr>
            <w:tcW w:w="7274" w:type="dxa"/>
            <w:gridSpan w:val="6"/>
            <w:noWrap w:val="0"/>
            <w:vAlign w:val="center"/>
          </w:tcPr>
          <w:p w14:paraId="11F99AA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12.3严格按照合同和招投标文件规定的质量标准要求开展企业服务，协助租赁企业做好内部管理、防火安全、零星维修等其他服务</w:t>
            </w:r>
          </w:p>
        </w:tc>
        <w:tc>
          <w:tcPr>
            <w:tcW w:w="1155" w:type="dxa"/>
            <w:gridSpan w:val="3"/>
            <w:noWrap w:val="0"/>
            <w:vAlign w:val="center"/>
          </w:tcPr>
          <w:p w14:paraId="24DC4CD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4237DF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3DE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F677E7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99</w:t>
            </w:r>
          </w:p>
        </w:tc>
        <w:tc>
          <w:tcPr>
            <w:tcW w:w="7274" w:type="dxa"/>
            <w:gridSpan w:val="6"/>
            <w:noWrap w:val="0"/>
            <w:vAlign w:val="center"/>
          </w:tcPr>
          <w:p w14:paraId="217BDF5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12.4每年至少开展一次租户企业满意率调查，具备条件的，可邀请第三方机构开展租户满意度测评</w:t>
            </w:r>
          </w:p>
        </w:tc>
        <w:tc>
          <w:tcPr>
            <w:tcW w:w="1155" w:type="dxa"/>
            <w:gridSpan w:val="3"/>
            <w:noWrap w:val="0"/>
            <w:vAlign w:val="center"/>
          </w:tcPr>
          <w:p w14:paraId="194761E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37F7CE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991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D10199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w:t>
            </w:r>
          </w:p>
        </w:tc>
        <w:tc>
          <w:tcPr>
            <w:tcW w:w="7274" w:type="dxa"/>
            <w:gridSpan w:val="6"/>
            <w:noWrap w:val="0"/>
            <w:vAlign w:val="center"/>
          </w:tcPr>
          <w:p w14:paraId="3F3FB58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12.5加强与小区租户企业的联系，多形式、多渠道收集租户企业对物业服务的建议意见，分析总结，不断改进完善</w:t>
            </w:r>
          </w:p>
        </w:tc>
        <w:tc>
          <w:tcPr>
            <w:tcW w:w="1155" w:type="dxa"/>
            <w:gridSpan w:val="3"/>
            <w:noWrap w:val="0"/>
            <w:vAlign w:val="center"/>
          </w:tcPr>
          <w:p w14:paraId="284D463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107EF7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883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28" w:type="dxa"/>
            <w:gridSpan w:val="7"/>
            <w:noWrap w:val="0"/>
            <w:vAlign w:val="center"/>
          </w:tcPr>
          <w:p w14:paraId="3A3D908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第十二项小计</w:t>
            </w:r>
          </w:p>
        </w:tc>
        <w:tc>
          <w:tcPr>
            <w:tcW w:w="1155" w:type="dxa"/>
            <w:gridSpan w:val="3"/>
            <w:noWrap w:val="0"/>
            <w:vAlign w:val="center"/>
          </w:tcPr>
          <w:p w14:paraId="1E6252B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5分</w:t>
            </w:r>
          </w:p>
        </w:tc>
        <w:tc>
          <w:tcPr>
            <w:tcW w:w="888" w:type="dxa"/>
            <w:noWrap w:val="0"/>
            <w:vAlign w:val="center"/>
          </w:tcPr>
          <w:p w14:paraId="0181D17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200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28" w:type="dxa"/>
            <w:gridSpan w:val="7"/>
            <w:noWrap w:val="0"/>
            <w:vAlign w:val="center"/>
          </w:tcPr>
          <w:p w14:paraId="351720D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以上全部合计</w:t>
            </w:r>
          </w:p>
        </w:tc>
        <w:tc>
          <w:tcPr>
            <w:tcW w:w="1155" w:type="dxa"/>
            <w:gridSpan w:val="3"/>
            <w:noWrap w:val="0"/>
            <w:vAlign w:val="center"/>
          </w:tcPr>
          <w:p w14:paraId="0800ECC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100分</w:t>
            </w:r>
          </w:p>
        </w:tc>
        <w:tc>
          <w:tcPr>
            <w:tcW w:w="888" w:type="dxa"/>
            <w:noWrap w:val="0"/>
            <w:vAlign w:val="center"/>
          </w:tcPr>
          <w:p w14:paraId="59102CE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auto"/>
                <w:sz w:val="21"/>
                <w:szCs w:val="21"/>
                <w:highlight w:val="none"/>
                <w:vertAlign w:val="baseline"/>
                <w:lang w:val="en-US" w:eastAsia="zh-CN"/>
              </w:rPr>
            </w:pPr>
          </w:p>
        </w:tc>
      </w:tr>
      <w:tr w14:paraId="2895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restart"/>
            <w:noWrap w:val="0"/>
            <w:vAlign w:val="center"/>
          </w:tcPr>
          <w:p w14:paraId="6F64078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其他扣分</w:t>
            </w:r>
          </w:p>
          <w:p w14:paraId="223AEFC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加分因素</w:t>
            </w:r>
          </w:p>
        </w:tc>
        <w:tc>
          <w:tcPr>
            <w:tcW w:w="6296" w:type="dxa"/>
            <w:gridSpan w:val="4"/>
            <w:noWrap w:val="0"/>
            <w:vAlign w:val="center"/>
          </w:tcPr>
          <w:p w14:paraId="673AD1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经查实因物业管理原因造成重大安全事故</w:t>
            </w:r>
          </w:p>
        </w:tc>
        <w:tc>
          <w:tcPr>
            <w:tcW w:w="1155" w:type="dxa"/>
            <w:gridSpan w:val="3"/>
            <w:noWrap w:val="0"/>
            <w:vAlign w:val="center"/>
          </w:tcPr>
          <w:p w14:paraId="18A7A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扣10分/当季</w:t>
            </w:r>
          </w:p>
        </w:tc>
        <w:tc>
          <w:tcPr>
            <w:tcW w:w="888" w:type="dxa"/>
            <w:noWrap w:val="0"/>
            <w:vAlign w:val="center"/>
          </w:tcPr>
          <w:p w14:paraId="68A823D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471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4149F09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7BEECA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下发整改通知书逾期未整改或整改不到位</w:t>
            </w:r>
          </w:p>
        </w:tc>
        <w:tc>
          <w:tcPr>
            <w:tcW w:w="1155" w:type="dxa"/>
            <w:gridSpan w:val="3"/>
            <w:noWrap w:val="0"/>
            <w:vAlign w:val="center"/>
          </w:tcPr>
          <w:p w14:paraId="6B524A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扣5分/当季</w:t>
            </w:r>
          </w:p>
        </w:tc>
        <w:tc>
          <w:tcPr>
            <w:tcW w:w="888" w:type="dxa"/>
            <w:noWrap w:val="0"/>
            <w:vAlign w:val="center"/>
          </w:tcPr>
          <w:p w14:paraId="4D400A8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2D24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2F29B3E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1BEC541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经查实门卫室、监控室和消控室无人值守</w:t>
            </w:r>
          </w:p>
        </w:tc>
        <w:tc>
          <w:tcPr>
            <w:tcW w:w="1155" w:type="dxa"/>
            <w:gridSpan w:val="3"/>
            <w:noWrap w:val="0"/>
            <w:vAlign w:val="center"/>
          </w:tcPr>
          <w:p w14:paraId="0B2399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扣5分/当季</w:t>
            </w:r>
          </w:p>
        </w:tc>
        <w:tc>
          <w:tcPr>
            <w:tcW w:w="888" w:type="dxa"/>
            <w:noWrap w:val="0"/>
            <w:vAlign w:val="center"/>
          </w:tcPr>
          <w:p w14:paraId="2167C94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1BC8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496B00A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3A63F5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项目获得区级表彰荣誉</w:t>
            </w:r>
          </w:p>
        </w:tc>
        <w:tc>
          <w:tcPr>
            <w:tcW w:w="1155" w:type="dxa"/>
            <w:gridSpan w:val="3"/>
            <w:noWrap w:val="0"/>
            <w:vAlign w:val="center"/>
          </w:tcPr>
          <w:p w14:paraId="244180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加5分/当季</w:t>
            </w:r>
          </w:p>
        </w:tc>
        <w:tc>
          <w:tcPr>
            <w:tcW w:w="888" w:type="dxa"/>
            <w:noWrap w:val="0"/>
            <w:vAlign w:val="center"/>
          </w:tcPr>
          <w:p w14:paraId="23B8264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451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4613BA6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17899D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项目获得市级表彰荣誉</w:t>
            </w:r>
          </w:p>
        </w:tc>
        <w:tc>
          <w:tcPr>
            <w:tcW w:w="1155" w:type="dxa"/>
            <w:gridSpan w:val="3"/>
            <w:noWrap w:val="0"/>
            <w:vAlign w:val="center"/>
          </w:tcPr>
          <w:p w14:paraId="3DDA1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加8分/当季</w:t>
            </w:r>
          </w:p>
        </w:tc>
        <w:tc>
          <w:tcPr>
            <w:tcW w:w="888" w:type="dxa"/>
            <w:noWrap w:val="0"/>
            <w:vAlign w:val="center"/>
          </w:tcPr>
          <w:p w14:paraId="0B8C50A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7E1B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0B1A3CB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52F06C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项目获得省级表彰荣誉</w:t>
            </w:r>
          </w:p>
        </w:tc>
        <w:tc>
          <w:tcPr>
            <w:tcW w:w="1155" w:type="dxa"/>
            <w:gridSpan w:val="3"/>
            <w:noWrap w:val="0"/>
            <w:vAlign w:val="center"/>
          </w:tcPr>
          <w:p w14:paraId="6F7153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加10分/当季</w:t>
            </w:r>
          </w:p>
        </w:tc>
        <w:tc>
          <w:tcPr>
            <w:tcW w:w="888" w:type="dxa"/>
            <w:noWrap w:val="0"/>
            <w:vAlign w:val="center"/>
          </w:tcPr>
          <w:p w14:paraId="6C78455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95F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9971" w:type="dxa"/>
            <w:gridSpan w:val="11"/>
            <w:noWrap w:val="0"/>
            <w:vAlign w:val="center"/>
          </w:tcPr>
          <w:p w14:paraId="757DACC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备注：（1）考核内容有得分，无或不合格不得分。本考核未列明事宜可参考《安徽省地方标准-物业管理区域安全管理规范DB34/T 4390-2023》。</w:t>
            </w:r>
          </w:p>
          <w:p w14:paraId="0AD37000">
            <w:pPr>
              <w:keepNext w:val="0"/>
              <w:keepLines w:val="0"/>
              <w:pageBreakBefore w:val="0"/>
              <w:numPr>
                <w:ilvl w:val="0"/>
                <w:numId w:val="10"/>
              </w:numPr>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highlight w:val="none"/>
              </w:rPr>
              <w:t>按季</w:t>
            </w:r>
            <w:r>
              <w:rPr>
                <w:rFonts w:hint="eastAsia" w:ascii="宋体" w:hAnsi="宋体" w:eastAsia="宋体" w:cs="宋体"/>
                <w:b w:val="0"/>
                <w:bCs w:val="0"/>
                <w:color w:val="auto"/>
                <w:highlight w:val="none"/>
                <w:lang w:val="en-US" w:eastAsia="zh-CN"/>
              </w:rPr>
              <w:t>度（3个月）</w:t>
            </w:r>
            <w:r>
              <w:rPr>
                <w:rFonts w:hint="eastAsia" w:ascii="宋体" w:hAnsi="宋体" w:eastAsia="宋体" w:cs="宋体"/>
                <w:b w:val="0"/>
                <w:bCs w:val="0"/>
                <w:color w:val="auto"/>
                <w:highlight w:val="none"/>
              </w:rPr>
              <w:t>考核</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结合平时不定期考核</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，逐项核实，按季</w:t>
            </w:r>
            <w:r>
              <w:rPr>
                <w:rFonts w:hint="eastAsia" w:ascii="宋体" w:hAnsi="宋体" w:eastAsia="宋体" w:cs="宋体"/>
                <w:b w:val="0"/>
                <w:bCs w:val="0"/>
                <w:color w:val="auto"/>
                <w:highlight w:val="none"/>
                <w:lang w:val="en-US" w:eastAsia="zh-CN"/>
              </w:rPr>
              <w:t>度</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3个月</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考核结果结算</w:t>
            </w:r>
            <w:r>
              <w:rPr>
                <w:rFonts w:hint="eastAsia" w:ascii="宋体" w:hAnsi="宋体" w:eastAsia="宋体" w:cs="宋体"/>
                <w:b w:val="0"/>
                <w:bCs w:val="0"/>
                <w:color w:val="auto"/>
                <w:highlight w:val="none"/>
              </w:rPr>
              <w:t>付款</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每月15日前固定预付上月费用10万元，剩余按季考核结果结算付清)</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预付固定费用需核实已支付人员和项目费用</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按季</w:t>
            </w:r>
            <w:r>
              <w:rPr>
                <w:rFonts w:hint="eastAsia" w:ascii="宋体" w:hAnsi="宋体" w:eastAsia="宋体" w:cs="宋体"/>
                <w:b w:val="0"/>
                <w:bCs w:val="0"/>
                <w:color w:val="auto"/>
                <w:highlight w:val="none"/>
                <w:lang w:val="en-US" w:eastAsia="zh-CN"/>
              </w:rPr>
              <w:t>度考核核实后实际金额</w:t>
            </w:r>
            <w:r>
              <w:rPr>
                <w:rFonts w:hint="eastAsia" w:ascii="宋体" w:hAnsi="宋体" w:eastAsia="宋体" w:cs="宋体"/>
                <w:b w:val="0"/>
                <w:bCs w:val="0"/>
                <w:color w:val="auto"/>
                <w:highlight w:val="none"/>
              </w:rPr>
              <w:t>支付</w:t>
            </w:r>
            <w:r>
              <w:rPr>
                <w:rFonts w:hint="eastAsia" w:ascii="宋体" w:hAnsi="宋体" w:eastAsia="宋体" w:cs="宋体"/>
                <w:b w:val="0"/>
                <w:bCs w:val="0"/>
                <w:color w:val="auto"/>
                <w:highlight w:val="none"/>
                <w:lang w:val="en-US" w:eastAsia="zh-CN"/>
              </w:rPr>
              <w:t>当季</w:t>
            </w:r>
            <w:r>
              <w:rPr>
                <w:rFonts w:hint="eastAsia" w:ascii="宋体" w:hAnsi="宋体" w:eastAsia="宋体" w:cs="宋体"/>
                <w:b w:val="0"/>
                <w:bCs w:val="0"/>
                <w:color w:val="auto"/>
                <w:highlight w:val="none"/>
              </w:rPr>
              <w:t>物业服务费用（由人员费用、项目费用、利润和税费</w:t>
            </w:r>
            <w:r>
              <w:rPr>
                <w:rFonts w:hint="eastAsia" w:ascii="宋体" w:hAnsi="宋体" w:eastAsia="宋体" w:cs="宋体"/>
                <w:b w:val="0"/>
                <w:bCs w:val="0"/>
                <w:color w:val="auto"/>
                <w:highlight w:val="none"/>
                <w:lang w:val="en-US" w:eastAsia="zh-CN"/>
              </w:rPr>
              <w:t>实付总额</w:t>
            </w:r>
            <w:r>
              <w:rPr>
                <w:rFonts w:hint="eastAsia" w:ascii="宋体" w:hAnsi="宋体" w:eastAsia="宋体" w:cs="宋体"/>
                <w:b w:val="0"/>
                <w:bCs w:val="0"/>
                <w:color w:val="auto"/>
                <w:highlight w:val="none"/>
              </w:rPr>
              <w:t>组成），其中人员费用和项目费用按实际</w:t>
            </w:r>
            <w:r>
              <w:rPr>
                <w:rFonts w:hint="eastAsia" w:ascii="宋体" w:hAnsi="宋体" w:eastAsia="宋体" w:cs="宋体"/>
                <w:b w:val="0"/>
                <w:bCs w:val="0"/>
                <w:color w:val="auto"/>
                <w:highlight w:val="none"/>
                <w:lang w:val="en-US" w:eastAsia="zh-CN"/>
              </w:rPr>
              <w:t>总</w:t>
            </w:r>
            <w:r>
              <w:rPr>
                <w:rFonts w:hint="eastAsia" w:ascii="宋体" w:hAnsi="宋体" w:eastAsia="宋体" w:cs="宋体"/>
                <w:b w:val="0"/>
                <w:bCs w:val="0"/>
                <w:color w:val="auto"/>
                <w:highlight w:val="none"/>
              </w:rPr>
              <w:t>支出</w:t>
            </w:r>
            <w:r>
              <w:rPr>
                <w:rFonts w:hint="eastAsia" w:ascii="宋体" w:hAnsi="宋体" w:eastAsia="宋体" w:cs="宋体"/>
                <w:b w:val="0"/>
                <w:bCs w:val="0"/>
                <w:color w:val="auto"/>
                <w:highlight w:val="none"/>
                <w:lang w:val="en-US" w:eastAsia="zh-CN"/>
              </w:rPr>
              <w:t>且</w:t>
            </w:r>
            <w:r>
              <w:rPr>
                <w:rFonts w:hint="eastAsia" w:ascii="宋体" w:hAnsi="宋体" w:eastAsia="宋体" w:cs="宋体"/>
                <w:b w:val="0"/>
                <w:bCs w:val="0"/>
                <w:color w:val="auto"/>
                <w:highlight w:val="none"/>
              </w:rPr>
              <w:t>不超固定</w:t>
            </w:r>
            <w:r>
              <w:rPr>
                <w:rFonts w:hint="eastAsia" w:ascii="宋体" w:hAnsi="宋体" w:eastAsia="宋体" w:cs="宋体"/>
                <w:b w:val="0"/>
                <w:bCs w:val="0"/>
                <w:color w:val="auto"/>
                <w:highlight w:val="none"/>
                <w:lang w:val="en-US" w:eastAsia="zh-CN"/>
              </w:rPr>
              <w:t>总</w:t>
            </w:r>
            <w:r>
              <w:rPr>
                <w:rFonts w:hint="eastAsia" w:ascii="宋体" w:hAnsi="宋体" w:eastAsia="宋体" w:cs="宋体"/>
                <w:b w:val="0"/>
                <w:bCs w:val="0"/>
                <w:color w:val="auto"/>
                <w:highlight w:val="none"/>
              </w:rPr>
              <w:t>额度支付，利润按投标费率%*（人员费用季度实际金额+项目费用季度实际金额）*季度考核分值百分比%确定本季本项金额。</w:t>
            </w:r>
            <w:r>
              <w:rPr>
                <w:rFonts w:hint="eastAsia" w:ascii="宋体" w:hAnsi="宋体" w:eastAsia="宋体" w:cs="宋体"/>
                <w:b w:val="0"/>
                <w:bCs w:val="0"/>
                <w:color w:val="auto"/>
                <w:highlight w:val="none"/>
                <w:lang w:val="en-US" w:eastAsia="zh-CN"/>
              </w:rPr>
              <w:t>季度</w:t>
            </w:r>
            <w:r>
              <w:rPr>
                <w:rFonts w:hint="eastAsia" w:ascii="宋体" w:hAnsi="宋体" w:eastAsia="宋体" w:cs="宋体"/>
                <w:b w:val="0"/>
                <w:bCs w:val="0"/>
                <w:color w:val="auto"/>
                <w:highlight w:val="none"/>
              </w:rPr>
              <w:t>考核分值90分及以上</w:t>
            </w:r>
            <w:r>
              <w:rPr>
                <w:rFonts w:hint="eastAsia" w:ascii="宋体" w:hAnsi="宋体" w:eastAsia="宋体" w:cs="宋体"/>
                <w:b w:val="0"/>
                <w:bCs w:val="0"/>
                <w:color w:val="auto"/>
                <w:highlight w:val="none"/>
                <w:lang w:val="en-US" w:eastAsia="zh-CN"/>
              </w:rPr>
              <w:t>利润</w:t>
            </w:r>
            <w:r>
              <w:rPr>
                <w:rFonts w:hint="eastAsia" w:ascii="宋体" w:hAnsi="宋体" w:eastAsia="宋体" w:cs="宋体"/>
                <w:b w:val="0"/>
                <w:bCs w:val="0"/>
                <w:color w:val="auto"/>
                <w:highlight w:val="none"/>
              </w:rPr>
              <w:t>按100%，80</w:t>
            </w:r>
            <w:r>
              <w:rPr>
                <w:rFonts w:hint="eastAsia" w:ascii="宋体" w:hAnsi="宋体" w:eastAsia="宋体" w:cs="宋体"/>
                <w:b w:val="0"/>
                <w:bCs w:val="0"/>
                <w:color w:val="auto"/>
                <w:highlight w:val="none"/>
                <w:lang w:val="en-US" w:eastAsia="zh-CN"/>
              </w:rPr>
              <w:t>分（含）至90</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不含）利润</w:t>
            </w:r>
            <w:r>
              <w:rPr>
                <w:rFonts w:hint="eastAsia" w:ascii="宋体" w:hAnsi="宋体" w:eastAsia="宋体" w:cs="宋体"/>
                <w:b w:val="0"/>
                <w:bCs w:val="0"/>
                <w:color w:val="auto"/>
                <w:highlight w:val="none"/>
              </w:rPr>
              <w:t>按90%，</w:t>
            </w:r>
            <w:r>
              <w:rPr>
                <w:rFonts w:hint="eastAsia" w:ascii="宋体" w:hAnsi="宋体" w:eastAsia="宋体" w:cs="宋体"/>
                <w:b w:val="0"/>
                <w:bCs w:val="0"/>
                <w:color w:val="auto"/>
                <w:highlight w:val="none"/>
                <w:lang w:val="en-US" w:eastAsia="zh-CN"/>
              </w:rPr>
              <w:t>80</w:t>
            </w:r>
            <w:r>
              <w:rPr>
                <w:rFonts w:hint="eastAsia" w:ascii="宋体" w:hAnsi="宋体" w:eastAsia="宋体" w:cs="宋体"/>
                <w:b w:val="0"/>
                <w:bCs w:val="0"/>
                <w:color w:val="auto"/>
                <w:highlight w:val="none"/>
              </w:rPr>
              <w:t>分以下</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不含）</w:t>
            </w:r>
            <w:r>
              <w:rPr>
                <w:rFonts w:hint="eastAsia" w:ascii="宋体" w:hAnsi="宋体" w:eastAsia="宋体" w:cs="宋体"/>
                <w:b w:val="0"/>
                <w:bCs w:val="0"/>
                <w:color w:val="auto"/>
                <w:highlight w:val="none"/>
              </w:rPr>
              <w:t>不予支付，若平时有扣款则从利润项扣除，不足则从其他</w:t>
            </w:r>
            <w:r>
              <w:rPr>
                <w:rFonts w:hint="eastAsia" w:ascii="宋体" w:hAnsi="宋体" w:eastAsia="宋体" w:cs="宋体"/>
                <w:b w:val="0"/>
                <w:bCs w:val="0"/>
                <w:color w:val="auto"/>
                <w:highlight w:val="none"/>
                <w:lang w:val="en-US" w:eastAsia="zh-CN"/>
              </w:rPr>
              <w:t>项</w:t>
            </w:r>
            <w:r>
              <w:rPr>
                <w:rFonts w:hint="eastAsia" w:ascii="宋体" w:hAnsi="宋体" w:eastAsia="宋体" w:cs="宋体"/>
                <w:b w:val="0"/>
                <w:bCs w:val="0"/>
                <w:color w:val="auto"/>
                <w:highlight w:val="none"/>
              </w:rPr>
              <w:t>扣除。税费按实付金额（人员费用季度实际金额+项目费用季度实际金额+利润季度金额）*6%或实际开票税率确定本季</w:t>
            </w:r>
            <w:r>
              <w:rPr>
                <w:rFonts w:hint="eastAsia" w:ascii="宋体" w:hAnsi="宋体" w:eastAsia="宋体" w:cs="宋体"/>
                <w:b w:val="0"/>
                <w:bCs w:val="0"/>
                <w:color w:val="auto"/>
                <w:highlight w:val="none"/>
                <w:lang w:val="en-US" w:eastAsia="zh-CN"/>
              </w:rPr>
              <w:t>度</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3个月）</w:t>
            </w:r>
            <w:r>
              <w:rPr>
                <w:rFonts w:hint="eastAsia" w:ascii="宋体" w:hAnsi="宋体" w:eastAsia="宋体" w:cs="宋体"/>
                <w:b w:val="0"/>
                <w:bCs w:val="0"/>
                <w:color w:val="auto"/>
                <w:highlight w:val="none"/>
              </w:rPr>
              <w:t>本项金额。</w:t>
            </w:r>
            <w:r>
              <w:rPr>
                <w:rFonts w:hint="eastAsia" w:ascii="宋体" w:hAnsi="宋体" w:eastAsia="宋体" w:cs="宋体"/>
                <w:b w:val="0"/>
                <w:bCs w:val="0"/>
                <w:color w:val="auto"/>
                <w:szCs w:val="21"/>
                <w:highlight w:val="none"/>
              </w:rPr>
              <w:t>合同履行期</w:t>
            </w:r>
            <w:r>
              <w:rPr>
                <w:rFonts w:hint="eastAsia" w:ascii="宋体" w:hAnsi="宋体" w:eastAsia="宋体" w:cs="宋体"/>
                <w:b w:val="0"/>
                <w:bCs w:val="0"/>
                <w:color w:val="auto"/>
                <w:kern w:val="2"/>
                <w:sz w:val="21"/>
                <w:szCs w:val="21"/>
                <w:highlight w:val="none"/>
                <w:u w:val="none" w:color="000000"/>
                <w:lang w:val="en-US" w:eastAsia="zh-CN" w:bidi="ar-SA"/>
              </w:rPr>
              <w:t>内合同一年一签</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上</w:t>
            </w:r>
            <w:r>
              <w:rPr>
                <w:rFonts w:hint="eastAsia" w:ascii="宋体" w:hAnsi="宋体" w:eastAsia="宋体" w:cs="宋体"/>
                <w:b w:val="0"/>
                <w:bCs w:val="0"/>
                <w:color w:val="auto"/>
                <w:highlight w:val="none"/>
              </w:rPr>
              <w:t>年考核标准平均分值达90分及以上续签下一年合同，低于90分以下或有</w:t>
            </w:r>
            <w:r>
              <w:rPr>
                <w:rFonts w:hint="eastAsia" w:ascii="宋体" w:hAnsi="宋体" w:eastAsia="宋体" w:cs="宋体"/>
                <w:b w:val="0"/>
                <w:bCs w:val="0"/>
                <w:color w:val="auto"/>
                <w:szCs w:val="21"/>
                <w:highlight w:val="none"/>
                <w:lang w:val="en-US" w:eastAsia="zh-CN"/>
              </w:rPr>
              <w:t>重大</w:t>
            </w:r>
            <w:r>
              <w:rPr>
                <w:rFonts w:hint="eastAsia" w:ascii="宋体" w:hAnsi="宋体" w:eastAsia="宋体" w:cs="宋体"/>
                <w:b w:val="0"/>
                <w:bCs w:val="0"/>
                <w:color w:val="auto"/>
                <w:highlight w:val="none"/>
              </w:rPr>
              <w:t>不良记录不予续签，则重新招标</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w:t>
            </w:r>
            <w:r>
              <w:rPr>
                <w:rFonts w:hint="eastAsia" w:ascii="宋体" w:hAnsi="宋体" w:eastAsia="宋体" w:cs="宋体"/>
                <w:color w:val="auto"/>
                <w:sz w:val="21"/>
                <w:szCs w:val="21"/>
                <w:highlight w:val="none"/>
                <w:vertAlign w:val="baseline"/>
                <w:lang w:val="en-US" w:eastAsia="zh-CN"/>
              </w:rPr>
              <w:t>平时检查发现有不符合考核标准要求的且不及时整改的可以视情节严重扣除款项500-2000元/次。</w:t>
            </w:r>
          </w:p>
          <w:p w14:paraId="3DDF0DD3">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（4）本物业考核标准业主单位可根据实际情况进行调整。</w:t>
            </w:r>
          </w:p>
        </w:tc>
      </w:tr>
      <w:tr w14:paraId="4C88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71" w:type="dxa"/>
            <w:gridSpan w:val="11"/>
            <w:noWrap w:val="0"/>
            <w:vAlign w:val="center"/>
          </w:tcPr>
          <w:p w14:paraId="639A8DA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项目费用核查（核查合同、服务内容、银行流水、发票等）</w:t>
            </w:r>
          </w:p>
        </w:tc>
      </w:tr>
      <w:tr w14:paraId="0601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17892E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625" w:type="dxa"/>
            <w:gridSpan w:val="2"/>
            <w:noWrap w:val="0"/>
            <w:vAlign w:val="center"/>
          </w:tcPr>
          <w:p w14:paraId="4CA3E4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项目内容</w:t>
            </w:r>
          </w:p>
        </w:tc>
        <w:tc>
          <w:tcPr>
            <w:tcW w:w="1687" w:type="dxa"/>
            <w:noWrap w:val="0"/>
            <w:vAlign w:val="center"/>
          </w:tcPr>
          <w:p w14:paraId="1D37F4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季费用上限标准</w:t>
            </w:r>
          </w:p>
        </w:tc>
        <w:tc>
          <w:tcPr>
            <w:tcW w:w="2068" w:type="dxa"/>
            <w:noWrap w:val="0"/>
            <w:vAlign w:val="center"/>
          </w:tcPr>
          <w:p w14:paraId="74BD61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核查实际支出</w:t>
            </w:r>
          </w:p>
        </w:tc>
        <w:tc>
          <w:tcPr>
            <w:tcW w:w="1425" w:type="dxa"/>
            <w:gridSpan w:val="3"/>
            <w:noWrap w:val="0"/>
            <w:vAlign w:val="center"/>
          </w:tcPr>
          <w:p w14:paraId="79561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核查人1</w:t>
            </w:r>
          </w:p>
        </w:tc>
        <w:tc>
          <w:tcPr>
            <w:tcW w:w="1276" w:type="dxa"/>
            <w:gridSpan w:val="2"/>
            <w:noWrap w:val="0"/>
            <w:vAlign w:val="center"/>
          </w:tcPr>
          <w:p w14:paraId="39E7F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核查人2</w:t>
            </w:r>
          </w:p>
        </w:tc>
      </w:tr>
      <w:tr w14:paraId="04D4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45B9C4D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w:t>
            </w:r>
            <w:r>
              <w:rPr>
                <w:rFonts w:hint="eastAsia" w:ascii="宋体" w:hAnsi="宋体" w:eastAsia="宋体" w:cs="宋体"/>
                <w:b/>
                <w:bCs/>
                <w:color w:val="auto"/>
                <w:kern w:val="2"/>
                <w:sz w:val="21"/>
                <w:szCs w:val="21"/>
                <w:highlight w:val="none"/>
                <w:vertAlign w:val="baseline"/>
                <w:lang w:val="en-US" w:eastAsia="zh-CN" w:bidi="ar-SA"/>
              </w:rPr>
              <w:t>人员费用/27人（结算金额按全体人员实际总支出核实确定/缺员超半月以上直接按岗位费用总额扣除）</w:t>
            </w:r>
          </w:p>
        </w:tc>
      </w:tr>
      <w:tr w14:paraId="476A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66003D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2625" w:type="dxa"/>
            <w:gridSpan w:val="2"/>
            <w:noWrap w:val="0"/>
            <w:vAlign w:val="center"/>
          </w:tcPr>
          <w:p w14:paraId="4392A5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项目经理/1人</w:t>
            </w:r>
          </w:p>
        </w:tc>
        <w:tc>
          <w:tcPr>
            <w:tcW w:w="1687" w:type="dxa"/>
            <w:noWrap w:val="0"/>
            <w:vAlign w:val="center"/>
          </w:tcPr>
          <w:p w14:paraId="4DA64B7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25740元/季</w:t>
            </w:r>
          </w:p>
        </w:tc>
        <w:tc>
          <w:tcPr>
            <w:tcW w:w="2068" w:type="dxa"/>
            <w:noWrap w:val="0"/>
            <w:vAlign w:val="center"/>
          </w:tcPr>
          <w:p w14:paraId="65B130AD">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3926D51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470A5AA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p>
        </w:tc>
      </w:tr>
      <w:tr w14:paraId="3D5D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1B5230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2625" w:type="dxa"/>
            <w:gridSpan w:val="2"/>
            <w:noWrap w:val="0"/>
            <w:vAlign w:val="center"/>
          </w:tcPr>
          <w:p w14:paraId="50458B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项目主管/1人</w:t>
            </w:r>
          </w:p>
        </w:tc>
        <w:tc>
          <w:tcPr>
            <w:tcW w:w="1687" w:type="dxa"/>
            <w:noWrap w:val="0"/>
            <w:vAlign w:val="center"/>
          </w:tcPr>
          <w:p w14:paraId="6E113143">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21840元/季</w:t>
            </w:r>
          </w:p>
        </w:tc>
        <w:tc>
          <w:tcPr>
            <w:tcW w:w="2068" w:type="dxa"/>
            <w:noWrap w:val="0"/>
            <w:vAlign w:val="center"/>
          </w:tcPr>
          <w:p w14:paraId="6AA4D60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4357D96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2068C5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14D6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563618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2625" w:type="dxa"/>
            <w:gridSpan w:val="2"/>
            <w:noWrap w:val="0"/>
            <w:vAlign w:val="center"/>
          </w:tcPr>
          <w:p w14:paraId="1CDA39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客服兼管家</w:t>
            </w:r>
            <w:r>
              <w:rPr>
                <w:rFonts w:hint="eastAsia" w:ascii="宋体" w:hAnsi="宋体" w:eastAsia="宋体" w:cs="宋体"/>
                <w:color w:val="auto"/>
                <w:kern w:val="2"/>
                <w:sz w:val="21"/>
                <w:szCs w:val="21"/>
                <w:highlight w:val="none"/>
                <w:vertAlign w:val="baseline"/>
                <w:lang w:val="en-US" w:eastAsia="zh-CN" w:bidi="ar-SA"/>
              </w:rPr>
              <w:t>/2人</w:t>
            </w:r>
          </w:p>
        </w:tc>
        <w:tc>
          <w:tcPr>
            <w:tcW w:w="1687" w:type="dxa"/>
            <w:noWrap w:val="0"/>
            <w:vAlign w:val="center"/>
          </w:tcPr>
          <w:p w14:paraId="67F954F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33540元/季</w:t>
            </w:r>
          </w:p>
        </w:tc>
        <w:tc>
          <w:tcPr>
            <w:tcW w:w="2068" w:type="dxa"/>
            <w:noWrap w:val="0"/>
            <w:vAlign w:val="center"/>
          </w:tcPr>
          <w:p w14:paraId="23FE4C2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139F291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0D3DF1A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145C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2CA2A2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2625" w:type="dxa"/>
            <w:gridSpan w:val="2"/>
            <w:noWrap w:val="0"/>
            <w:vAlign w:val="center"/>
          </w:tcPr>
          <w:p w14:paraId="6A400C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文员兼人事</w:t>
            </w:r>
            <w:r>
              <w:rPr>
                <w:rFonts w:hint="eastAsia" w:ascii="宋体" w:hAnsi="宋体" w:eastAsia="宋体" w:cs="宋体"/>
                <w:color w:val="auto"/>
                <w:kern w:val="2"/>
                <w:sz w:val="21"/>
                <w:szCs w:val="21"/>
                <w:highlight w:val="none"/>
                <w:vertAlign w:val="baseline"/>
                <w:lang w:val="en-US" w:eastAsia="zh-CN" w:bidi="ar-SA"/>
              </w:rPr>
              <w:t>/1人</w:t>
            </w:r>
          </w:p>
        </w:tc>
        <w:tc>
          <w:tcPr>
            <w:tcW w:w="1687" w:type="dxa"/>
            <w:noWrap w:val="0"/>
            <w:vAlign w:val="center"/>
          </w:tcPr>
          <w:p w14:paraId="2CB77C6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16770元/季</w:t>
            </w:r>
          </w:p>
        </w:tc>
        <w:tc>
          <w:tcPr>
            <w:tcW w:w="2068" w:type="dxa"/>
            <w:noWrap w:val="0"/>
            <w:vAlign w:val="center"/>
          </w:tcPr>
          <w:p w14:paraId="2CF55C5D">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2ED8440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1E4E5B7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5641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2EF4B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2625" w:type="dxa"/>
            <w:gridSpan w:val="2"/>
            <w:noWrap w:val="0"/>
            <w:vAlign w:val="center"/>
          </w:tcPr>
          <w:p w14:paraId="6F55D1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维修（工程技工/水电抄表）/2人</w:t>
            </w:r>
          </w:p>
        </w:tc>
        <w:tc>
          <w:tcPr>
            <w:tcW w:w="1687" w:type="dxa"/>
            <w:noWrap w:val="0"/>
            <w:vAlign w:val="center"/>
          </w:tcPr>
          <w:p w14:paraId="7B23E5BF">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39000元/季</w:t>
            </w:r>
          </w:p>
        </w:tc>
        <w:tc>
          <w:tcPr>
            <w:tcW w:w="2068" w:type="dxa"/>
            <w:noWrap w:val="0"/>
            <w:vAlign w:val="center"/>
          </w:tcPr>
          <w:p w14:paraId="27686B7F">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699AD9B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60B527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107B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02B1E4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2625" w:type="dxa"/>
            <w:gridSpan w:val="2"/>
            <w:noWrap w:val="0"/>
            <w:vAlign w:val="center"/>
          </w:tcPr>
          <w:p w14:paraId="4CD138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安保队长/1人</w:t>
            </w:r>
          </w:p>
        </w:tc>
        <w:tc>
          <w:tcPr>
            <w:tcW w:w="1687" w:type="dxa"/>
            <w:noWrap w:val="0"/>
            <w:vAlign w:val="center"/>
          </w:tcPr>
          <w:p w14:paraId="4D1C0E2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17550元/季</w:t>
            </w:r>
          </w:p>
        </w:tc>
        <w:tc>
          <w:tcPr>
            <w:tcW w:w="2068" w:type="dxa"/>
            <w:noWrap w:val="0"/>
            <w:vAlign w:val="center"/>
          </w:tcPr>
          <w:p w14:paraId="039FDAA0">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D75C3D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1DB34BC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099E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235150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2625" w:type="dxa"/>
            <w:gridSpan w:val="2"/>
            <w:noWrap w:val="0"/>
            <w:vAlign w:val="center"/>
          </w:tcPr>
          <w:p w14:paraId="77B548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秩序维护（</w:t>
            </w:r>
            <w:r>
              <w:rPr>
                <w:rFonts w:hint="eastAsia" w:ascii="宋体" w:hAnsi="宋体" w:eastAsia="宋体" w:cs="宋体"/>
                <w:color w:val="auto"/>
                <w:kern w:val="2"/>
                <w:sz w:val="21"/>
                <w:szCs w:val="21"/>
                <w:highlight w:val="none"/>
                <w:vertAlign w:val="baseline"/>
                <w:lang w:val="en-US" w:eastAsia="zh-CN" w:bidi="ar-SA"/>
              </w:rPr>
              <w:t>形象岗）/1人</w:t>
            </w:r>
          </w:p>
        </w:tc>
        <w:tc>
          <w:tcPr>
            <w:tcW w:w="1687" w:type="dxa"/>
            <w:noWrap w:val="0"/>
            <w:vAlign w:val="center"/>
          </w:tcPr>
          <w:p w14:paraId="54456CB0">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14820元/季</w:t>
            </w:r>
          </w:p>
        </w:tc>
        <w:tc>
          <w:tcPr>
            <w:tcW w:w="2068" w:type="dxa"/>
            <w:noWrap w:val="0"/>
            <w:vAlign w:val="center"/>
          </w:tcPr>
          <w:p w14:paraId="6C54F6F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5781AF0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1263139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6396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3BAB5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2625" w:type="dxa"/>
            <w:gridSpan w:val="2"/>
            <w:noWrap w:val="0"/>
            <w:vAlign w:val="center"/>
          </w:tcPr>
          <w:p w14:paraId="455F51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秩序维护/普通岗（监控岗2人/普通4人/巡逻岗1人）</w:t>
            </w:r>
          </w:p>
        </w:tc>
        <w:tc>
          <w:tcPr>
            <w:tcW w:w="1687" w:type="dxa"/>
            <w:noWrap w:val="0"/>
            <w:vAlign w:val="center"/>
          </w:tcPr>
          <w:p w14:paraId="47DF5D0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95550元/季</w:t>
            </w:r>
          </w:p>
        </w:tc>
        <w:tc>
          <w:tcPr>
            <w:tcW w:w="2068" w:type="dxa"/>
            <w:noWrap w:val="0"/>
            <w:vAlign w:val="center"/>
          </w:tcPr>
          <w:p w14:paraId="0AF2CC9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2FD8FAA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64772B1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06E5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786523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2625" w:type="dxa"/>
            <w:gridSpan w:val="2"/>
            <w:noWrap w:val="0"/>
            <w:vAlign w:val="center"/>
          </w:tcPr>
          <w:p w14:paraId="706439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保洁班长/1人</w:t>
            </w:r>
          </w:p>
        </w:tc>
        <w:tc>
          <w:tcPr>
            <w:tcW w:w="1687" w:type="dxa"/>
            <w:noWrap w:val="0"/>
            <w:vAlign w:val="center"/>
          </w:tcPr>
          <w:p w14:paraId="6C7EA9B3">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13650元/季</w:t>
            </w:r>
          </w:p>
        </w:tc>
        <w:tc>
          <w:tcPr>
            <w:tcW w:w="2068" w:type="dxa"/>
            <w:noWrap w:val="0"/>
            <w:vAlign w:val="center"/>
          </w:tcPr>
          <w:p w14:paraId="1440675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6E485FD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B3D3C2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74B4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3EFC57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w:t>
            </w:r>
          </w:p>
        </w:tc>
        <w:tc>
          <w:tcPr>
            <w:tcW w:w="2625" w:type="dxa"/>
            <w:gridSpan w:val="2"/>
            <w:noWrap w:val="0"/>
            <w:vAlign w:val="center"/>
          </w:tcPr>
          <w:p w14:paraId="440FC8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lang w:val="en-US" w:eastAsia="zh-CN"/>
              </w:rPr>
              <w:t>保洁（含绿化1人）（单身4人/白领3人/会所1人/路面2人）</w:t>
            </w:r>
          </w:p>
        </w:tc>
        <w:tc>
          <w:tcPr>
            <w:tcW w:w="1687" w:type="dxa"/>
            <w:noWrap w:val="0"/>
            <w:vAlign w:val="center"/>
          </w:tcPr>
          <w:p w14:paraId="6F58D3C8">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117000元/季</w:t>
            </w:r>
          </w:p>
        </w:tc>
        <w:tc>
          <w:tcPr>
            <w:tcW w:w="2068" w:type="dxa"/>
            <w:noWrap w:val="0"/>
            <w:vAlign w:val="center"/>
          </w:tcPr>
          <w:p w14:paraId="78B9353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5F49BD6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0E068A4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186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2CD36A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人员费用小计</w:t>
            </w:r>
          </w:p>
        </w:tc>
        <w:tc>
          <w:tcPr>
            <w:tcW w:w="1687" w:type="dxa"/>
            <w:noWrap w:val="0"/>
            <w:vAlign w:val="center"/>
          </w:tcPr>
          <w:p w14:paraId="13EDE83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395460元/季</w:t>
            </w:r>
          </w:p>
        </w:tc>
        <w:tc>
          <w:tcPr>
            <w:tcW w:w="2068" w:type="dxa"/>
            <w:noWrap w:val="0"/>
            <w:vAlign w:val="center"/>
          </w:tcPr>
          <w:p w14:paraId="0C10D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CF098C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47C1FFE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7C6A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3D998BDE">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二、</w:t>
            </w:r>
            <w:r>
              <w:rPr>
                <w:rFonts w:hint="eastAsia" w:ascii="宋体" w:hAnsi="宋体" w:eastAsia="宋体" w:cs="宋体"/>
                <w:b/>
                <w:bCs/>
                <w:color w:val="auto"/>
                <w:kern w:val="2"/>
                <w:sz w:val="21"/>
                <w:szCs w:val="21"/>
                <w:highlight w:val="none"/>
                <w:vertAlign w:val="baseline"/>
                <w:lang w:val="en-US" w:eastAsia="zh-CN" w:bidi="ar-SA"/>
              </w:rPr>
              <w:t>项目费用/7项</w:t>
            </w:r>
          </w:p>
        </w:tc>
      </w:tr>
      <w:tr w14:paraId="281F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270A6C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2625" w:type="dxa"/>
            <w:gridSpan w:val="2"/>
            <w:noWrap w:val="0"/>
            <w:vAlign w:val="center"/>
          </w:tcPr>
          <w:p w14:paraId="7FCBFC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电梯维保/22部</w:t>
            </w:r>
          </w:p>
        </w:tc>
        <w:tc>
          <w:tcPr>
            <w:tcW w:w="1687" w:type="dxa"/>
            <w:noWrap w:val="0"/>
            <w:vAlign w:val="center"/>
          </w:tcPr>
          <w:p w14:paraId="54C532D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26400元/季</w:t>
            </w:r>
          </w:p>
        </w:tc>
        <w:tc>
          <w:tcPr>
            <w:tcW w:w="2068" w:type="dxa"/>
            <w:noWrap w:val="0"/>
            <w:vAlign w:val="center"/>
          </w:tcPr>
          <w:p w14:paraId="762D21D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489F464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49369C1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78B7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5DDB22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2625" w:type="dxa"/>
            <w:gridSpan w:val="2"/>
            <w:noWrap w:val="0"/>
            <w:vAlign w:val="center"/>
          </w:tcPr>
          <w:p w14:paraId="11D880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消防维保</w:t>
            </w:r>
          </w:p>
        </w:tc>
        <w:tc>
          <w:tcPr>
            <w:tcW w:w="1687" w:type="dxa"/>
            <w:noWrap w:val="0"/>
            <w:vAlign w:val="center"/>
          </w:tcPr>
          <w:p w14:paraId="14C7770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9000元/季</w:t>
            </w:r>
          </w:p>
        </w:tc>
        <w:tc>
          <w:tcPr>
            <w:tcW w:w="2068" w:type="dxa"/>
            <w:noWrap w:val="0"/>
            <w:vAlign w:val="center"/>
          </w:tcPr>
          <w:p w14:paraId="250DBB0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3001EE2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54A329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16C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72A364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w:t>
            </w:r>
          </w:p>
        </w:tc>
        <w:tc>
          <w:tcPr>
            <w:tcW w:w="2625" w:type="dxa"/>
            <w:gridSpan w:val="2"/>
            <w:noWrap w:val="0"/>
            <w:vAlign w:val="center"/>
          </w:tcPr>
          <w:p w14:paraId="0D6A12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绿化养护/约0.9万m²</w:t>
            </w:r>
          </w:p>
        </w:tc>
        <w:tc>
          <w:tcPr>
            <w:tcW w:w="1687" w:type="dxa"/>
            <w:noWrap w:val="0"/>
            <w:vAlign w:val="center"/>
          </w:tcPr>
          <w:p w14:paraId="157D48B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7500元/季</w:t>
            </w:r>
          </w:p>
        </w:tc>
        <w:tc>
          <w:tcPr>
            <w:tcW w:w="2068" w:type="dxa"/>
            <w:noWrap w:val="0"/>
            <w:vAlign w:val="center"/>
          </w:tcPr>
          <w:p w14:paraId="04D9019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6648180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05CBDC5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44A2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7EBF6A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w:t>
            </w:r>
          </w:p>
        </w:tc>
        <w:tc>
          <w:tcPr>
            <w:tcW w:w="2625" w:type="dxa"/>
            <w:gridSpan w:val="2"/>
            <w:noWrap w:val="0"/>
            <w:vAlign w:val="center"/>
          </w:tcPr>
          <w:p w14:paraId="076993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零星维修/智能维保</w:t>
            </w:r>
          </w:p>
        </w:tc>
        <w:tc>
          <w:tcPr>
            <w:tcW w:w="1687" w:type="dxa"/>
            <w:noWrap w:val="0"/>
            <w:vAlign w:val="center"/>
          </w:tcPr>
          <w:p w14:paraId="151DCE7F">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24000元/季</w:t>
            </w:r>
          </w:p>
        </w:tc>
        <w:tc>
          <w:tcPr>
            <w:tcW w:w="2068" w:type="dxa"/>
            <w:noWrap w:val="0"/>
            <w:vAlign w:val="center"/>
          </w:tcPr>
          <w:p w14:paraId="1226026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4FCC204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8FC1A5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3E54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2412F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w:t>
            </w:r>
          </w:p>
        </w:tc>
        <w:tc>
          <w:tcPr>
            <w:tcW w:w="2625" w:type="dxa"/>
            <w:gridSpan w:val="2"/>
            <w:noWrap w:val="0"/>
            <w:vAlign w:val="center"/>
          </w:tcPr>
          <w:p w14:paraId="3DDAFF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垃圾清运</w:t>
            </w:r>
          </w:p>
        </w:tc>
        <w:tc>
          <w:tcPr>
            <w:tcW w:w="1687" w:type="dxa"/>
            <w:noWrap w:val="0"/>
            <w:vAlign w:val="center"/>
          </w:tcPr>
          <w:p w14:paraId="06262CA6">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9000元/季</w:t>
            </w:r>
          </w:p>
        </w:tc>
        <w:tc>
          <w:tcPr>
            <w:tcW w:w="2068" w:type="dxa"/>
            <w:noWrap w:val="0"/>
            <w:vAlign w:val="center"/>
          </w:tcPr>
          <w:p w14:paraId="30E7BE3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492DD8C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4082DD3">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7DF0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7A60F4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w:t>
            </w:r>
          </w:p>
        </w:tc>
        <w:tc>
          <w:tcPr>
            <w:tcW w:w="2625" w:type="dxa"/>
            <w:gridSpan w:val="2"/>
            <w:noWrap w:val="0"/>
            <w:vAlign w:val="center"/>
          </w:tcPr>
          <w:p w14:paraId="1151F3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公众责任保险</w:t>
            </w:r>
          </w:p>
        </w:tc>
        <w:tc>
          <w:tcPr>
            <w:tcW w:w="1687" w:type="dxa"/>
            <w:noWrap w:val="0"/>
            <w:vAlign w:val="center"/>
          </w:tcPr>
          <w:p w14:paraId="6C7EEFA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4800元/季</w:t>
            </w:r>
          </w:p>
        </w:tc>
        <w:tc>
          <w:tcPr>
            <w:tcW w:w="2068" w:type="dxa"/>
            <w:noWrap w:val="0"/>
            <w:vAlign w:val="center"/>
          </w:tcPr>
          <w:p w14:paraId="514394C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4ACDAE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7B565B6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6342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457958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w:t>
            </w:r>
          </w:p>
        </w:tc>
        <w:tc>
          <w:tcPr>
            <w:tcW w:w="2625" w:type="dxa"/>
            <w:gridSpan w:val="2"/>
            <w:noWrap w:val="0"/>
            <w:vAlign w:val="center"/>
          </w:tcPr>
          <w:p w14:paraId="2F68CF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行政办公</w:t>
            </w:r>
          </w:p>
        </w:tc>
        <w:tc>
          <w:tcPr>
            <w:tcW w:w="1687" w:type="dxa"/>
            <w:noWrap w:val="0"/>
            <w:vAlign w:val="center"/>
          </w:tcPr>
          <w:p w14:paraId="2F5E843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4500元/季</w:t>
            </w:r>
          </w:p>
        </w:tc>
        <w:tc>
          <w:tcPr>
            <w:tcW w:w="2068" w:type="dxa"/>
            <w:noWrap w:val="0"/>
            <w:vAlign w:val="center"/>
          </w:tcPr>
          <w:p w14:paraId="52A2A848">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372454B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413DFCE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479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03D636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项目费用小计</w:t>
            </w:r>
          </w:p>
        </w:tc>
        <w:tc>
          <w:tcPr>
            <w:tcW w:w="1687" w:type="dxa"/>
            <w:noWrap w:val="0"/>
            <w:vAlign w:val="center"/>
          </w:tcPr>
          <w:p w14:paraId="487F77F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85200元/季</w:t>
            </w:r>
          </w:p>
        </w:tc>
        <w:tc>
          <w:tcPr>
            <w:tcW w:w="2068" w:type="dxa"/>
            <w:noWrap w:val="0"/>
            <w:vAlign w:val="center"/>
          </w:tcPr>
          <w:p w14:paraId="646AD16F">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4730C2A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075F6AA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2530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44254B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三、利润=（当季实际人员费用+当季实际项目费用）*占比8%（以投标费率为准）*考核分值比例</w:t>
            </w:r>
          </w:p>
          <w:p w14:paraId="0D2F2A2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（考核分值在90分及以上按100%，80-89分按90%，79分及以下不予支付）</w:t>
            </w:r>
          </w:p>
        </w:tc>
      </w:tr>
      <w:tr w14:paraId="3AD9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320B7A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w:t>
            </w:r>
          </w:p>
        </w:tc>
        <w:tc>
          <w:tcPr>
            <w:tcW w:w="2625" w:type="dxa"/>
            <w:gridSpan w:val="2"/>
            <w:noWrap w:val="0"/>
            <w:vAlign w:val="center"/>
          </w:tcPr>
          <w:p w14:paraId="7DACE9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项目利润</w:t>
            </w:r>
          </w:p>
        </w:tc>
        <w:tc>
          <w:tcPr>
            <w:tcW w:w="1687" w:type="dxa"/>
            <w:noWrap w:val="0"/>
            <w:vAlign w:val="center"/>
          </w:tcPr>
          <w:p w14:paraId="77F53E9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38452.8元/季</w:t>
            </w:r>
          </w:p>
        </w:tc>
        <w:tc>
          <w:tcPr>
            <w:tcW w:w="2068" w:type="dxa"/>
            <w:noWrap w:val="0"/>
            <w:vAlign w:val="center"/>
          </w:tcPr>
          <w:p w14:paraId="0DE9AB5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6EDCC7E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569F3D1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479A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240712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利润小计</w:t>
            </w:r>
          </w:p>
        </w:tc>
        <w:tc>
          <w:tcPr>
            <w:tcW w:w="1687" w:type="dxa"/>
            <w:noWrap w:val="0"/>
            <w:vAlign w:val="center"/>
          </w:tcPr>
          <w:p w14:paraId="356752D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38452.8元/季</w:t>
            </w:r>
          </w:p>
        </w:tc>
        <w:tc>
          <w:tcPr>
            <w:tcW w:w="2068" w:type="dxa"/>
            <w:noWrap w:val="0"/>
            <w:vAlign w:val="center"/>
          </w:tcPr>
          <w:p w14:paraId="36C6071D">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3DEABCB">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87C562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2057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754A2FB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四、税费=（人员费用+项目费用+利润费用）*税率6%（以实际开票税率为准）</w:t>
            </w:r>
          </w:p>
        </w:tc>
      </w:tr>
      <w:tr w14:paraId="6097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3C4E2B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4.1</w:t>
            </w:r>
          </w:p>
        </w:tc>
        <w:tc>
          <w:tcPr>
            <w:tcW w:w="2625" w:type="dxa"/>
            <w:gridSpan w:val="2"/>
            <w:noWrap w:val="0"/>
            <w:vAlign w:val="center"/>
          </w:tcPr>
          <w:p w14:paraId="6D869AD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开票税费</w:t>
            </w:r>
          </w:p>
        </w:tc>
        <w:tc>
          <w:tcPr>
            <w:tcW w:w="1687" w:type="dxa"/>
            <w:noWrap w:val="0"/>
            <w:vAlign w:val="center"/>
          </w:tcPr>
          <w:p w14:paraId="39022980">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31146.78元/季</w:t>
            </w:r>
          </w:p>
        </w:tc>
        <w:tc>
          <w:tcPr>
            <w:tcW w:w="2068" w:type="dxa"/>
            <w:noWrap w:val="0"/>
            <w:vAlign w:val="center"/>
          </w:tcPr>
          <w:p w14:paraId="389798E8">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59270CA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2258DEC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16F2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7C5BF6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税费小计</w:t>
            </w:r>
          </w:p>
        </w:tc>
        <w:tc>
          <w:tcPr>
            <w:tcW w:w="1687" w:type="dxa"/>
            <w:noWrap w:val="0"/>
            <w:vAlign w:val="center"/>
          </w:tcPr>
          <w:p w14:paraId="2BB4A17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31146.78元/季</w:t>
            </w:r>
          </w:p>
        </w:tc>
        <w:tc>
          <w:tcPr>
            <w:tcW w:w="2068" w:type="dxa"/>
            <w:noWrap w:val="0"/>
            <w:vAlign w:val="center"/>
          </w:tcPr>
          <w:p w14:paraId="40D72D3D">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2523C4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C6C8A3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highlight w:val="none"/>
                <w:vertAlign w:val="baseline"/>
                <w:lang w:val="en-US" w:eastAsia="zh-CN"/>
              </w:rPr>
            </w:pPr>
          </w:p>
        </w:tc>
      </w:tr>
      <w:tr w14:paraId="6DB8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515" w:type="dxa"/>
            <w:gridSpan w:val="4"/>
            <w:vMerge w:val="restart"/>
            <w:noWrap w:val="0"/>
            <w:vAlign w:val="center"/>
          </w:tcPr>
          <w:p w14:paraId="0A66BC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本季物业费用总额</w:t>
            </w:r>
          </w:p>
        </w:tc>
        <w:tc>
          <w:tcPr>
            <w:tcW w:w="1687" w:type="dxa"/>
            <w:vMerge w:val="restart"/>
            <w:noWrap w:val="0"/>
            <w:vAlign w:val="center"/>
          </w:tcPr>
          <w:p w14:paraId="1B2CE67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550259.6元/季</w:t>
            </w:r>
          </w:p>
        </w:tc>
        <w:tc>
          <w:tcPr>
            <w:tcW w:w="4769" w:type="dxa"/>
            <w:gridSpan w:val="6"/>
            <w:noWrap w:val="0"/>
            <w:vAlign w:val="center"/>
          </w:tcPr>
          <w:p w14:paraId="27744E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1"/>
                <w:szCs w:val="21"/>
                <w:highlight w:val="none"/>
                <w:vertAlign w:val="baseline"/>
                <w:lang w:val="en-US" w:eastAsia="zh-CN"/>
              </w:rPr>
            </w:pPr>
          </w:p>
          <w:p w14:paraId="79FA0A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实际总费用小写：</w:t>
            </w:r>
            <w:r>
              <w:rPr>
                <w:rFonts w:hint="eastAsia" w:ascii="宋体" w:hAnsi="宋体" w:eastAsia="宋体" w:cs="宋体"/>
                <w:b/>
                <w:bCs/>
                <w:color w:val="auto"/>
                <w:sz w:val="21"/>
                <w:szCs w:val="21"/>
                <w:highlight w:val="none"/>
                <w:u w:val="single"/>
                <w:vertAlign w:val="baseline"/>
                <w:lang w:val="en-US" w:eastAsia="zh-CN"/>
              </w:rPr>
              <w:t xml:space="preserve">                        </w:t>
            </w:r>
            <w:r>
              <w:rPr>
                <w:rFonts w:hint="eastAsia" w:ascii="宋体" w:hAnsi="宋体" w:eastAsia="宋体" w:cs="宋体"/>
                <w:b/>
                <w:bCs/>
                <w:color w:val="auto"/>
                <w:sz w:val="21"/>
                <w:szCs w:val="21"/>
                <w:highlight w:val="none"/>
                <w:vertAlign w:val="baseline"/>
                <w:lang w:val="en-US" w:eastAsia="zh-CN"/>
              </w:rPr>
              <w:t>元</w:t>
            </w:r>
          </w:p>
        </w:tc>
      </w:tr>
      <w:tr w14:paraId="4952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515" w:type="dxa"/>
            <w:gridSpan w:val="4"/>
            <w:vMerge w:val="continue"/>
            <w:noWrap w:val="0"/>
            <w:vAlign w:val="center"/>
          </w:tcPr>
          <w:p w14:paraId="24699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vertAlign w:val="baseline"/>
                <w:lang w:val="en-US" w:eastAsia="zh-CN"/>
              </w:rPr>
            </w:pPr>
          </w:p>
        </w:tc>
        <w:tc>
          <w:tcPr>
            <w:tcW w:w="1687" w:type="dxa"/>
            <w:vMerge w:val="continue"/>
            <w:noWrap w:val="0"/>
            <w:vAlign w:val="center"/>
          </w:tcPr>
          <w:p w14:paraId="240393B1">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769" w:type="dxa"/>
            <w:gridSpan w:val="6"/>
            <w:noWrap w:val="0"/>
            <w:vAlign w:val="center"/>
          </w:tcPr>
          <w:p w14:paraId="5B79BD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2"/>
                <w:sz w:val="21"/>
                <w:szCs w:val="21"/>
                <w:highlight w:val="none"/>
                <w:vertAlign w:val="baseline"/>
                <w:lang w:val="en-US" w:eastAsia="zh-CN" w:bidi="ar-SA"/>
              </w:rPr>
            </w:pPr>
          </w:p>
          <w:p w14:paraId="2642B8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大写：（</w:t>
            </w:r>
            <w:r>
              <w:rPr>
                <w:rFonts w:hint="eastAsia" w:ascii="宋体" w:hAnsi="宋体" w:eastAsia="宋体" w:cs="宋体"/>
                <w:b/>
                <w:bCs/>
                <w:color w:val="auto"/>
                <w:kern w:val="2"/>
                <w:sz w:val="21"/>
                <w:szCs w:val="21"/>
                <w:highlight w:val="none"/>
                <w:u w:val="single"/>
                <w:vertAlign w:val="baseline"/>
                <w:lang w:val="en-US" w:eastAsia="zh-CN" w:bidi="ar-SA"/>
              </w:rPr>
              <w:t xml:space="preserve">                                  </w:t>
            </w:r>
            <w:r>
              <w:rPr>
                <w:rFonts w:hint="eastAsia" w:ascii="宋体" w:hAnsi="宋体" w:eastAsia="宋体" w:cs="宋体"/>
                <w:b/>
                <w:bCs/>
                <w:color w:val="auto"/>
                <w:kern w:val="2"/>
                <w:sz w:val="21"/>
                <w:szCs w:val="21"/>
                <w:highlight w:val="none"/>
                <w:vertAlign w:val="baseline"/>
                <w:lang w:val="en-US" w:eastAsia="zh-CN" w:bidi="ar-SA"/>
              </w:rPr>
              <w:t>）</w:t>
            </w:r>
          </w:p>
        </w:tc>
      </w:tr>
      <w:tr w14:paraId="4611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5202" w:type="dxa"/>
            <w:gridSpan w:val="5"/>
            <w:noWrap w:val="0"/>
            <w:vAlign w:val="center"/>
          </w:tcPr>
          <w:p w14:paraId="7CBC17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p>
          <w:p w14:paraId="0B451654">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被考核单位物业经理签字：</w:t>
            </w:r>
          </w:p>
          <w:p w14:paraId="6E6D5EC0">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（物业公司盖章）</w:t>
            </w:r>
          </w:p>
          <w:p w14:paraId="7F170271">
            <w:pPr>
              <w:pStyle w:val="28"/>
              <w:keepNext w:val="0"/>
              <w:keepLines w:val="0"/>
              <w:pageBreakBefore w:val="0"/>
              <w:widowControl w:val="0"/>
              <w:kinsoku/>
              <w:wordWrap/>
              <w:overflowPunct/>
              <w:topLinePunct w:val="0"/>
              <w:autoSpaceDE/>
              <w:autoSpaceDN/>
              <w:bidi w:val="0"/>
              <w:adjustRightInd/>
              <w:snapToGrid/>
              <w:spacing w:line="360" w:lineRule="exact"/>
              <w:ind w:left="420" w:leftChars="0" w:hanging="420" w:firstLineChars="0"/>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769" w:type="dxa"/>
            <w:gridSpan w:val="6"/>
            <w:noWrap w:val="0"/>
            <w:vAlign w:val="center"/>
          </w:tcPr>
          <w:p w14:paraId="7AD540E4">
            <w:pPr>
              <w:pStyle w:val="2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考核人员签字：</w:t>
            </w:r>
          </w:p>
          <w:p w14:paraId="5707D0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（业主单位盖章）</w:t>
            </w:r>
          </w:p>
        </w:tc>
      </w:tr>
    </w:tbl>
    <w:p w14:paraId="5F5C00B3">
      <w:pPr>
        <w:rPr>
          <w:rFonts w:hint="eastAsia" w:ascii="华文中宋" w:hAnsi="华文中宋" w:eastAsia="华文中宋"/>
          <w:color w:val="auto"/>
          <w:highlight w:val="none"/>
        </w:rPr>
      </w:pPr>
      <w:r>
        <w:rPr>
          <w:rFonts w:hint="eastAsia" w:ascii="华文中宋" w:hAnsi="华文中宋" w:eastAsia="华文中宋"/>
          <w:color w:val="auto"/>
          <w:highlight w:val="none"/>
        </w:rPr>
        <w:br w:type="page"/>
      </w:r>
    </w:p>
    <w:bookmarkEnd w:id="92"/>
    <w:bookmarkEnd w:id="93"/>
    <w:p w14:paraId="25B2DFF5">
      <w:pPr>
        <w:pStyle w:val="156"/>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jc w:val="center"/>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章</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合同条款及格式</w:t>
      </w:r>
    </w:p>
    <w:p w14:paraId="0A7BADB8">
      <w:pPr>
        <w:pStyle w:val="3"/>
        <w:pageBreakBefore w:val="0"/>
        <w:widowControl w:val="0"/>
        <w:kinsoku/>
        <w:wordWrap/>
        <w:overflowPunct/>
        <w:topLinePunct w:val="0"/>
        <w:autoSpaceDE/>
        <w:autoSpaceDN/>
        <w:bidi w:val="0"/>
        <w:adjustRightInd/>
        <w:snapToGrid/>
        <w:spacing w:before="0" w:after="0" w:line="330" w:lineRule="exact"/>
        <w:jc w:val="center"/>
        <w:textAlignment w:val="auto"/>
        <w:outlineLvl w:val="1"/>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lang w:val="en-US" w:eastAsia="zh-CN"/>
        </w:rPr>
        <w:t>后勤服务中心（公租房）</w:t>
      </w:r>
      <w:r>
        <w:rPr>
          <w:rFonts w:hint="eastAsia" w:ascii="宋体" w:hAnsi="宋体" w:eastAsia="宋体" w:cs="宋体"/>
          <w:sz w:val="21"/>
          <w:szCs w:val="21"/>
          <w:highlight w:val="none"/>
        </w:rPr>
        <w:t>物业管理服务合同</w:t>
      </w:r>
    </w:p>
    <w:p w14:paraId="74EFAECB">
      <w:pPr>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lang w:val="en-US" w:eastAsia="zh-CN"/>
        </w:rPr>
        <w:t>正式合同仅以本文为基准，具体条款双方协定</w:t>
      </w:r>
      <w:r>
        <w:rPr>
          <w:rFonts w:hint="eastAsia" w:ascii="宋体" w:hAnsi="宋体" w:eastAsia="宋体" w:cs="宋体"/>
          <w:sz w:val="21"/>
          <w:szCs w:val="21"/>
          <w:highlight w:val="none"/>
          <w:lang w:eastAsia="zh-CN"/>
        </w:rPr>
        <w:t>）</w:t>
      </w:r>
    </w:p>
    <w:p w14:paraId="1986EECB">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shd w:val="clear" w:color="auto" w:fill="FFFFFF"/>
        </w:rPr>
      </w:pPr>
    </w:p>
    <w:p w14:paraId="27BE3447">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采购方（甲方）：</w:t>
      </w:r>
      <w:r>
        <w:rPr>
          <w:rFonts w:hint="eastAsia" w:ascii="宋体" w:hAnsi="宋体" w:eastAsia="宋体" w:cs="宋体"/>
          <w:color w:val="auto"/>
          <w:kern w:val="0"/>
          <w:sz w:val="21"/>
          <w:szCs w:val="21"/>
          <w:highlight w:val="none"/>
          <w:u w:val="single"/>
          <w:shd w:val="clear" w:color="auto" w:fill="FFFFFF"/>
          <w:lang w:eastAsia="zh-CN"/>
        </w:rPr>
        <w:t>滁州同业投资发展有限公司</w:t>
      </w:r>
      <w:r>
        <w:rPr>
          <w:rFonts w:hint="eastAsia" w:ascii="宋体" w:hAnsi="宋体" w:eastAsia="宋体" w:cs="宋体"/>
          <w:color w:val="auto"/>
          <w:kern w:val="0"/>
          <w:sz w:val="21"/>
          <w:szCs w:val="21"/>
          <w:highlight w:val="none"/>
          <w:u w:val="none"/>
          <w:shd w:val="clear" w:color="auto" w:fill="FFFFFF"/>
          <w:lang w:val="en-US" w:eastAsia="zh-CN"/>
        </w:rPr>
        <w:t>；</w:t>
      </w:r>
    </w:p>
    <w:p w14:paraId="29879895">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u w:val="single"/>
          <w:shd w:val="clear" w:color="auto" w:fill="FFFFFF"/>
          <w:lang w:val="en-US" w:eastAsia="zh-CN"/>
        </w:rPr>
      </w:pPr>
      <w:r>
        <w:rPr>
          <w:rFonts w:hint="eastAsia" w:ascii="宋体" w:hAnsi="宋体" w:eastAsia="宋体" w:cs="宋体"/>
          <w:color w:val="auto"/>
          <w:kern w:val="0"/>
          <w:sz w:val="21"/>
          <w:szCs w:val="21"/>
          <w:highlight w:val="none"/>
          <w:shd w:val="clear" w:color="auto" w:fill="FFFFFF"/>
        </w:rPr>
        <w:t>法定代表人：</w:t>
      </w:r>
      <w:r>
        <w:rPr>
          <w:rFonts w:hint="eastAsia" w:ascii="宋体" w:hAnsi="宋体" w:eastAsia="宋体" w:cs="宋体"/>
          <w:color w:val="auto"/>
          <w:kern w:val="0"/>
          <w:sz w:val="21"/>
          <w:szCs w:val="21"/>
          <w:highlight w:val="none"/>
          <w:u w:val="single"/>
          <w:shd w:val="clear" w:color="auto" w:fill="FFFFFF"/>
          <w:lang w:val="en-US" w:eastAsia="zh-CN"/>
        </w:rPr>
        <w:t>薛忠权</w:t>
      </w:r>
      <w:r>
        <w:rPr>
          <w:rFonts w:hint="eastAsia" w:ascii="宋体" w:hAnsi="宋体" w:eastAsia="宋体" w:cs="宋体"/>
          <w:color w:val="auto"/>
          <w:kern w:val="0"/>
          <w:sz w:val="21"/>
          <w:szCs w:val="21"/>
          <w:highlight w:val="none"/>
          <w:shd w:val="clear" w:color="auto" w:fill="FFFFFF"/>
        </w:rPr>
        <w:t>，社会统一信用代码：</w:t>
      </w:r>
      <w:r>
        <w:rPr>
          <w:rFonts w:hint="eastAsia" w:ascii="宋体" w:hAnsi="宋体" w:eastAsia="宋体" w:cs="宋体"/>
          <w:color w:val="auto"/>
          <w:kern w:val="0"/>
          <w:sz w:val="21"/>
          <w:szCs w:val="21"/>
          <w:highlight w:val="none"/>
          <w:u w:val="single"/>
          <w:shd w:val="clear" w:color="auto" w:fill="FFFFFF"/>
        </w:rPr>
        <w:t>913411005986636098</w:t>
      </w:r>
      <w:r>
        <w:rPr>
          <w:rFonts w:hint="eastAsia" w:ascii="宋体" w:hAnsi="宋体" w:eastAsia="宋体" w:cs="宋体"/>
          <w:color w:val="auto"/>
          <w:kern w:val="0"/>
          <w:sz w:val="21"/>
          <w:szCs w:val="21"/>
          <w:highlight w:val="none"/>
          <w:u w:val="none"/>
          <w:shd w:val="clear" w:color="auto" w:fill="FFFFFF"/>
          <w:lang w:val="en-US" w:eastAsia="zh-CN"/>
        </w:rPr>
        <w:t>；</w:t>
      </w:r>
      <w:r>
        <w:rPr>
          <w:rFonts w:hint="eastAsia" w:ascii="宋体" w:hAnsi="宋体" w:eastAsia="宋体" w:cs="宋体"/>
          <w:color w:val="auto"/>
          <w:kern w:val="0"/>
          <w:sz w:val="21"/>
          <w:szCs w:val="21"/>
          <w:highlight w:val="none"/>
          <w:u w:val="single"/>
          <w:shd w:val="clear" w:color="auto" w:fill="FFFFFF"/>
          <w:lang w:val="en-US" w:eastAsia="zh-CN"/>
        </w:rPr>
        <w:t xml:space="preserve">        </w:t>
      </w:r>
    </w:p>
    <w:p w14:paraId="607E24B8">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联系</w:t>
      </w:r>
      <w:r>
        <w:rPr>
          <w:rFonts w:hint="eastAsia" w:ascii="宋体" w:hAnsi="宋体" w:eastAsia="宋体" w:cs="宋体"/>
          <w:color w:val="auto"/>
          <w:kern w:val="0"/>
          <w:sz w:val="21"/>
          <w:szCs w:val="21"/>
          <w:highlight w:val="none"/>
          <w:shd w:val="clear" w:color="auto" w:fill="FFFFFF"/>
        </w:rPr>
        <w:t>地址：</w:t>
      </w:r>
      <w:r>
        <w:rPr>
          <w:rFonts w:hint="eastAsia" w:ascii="宋体" w:hAnsi="宋体" w:eastAsia="宋体" w:cs="宋体"/>
          <w:color w:val="auto"/>
          <w:kern w:val="0"/>
          <w:sz w:val="21"/>
          <w:szCs w:val="21"/>
          <w:highlight w:val="none"/>
          <w:u w:val="single"/>
          <w:shd w:val="clear" w:color="auto" w:fill="FFFFFF"/>
        </w:rPr>
        <w:t>安徽省滁州市全椒路77号</w:t>
      </w:r>
      <w:r>
        <w:rPr>
          <w:rFonts w:hint="eastAsia" w:ascii="宋体" w:hAnsi="宋体" w:eastAsia="宋体" w:cs="宋体"/>
          <w:color w:val="auto"/>
          <w:kern w:val="0"/>
          <w:sz w:val="21"/>
          <w:szCs w:val="21"/>
          <w:highlight w:val="none"/>
          <w:shd w:val="clear" w:color="auto" w:fill="FFFFFF"/>
        </w:rPr>
        <w:t>，邮政编码：</w:t>
      </w:r>
      <w:r>
        <w:rPr>
          <w:rFonts w:hint="eastAsia" w:ascii="宋体" w:hAnsi="宋体" w:eastAsia="宋体" w:cs="宋体"/>
          <w:color w:val="auto"/>
          <w:kern w:val="0"/>
          <w:sz w:val="21"/>
          <w:szCs w:val="21"/>
          <w:highlight w:val="none"/>
          <w:u w:val="single"/>
          <w:shd w:val="clear" w:color="auto" w:fill="FFFFFF"/>
        </w:rPr>
        <w:t>239000</w:t>
      </w:r>
      <w:r>
        <w:rPr>
          <w:rFonts w:hint="eastAsia" w:ascii="宋体" w:hAnsi="宋体" w:eastAsia="宋体" w:cs="宋体"/>
          <w:color w:val="auto"/>
          <w:kern w:val="0"/>
          <w:sz w:val="21"/>
          <w:szCs w:val="21"/>
          <w:highlight w:val="none"/>
          <w:u w:val="none"/>
          <w:shd w:val="clear" w:color="auto" w:fill="FFFFFF"/>
          <w:lang w:val="en-US" w:eastAsia="zh-CN"/>
        </w:rPr>
        <w:t>；</w:t>
      </w:r>
    </w:p>
    <w:p w14:paraId="401F9B0B">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联系电话：</w:t>
      </w:r>
      <w:r>
        <w:rPr>
          <w:rFonts w:hint="eastAsia" w:ascii="宋体" w:hAnsi="宋体" w:eastAsia="宋体" w:cs="宋体"/>
          <w:color w:val="auto"/>
          <w:kern w:val="0"/>
          <w:sz w:val="21"/>
          <w:szCs w:val="21"/>
          <w:highlight w:val="none"/>
          <w:u w:val="single"/>
          <w:shd w:val="clear" w:color="auto" w:fill="FFFFFF"/>
          <w:lang w:val="en-US" w:eastAsia="zh-CN"/>
        </w:rPr>
        <w:t>0550-3830787</w:t>
      </w:r>
      <w:r>
        <w:rPr>
          <w:rFonts w:hint="eastAsia" w:ascii="宋体" w:hAnsi="宋体" w:eastAsia="宋体" w:cs="宋体"/>
          <w:color w:val="auto"/>
          <w:kern w:val="0"/>
          <w:sz w:val="21"/>
          <w:szCs w:val="21"/>
          <w:highlight w:val="none"/>
          <w:u w:val="single"/>
          <w:shd w:val="clear" w:color="auto" w:fill="FFFFFF"/>
        </w:rPr>
        <w:t>（同业公司/经开区国有资产管理部门</w:t>
      </w:r>
      <w:r>
        <w:rPr>
          <w:rFonts w:hint="eastAsia" w:ascii="宋体" w:hAnsi="宋体" w:eastAsia="宋体" w:cs="宋体"/>
          <w:color w:val="auto"/>
          <w:kern w:val="0"/>
          <w:sz w:val="21"/>
          <w:szCs w:val="21"/>
          <w:highlight w:val="none"/>
          <w:u w:val="single"/>
          <w:shd w:val="clear" w:color="auto" w:fill="FFFFFF"/>
          <w:lang w:eastAsia="zh-CN"/>
        </w:rPr>
        <w:t>）</w:t>
      </w:r>
      <w:r>
        <w:rPr>
          <w:rFonts w:hint="eastAsia" w:ascii="宋体" w:hAnsi="宋体" w:eastAsia="宋体" w:cs="宋体"/>
          <w:color w:val="auto"/>
          <w:kern w:val="0"/>
          <w:sz w:val="21"/>
          <w:szCs w:val="21"/>
          <w:highlight w:val="none"/>
          <w:u w:val="none"/>
          <w:shd w:val="clear" w:color="auto" w:fill="FFFFFF"/>
          <w:lang w:val="en-US" w:eastAsia="zh-CN"/>
        </w:rPr>
        <w:t>；</w:t>
      </w:r>
    </w:p>
    <w:p w14:paraId="54CCDAC7">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u w:val="single"/>
          <w:shd w:val="clear" w:color="auto" w:fill="FFFFFF"/>
          <w:lang w:val="en-US" w:eastAsia="zh-CN"/>
        </w:rPr>
      </w:pPr>
      <w:r>
        <w:rPr>
          <w:rFonts w:hint="eastAsia" w:ascii="宋体" w:hAnsi="宋体" w:eastAsia="宋体" w:cs="宋体"/>
          <w:color w:val="auto"/>
          <w:kern w:val="0"/>
          <w:sz w:val="21"/>
          <w:szCs w:val="21"/>
          <w:highlight w:val="none"/>
          <w:shd w:val="clear" w:color="auto" w:fill="FFFFFF"/>
        </w:rPr>
        <w:t>收款单位：</w:t>
      </w:r>
      <w:r>
        <w:rPr>
          <w:rFonts w:hint="eastAsia" w:ascii="宋体" w:hAnsi="宋体" w:eastAsia="宋体" w:cs="宋体"/>
          <w:color w:val="auto"/>
          <w:kern w:val="0"/>
          <w:sz w:val="21"/>
          <w:szCs w:val="21"/>
          <w:highlight w:val="none"/>
          <w:u w:val="single"/>
          <w:shd w:val="clear" w:color="auto" w:fill="FFFFFF"/>
          <w:lang w:eastAsia="zh-CN"/>
        </w:rPr>
        <w:t>滁州同业投资发展有限公司</w:t>
      </w: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val="en-US" w:eastAsia="zh-CN"/>
        </w:rPr>
        <w:t>收费专户</w:t>
      </w: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u w:val="single"/>
          <w:shd w:val="clear" w:color="auto" w:fill="FFFFFF"/>
          <w:lang w:val="en-US" w:eastAsia="zh-CN"/>
        </w:rPr>
        <w:t>农业银行滁州琅琊区支行</w:t>
      </w:r>
      <w:r>
        <w:rPr>
          <w:rFonts w:hint="eastAsia" w:ascii="宋体" w:hAnsi="宋体" w:eastAsia="宋体" w:cs="宋体"/>
          <w:color w:val="auto"/>
          <w:kern w:val="0"/>
          <w:sz w:val="21"/>
          <w:szCs w:val="21"/>
          <w:highlight w:val="none"/>
          <w:u w:val="none"/>
          <w:shd w:val="clear" w:color="auto" w:fill="FFFFFF"/>
          <w:lang w:val="en-US" w:eastAsia="zh-CN"/>
        </w:rPr>
        <w:t>；</w:t>
      </w:r>
      <w:r>
        <w:rPr>
          <w:rFonts w:hint="eastAsia" w:ascii="宋体" w:hAnsi="宋体" w:eastAsia="宋体" w:cs="宋体"/>
          <w:color w:val="auto"/>
          <w:kern w:val="0"/>
          <w:sz w:val="21"/>
          <w:szCs w:val="21"/>
          <w:highlight w:val="none"/>
          <w:u w:val="single"/>
          <w:shd w:val="clear" w:color="auto" w:fill="FFFFFF"/>
          <w:lang w:val="en-US" w:eastAsia="zh-CN"/>
        </w:rPr>
        <w:t xml:space="preserve">       </w:t>
      </w:r>
    </w:p>
    <w:p w14:paraId="63F0F567">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u w:val="single"/>
          <w:shd w:val="clear" w:color="auto" w:fill="FFFFFF"/>
          <w:lang w:val="en-US" w:eastAsia="zh-CN"/>
        </w:rPr>
      </w:pPr>
      <w:r>
        <w:rPr>
          <w:rFonts w:hint="eastAsia" w:ascii="宋体" w:hAnsi="宋体" w:eastAsia="宋体" w:cs="宋体"/>
          <w:color w:val="auto"/>
          <w:kern w:val="0"/>
          <w:sz w:val="21"/>
          <w:szCs w:val="21"/>
          <w:highlight w:val="none"/>
          <w:shd w:val="clear" w:color="auto" w:fill="FFFFFF"/>
        </w:rPr>
        <w:t>收款</w:t>
      </w:r>
      <w:r>
        <w:rPr>
          <w:rFonts w:hint="eastAsia" w:ascii="宋体" w:hAnsi="宋体" w:eastAsia="宋体" w:cs="宋体"/>
          <w:color w:val="auto"/>
          <w:kern w:val="0"/>
          <w:sz w:val="21"/>
          <w:szCs w:val="21"/>
          <w:highlight w:val="none"/>
          <w:shd w:val="clear" w:color="auto" w:fill="FFFFFF"/>
          <w:lang w:eastAsia="zh-CN"/>
        </w:rPr>
        <w:t>账</w:t>
      </w:r>
      <w:r>
        <w:rPr>
          <w:rFonts w:hint="eastAsia" w:ascii="宋体" w:hAnsi="宋体" w:eastAsia="宋体" w:cs="宋体"/>
          <w:color w:val="auto"/>
          <w:kern w:val="0"/>
          <w:sz w:val="21"/>
          <w:szCs w:val="21"/>
          <w:highlight w:val="none"/>
          <w:shd w:val="clear" w:color="auto" w:fill="FFFFFF"/>
        </w:rPr>
        <w:t>号：</w:t>
      </w:r>
      <w:r>
        <w:rPr>
          <w:rFonts w:hint="eastAsia" w:ascii="宋体" w:hAnsi="宋体" w:eastAsia="宋体" w:cs="宋体"/>
          <w:color w:val="auto"/>
          <w:kern w:val="0"/>
          <w:sz w:val="21"/>
          <w:szCs w:val="21"/>
          <w:highlight w:val="none"/>
          <w:u w:val="single"/>
          <w:shd w:val="clear" w:color="auto" w:fill="FFFFFF"/>
          <w:lang w:val="en-US" w:eastAsia="zh-CN"/>
        </w:rPr>
        <w:t>1233 0001 0400 19142</w:t>
      </w:r>
    </w:p>
    <w:p w14:paraId="262C6B16">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u w:val="single"/>
          <w:shd w:val="clear" w:color="auto" w:fill="FFFFFF"/>
          <w:lang w:val="en-US" w:eastAsia="zh-CN"/>
        </w:rPr>
        <w:t xml:space="preserve">      </w:t>
      </w:r>
    </w:p>
    <w:p w14:paraId="4387D3A0">
      <w:pPr>
        <w:keepNext w:val="0"/>
        <w:keepLines w:val="0"/>
        <w:pageBreakBefore w:val="0"/>
        <w:widowControl w:val="0"/>
        <w:kinsoku/>
        <w:wordWrap/>
        <w:overflowPunct/>
        <w:topLinePunct w:val="0"/>
        <w:autoSpaceDE/>
        <w:autoSpaceDN/>
        <w:bidi w:val="0"/>
        <w:adjustRightInd/>
        <w:snapToGrid w:val="0"/>
        <w:spacing w:line="330" w:lineRule="exact"/>
        <w:jc w:val="left"/>
        <w:textAlignment w:val="auto"/>
        <w:rPr>
          <w:rFonts w:hint="eastAsia" w:ascii="宋体" w:hAnsi="宋体" w:eastAsia="宋体" w:cs="宋体"/>
          <w:color w:val="auto"/>
          <w:kern w:val="0"/>
          <w:sz w:val="21"/>
          <w:szCs w:val="21"/>
          <w:highlight w:val="none"/>
          <w:u w:val="single"/>
          <w:shd w:val="clear" w:color="auto" w:fill="FFFFFF"/>
          <w:lang w:val="en-US"/>
        </w:rPr>
      </w:pPr>
      <w:r>
        <w:rPr>
          <w:rFonts w:hint="eastAsia" w:ascii="宋体" w:hAnsi="宋体" w:eastAsia="宋体" w:cs="宋体"/>
          <w:color w:val="auto"/>
          <w:kern w:val="0"/>
          <w:sz w:val="21"/>
          <w:szCs w:val="21"/>
          <w:highlight w:val="none"/>
          <w:shd w:val="clear" w:color="auto" w:fill="FFFFFF"/>
        </w:rPr>
        <w:t>供应方（乙方）：</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u w:val="none"/>
          <w:shd w:val="clear" w:color="auto" w:fill="FFFFFF"/>
          <w:lang w:val="en-US" w:eastAsia="zh-CN"/>
        </w:rPr>
        <w:t>；</w:t>
      </w:r>
      <w:r>
        <w:rPr>
          <w:rFonts w:hint="eastAsia" w:ascii="宋体" w:hAnsi="宋体" w:eastAsia="宋体" w:cs="宋体"/>
          <w:color w:val="auto"/>
          <w:kern w:val="0"/>
          <w:sz w:val="21"/>
          <w:szCs w:val="21"/>
          <w:highlight w:val="none"/>
          <w:u w:val="single"/>
          <w:shd w:val="clear" w:color="auto" w:fill="FFFFFF"/>
          <w:lang w:val="en-US" w:eastAsia="zh-CN"/>
        </w:rPr>
        <w:t xml:space="preserve">               </w:t>
      </w:r>
    </w:p>
    <w:p w14:paraId="0BA64DA8">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u w:val="single"/>
          <w:shd w:val="clear" w:color="auto" w:fill="FFFFFF"/>
        </w:rPr>
      </w:pPr>
      <w:r>
        <w:rPr>
          <w:rFonts w:hint="eastAsia" w:ascii="宋体" w:hAnsi="宋体" w:eastAsia="宋体" w:cs="宋体"/>
          <w:color w:val="auto"/>
          <w:kern w:val="0"/>
          <w:sz w:val="21"/>
          <w:szCs w:val="21"/>
          <w:highlight w:val="none"/>
          <w:shd w:val="clear" w:color="auto" w:fill="FFFFFF"/>
        </w:rPr>
        <w:t>负责人：</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 性别：男</w:t>
      </w:r>
      <w:r>
        <w:rPr>
          <w:rFonts w:hint="eastAsia" w:ascii="宋体" w:hAnsi="宋体" w:eastAsia="宋体" w:cs="宋体"/>
          <w:color w:val="auto"/>
          <w:kern w:val="0"/>
          <w:sz w:val="21"/>
          <w:szCs w:val="21"/>
          <w:highlight w:val="none"/>
          <w:shd w:val="clear" w:color="auto" w:fill="FFFFFF"/>
        </w:rPr>
        <w:sym w:font="Wingdings" w:char="00A8"/>
      </w:r>
      <w:r>
        <w:rPr>
          <w:rFonts w:hint="eastAsia" w:ascii="宋体" w:hAnsi="宋体" w:eastAsia="宋体" w:cs="宋体"/>
          <w:color w:val="auto"/>
          <w:kern w:val="0"/>
          <w:sz w:val="21"/>
          <w:szCs w:val="21"/>
          <w:highlight w:val="none"/>
          <w:shd w:val="clear" w:color="auto" w:fill="FFFFFF"/>
        </w:rPr>
        <w:t>/女</w:t>
      </w:r>
      <w:r>
        <w:rPr>
          <w:rFonts w:hint="eastAsia" w:ascii="宋体" w:hAnsi="宋体" w:eastAsia="宋体" w:cs="宋体"/>
          <w:color w:val="auto"/>
          <w:kern w:val="0"/>
          <w:sz w:val="21"/>
          <w:szCs w:val="21"/>
          <w:highlight w:val="none"/>
          <w:shd w:val="clear" w:color="auto" w:fill="FFFFFF"/>
        </w:rPr>
        <w:sym w:font="Wingdings" w:char="00A8"/>
      </w:r>
      <w:r>
        <w:rPr>
          <w:rFonts w:hint="eastAsia" w:ascii="宋体" w:hAnsi="宋体" w:eastAsia="宋体" w:cs="宋体"/>
          <w:color w:val="auto"/>
          <w:kern w:val="0"/>
          <w:sz w:val="21"/>
          <w:szCs w:val="21"/>
          <w:highlight w:val="none"/>
          <w:shd w:val="clear" w:color="auto" w:fill="FFFFFF"/>
        </w:rPr>
        <w:t>，身份证号：</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u w:val="none"/>
          <w:shd w:val="clear" w:color="auto" w:fill="FFFFFF"/>
          <w:lang w:val="en-US" w:eastAsia="zh-CN"/>
        </w:rPr>
        <w:t>；</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u w:val="single"/>
          <w:shd w:val="clear" w:color="auto" w:fill="FFFFFF"/>
        </w:rPr>
        <w:t xml:space="preserve">  </w:t>
      </w:r>
    </w:p>
    <w:p w14:paraId="0F89778A">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u w:val="single"/>
          <w:shd w:val="clear" w:color="auto" w:fill="FFFFFF"/>
          <w:lang w:val="en-US" w:eastAsia="zh-CN"/>
        </w:rPr>
      </w:pPr>
      <w:r>
        <w:rPr>
          <w:rFonts w:hint="eastAsia" w:ascii="宋体" w:hAnsi="宋体" w:eastAsia="宋体" w:cs="宋体"/>
          <w:color w:val="auto"/>
          <w:kern w:val="0"/>
          <w:sz w:val="21"/>
          <w:szCs w:val="21"/>
          <w:highlight w:val="none"/>
          <w:shd w:val="clear" w:color="auto" w:fill="FFFFFF"/>
        </w:rPr>
        <w:t>社会统一信用代码：</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u w:val="none"/>
          <w:shd w:val="clear" w:color="auto" w:fill="FFFFFF"/>
          <w:lang w:val="en-US" w:eastAsia="zh-CN"/>
        </w:rPr>
        <w:t>；</w:t>
      </w:r>
      <w:r>
        <w:rPr>
          <w:rFonts w:hint="eastAsia" w:ascii="宋体" w:hAnsi="宋体" w:eastAsia="宋体" w:cs="宋体"/>
          <w:color w:val="auto"/>
          <w:kern w:val="0"/>
          <w:sz w:val="21"/>
          <w:szCs w:val="21"/>
          <w:highlight w:val="none"/>
          <w:u w:val="single"/>
          <w:shd w:val="clear" w:color="auto" w:fill="FFFFFF"/>
          <w:lang w:val="en-US" w:eastAsia="zh-CN"/>
        </w:rPr>
        <w:t xml:space="preserve">  </w:t>
      </w:r>
    </w:p>
    <w:p w14:paraId="17B33BF1">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联系</w:t>
      </w:r>
      <w:r>
        <w:rPr>
          <w:rFonts w:hint="eastAsia" w:ascii="宋体" w:hAnsi="宋体" w:eastAsia="宋体" w:cs="宋体"/>
          <w:color w:val="auto"/>
          <w:kern w:val="0"/>
          <w:sz w:val="21"/>
          <w:szCs w:val="21"/>
          <w:highlight w:val="none"/>
          <w:shd w:val="clear" w:color="auto" w:fill="FFFFFF"/>
        </w:rPr>
        <w:t>地址：</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，邮政编码：</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u w:val="none"/>
          <w:shd w:val="clear" w:color="auto" w:fill="FFFFFF"/>
          <w:lang w:val="en-US" w:eastAsia="zh-CN"/>
        </w:rPr>
        <w:t xml:space="preserve">； </w:t>
      </w:r>
      <w:r>
        <w:rPr>
          <w:rFonts w:hint="eastAsia" w:ascii="宋体" w:hAnsi="宋体" w:eastAsia="宋体" w:cs="宋体"/>
          <w:color w:val="auto"/>
          <w:kern w:val="0"/>
          <w:sz w:val="21"/>
          <w:szCs w:val="21"/>
          <w:highlight w:val="none"/>
          <w:u w:val="single"/>
          <w:shd w:val="clear" w:color="auto" w:fill="FFFFFF"/>
          <w:lang w:val="en-US" w:eastAsia="zh-CN"/>
        </w:rPr>
        <w:t xml:space="preserve">    </w:t>
      </w:r>
    </w:p>
    <w:p w14:paraId="1BDFA5D2">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u w:val="single"/>
          <w:shd w:val="clear" w:color="auto" w:fill="FFFFFF"/>
          <w:lang w:val="en-US" w:eastAsia="zh-CN"/>
        </w:rPr>
      </w:pPr>
      <w:r>
        <w:rPr>
          <w:rFonts w:hint="eastAsia" w:ascii="宋体" w:hAnsi="宋体" w:eastAsia="宋体" w:cs="宋体"/>
          <w:color w:val="auto"/>
          <w:kern w:val="0"/>
          <w:sz w:val="21"/>
          <w:szCs w:val="21"/>
          <w:highlight w:val="none"/>
          <w:lang w:val="en-US" w:eastAsia="zh-CN"/>
        </w:rPr>
        <w:t>项目负责人（经理）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shd w:val="clear" w:color="auto" w:fill="FFFFFF"/>
        </w:rPr>
        <w:t>性别：男</w:t>
      </w:r>
      <w:r>
        <w:rPr>
          <w:rFonts w:hint="eastAsia" w:ascii="宋体" w:hAnsi="宋体" w:eastAsia="宋体" w:cs="宋体"/>
          <w:color w:val="auto"/>
          <w:kern w:val="0"/>
          <w:sz w:val="21"/>
          <w:szCs w:val="21"/>
          <w:highlight w:val="none"/>
          <w:shd w:val="clear" w:color="auto" w:fill="FFFFFF"/>
        </w:rPr>
        <w:sym w:font="Wingdings" w:char="00A8"/>
      </w:r>
      <w:r>
        <w:rPr>
          <w:rFonts w:hint="eastAsia" w:ascii="宋体" w:hAnsi="宋体" w:eastAsia="宋体" w:cs="宋体"/>
          <w:color w:val="auto"/>
          <w:kern w:val="0"/>
          <w:sz w:val="21"/>
          <w:szCs w:val="21"/>
          <w:highlight w:val="none"/>
          <w:shd w:val="clear" w:color="auto" w:fill="FFFFFF"/>
        </w:rPr>
        <w:t>/女</w:t>
      </w:r>
      <w:r>
        <w:rPr>
          <w:rFonts w:hint="eastAsia" w:ascii="宋体" w:hAnsi="宋体" w:eastAsia="宋体" w:cs="宋体"/>
          <w:color w:val="auto"/>
          <w:kern w:val="0"/>
          <w:sz w:val="21"/>
          <w:szCs w:val="21"/>
          <w:highlight w:val="none"/>
          <w:shd w:val="clear" w:color="auto" w:fill="FFFFFF"/>
        </w:rPr>
        <w:sym w:font="Wingdings" w:char="00A8"/>
      </w:r>
      <w:r>
        <w:rPr>
          <w:rFonts w:hint="eastAsia" w:ascii="宋体" w:hAnsi="宋体" w:eastAsia="宋体" w:cs="宋体"/>
          <w:color w:val="auto"/>
          <w:kern w:val="0"/>
          <w:sz w:val="21"/>
          <w:szCs w:val="21"/>
          <w:highlight w:val="none"/>
          <w:shd w:val="clear" w:color="auto" w:fill="FFFFFF"/>
        </w:rPr>
        <w:t>，身份证号：</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eastAsia="宋体" w:cs="宋体"/>
          <w:color w:val="auto"/>
          <w:kern w:val="0"/>
          <w:sz w:val="21"/>
          <w:szCs w:val="21"/>
          <w:highlight w:val="none"/>
          <w:u w:val="none"/>
          <w:shd w:val="clear" w:color="auto" w:fill="FFFFFF"/>
          <w:lang w:val="en-US" w:eastAsia="zh-CN"/>
        </w:rPr>
        <w:t>；</w:t>
      </w:r>
      <w:r>
        <w:rPr>
          <w:rFonts w:hint="eastAsia" w:ascii="宋体" w:hAnsi="宋体" w:eastAsia="宋体" w:cs="宋体"/>
          <w:color w:val="auto"/>
          <w:kern w:val="0"/>
          <w:sz w:val="21"/>
          <w:szCs w:val="21"/>
          <w:highlight w:val="none"/>
          <w:u w:val="single"/>
          <w:shd w:val="clear" w:color="auto" w:fill="FFFFFF"/>
          <w:lang w:val="en-US" w:eastAsia="zh-CN"/>
        </w:rPr>
        <w:t xml:space="preserve">   </w:t>
      </w:r>
    </w:p>
    <w:p w14:paraId="00A200C4">
      <w:pPr>
        <w:keepNext w:val="0"/>
        <w:keepLines w:val="0"/>
        <w:pageBreakBefore w:val="0"/>
        <w:widowControl w:val="0"/>
        <w:kinsoku/>
        <w:wordWrap/>
        <w:overflowPunct/>
        <w:topLinePunct w:val="0"/>
        <w:autoSpaceDE/>
        <w:autoSpaceDN/>
        <w:bidi w:val="0"/>
        <w:adjustRightInd/>
        <w:snapToGrid w:val="0"/>
        <w:spacing w:line="330" w:lineRule="exact"/>
        <w:textAlignment w:val="auto"/>
        <w:rPr>
          <w:rFonts w:hint="eastAsia" w:ascii="宋体" w:hAnsi="宋体" w:eastAsia="宋体" w:cs="宋体"/>
          <w:color w:val="auto"/>
          <w:kern w:val="0"/>
          <w:sz w:val="21"/>
          <w:szCs w:val="21"/>
          <w:highlight w:val="none"/>
          <w:u w:val="single"/>
          <w:shd w:val="clear" w:color="auto" w:fill="FFFFFF"/>
        </w:rPr>
      </w:pPr>
      <w:r>
        <w:rPr>
          <w:rFonts w:hint="eastAsia" w:ascii="宋体" w:hAnsi="宋体" w:eastAsia="宋体" w:cs="宋体"/>
          <w:color w:val="auto"/>
          <w:kern w:val="0"/>
          <w:sz w:val="21"/>
          <w:szCs w:val="21"/>
          <w:highlight w:val="none"/>
        </w:rPr>
        <w:t>手机：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，固话：</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，电子邮箱：</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 xml:space="preserve">  </w:t>
      </w:r>
    </w:p>
    <w:p w14:paraId="0B514375">
      <w:pPr>
        <w:keepNext w:val="0"/>
        <w:keepLines w:val="0"/>
        <w:pageBreakBefore w:val="0"/>
        <w:widowControl/>
        <w:kinsoku/>
        <w:wordWrap w:val="0"/>
        <w:overflowPunct/>
        <w:topLinePunct w:val="0"/>
        <w:autoSpaceDE/>
        <w:autoSpaceDN/>
        <w:bidi w:val="0"/>
        <w:adjustRightInd/>
        <w:spacing w:line="33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11E18E65">
      <w:pPr>
        <w:keepNext w:val="0"/>
        <w:keepLines w:val="0"/>
        <w:pageBreakBefore w:val="0"/>
        <w:widowControl/>
        <w:kinsoku/>
        <w:wordWrap w:val="0"/>
        <w:overflowPunct/>
        <w:topLinePunct w:val="0"/>
        <w:autoSpaceDE/>
        <w:autoSpaceDN/>
        <w:bidi w:val="0"/>
        <w:adjustRightInd/>
        <w:spacing w:line="33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根据《中华人民共和国民法典》《中华人民共和国招标投标法》《物业管理条例》和相关法律、法规、政策，甲乙双方本着自愿、平等、公平、诚实信用的原则，</w:t>
      </w:r>
      <w:r>
        <w:rPr>
          <w:rFonts w:hint="eastAsia" w:ascii="宋体" w:hAnsi="宋体" w:eastAsia="宋体" w:cs="宋体"/>
          <w:color w:val="auto"/>
          <w:kern w:val="0"/>
          <w:sz w:val="21"/>
          <w:szCs w:val="21"/>
          <w:highlight w:val="none"/>
          <w:lang w:val="en-US" w:eastAsia="zh-CN"/>
        </w:rPr>
        <w:t>通过</w:t>
      </w:r>
      <w:r>
        <w:rPr>
          <w:rFonts w:hint="eastAsia" w:ascii="宋体" w:hAnsi="宋体" w:eastAsia="宋体" w:cs="宋体"/>
          <w:color w:val="auto"/>
          <w:kern w:val="0"/>
          <w:sz w:val="21"/>
          <w:szCs w:val="21"/>
          <w:highlight w:val="none"/>
        </w:rPr>
        <w:t>公开招标确定乙方为</w:t>
      </w:r>
      <w:r>
        <w:rPr>
          <w:rFonts w:hint="eastAsia" w:ascii="宋体" w:hAnsi="宋体" w:eastAsia="宋体" w:cs="宋体"/>
          <w:color w:val="auto"/>
          <w:kern w:val="0"/>
          <w:sz w:val="21"/>
          <w:szCs w:val="21"/>
          <w:highlight w:val="none"/>
          <w:u w:val="single"/>
          <w:lang w:val="en-US" w:eastAsia="zh-CN"/>
        </w:rPr>
        <w:t>滁州经开区后勤服务中心（公租房）物业管理服务项目</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经甲乙双方协商一致约定以下合同条款，就项目服务等有关事项于</w:t>
      </w:r>
      <w:r>
        <w:rPr>
          <w:rFonts w:hint="eastAsia" w:ascii="宋体" w:hAnsi="宋体" w:eastAsia="宋体" w:cs="宋体"/>
          <w:color w:val="auto"/>
          <w:kern w:val="0"/>
          <w:sz w:val="21"/>
          <w:szCs w:val="21"/>
          <w:highlight w:val="none"/>
          <w:u w:val="single"/>
        </w:rPr>
        <w:t>202</w:t>
      </w:r>
      <w:r>
        <w:rPr>
          <w:rFonts w:hint="eastAsia" w:ascii="宋体" w:hAnsi="宋体" w:eastAsia="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日签订</w:t>
      </w:r>
      <w:r>
        <w:rPr>
          <w:rFonts w:hint="eastAsia" w:ascii="宋体" w:hAnsi="宋体" w:eastAsia="宋体" w:cs="宋体"/>
          <w:color w:val="auto"/>
          <w:kern w:val="0"/>
          <w:sz w:val="21"/>
          <w:szCs w:val="21"/>
          <w:highlight w:val="none"/>
          <w:lang w:val="en-US" w:eastAsia="zh-CN"/>
        </w:rPr>
        <w:t>本</w:t>
      </w:r>
      <w:r>
        <w:rPr>
          <w:rFonts w:hint="eastAsia" w:ascii="宋体" w:hAnsi="宋体" w:eastAsia="宋体" w:cs="宋体"/>
          <w:color w:val="auto"/>
          <w:kern w:val="0"/>
          <w:sz w:val="21"/>
          <w:szCs w:val="21"/>
          <w:highlight w:val="none"/>
        </w:rPr>
        <w:t>采购合同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本合同未明确或有争议事项参照招标和投标文件执行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795C749E">
      <w:pPr>
        <w:pStyle w:val="13"/>
        <w:pageBreakBefore w:val="0"/>
        <w:kinsoku/>
        <w:overflowPunct/>
        <w:topLinePunct w:val="0"/>
        <w:autoSpaceDE/>
        <w:autoSpaceDN/>
        <w:bidi w:val="0"/>
        <w:adjustRightInd/>
        <w:spacing w:line="330" w:lineRule="exact"/>
        <w:textAlignment w:val="auto"/>
        <w:rPr>
          <w:rFonts w:hint="eastAsia" w:ascii="宋体" w:hAnsi="宋体" w:eastAsia="宋体" w:cs="宋体"/>
          <w:sz w:val="21"/>
          <w:szCs w:val="21"/>
          <w:highlight w:val="none"/>
        </w:rPr>
      </w:pPr>
    </w:p>
    <w:p w14:paraId="26F1D5BA">
      <w:pPr>
        <w:keepNext w:val="0"/>
        <w:keepLines w:val="0"/>
        <w:pageBreakBefore w:val="0"/>
        <w:widowControl/>
        <w:kinsoku/>
        <w:wordWrap w:val="0"/>
        <w:overflowPunct/>
        <w:topLinePunct w:val="0"/>
        <w:autoSpaceDE/>
        <w:autoSpaceDN/>
        <w:bidi w:val="0"/>
        <w:adjustRightInd/>
        <w:spacing w:line="330" w:lineRule="exact"/>
        <w:jc w:val="center"/>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0"/>
          <w:sz w:val="21"/>
          <w:szCs w:val="21"/>
          <w:highlight w:val="none"/>
        </w:rPr>
        <w:t>第一节  物业基本</w:t>
      </w:r>
      <w:r>
        <w:rPr>
          <w:rFonts w:hint="eastAsia" w:ascii="宋体" w:hAnsi="宋体" w:eastAsia="宋体" w:cs="宋体"/>
          <w:b/>
          <w:color w:val="auto"/>
          <w:kern w:val="0"/>
          <w:sz w:val="21"/>
          <w:szCs w:val="21"/>
          <w:highlight w:val="none"/>
          <w:lang w:val="en-US" w:eastAsia="zh-CN"/>
        </w:rPr>
        <w:t>状况</w:t>
      </w:r>
      <w:r>
        <w:rPr>
          <w:rFonts w:hint="eastAsia" w:ascii="宋体" w:hAnsi="宋体" w:eastAsia="宋体" w:cs="宋体"/>
          <w:b/>
          <w:color w:val="auto"/>
          <w:kern w:val="0"/>
          <w:sz w:val="21"/>
          <w:szCs w:val="21"/>
          <w:highlight w:val="none"/>
        </w:rPr>
        <w:t>　　</w:t>
      </w:r>
    </w:p>
    <w:p w14:paraId="63CABFE2">
      <w:pPr>
        <w:keepNext w:val="0"/>
        <w:keepLines w:val="0"/>
        <w:pageBreakBefore w:val="0"/>
        <w:widowControl/>
        <w:kinsoku/>
        <w:overflowPunct/>
        <w:topLinePunct w:val="0"/>
        <w:autoSpaceDE/>
        <w:autoSpaceDN/>
        <w:bidi w:val="0"/>
        <w:adjustRightInd/>
        <w:spacing w:line="330" w:lineRule="exact"/>
        <w:ind w:firstLine="422"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条</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物业基本</w:t>
      </w:r>
      <w:r>
        <w:rPr>
          <w:rFonts w:hint="eastAsia" w:ascii="宋体" w:hAnsi="宋体" w:eastAsia="宋体" w:cs="宋体"/>
          <w:b/>
          <w:bCs/>
          <w:color w:val="auto"/>
          <w:kern w:val="0"/>
          <w:sz w:val="21"/>
          <w:szCs w:val="21"/>
          <w:highlight w:val="none"/>
          <w:lang w:val="en-US" w:eastAsia="zh-CN"/>
        </w:rPr>
        <w:t>状</w:t>
      </w:r>
      <w:r>
        <w:rPr>
          <w:rFonts w:hint="eastAsia" w:ascii="宋体" w:hAnsi="宋体" w:eastAsia="宋体" w:cs="宋体"/>
          <w:b/>
          <w:bCs/>
          <w:color w:val="auto"/>
          <w:kern w:val="0"/>
          <w:sz w:val="21"/>
          <w:szCs w:val="21"/>
          <w:highlight w:val="none"/>
        </w:rPr>
        <w:t>况</w:t>
      </w:r>
      <w:r>
        <w:rPr>
          <w:rFonts w:hint="eastAsia" w:ascii="宋体" w:hAnsi="宋体" w:eastAsia="宋体" w:cs="宋体"/>
          <w:color w:val="auto"/>
          <w:kern w:val="0"/>
          <w:sz w:val="21"/>
          <w:szCs w:val="21"/>
          <w:highlight w:val="none"/>
        </w:rPr>
        <w:t>　　</w:t>
      </w:r>
    </w:p>
    <w:p w14:paraId="286F7F1F">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single"/>
          <w:lang w:val="en-US" w:eastAsia="zh-CN"/>
        </w:rPr>
        <w:t>滁州经开区</w:t>
      </w:r>
      <w:r>
        <w:rPr>
          <w:rFonts w:hint="eastAsia" w:ascii="宋体" w:hAnsi="宋体" w:eastAsia="宋体" w:cs="宋体"/>
          <w:color w:val="auto"/>
          <w:kern w:val="0"/>
          <w:sz w:val="21"/>
          <w:szCs w:val="21"/>
          <w:highlight w:val="none"/>
          <w:u w:val="single"/>
          <w:lang w:eastAsia="zh-CN"/>
        </w:rPr>
        <w:t>后勤服务中心（公租房）物业管理服务项目</w:t>
      </w:r>
      <w:r>
        <w:rPr>
          <w:rFonts w:hint="eastAsia" w:ascii="宋体" w:hAnsi="宋体" w:eastAsia="宋体" w:cs="宋体"/>
          <w:color w:val="auto"/>
          <w:kern w:val="0"/>
          <w:sz w:val="21"/>
          <w:szCs w:val="21"/>
          <w:highlight w:val="none"/>
        </w:rPr>
        <w:t>；　　</w:t>
      </w:r>
    </w:p>
    <w:p w14:paraId="0163A852">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物业类型</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single"/>
          <w:lang w:val="en-US" w:eastAsia="zh-CN"/>
        </w:rPr>
        <w:t>住宅类公寓（保姆式物业服务）</w:t>
      </w:r>
      <w:r>
        <w:rPr>
          <w:rFonts w:hint="eastAsia" w:ascii="宋体" w:hAnsi="宋体" w:eastAsia="宋体" w:cs="宋体"/>
          <w:color w:val="auto"/>
          <w:kern w:val="0"/>
          <w:sz w:val="21"/>
          <w:szCs w:val="21"/>
          <w:highlight w:val="none"/>
        </w:rPr>
        <w:t>；　　</w:t>
      </w:r>
    </w:p>
    <w:p w14:paraId="3AB63940">
      <w:pPr>
        <w:keepNext w:val="0"/>
        <w:keepLines w:val="0"/>
        <w:pageBreakBefore w:val="0"/>
        <w:widowControl/>
        <w:kinsoku/>
        <w:wordWrap/>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座落位置</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single"/>
          <w:lang w:val="en-US" w:eastAsia="zh-CN"/>
        </w:rPr>
        <w:t>滁州市</w:t>
      </w:r>
      <w:r>
        <w:rPr>
          <w:rFonts w:hint="eastAsia" w:ascii="宋体" w:hAnsi="宋体" w:eastAsia="宋体" w:cs="宋体"/>
          <w:color w:val="auto"/>
          <w:kern w:val="0"/>
          <w:sz w:val="21"/>
          <w:szCs w:val="21"/>
          <w:highlight w:val="none"/>
          <w:u w:val="single"/>
        </w:rPr>
        <w:t>上海北路719号</w:t>
      </w:r>
      <w:r>
        <w:rPr>
          <w:rFonts w:hint="eastAsia" w:ascii="宋体" w:hAnsi="宋体" w:eastAsia="宋体" w:cs="宋体"/>
          <w:color w:val="auto"/>
          <w:kern w:val="0"/>
          <w:sz w:val="21"/>
          <w:szCs w:val="21"/>
          <w:highlight w:val="none"/>
        </w:rPr>
        <w:t>；　　</w:t>
      </w:r>
    </w:p>
    <w:p w14:paraId="40308384">
      <w:pPr>
        <w:keepNext w:val="0"/>
        <w:keepLines w:val="0"/>
        <w:pageBreakBefore w:val="0"/>
        <w:widowControl/>
        <w:kinsoku/>
        <w:wordWrap/>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占地面积：</w:t>
      </w:r>
      <w:r>
        <w:rPr>
          <w:rFonts w:hint="eastAsia" w:ascii="宋体" w:hAnsi="宋体" w:eastAsia="宋体" w:cs="宋体"/>
          <w:color w:val="auto"/>
          <w:kern w:val="0"/>
          <w:sz w:val="21"/>
          <w:szCs w:val="21"/>
          <w:highlight w:val="none"/>
          <w:u w:val="none"/>
          <w:lang w:val="en-US" w:eastAsia="zh-CN"/>
        </w:rPr>
        <w:t>34752m²，</w:t>
      </w:r>
      <w:r>
        <w:rPr>
          <w:rFonts w:hint="eastAsia" w:ascii="宋体" w:hAnsi="宋体" w:eastAsia="宋体" w:cs="宋体"/>
          <w:color w:val="auto"/>
          <w:kern w:val="0"/>
          <w:sz w:val="21"/>
          <w:szCs w:val="21"/>
          <w:highlight w:val="none"/>
          <w:lang w:val="en-US" w:eastAsia="zh-CN"/>
        </w:rPr>
        <w:t>总建筑面积66544.8m²(物业服务面积为57649.8m²)。</w:t>
      </w:r>
    </w:p>
    <w:p w14:paraId="3E56A4CE">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后勤服务中心位于上海北路719号，隶属滁州经开区同创公司自有产权的国有资产，用于保障符合相关条件的园区企业职工入驻，属于经开区政府投资公共租赁住房项目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日常委托滁州经开区同业公司运营管理</w:t>
      </w:r>
      <w:r>
        <w:rPr>
          <w:rFonts w:hint="eastAsia" w:ascii="宋体" w:hAnsi="宋体" w:eastAsia="宋体" w:cs="宋体"/>
          <w:b w:val="0"/>
          <w:bCs w:val="0"/>
          <w:color w:val="auto"/>
          <w:sz w:val="21"/>
          <w:szCs w:val="21"/>
          <w:highlight w:val="none"/>
        </w:rPr>
        <w:t>。项目占地34752m²</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约51.86亩</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，总建筑面积66544.8m²（物业服务面积为</w:t>
      </w:r>
      <w:r>
        <w:rPr>
          <w:rFonts w:hint="eastAsia" w:ascii="宋体" w:hAnsi="宋体" w:eastAsia="宋体" w:cs="宋体"/>
          <w:b w:val="0"/>
          <w:bCs w:val="0"/>
          <w:color w:val="auto"/>
          <w:sz w:val="21"/>
          <w:szCs w:val="21"/>
          <w:highlight w:val="none"/>
          <w:lang w:val="en-US" w:eastAsia="zh-CN"/>
        </w:rPr>
        <w:t>57649.8</w:t>
      </w:r>
      <w:r>
        <w:rPr>
          <w:rFonts w:hint="eastAsia" w:ascii="宋体" w:hAnsi="宋体" w:eastAsia="宋体" w:cs="宋体"/>
          <w:b w:val="0"/>
          <w:bCs w:val="0"/>
          <w:color w:val="auto"/>
          <w:sz w:val="21"/>
          <w:szCs w:val="21"/>
          <w:highlight w:val="none"/>
        </w:rPr>
        <w:t>m²），共有9栋建筑物合计，分别是5栋11层单身公寓1-5#共1250间计44475m²（8895m²/栋，250间/栋）、3栋白领公寓1-3#共284户计17695.9m²（白领1#11层5050.2m²,白领2#18层4251.4m²，白领3#18层8394.3m²）、1栋2层会所1960.2m²、非机动车库2413.7m²（4827.4m²按一半面积计算），非机动车停车位3200个，机动车地面停车位约</w:t>
      </w:r>
      <w:r>
        <w:rPr>
          <w:rFonts w:hint="eastAsia" w:ascii="宋体" w:hAnsi="宋体" w:cs="宋体"/>
          <w:b w:val="0"/>
          <w:bCs w:val="0"/>
          <w:color w:val="auto"/>
          <w:sz w:val="21"/>
          <w:szCs w:val="21"/>
          <w:highlight w:val="none"/>
          <w:lang w:val="en-US" w:eastAsia="zh-CN"/>
        </w:rPr>
        <w:t>92</w:t>
      </w:r>
      <w:r>
        <w:rPr>
          <w:rFonts w:hint="eastAsia" w:ascii="宋体" w:hAnsi="宋体" w:eastAsia="宋体" w:cs="宋体"/>
          <w:b w:val="0"/>
          <w:bCs w:val="0"/>
          <w:color w:val="auto"/>
          <w:sz w:val="21"/>
          <w:szCs w:val="21"/>
          <w:highlight w:val="none"/>
        </w:rPr>
        <w:t>个，地下室5677m²（车库约5069m²，地下停车位约140个）。道路总面积约5769㎡，绿化总面积约</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000㎡。设备情况：1座二次供水泵房、</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部电梯（另有</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部电梯由长电科技自行维保）、消防系统（含地下消防控制室）、1台开闭、所、5台箱式变（7台变电压器）、1座柴油发电机房等共用设施设备的维修维护；1台环网柜、2个配电房。</w:t>
      </w:r>
      <w:r>
        <w:rPr>
          <w:rFonts w:hint="eastAsia" w:ascii="宋体" w:hAnsi="宋体" w:eastAsia="宋体" w:cs="宋体"/>
          <w:b w:val="0"/>
          <w:bCs w:val="0"/>
          <w:color w:val="auto"/>
          <w:sz w:val="21"/>
          <w:szCs w:val="21"/>
          <w:highlight w:val="none"/>
          <w:lang w:val="en-US" w:eastAsia="zh-CN"/>
        </w:rPr>
        <w:t>按照安徽省物业管理条例第47条，配置约200m²的物业服务用房（包括行政办公、工具储藏、值班宿舍等）。</w:t>
      </w:r>
      <w:r>
        <w:rPr>
          <w:rFonts w:hint="eastAsia" w:ascii="宋体" w:hAnsi="宋体" w:eastAsia="宋体" w:cs="宋体"/>
          <w:b/>
          <w:bCs/>
          <w:color w:val="auto"/>
          <w:sz w:val="21"/>
          <w:szCs w:val="21"/>
          <w:highlight w:val="none"/>
        </w:rPr>
        <w:t>详细情况自行现场勘看，项目概况以现场实际存在为准。</w:t>
      </w:r>
    </w:p>
    <w:p w14:paraId="1C2C817C">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后勤服务中心物业服务项目拟招标</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年服务期，物业服务费用预算为</w:t>
      </w:r>
      <w:r>
        <w:rPr>
          <w:rFonts w:hint="eastAsia" w:ascii="宋体" w:hAnsi="宋体" w:eastAsia="宋体" w:cs="宋体"/>
          <w:b w:val="0"/>
          <w:bCs w:val="0"/>
          <w:color w:val="auto"/>
          <w:sz w:val="21"/>
          <w:szCs w:val="21"/>
          <w:highlight w:val="none"/>
          <w:lang w:val="en-US" w:eastAsia="zh-CN"/>
        </w:rPr>
        <w:t>2201038.30元/年，6603114.90元/三年，本次招标服务周期为合同签订后办理正式入驻手续起三年，具体进场时间按采购单位正式发函为准。服务期限届满后，招标人没有依法作出续聘或者另聘物业服务人的决定时，物业服务单位无需签订合同直接按原物业服务合同继续提供物业服务，服务期限为不定期。</w:t>
      </w:r>
      <w:r>
        <w:rPr>
          <w:rFonts w:hint="eastAsia" w:ascii="宋体" w:hAnsi="宋体" w:eastAsia="宋体" w:cs="宋体"/>
          <w:b w:val="0"/>
          <w:bCs w:val="0"/>
          <w:color w:val="auto"/>
          <w:sz w:val="21"/>
          <w:szCs w:val="21"/>
          <w:highlight w:val="none"/>
        </w:rPr>
        <w:t>合同履行期</w:t>
      </w:r>
      <w:r>
        <w:rPr>
          <w:rFonts w:hint="eastAsia" w:ascii="宋体" w:hAnsi="宋体" w:eastAsia="宋体" w:cs="宋体"/>
          <w:b w:val="0"/>
          <w:bCs w:val="0"/>
          <w:color w:val="auto"/>
          <w:sz w:val="21"/>
          <w:szCs w:val="21"/>
          <w:highlight w:val="none"/>
          <w:lang w:val="en-US" w:eastAsia="zh-CN"/>
        </w:rPr>
        <w:t>内合同一年一签，上年考核标准平均分值达90分及以上续签下一年合同，低于90分以下或有</w:t>
      </w:r>
      <w:r>
        <w:rPr>
          <w:rFonts w:hint="eastAsia" w:ascii="宋体" w:hAnsi="宋体" w:cs="宋体"/>
          <w:b w:val="0"/>
          <w:bCs w:val="0"/>
          <w:color w:val="auto"/>
          <w:sz w:val="21"/>
          <w:szCs w:val="21"/>
          <w:highlight w:val="none"/>
          <w:lang w:val="en-US" w:eastAsia="zh-CN"/>
        </w:rPr>
        <w:t>重大</w:t>
      </w:r>
      <w:r>
        <w:rPr>
          <w:rFonts w:hint="eastAsia" w:ascii="宋体" w:hAnsi="宋体" w:eastAsia="宋体" w:cs="宋体"/>
          <w:b w:val="0"/>
          <w:bCs w:val="0"/>
          <w:color w:val="auto"/>
          <w:sz w:val="21"/>
          <w:szCs w:val="21"/>
          <w:highlight w:val="none"/>
          <w:lang w:val="en-US" w:eastAsia="zh-CN"/>
        </w:rPr>
        <w:t>不良记录不予续签，则重新招标，最终解释权归招标人所有。因全年考核平均分值不合格终止服务的，履约担保为转账方式的，一个月内减半无息退还，履约担保为其他方式的，须缴纳履约保证金额的一半作为违约金后办理退还手续。</w:t>
      </w:r>
    </w:p>
    <w:p w14:paraId="6DCFE764">
      <w:pPr>
        <w:keepNext w:val="0"/>
        <w:keepLines w:val="0"/>
        <w:pageBreakBefore w:val="0"/>
        <w:widowControl/>
        <w:kinsoku/>
        <w:overflowPunct/>
        <w:topLinePunct w:val="0"/>
        <w:autoSpaceDE/>
        <w:autoSpaceDN/>
        <w:bidi w:val="0"/>
        <w:adjustRightInd/>
        <w:spacing w:line="330" w:lineRule="exact"/>
        <w:jc w:val="center"/>
        <w:textAlignment w:val="auto"/>
        <w:rPr>
          <w:rFonts w:hint="eastAsia" w:ascii="宋体" w:hAnsi="宋体" w:eastAsia="宋体" w:cs="宋体"/>
          <w:b/>
          <w:color w:val="auto"/>
          <w:kern w:val="0"/>
          <w:sz w:val="21"/>
          <w:szCs w:val="21"/>
          <w:highlight w:val="none"/>
        </w:rPr>
      </w:pPr>
    </w:p>
    <w:p w14:paraId="78C19EB0">
      <w:pPr>
        <w:keepNext w:val="0"/>
        <w:keepLines w:val="0"/>
        <w:pageBreakBefore w:val="0"/>
        <w:widowControl/>
        <w:kinsoku/>
        <w:overflowPunct/>
        <w:topLinePunct w:val="0"/>
        <w:autoSpaceDE/>
        <w:autoSpaceDN/>
        <w:bidi w:val="0"/>
        <w:adjustRightInd/>
        <w:spacing w:line="330" w:lineRule="exact"/>
        <w:jc w:val="center"/>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第二节  服务</w:t>
      </w:r>
      <w:r>
        <w:rPr>
          <w:rFonts w:hint="eastAsia" w:ascii="宋体" w:hAnsi="宋体" w:eastAsia="宋体" w:cs="宋体"/>
          <w:b/>
          <w:color w:val="auto"/>
          <w:kern w:val="0"/>
          <w:sz w:val="21"/>
          <w:szCs w:val="21"/>
          <w:highlight w:val="none"/>
          <w:lang w:val="en-US" w:eastAsia="zh-CN"/>
        </w:rPr>
        <w:t>事项</w:t>
      </w:r>
      <w:r>
        <w:rPr>
          <w:rFonts w:hint="eastAsia" w:ascii="宋体" w:hAnsi="宋体" w:eastAsia="宋体" w:cs="宋体"/>
          <w:b/>
          <w:color w:val="auto"/>
          <w:kern w:val="0"/>
          <w:sz w:val="21"/>
          <w:szCs w:val="21"/>
          <w:highlight w:val="none"/>
        </w:rPr>
        <w:t>与</w:t>
      </w:r>
      <w:r>
        <w:rPr>
          <w:rFonts w:hint="eastAsia" w:ascii="宋体" w:hAnsi="宋体" w:eastAsia="宋体" w:cs="宋体"/>
          <w:b/>
          <w:color w:val="auto"/>
          <w:kern w:val="0"/>
          <w:sz w:val="21"/>
          <w:szCs w:val="21"/>
          <w:highlight w:val="none"/>
          <w:lang w:val="en-US" w:eastAsia="zh-CN"/>
        </w:rPr>
        <w:t>服务</w:t>
      </w:r>
      <w:r>
        <w:rPr>
          <w:rFonts w:hint="eastAsia" w:ascii="宋体" w:hAnsi="宋体" w:eastAsia="宋体" w:cs="宋体"/>
          <w:b/>
          <w:color w:val="auto"/>
          <w:kern w:val="0"/>
          <w:sz w:val="21"/>
          <w:szCs w:val="21"/>
          <w:highlight w:val="none"/>
        </w:rPr>
        <w:t>质量</w:t>
      </w:r>
    </w:p>
    <w:p w14:paraId="7968BA66">
      <w:pPr>
        <w:pStyle w:val="13"/>
        <w:pageBreakBefore w:val="0"/>
        <w:widowControl w:val="0"/>
        <w:kinsoku/>
        <w:overflowPunct/>
        <w:topLinePunct w:val="0"/>
        <w:autoSpaceDE/>
        <w:autoSpaceDN/>
        <w:bidi w:val="0"/>
        <w:adjustRightInd/>
        <w:spacing w:after="0" w:line="330" w:lineRule="exact"/>
        <w:ind w:left="0" w:leftChars="0" w:firstLine="422"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第2条  物业事项：</w:t>
      </w:r>
      <w:r>
        <w:rPr>
          <w:rFonts w:hint="eastAsia" w:ascii="宋体" w:hAnsi="宋体" w:eastAsia="宋体" w:cs="宋体"/>
          <w:b w:val="0"/>
          <w:bCs w:val="0"/>
          <w:color w:val="auto"/>
          <w:kern w:val="0"/>
          <w:sz w:val="21"/>
          <w:szCs w:val="21"/>
          <w:highlight w:val="none"/>
        </w:rPr>
        <w:t>在物业管理区域内，</w:t>
      </w:r>
      <w:r>
        <w:rPr>
          <w:rFonts w:hint="eastAsia" w:ascii="宋体" w:hAnsi="宋体" w:eastAsia="宋体" w:cs="宋体"/>
          <w:b w:val="0"/>
          <w:bCs w:val="0"/>
          <w:color w:val="auto"/>
          <w:kern w:val="2"/>
          <w:sz w:val="21"/>
          <w:szCs w:val="21"/>
          <w:highlight w:val="none"/>
          <w:lang w:val="en-US" w:eastAsia="zh-CN" w:bidi="ar-SA"/>
        </w:rPr>
        <w:t>乙方提供的物业服务标准需达到《滁州市城区住宅小区物业服务等级标准（建物〔2019〕102号）A级服务和安徽省住房和城乡建设厅与安徽省质量技术监督局联合发布-住宅区物业服务标准DB34/ 5000-2013中A级服务等级，包括并不限于以下事项</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明细详见附件2：物业管理服务质量标准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w:t>
      </w:r>
    </w:p>
    <w:p w14:paraId="6013EBF9">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1.客户服务。辖区租户日常接待、电话客服、房屋报修等客户服务，甲方和房屋租赁企业对乙方的年度满意率达到90%以上；</w:t>
      </w:r>
    </w:p>
    <w:p w14:paraId="5F7CF29B">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房屋共用部位管理。辖区所有房屋共用部位（房屋主体承重结构部位、户外墙面、门厅、楼梯间、地面架空层、走廊通道等）维修养护管理、定期组织开展房屋共用部位使用状况检查、巡查区域内私搭乱建和擅自改变房屋用途以及违规规约事宜、租户室内装饰装修管理服务、房屋租赁管理服务（公寓和会所等房屋的入驻、装修、使用、退出和空置房屋管理等），协助甲方办理租赁合同的签订、续签和变更等相关手续，租户租金、保证金和水电气等项目费用管理和代收服务。</w:t>
      </w:r>
    </w:p>
    <w:p w14:paraId="19630AAF">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共用设施设备管理。辖区内共用设施设备（共用上下水管道、落水管、水箱、加压水泵、供配电、电梯、天线、照明、发电机、消防设施、绿地、道路、路灯、露天广场、车场车库、文体器械和场地等）管理养护，包括电梯系统管理、消防系统管理、给排水系统管理、供电系统管理（含照明系统）、安全技术防范系统管理、防雷设施管理、道路设施管理和其他设施管理（地下车库/人防工程、非机动车层、健身器材等）。</w:t>
      </w:r>
    </w:p>
    <w:p w14:paraId="7E2260D0">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4.公共秩序管理。辖区内公共秩序维护管理，包括安全防范管理、消防管理、车辆管理、后勤服务管理等事宜。</w:t>
      </w:r>
    </w:p>
    <w:p w14:paraId="36E19247">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环境卫生管理。辖区内公共部位的环境卫生清洁，包括楼顶门厅保洁、楼道和楼梯保洁、电梯内外保洁、楼外道路保洁、公共设施保洁、天台屋面保洁、车库保洁、绿化园林保洁、空置房屋保洁、垃圾收集清运、有害生物预防和控制等。</w:t>
      </w:r>
    </w:p>
    <w:p w14:paraId="6833935F">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6.绿化与园林小品管理。辖区内绿化和园林小品养护管理，包括日常绿化修剪、灌溉、施肥；绿化补值补种、树干涂白、病虫害防治等。</w:t>
      </w:r>
    </w:p>
    <w:p w14:paraId="4D48F1C8">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7.区域文化建设管理。辖区社区文化活动服务管理，根据项目租户群体和社区文化活动要求，开展区域文化建设服务工作。</w:t>
      </w:r>
    </w:p>
    <w:p w14:paraId="036737C1">
      <w:pPr>
        <w:pageBreakBefore w:val="0"/>
        <w:kinsoku/>
        <w:overflowPunct/>
        <w:topLinePunct w:val="0"/>
        <w:autoSpaceDE/>
        <w:autoSpaceDN/>
        <w:bidi w:val="0"/>
        <w:adjustRightInd/>
        <w:spacing w:line="330" w:lineRule="exact"/>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w:t>
      </w:r>
      <w:r>
        <w:rPr>
          <w:rFonts w:hint="eastAsia"/>
          <w:highlight w:val="none"/>
          <w:lang w:val="en-US" w:eastAsia="zh-CN"/>
        </w:rPr>
        <w:t>园区生活配套服务。如招标人需启动园区生活配套服务设施（如超市、食堂等），可委托中标人进行经营管理，具体要求另行协商。</w:t>
      </w:r>
    </w:p>
    <w:p w14:paraId="098A83AD">
      <w:pPr>
        <w:pStyle w:val="13"/>
        <w:keepNext w:val="0"/>
        <w:keepLines w:val="0"/>
        <w:pageBreakBefore w:val="0"/>
        <w:widowControl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 xml:space="preserve">.其他服务工作。辖区其他物业管理范畴（突发事件应急管理等）的服务和甲方交办的其他工作。 </w:t>
      </w:r>
    </w:p>
    <w:p w14:paraId="210CD3D1">
      <w:pPr>
        <w:keepNext w:val="0"/>
        <w:keepLines w:val="0"/>
        <w:pageBreakBefore w:val="0"/>
        <w:kinsoku/>
        <w:wordWrap/>
        <w:overflowPunct/>
        <w:topLinePunct w:val="0"/>
        <w:autoSpaceDE/>
        <w:autoSpaceDN/>
        <w:bidi w:val="0"/>
        <w:adjustRightInd/>
        <w:snapToGrid/>
        <w:spacing w:line="330" w:lineRule="exact"/>
        <w:ind w:firstLine="420" w:firstLineChars="200"/>
        <w:textAlignment w:val="auto"/>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第3条  上述物业服务质量应达到约定的质量标准。</w:t>
      </w:r>
    </w:p>
    <w:p w14:paraId="4DAD7546">
      <w:pPr>
        <w:pageBreakBefore w:val="0"/>
        <w:kinsoku/>
        <w:overflowPunct/>
        <w:topLinePunct w:val="0"/>
        <w:autoSpaceDE/>
        <w:autoSpaceDN/>
        <w:bidi w:val="0"/>
        <w:adjustRightInd/>
        <w:spacing w:line="33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第4条  辖区租户可委托乙方对其物业的专有部分提供维修养护等服务，服务内容和费用由双方另行商定，专用部分服务不占用本项目内人员，服务事项须向甲方报备。</w:t>
      </w:r>
      <w:r>
        <w:rPr>
          <w:rFonts w:hint="eastAsia" w:ascii="宋体" w:hAnsi="宋体" w:eastAsia="宋体" w:cs="宋体"/>
          <w:color w:val="auto"/>
          <w:kern w:val="0"/>
          <w:sz w:val="21"/>
          <w:szCs w:val="21"/>
          <w:highlight w:val="none"/>
          <w:lang w:val="en-US" w:eastAsia="zh-CN"/>
        </w:rPr>
        <w:t>　　</w:t>
      </w:r>
    </w:p>
    <w:p w14:paraId="3D22FF69">
      <w:pPr>
        <w:pStyle w:val="13"/>
        <w:keepNext w:val="0"/>
        <w:keepLines w:val="0"/>
        <w:pageBreakBefore w:val="0"/>
        <w:kinsoku/>
        <w:wordWrap/>
        <w:overflowPunct/>
        <w:topLinePunct w:val="0"/>
        <w:autoSpaceDE/>
        <w:autoSpaceDN/>
        <w:bidi w:val="0"/>
        <w:adjustRightInd/>
        <w:snapToGrid/>
        <w:spacing w:after="0" w:line="330" w:lineRule="exact"/>
        <w:textAlignment w:val="auto"/>
        <w:rPr>
          <w:rFonts w:hint="eastAsia" w:ascii="宋体" w:hAnsi="宋体" w:eastAsia="宋体" w:cs="宋体"/>
          <w:color w:val="auto"/>
          <w:sz w:val="21"/>
          <w:szCs w:val="21"/>
          <w:highlight w:val="none"/>
        </w:rPr>
      </w:pPr>
    </w:p>
    <w:p w14:paraId="1CCB75F7">
      <w:pPr>
        <w:keepNext w:val="0"/>
        <w:keepLines w:val="0"/>
        <w:pageBreakBefore w:val="0"/>
        <w:widowControl/>
        <w:kinsoku/>
        <w:wordWrap w:val="0"/>
        <w:overflowPunct/>
        <w:topLinePunct w:val="0"/>
        <w:autoSpaceDE/>
        <w:autoSpaceDN/>
        <w:bidi w:val="0"/>
        <w:adjustRightInd/>
        <w:spacing w:line="330" w:lineRule="exact"/>
        <w:jc w:val="center"/>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第三节  服务费用　</w:t>
      </w:r>
      <w:r>
        <w:rPr>
          <w:rFonts w:hint="eastAsia" w:ascii="宋体" w:hAnsi="宋体" w:eastAsia="宋体" w:cs="宋体"/>
          <w:color w:val="auto"/>
          <w:sz w:val="21"/>
          <w:szCs w:val="21"/>
          <w:highlight w:val="none"/>
        </w:rPr>
        <w:t>　</w:t>
      </w:r>
    </w:p>
    <w:p w14:paraId="78B7A232">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第5条  本物业项目的服务费用的标准和付款方式：</w:t>
      </w:r>
    </w:p>
    <w:p w14:paraId="56AD9166">
      <w:pPr>
        <w:keepNext w:val="0"/>
        <w:keepLines w:val="0"/>
        <w:pageBreakBefore w:val="0"/>
        <w:widowControl/>
        <w:kinsoku/>
        <w:overflowPunct/>
        <w:topLinePunct w:val="0"/>
        <w:autoSpaceDE/>
        <w:autoSpaceDN/>
        <w:bidi w:val="0"/>
        <w:adjustRightInd/>
        <w:spacing w:line="330" w:lineRule="exact"/>
        <w:ind w:firstLine="422"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1.服务费用：</w:t>
      </w:r>
      <w:r>
        <w:rPr>
          <w:rFonts w:hint="eastAsia" w:ascii="宋体" w:hAnsi="宋体" w:eastAsia="宋体" w:cs="宋体"/>
          <w:color w:val="auto"/>
          <w:kern w:val="0"/>
          <w:sz w:val="21"/>
          <w:szCs w:val="21"/>
          <w:highlight w:val="none"/>
          <w:lang w:val="en-US" w:eastAsia="zh-CN"/>
        </w:rPr>
        <w:t>中标价为人民币</w:t>
      </w:r>
      <w:r>
        <w:rPr>
          <w:rFonts w:hint="eastAsia" w:ascii="宋体" w:hAnsi="宋体" w:eastAsia="宋体" w:cs="宋体"/>
          <w:i/>
          <w:iCs/>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万元/年，三年服务期共</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万元，中标服务费用由</w:t>
      </w:r>
      <w:r>
        <w:rPr>
          <w:rFonts w:hint="eastAsia" w:ascii="宋体" w:hAnsi="宋体" w:eastAsia="宋体" w:cs="宋体"/>
          <w:b/>
          <w:bCs/>
          <w:color w:val="auto"/>
          <w:kern w:val="0"/>
          <w:sz w:val="21"/>
          <w:szCs w:val="21"/>
          <w:highlight w:val="none"/>
          <w:lang w:val="en-US" w:eastAsia="zh-CN"/>
        </w:rPr>
        <w:t>人员费用、项目费用、利润和税费共四项实付总额</w:t>
      </w:r>
      <w:r>
        <w:rPr>
          <w:rFonts w:hint="eastAsia" w:ascii="宋体" w:hAnsi="宋体" w:eastAsia="宋体" w:cs="宋体"/>
          <w:color w:val="auto"/>
          <w:kern w:val="0"/>
          <w:sz w:val="21"/>
          <w:szCs w:val="21"/>
          <w:highlight w:val="none"/>
          <w:lang w:val="en-US" w:eastAsia="zh-CN"/>
        </w:rPr>
        <w:t>组成构成。</w:t>
      </w:r>
      <w:r>
        <w:rPr>
          <w:rFonts w:hint="eastAsia" w:ascii="宋体" w:hAnsi="宋体" w:eastAsia="宋体" w:cs="宋体"/>
          <w:b/>
          <w:bCs/>
          <w:color w:val="auto"/>
          <w:kern w:val="0"/>
          <w:sz w:val="21"/>
          <w:szCs w:val="21"/>
          <w:highlight w:val="none"/>
          <w:lang w:val="en-US" w:eastAsia="zh-CN"/>
        </w:rPr>
        <w:t>本项目经理为</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，手机号码：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none"/>
          <w:lang w:val="en-US" w:eastAsia="zh-CN"/>
        </w:rPr>
        <w:t>，</w:t>
      </w:r>
      <w:r>
        <w:rPr>
          <w:rFonts w:hint="eastAsia" w:ascii="宋体" w:hAnsi="宋体" w:eastAsia="宋体" w:cs="宋体"/>
          <w:b/>
          <w:bCs/>
          <w:color w:val="auto"/>
          <w:kern w:val="0"/>
          <w:sz w:val="21"/>
          <w:szCs w:val="21"/>
          <w:highlight w:val="none"/>
          <w:lang w:val="en-US" w:eastAsia="zh-CN"/>
        </w:rPr>
        <w:t>身份证号：</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 xml:space="preserve"> ；项目主管为</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，手机号码：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none"/>
          <w:lang w:val="en-US" w:eastAsia="zh-CN"/>
        </w:rPr>
        <w:t>，</w:t>
      </w:r>
      <w:r>
        <w:rPr>
          <w:rFonts w:hint="eastAsia" w:ascii="宋体" w:hAnsi="宋体" w:eastAsia="宋体" w:cs="宋体"/>
          <w:b/>
          <w:bCs/>
          <w:color w:val="auto"/>
          <w:kern w:val="0"/>
          <w:sz w:val="21"/>
          <w:szCs w:val="21"/>
          <w:highlight w:val="none"/>
          <w:lang w:val="en-US" w:eastAsia="zh-CN"/>
        </w:rPr>
        <w:t>身份证号：</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w:t>
      </w:r>
    </w:p>
    <w:p w14:paraId="2A8C406E">
      <w:pPr>
        <w:keepNext w:val="0"/>
        <w:keepLines w:val="0"/>
        <w:pageBreakBefore w:val="0"/>
        <w:widowControl/>
        <w:kinsoku/>
        <w:overflowPunct/>
        <w:topLinePunct w:val="0"/>
        <w:autoSpaceDE/>
        <w:autoSpaceDN/>
        <w:bidi w:val="0"/>
        <w:adjustRightInd/>
        <w:snapToGrid/>
        <w:spacing w:line="330" w:lineRule="exact"/>
        <w:ind w:firstLine="422"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2.付款方式：</w:t>
      </w:r>
      <w:r>
        <w:rPr>
          <w:rFonts w:hint="eastAsia" w:ascii="宋体" w:hAnsi="宋体" w:eastAsia="宋体" w:cs="宋体"/>
          <w:b w:val="0"/>
          <w:bCs w:val="0"/>
          <w:color w:val="auto"/>
          <w:sz w:val="21"/>
          <w:szCs w:val="21"/>
          <w:highlight w:val="none"/>
        </w:rPr>
        <w:t>按季</w:t>
      </w:r>
      <w:r>
        <w:rPr>
          <w:rFonts w:hint="eastAsia" w:ascii="宋体" w:hAnsi="宋体" w:eastAsia="宋体" w:cs="宋体"/>
          <w:b w:val="0"/>
          <w:bCs w:val="0"/>
          <w:color w:val="auto"/>
          <w:sz w:val="21"/>
          <w:szCs w:val="21"/>
          <w:highlight w:val="none"/>
          <w:lang w:val="en-US" w:eastAsia="zh-CN"/>
        </w:rPr>
        <w:t>度（3个月）</w:t>
      </w:r>
      <w:r>
        <w:rPr>
          <w:rFonts w:hint="eastAsia" w:ascii="宋体" w:hAnsi="宋体" w:eastAsia="宋体" w:cs="宋体"/>
          <w:b w:val="0"/>
          <w:bCs w:val="0"/>
          <w:color w:val="auto"/>
          <w:sz w:val="21"/>
          <w:szCs w:val="21"/>
          <w:highlight w:val="none"/>
        </w:rPr>
        <w:t>考核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结合平时不定期考核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，逐项核实，按季</w:t>
      </w:r>
      <w:r>
        <w:rPr>
          <w:rFonts w:hint="eastAsia" w:ascii="宋体" w:hAnsi="宋体" w:eastAsia="宋体" w:cs="宋体"/>
          <w:b w:val="0"/>
          <w:bCs w:val="0"/>
          <w:color w:val="auto"/>
          <w:sz w:val="21"/>
          <w:szCs w:val="21"/>
          <w:highlight w:val="none"/>
          <w:lang w:val="en-US" w:eastAsia="zh-CN"/>
        </w:rPr>
        <w:t>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3个月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考核结果结算</w:t>
      </w:r>
      <w:r>
        <w:rPr>
          <w:rFonts w:hint="eastAsia" w:ascii="宋体" w:hAnsi="宋体" w:eastAsia="宋体" w:cs="宋体"/>
          <w:b w:val="0"/>
          <w:bCs w:val="0"/>
          <w:color w:val="auto"/>
          <w:sz w:val="21"/>
          <w:szCs w:val="21"/>
          <w:highlight w:val="none"/>
        </w:rPr>
        <w:t>付款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每月15日前固定预付上月费用10万元，剩余按季考核结果结算付清)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本项目</w:t>
      </w:r>
      <w:r>
        <w:rPr>
          <w:rFonts w:hint="eastAsia" w:ascii="宋体" w:hAnsi="宋体" w:eastAsia="宋体" w:cs="宋体"/>
          <w:b/>
          <w:bCs/>
          <w:color w:val="auto"/>
          <w:kern w:val="0"/>
          <w:sz w:val="21"/>
          <w:szCs w:val="21"/>
          <w:highlight w:val="none"/>
          <w:lang w:val="en-US" w:eastAsia="zh-CN"/>
        </w:rPr>
        <w:t>服务周期为合同签订后，招标人书面通知中标人办理正式入驻手续起三年</w:t>
      </w:r>
      <w:r>
        <w:rPr>
          <w:rFonts w:hint="eastAsia" w:ascii="宋体" w:hAnsi="宋体" w:eastAsia="宋体" w:cs="宋体"/>
          <w:b w:val="0"/>
          <w:bCs w:val="0"/>
          <w:color w:val="auto"/>
          <w:kern w:val="0"/>
          <w:sz w:val="21"/>
          <w:szCs w:val="21"/>
          <w:highlight w:val="none"/>
          <w:lang w:val="en-US" w:eastAsia="zh-CN"/>
        </w:rPr>
        <w:t>。招标合同期内一年一签，本合同为第一年，</w:t>
      </w:r>
      <w:r>
        <w:rPr>
          <w:rFonts w:hint="eastAsia" w:ascii="宋体" w:hAnsi="宋体" w:eastAsia="宋体" w:cs="宋体"/>
          <w:b w:val="0"/>
          <w:bCs w:val="0"/>
          <w:color w:val="auto"/>
          <w:sz w:val="21"/>
          <w:szCs w:val="21"/>
          <w:highlight w:val="none"/>
          <w:lang w:val="en-US" w:eastAsia="zh-CN"/>
        </w:rPr>
        <w:t>上</w:t>
      </w:r>
      <w:r>
        <w:rPr>
          <w:rFonts w:hint="eastAsia" w:ascii="宋体" w:hAnsi="宋体" w:eastAsia="宋体" w:cs="宋体"/>
          <w:b w:val="0"/>
          <w:bCs w:val="0"/>
          <w:color w:val="auto"/>
          <w:sz w:val="21"/>
          <w:szCs w:val="21"/>
          <w:highlight w:val="none"/>
        </w:rPr>
        <w:t>年考核标准平均分值达90分及以上续签下一年合同，低于90分以下或有</w:t>
      </w:r>
      <w:r>
        <w:rPr>
          <w:rFonts w:hint="eastAsia" w:ascii="宋体" w:hAnsi="宋体" w:eastAsia="宋体" w:cs="宋体"/>
          <w:b w:val="0"/>
          <w:bCs w:val="0"/>
          <w:color w:val="auto"/>
          <w:sz w:val="21"/>
          <w:szCs w:val="21"/>
          <w:highlight w:val="none"/>
          <w:lang w:val="en-US" w:eastAsia="zh-CN"/>
        </w:rPr>
        <w:t>重大</w:t>
      </w:r>
      <w:r>
        <w:rPr>
          <w:rFonts w:hint="eastAsia" w:ascii="宋体" w:hAnsi="宋体" w:eastAsia="宋体" w:cs="宋体"/>
          <w:b w:val="0"/>
          <w:bCs w:val="0"/>
          <w:color w:val="auto"/>
          <w:sz w:val="21"/>
          <w:szCs w:val="21"/>
          <w:highlight w:val="none"/>
        </w:rPr>
        <w:t>不良记录不予续签，则重新招标</w:t>
      </w:r>
      <w:r>
        <w:rPr>
          <w:rFonts w:hint="eastAsia" w:ascii="宋体" w:hAnsi="宋体" w:eastAsia="宋体" w:cs="宋体"/>
          <w:b w:val="0"/>
          <w:bCs w:val="0"/>
          <w:color w:val="auto"/>
          <w:kern w:val="0"/>
          <w:sz w:val="21"/>
          <w:szCs w:val="21"/>
          <w:highlight w:val="none"/>
          <w:lang w:val="en-US" w:eastAsia="zh-CN"/>
        </w:rPr>
        <w:t>，最终解释权归招标人所有。</w:t>
      </w:r>
    </w:p>
    <w:p w14:paraId="43BAD389">
      <w:pPr>
        <w:keepNext w:val="0"/>
        <w:keepLines w:val="0"/>
        <w:pageBreakBefore w:val="0"/>
        <w:widowControl/>
        <w:kinsoku/>
        <w:wordWrap/>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b/>
          <w:bCs/>
          <w:color w:val="auto"/>
          <w:kern w:val="0"/>
          <w:sz w:val="21"/>
          <w:szCs w:val="21"/>
          <w:highlight w:val="none"/>
          <w:lang w:val="en-US" w:eastAsia="zh-CN"/>
        </w:rPr>
        <w:t>人员费用</w:t>
      </w:r>
      <w:r>
        <w:rPr>
          <w:rFonts w:hint="eastAsia" w:ascii="宋体" w:hAnsi="宋体" w:eastAsia="宋体" w:cs="宋体"/>
          <w:color w:val="auto"/>
          <w:kern w:val="0"/>
          <w:sz w:val="21"/>
          <w:szCs w:val="21"/>
          <w:highlight w:val="none"/>
          <w:lang w:val="en-US" w:eastAsia="zh-CN"/>
        </w:rPr>
        <w:t>（27人，上限395460元/季）按人员岗位和全体人员总收入上限核实确定实际已支付费用来确定，核实劳动合同、社保费用、付款银行流水、个人确认等必要材料，以不超过固定总额度的实际支付逐项核实确定本季（3个月）本项金额（</w:t>
      </w:r>
      <w:r>
        <w:rPr>
          <w:rFonts w:hint="eastAsia" w:ascii="宋体" w:hAnsi="宋体" w:eastAsia="宋体" w:cs="宋体"/>
          <w:b/>
          <w:bCs/>
          <w:color w:val="auto"/>
          <w:kern w:val="0"/>
          <w:sz w:val="21"/>
          <w:szCs w:val="21"/>
          <w:highlight w:val="none"/>
          <w:lang w:val="en-US" w:eastAsia="zh-CN"/>
        </w:rPr>
        <w:t>结算金额按全体人员实际总支出核实确定/缺员超半月以上直接按岗位费用总额扣除</w:t>
      </w:r>
      <w:r>
        <w:rPr>
          <w:rFonts w:hint="eastAsia" w:ascii="宋体" w:hAnsi="宋体" w:eastAsia="宋体" w:cs="宋体"/>
          <w:color w:val="auto"/>
          <w:kern w:val="0"/>
          <w:sz w:val="21"/>
          <w:szCs w:val="21"/>
          <w:highlight w:val="none"/>
          <w:lang w:val="en-US" w:eastAsia="zh-CN"/>
        </w:rPr>
        <w:t>）；</w:t>
      </w:r>
    </w:p>
    <w:p w14:paraId="170E97D4">
      <w:pPr>
        <w:keepNext w:val="0"/>
        <w:keepLines w:val="0"/>
        <w:pageBreakBefore w:val="0"/>
        <w:widowControl/>
        <w:kinsoku/>
        <w:wordWrap/>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b/>
          <w:bCs/>
          <w:color w:val="auto"/>
          <w:kern w:val="0"/>
          <w:sz w:val="21"/>
          <w:szCs w:val="21"/>
          <w:highlight w:val="none"/>
          <w:lang w:val="en-US" w:eastAsia="zh-CN"/>
        </w:rPr>
        <w:t>项目费用</w:t>
      </w:r>
      <w:r>
        <w:rPr>
          <w:rFonts w:hint="eastAsia" w:ascii="宋体" w:hAnsi="宋体" w:eastAsia="宋体" w:cs="宋体"/>
          <w:color w:val="auto"/>
          <w:kern w:val="0"/>
          <w:sz w:val="21"/>
          <w:szCs w:val="21"/>
          <w:highlight w:val="none"/>
          <w:lang w:val="en-US" w:eastAsia="zh-CN"/>
        </w:rPr>
        <w:t>（电梯维保、消防维保、绿化养护、零星维修、垃圾清运、公众责任保险和行政办公，上限85200元/季）按项目逐项核实确定，核实维保合同、维保记录、付款银行流水、发票等必要材料，以不超过固定额度的实际支出逐项核实确定本季（3个月）本项金额；</w:t>
      </w:r>
    </w:p>
    <w:p w14:paraId="1AC7C16E">
      <w:pPr>
        <w:pStyle w:val="13"/>
        <w:keepNext w:val="0"/>
        <w:keepLines w:val="0"/>
        <w:pageBreakBefore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2.3</w:t>
      </w:r>
      <w:r>
        <w:rPr>
          <w:rFonts w:hint="eastAsia" w:ascii="宋体" w:hAnsi="宋体" w:eastAsia="宋体" w:cs="宋体"/>
          <w:b/>
          <w:bCs/>
          <w:color w:val="auto"/>
          <w:kern w:val="0"/>
          <w:sz w:val="21"/>
          <w:szCs w:val="21"/>
          <w:highlight w:val="none"/>
          <w:lang w:val="en-US" w:eastAsia="zh-CN"/>
        </w:rPr>
        <w:t>利润</w:t>
      </w:r>
      <w:r>
        <w:rPr>
          <w:rFonts w:hint="eastAsia" w:ascii="宋体" w:hAnsi="宋体" w:eastAsia="宋体" w:cs="宋体"/>
          <w:color w:val="auto"/>
          <w:kern w:val="0"/>
          <w:sz w:val="21"/>
          <w:szCs w:val="21"/>
          <w:highlight w:val="none"/>
          <w:lang w:val="en-US" w:eastAsia="zh-CN"/>
        </w:rPr>
        <w:t>按投标费率</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%*（人员费用季度实际金额+项目费用季度实际金额）*季度考核分值百分比%确定本季（3个月）本项金额。</w:t>
      </w:r>
      <w:r>
        <w:rPr>
          <w:rFonts w:hint="eastAsia" w:ascii="宋体" w:hAnsi="宋体" w:eastAsia="宋体" w:cs="宋体"/>
          <w:color w:val="auto"/>
          <w:kern w:val="0"/>
          <w:sz w:val="21"/>
          <w:szCs w:val="21"/>
          <w:highlight w:val="none"/>
          <w:lang w:val="en-US" w:eastAsia="zh-CN" w:bidi="ar-SA"/>
        </w:rPr>
        <w:t>季度考核分值90分及以上利润按100%，80分（含）至90分（不含）利润按90%，80分以下（不含）不予支付，若平时有扣款则从利润项扣除，不足则从其他项扣除。</w:t>
      </w:r>
    </w:p>
    <w:p w14:paraId="573D9A7C">
      <w:pPr>
        <w:pStyle w:val="13"/>
        <w:keepNext w:val="0"/>
        <w:keepLines w:val="0"/>
        <w:pageBreakBefore w:val="0"/>
        <w:kinsoku/>
        <w:wordWrap/>
        <w:overflowPunct/>
        <w:topLinePunct w:val="0"/>
        <w:autoSpaceDE/>
        <w:autoSpaceDN/>
        <w:bidi w:val="0"/>
        <w:adjustRightInd/>
        <w:snapToGrid/>
        <w:spacing w:after="0" w:line="33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r>
        <w:rPr>
          <w:rFonts w:hint="eastAsia" w:ascii="宋体" w:hAnsi="宋体" w:eastAsia="宋体" w:cs="宋体"/>
          <w:b/>
          <w:bCs/>
          <w:color w:val="auto"/>
          <w:kern w:val="0"/>
          <w:sz w:val="21"/>
          <w:szCs w:val="21"/>
          <w:highlight w:val="none"/>
          <w:lang w:val="en-US" w:eastAsia="zh-CN"/>
        </w:rPr>
        <w:t>税费</w:t>
      </w:r>
      <w:r>
        <w:rPr>
          <w:rFonts w:hint="eastAsia" w:ascii="宋体" w:hAnsi="宋体" w:eastAsia="宋体" w:cs="宋体"/>
          <w:color w:val="auto"/>
          <w:kern w:val="0"/>
          <w:sz w:val="21"/>
          <w:szCs w:val="21"/>
          <w:highlight w:val="none"/>
          <w:lang w:val="en-US" w:eastAsia="zh-CN"/>
        </w:rPr>
        <w:t>按实付金额（人员费用季度实际金额+项目费用季度实际金额+利润季度金额）*6%或实际开票税率确定本季（3个月）本项金额。</w:t>
      </w:r>
    </w:p>
    <w:p w14:paraId="010E14D8">
      <w:pPr>
        <w:pStyle w:val="13"/>
        <w:keepNext w:val="0"/>
        <w:keepLines w:val="0"/>
        <w:pageBreakBefore w:val="0"/>
        <w:kinsoku/>
        <w:wordWrap/>
        <w:overflowPunct/>
        <w:topLinePunct w:val="0"/>
        <w:autoSpaceDE/>
        <w:autoSpaceDN/>
        <w:bidi w:val="0"/>
        <w:adjustRightInd/>
        <w:snapToGrid/>
        <w:spacing w:after="0" w:line="330" w:lineRule="exact"/>
        <w:ind w:left="0" w:lef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人员费用</w:t>
      </w:r>
      <w:r>
        <w:rPr>
          <w:rFonts w:hint="eastAsia" w:ascii="宋体" w:hAnsi="宋体" w:eastAsia="宋体" w:cs="宋体"/>
          <w:color w:val="auto"/>
          <w:kern w:val="0"/>
          <w:sz w:val="21"/>
          <w:szCs w:val="21"/>
          <w:highlight w:val="none"/>
          <w:lang w:val="en-US" w:eastAsia="zh-CN"/>
        </w:rPr>
        <w:t>用于本项目物业服务人员的工资、五险绩效等其他费用实际支出，</w:t>
      </w:r>
      <w:r>
        <w:rPr>
          <w:rFonts w:hint="eastAsia" w:ascii="宋体" w:hAnsi="宋体" w:eastAsia="宋体" w:cs="宋体"/>
          <w:b/>
          <w:bCs/>
          <w:color w:val="auto"/>
          <w:kern w:val="0"/>
          <w:sz w:val="21"/>
          <w:szCs w:val="21"/>
          <w:highlight w:val="none"/>
          <w:lang w:val="en-US" w:eastAsia="zh-CN"/>
        </w:rPr>
        <w:t>项目费用</w:t>
      </w:r>
      <w:r>
        <w:rPr>
          <w:rFonts w:hint="eastAsia" w:ascii="宋体" w:hAnsi="宋体" w:eastAsia="宋体" w:cs="宋体"/>
          <w:color w:val="auto"/>
          <w:kern w:val="0"/>
          <w:sz w:val="21"/>
          <w:szCs w:val="21"/>
          <w:highlight w:val="none"/>
          <w:lang w:val="en-US" w:eastAsia="zh-CN"/>
        </w:rPr>
        <w:t>用于本项目电梯维保、消防维保、绿化养护、零星维修、公众责任保险和行政办公实际支出，</w:t>
      </w:r>
      <w:r>
        <w:rPr>
          <w:rFonts w:hint="eastAsia" w:ascii="宋体" w:hAnsi="宋体" w:eastAsia="宋体" w:cs="宋体"/>
          <w:b/>
          <w:bCs/>
          <w:color w:val="auto"/>
          <w:kern w:val="0"/>
          <w:sz w:val="21"/>
          <w:szCs w:val="21"/>
          <w:highlight w:val="none"/>
          <w:lang w:val="en-US" w:eastAsia="zh-CN"/>
        </w:rPr>
        <w:t>利润</w:t>
      </w:r>
      <w:r>
        <w:rPr>
          <w:rFonts w:hint="eastAsia" w:ascii="宋体" w:hAnsi="宋体" w:eastAsia="宋体" w:cs="宋体"/>
          <w:color w:val="auto"/>
          <w:kern w:val="0"/>
          <w:sz w:val="21"/>
          <w:szCs w:val="21"/>
          <w:highlight w:val="none"/>
          <w:lang w:val="en-US" w:eastAsia="zh-CN"/>
        </w:rPr>
        <w:t>作为乙方服务项目的合法收益，</w:t>
      </w:r>
      <w:r>
        <w:rPr>
          <w:rFonts w:hint="eastAsia" w:ascii="宋体" w:hAnsi="宋体" w:eastAsia="宋体" w:cs="宋体"/>
          <w:b/>
          <w:bCs/>
          <w:color w:val="auto"/>
          <w:kern w:val="0"/>
          <w:sz w:val="21"/>
          <w:szCs w:val="21"/>
          <w:highlight w:val="none"/>
          <w:lang w:val="en-US" w:eastAsia="zh-CN"/>
        </w:rPr>
        <w:t>税费</w:t>
      </w:r>
      <w:r>
        <w:rPr>
          <w:rFonts w:hint="eastAsia" w:ascii="宋体" w:hAnsi="宋体" w:eastAsia="宋体" w:cs="宋体"/>
          <w:color w:val="auto"/>
          <w:kern w:val="0"/>
          <w:sz w:val="21"/>
          <w:szCs w:val="21"/>
          <w:highlight w:val="none"/>
          <w:lang w:val="en-US" w:eastAsia="zh-CN"/>
        </w:rPr>
        <w:t>按乙方给甲方开具增值税专票合法纳税。</w:t>
      </w:r>
      <w:r>
        <w:rPr>
          <w:rFonts w:hint="eastAsia" w:ascii="宋体" w:hAnsi="宋体" w:eastAsia="宋体" w:cs="宋体"/>
          <w:b/>
          <w:bCs/>
          <w:color w:val="auto"/>
          <w:kern w:val="0"/>
          <w:sz w:val="21"/>
          <w:szCs w:val="21"/>
          <w:highlight w:val="none"/>
          <w:lang w:val="en-US" w:eastAsia="zh-CN"/>
        </w:rPr>
        <w:t>物业服务企业每季（3个月）凭上述几项核实材料（双方签字和盖公章确认）、合同和考核材料等进行申报物业费用请款结算手续（每月凭书面材料申请上月固定预付10万元的请款手续，预付固定费用需核实已支付人员和项目费用）。</w:t>
      </w:r>
    </w:p>
    <w:p w14:paraId="72772BB5">
      <w:pPr>
        <w:pStyle w:val="28"/>
        <w:pageBreakBefore w:val="0"/>
        <w:kinsoku/>
        <w:overflowPunct/>
        <w:topLinePunct w:val="0"/>
        <w:autoSpaceDE/>
        <w:autoSpaceDN/>
        <w:bidi w:val="0"/>
        <w:adjustRightInd/>
        <w:spacing w:line="330" w:lineRule="exact"/>
        <w:ind w:left="0" w:leftChars="0" w:firstLine="420" w:firstLineChars="200"/>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第6条  本项目履约保证金为一年服务期中标合同金额*10%，具体金额为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none"/>
          <w:lang w:val="en-US" w:eastAsia="zh-CN" w:bidi="ar-SA"/>
        </w:rPr>
        <w:t>万元。项目合同履约结束且无需扣除费用的，经双方确认后退还。</w:t>
      </w:r>
    </w:p>
    <w:p w14:paraId="7963B3CE">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第7条  </w:t>
      </w:r>
      <w:r>
        <w:rPr>
          <w:rFonts w:hint="eastAsia" w:ascii="宋体" w:hAnsi="宋体" w:eastAsia="宋体" w:cs="宋体"/>
          <w:color w:val="auto"/>
          <w:sz w:val="21"/>
          <w:szCs w:val="21"/>
          <w:highlight w:val="none"/>
        </w:rPr>
        <w:t>对物业服务资金收支情况有争议的，甲乙双方同意采取以下方式解决：</w:t>
      </w:r>
      <w:r>
        <w:rPr>
          <w:rFonts w:hint="eastAsia" w:ascii="宋体" w:hAnsi="宋体" w:eastAsia="宋体" w:cs="宋体"/>
          <w:b/>
          <w:bCs/>
          <w:color w:val="auto"/>
          <w:sz w:val="21"/>
          <w:szCs w:val="21"/>
          <w:highlight w:val="none"/>
          <w:u w:val="single"/>
          <w:lang w:val="en-US" w:eastAsia="zh-CN"/>
        </w:rPr>
        <w:t>委托有资质第三方审计机构进行专项审计，按审计结果确定</w:t>
      </w:r>
      <w:r>
        <w:rPr>
          <w:rFonts w:hint="eastAsia" w:ascii="宋体" w:hAnsi="宋体" w:eastAsia="宋体" w:cs="宋体"/>
          <w:color w:val="auto"/>
          <w:sz w:val="21"/>
          <w:szCs w:val="21"/>
          <w:highlight w:val="none"/>
        </w:rPr>
        <w:t>。</w:t>
      </w:r>
    </w:p>
    <w:p w14:paraId="23ECFFA3">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0A57D9FB">
      <w:pPr>
        <w:keepNext w:val="0"/>
        <w:keepLines w:val="0"/>
        <w:pageBreakBefore w:val="0"/>
        <w:widowControl/>
        <w:kinsoku/>
        <w:wordWrap w:val="0"/>
        <w:overflowPunct/>
        <w:topLinePunct w:val="0"/>
        <w:autoSpaceDE/>
        <w:autoSpaceDN/>
        <w:bidi w:val="0"/>
        <w:adjustRightInd/>
        <w:snapToGrid/>
        <w:spacing w:line="330" w:lineRule="exact"/>
        <w:jc w:val="center"/>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第四节  物业的承接验收</w:t>
      </w:r>
    </w:p>
    <w:p w14:paraId="015D05E5">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条  乙方承接物业时，甲方应配合乙方对以下物业共用部位、共用设施设备进行查验</w:t>
      </w:r>
      <w:r>
        <w:rPr>
          <w:rFonts w:hint="eastAsia" w:ascii="宋体" w:hAnsi="宋体" w:eastAsia="宋体" w:cs="宋体"/>
          <w:color w:val="auto"/>
          <w:kern w:val="0"/>
          <w:sz w:val="21"/>
          <w:szCs w:val="21"/>
          <w:highlight w:val="none"/>
          <w:lang w:val="en-US" w:eastAsia="zh-CN"/>
        </w:rPr>
        <w:t>并向甲方提供查验报告</w:t>
      </w:r>
      <w:r>
        <w:rPr>
          <w:rFonts w:hint="eastAsia" w:ascii="宋体" w:hAnsi="宋体" w:eastAsia="宋体" w:cs="宋体"/>
          <w:color w:val="auto"/>
          <w:kern w:val="0"/>
          <w:sz w:val="21"/>
          <w:szCs w:val="21"/>
          <w:highlight w:val="none"/>
        </w:rPr>
        <w:t>：</w:t>
      </w:r>
    </w:p>
    <w:p w14:paraId="4D65DF50">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房屋本体设施查验：基础设施、天面、梁柱板主体、顶棚、墙面、地（楼）面、门窗、楼梯、扶手、插座、接线盒、开关、照明灯具、供水系统（生活用水箱等）、排污管道、地漏卫生洁具、室内配电箱、避雷设施、消防设施（消防栓、消防箱、应急照明，消防指示灯等）、路灯、绿化、道路、岗亭、沙井、检查井、化粪池、明暗沟、台阶、水池、水箱、其他机电设备</w:t>
      </w:r>
      <w:r>
        <w:rPr>
          <w:rFonts w:hint="eastAsia" w:ascii="宋体" w:hAnsi="宋体" w:eastAsia="宋体" w:cs="宋体"/>
          <w:color w:val="auto"/>
          <w:kern w:val="0"/>
          <w:sz w:val="21"/>
          <w:szCs w:val="21"/>
          <w:highlight w:val="none"/>
        </w:rPr>
        <w:t>；</w:t>
      </w:r>
    </w:p>
    <w:p w14:paraId="06B86D3A">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条  对于本合同签订后承接的物业共用部位、共用设施设备，乙方</w:t>
      </w:r>
      <w:r>
        <w:rPr>
          <w:rFonts w:hint="eastAsia" w:ascii="宋体" w:hAnsi="宋体" w:eastAsia="宋体" w:cs="宋体"/>
          <w:color w:val="auto"/>
          <w:kern w:val="0"/>
          <w:sz w:val="21"/>
          <w:szCs w:val="21"/>
          <w:highlight w:val="none"/>
          <w:lang w:val="en-US" w:eastAsia="zh-CN"/>
        </w:rPr>
        <w:t>和原物业服务企业</w:t>
      </w:r>
      <w:r>
        <w:rPr>
          <w:rFonts w:hint="eastAsia" w:ascii="宋体" w:hAnsi="宋体" w:eastAsia="宋体" w:cs="宋体"/>
          <w:color w:val="auto"/>
          <w:kern w:val="0"/>
          <w:sz w:val="21"/>
          <w:szCs w:val="21"/>
          <w:highlight w:val="none"/>
        </w:rPr>
        <w:t>应按照前条规定进行查验并签订确认书，作为界定各自在开发建设和物业管理方面承担责任的依据。</w:t>
      </w:r>
    </w:p>
    <w:p w14:paraId="56D24F96">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条  乙方承接物业时，乙方</w:t>
      </w:r>
      <w:r>
        <w:rPr>
          <w:rFonts w:hint="eastAsia" w:ascii="宋体" w:hAnsi="宋体" w:eastAsia="宋体" w:cs="宋体"/>
          <w:color w:val="auto"/>
          <w:kern w:val="0"/>
          <w:sz w:val="21"/>
          <w:szCs w:val="21"/>
          <w:highlight w:val="none"/>
          <w:lang w:val="en-US" w:eastAsia="zh-CN"/>
        </w:rPr>
        <w:t>主要向业主单位获取</w:t>
      </w:r>
      <w:r>
        <w:rPr>
          <w:rFonts w:hint="eastAsia" w:ascii="宋体" w:hAnsi="宋体" w:eastAsia="宋体" w:cs="宋体"/>
          <w:color w:val="auto"/>
          <w:kern w:val="0"/>
          <w:sz w:val="21"/>
          <w:szCs w:val="21"/>
          <w:highlight w:val="none"/>
        </w:rPr>
        <w:t>下列资料：</w:t>
      </w:r>
    </w:p>
    <w:p w14:paraId="16755C63">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竣工总平面图，单体建筑、结构、设备竣工图，配套设施、地下管网工程竣工图等竣工验收资料；</w:t>
      </w:r>
    </w:p>
    <w:p w14:paraId="214801A0">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设施设备的安装、使用和维护保养等技术资料；</w:t>
      </w:r>
    </w:p>
    <w:p w14:paraId="0ECD8BCB">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物业质量保修文件和物业使用说明文件；</w:t>
      </w:r>
    </w:p>
    <w:p w14:paraId="32D85EF7">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rPr>
        <w:t>4</w:t>
      </w:r>
      <w:r>
        <w:rPr>
          <w:rFonts w:hint="eastAsia" w:ascii="宋体" w:hAnsi="宋体" w:eastAsia="宋体" w:cs="宋体"/>
          <w:color w:val="auto"/>
          <w:kern w:val="0"/>
          <w:sz w:val="21"/>
          <w:szCs w:val="21"/>
          <w:highlight w:val="none"/>
          <w:u w:val="none"/>
          <w:lang w:val="en-US" w:eastAsia="zh-CN"/>
        </w:rPr>
        <w:t>.其他正常开展物业服务所需相关资料</w:t>
      </w:r>
      <w:r>
        <w:rPr>
          <w:rFonts w:hint="eastAsia" w:ascii="宋体" w:hAnsi="宋体" w:eastAsia="宋体" w:cs="宋体"/>
          <w:color w:val="auto"/>
          <w:kern w:val="0"/>
          <w:sz w:val="21"/>
          <w:szCs w:val="21"/>
          <w:highlight w:val="none"/>
        </w:rPr>
        <w:t>。</w:t>
      </w:r>
    </w:p>
    <w:p w14:paraId="0C12437B">
      <w:pPr>
        <w:keepNext w:val="0"/>
        <w:keepLines w:val="0"/>
        <w:pageBreakBefore w:val="0"/>
        <w:widowControl/>
        <w:kinsoku/>
        <w:wordWrap w:val="0"/>
        <w:overflowPunct/>
        <w:topLinePunct w:val="0"/>
        <w:autoSpaceDE/>
        <w:autoSpaceDN/>
        <w:bidi w:val="0"/>
        <w:adjustRightInd/>
        <w:snapToGrid/>
        <w:spacing w:line="330" w:lineRule="exact"/>
        <w:jc w:val="center"/>
        <w:textAlignment w:val="auto"/>
        <w:rPr>
          <w:rFonts w:hint="eastAsia" w:ascii="宋体" w:hAnsi="宋体" w:eastAsia="宋体" w:cs="宋体"/>
          <w:b/>
          <w:color w:val="auto"/>
          <w:kern w:val="0"/>
          <w:sz w:val="21"/>
          <w:szCs w:val="21"/>
          <w:highlight w:val="none"/>
        </w:rPr>
      </w:pPr>
    </w:p>
    <w:p w14:paraId="547E64AE">
      <w:pPr>
        <w:keepNext w:val="0"/>
        <w:keepLines w:val="0"/>
        <w:pageBreakBefore w:val="0"/>
        <w:widowControl/>
        <w:kinsoku/>
        <w:wordWrap w:val="0"/>
        <w:overflowPunct/>
        <w:topLinePunct w:val="0"/>
        <w:autoSpaceDE/>
        <w:autoSpaceDN/>
        <w:bidi w:val="0"/>
        <w:adjustRightInd/>
        <w:snapToGrid/>
        <w:spacing w:line="330" w:lineRule="exact"/>
        <w:jc w:val="center"/>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第五节  物业的使用与维护</w:t>
      </w:r>
    </w:p>
    <w:p w14:paraId="7F0C6090">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条  乙方应配合甲方制定本物业管理区域内物业共用部位和共用设施设备的使用、公共秩序和环境卫生的维护等方面的规章制度。乙方根据规章制度提供管理服务时，甲方、业主和物业使用人应给予必要配合。</w:t>
      </w:r>
    </w:p>
    <w:p w14:paraId="6F1BACA8">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条  乙方可采取规劝、制止、</w:t>
      </w:r>
      <w:r>
        <w:rPr>
          <w:rFonts w:hint="eastAsia" w:ascii="宋体" w:hAnsi="宋体" w:eastAsia="宋体" w:cs="宋体"/>
          <w:color w:val="auto"/>
          <w:kern w:val="0"/>
          <w:sz w:val="21"/>
          <w:szCs w:val="21"/>
          <w:highlight w:val="none"/>
          <w:u w:val="single"/>
          <w:lang w:val="en-US" w:eastAsia="zh-CN"/>
        </w:rPr>
        <w:t>报警和报告业主单位和相关行政部门</w:t>
      </w:r>
      <w:r>
        <w:rPr>
          <w:rFonts w:hint="eastAsia" w:ascii="宋体" w:hAnsi="宋体" w:eastAsia="宋体" w:cs="宋体"/>
          <w:color w:val="auto"/>
          <w:kern w:val="0"/>
          <w:sz w:val="21"/>
          <w:szCs w:val="21"/>
          <w:highlight w:val="none"/>
        </w:rPr>
        <w:t>等必要措施，制止</w:t>
      </w:r>
      <w:r>
        <w:rPr>
          <w:rFonts w:hint="eastAsia" w:ascii="宋体" w:hAnsi="宋体" w:eastAsia="宋体" w:cs="宋体"/>
          <w:color w:val="auto"/>
          <w:kern w:val="0"/>
          <w:sz w:val="21"/>
          <w:szCs w:val="21"/>
          <w:highlight w:val="none"/>
          <w:lang w:val="en-US" w:eastAsia="zh-CN"/>
        </w:rPr>
        <w:t>租户</w:t>
      </w:r>
      <w:r>
        <w:rPr>
          <w:rFonts w:hint="eastAsia" w:ascii="宋体" w:hAnsi="宋体" w:eastAsia="宋体" w:cs="宋体"/>
          <w:color w:val="auto"/>
          <w:kern w:val="0"/>
          <w:sz w:val="21"/>
          <w:szCs w:val="21"/>
          <w:highlight w:val="none"/>
        </w:rPr>
        <w:t>、物业使用人违反本临时公约和物业管理区域内物业管理规章制度的行为。</w:t>
      </w:r>
    </w:p>
    <w:p w14:paraId="49E8C093">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条  因维修物业或者公共利益，</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确需临时占用、挖掘本物业管理区域内道路、场地的，应征得业主</w:t>
      </w:r>
      <w:r>
        <w:rPr>
          <w:rFonts w:hint="eastAsia" w:ascii="宋体" w:hAnsi="宋体" w:eastAsia="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rPr>
        <w:t>的同意。</w:t>
      </w:r>
    </w:p>
    <w:p w14:paraId="2E15ECBB">
      <w:pPr>
        <w:keepNext w:val="0"/>
        <w:keepLines w:val="0"/>
        <w:pageBreakBefore w:val="0"/>
        <w:widowControl/>
        <w:kinsoku/>
        <w:overflowPunct/>
        <w:topLinePunct w:val="0"/>
        <w:autoSpaceDE/>
        <w:autoSpaceDN/>
        <w:bidi w:val="0"/>
        <w:adjustRightInd/>
        <w:snapToGri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条  甲方应于</w:t>
      </w:r>
      <w:r>
        <w:rPr>
          <w:rFonts w:hint="eastAsia" w:ascii="宋体" w:hAnsi="宋体" w:eastAsia="宋体" w:cs="宋体"/>
          <w:color w:val="auto"/>
          <w:kern w:val="0"/>
          <w:sz w:val="21"/>
          <w:szCs w:val="21"/>
          <w:highlight w:val="none"/>
          <w:lang w:val="en-US" w:eastAsia="zh-CN"/>
        </w:rPr>
        <w:t>乙方物业服务人员进场时</w:t>
      </w:r>
      <w:r>
        <w:rPr>
          <w:rFonts w:hint="eastAsia" w:ascii="宋体" w:hAnsi="宋体" w:eastAsia="宋体" w:cs="宋体"/>
          <w:color w:val="auto"/>
          <w:kern w:val="0"/>
          <w:sz w:val="21"/>
          <w:szCs w:val="21"/>
          <w:highlight w:val="none"/>
        </w:rPr>
        <w:t>（具体时间）按有关规定向乙方提供能够直接投入使用的物业管理用房。</w:t>
      </w:r>
    </w:p>
    <w:p w14:paraId="47333A61">
      <w:pPr>
        <w:pStyle w:val="13"/>
        <w:pageBreakBefore w:val="0"/>
        <w:kinsoku/>
        <w:overflowPunct/>
        <w:topLinePunct w:val="0"/>
        <w:autoSpaceDE/>
        <w:autoSpaceDN/>
        <w:bidi w:val="0"/>
        <w:adjustRightInd/>
        <w:spacing w:line="330" w:lineRule="exact"/>
        <w:textAlignment w:val="auto"/>
        <w:rPr>
          <w:rFonts w:hint="eastAsia" w:ascii="宋体" w:hAnsi="宋体" w:eastAsia="宋体" w:cs="宋体"/>
          <w:color w:val="auto"/>
          <w:sz w:val="21"/>
          <w:szCs w:val="21"/>
          <w:highlight w:val="none"/>
        </w:rPr>
      </w:pPr>
    </w:p>
    <w:p w14:paraId="00FF2A79">
      <w:pPr>
        <w:keepNext w:val="0"/>
        <w:keepLines w:val="0"/>
        <w:pageBreakBefore w:val="0"/>
        <w:widowControl/>
        <w:kinsoku/>
        <w:wordWrap w:val="0"/>
        <w:overflowPunct/>
        <w:topLinePunct w:val="0"/>
        <w:autoSpaceDE/>
        <w:autoSpaceDN/>
        <w:bidi w:val="0"/>
        <w:adjustRightInd/>
        <w:snapToGrid/>
        <w:spacing w:line="330" w:lineRule="exact"/>
        <w:jc w:val="center"/>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第六节  违约责任</w:t>
      </w:r>
    </w:p>
    <w:p w14:paraId="5E0FBFE3">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条  甲方违反本合同第十三条、第十四条、第十五条的约定，致使乙方的管理服务无法达到本合同第二条、第三条、第四条约定的服务内容和质量标准的，</w:t>
      </w:r>
      <w:r>
        <w:rPr>
          <w:rFonts w:hint="eastAsia" w:ascii="宋体" w:hAnsi="宋体" w:eastAsia="宋体" w:cs="宋体"/>
          <w:color w:val="auto"/>
          <w:kern w:val="0"/>
          <w:sz w:val="21"/>
          <w:szCs w:val="21"/>
          <w:highlight w:val="none"/>
          <w:lang w:val="en-US" w:eastAsia="zh-CN"/>
        </w:rPr>
        <w:t>经双方认可的第三方机构审计，</w:t>
      </w:r>
      <w:r>
        <w:rPr>
          <w:rFonts w:hint="eastAsia" w:ascii="宋体" w:hAnsi="宋体" w:eastAsia="宋体" w:cs="宋体"/>
          <w:color w:val="auto"/>
          <w:kern w:val="0"/>
          <w:sz w:val="21"/>
          <w:szCs w:val="21"/>
          <w:highlight w:val="none"/>
        </w:rPr>
        <w:t>由甲方</w:t>
      </w:r>
      <w:r>
        <w:rPr>
          <w:rFonts w:hint="eastAsia" w:ascii="宋体" w:hAnsi="宋体" w:eastAsia="宋体" w:cs="宋体"/>
          <w:color w:val="auto"/>
          <w:kern w:val="0"/>
          <w:sz w:val="21"/>
          <w:szCs w:val="21"/>
          <w:highlight w:val="none"/>
          <w:lang w:val="en-US" w:eastAsia="zh-CN"/>
        </w:rPr>
        <w:t>按审计结果</w:t>
      </w:r>
      <w:r>
        <w:rPr>
          <w:rFonts w:hint="eastAsia" w:ascii="宋体" w:hAnsi="宋体" w:eastAsia="宋体" w:cs="宋体"/>
          <w:color w:val="auto"/>
          <w:kern w:val="0"/>
          <w:sz w:val="21"/>
          <w:szCs w:val="21"/>
          <w:highlight w:val="none"/>
        </w:rPr>
        <w:t>赔偿由此给业主和物业使用人造成的损失。</w:t>
      </w:r>
    </w:p>
    <w:p w14:paraId="4C5FC4D2">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条  除前条规定情况外，乙方的管理服务达不到本合同第二条、第三条、第四条约定的服务内容和质量标准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因此造成甲方重大不良后果和损失的</w:t>
      </w:r>
      <w:r>
        <w:rPr>
          <w:rFonts w:hint="eastAsia" w:ascii="宋体" w:hAnsi="宋体" w:eastAsia="宋体" w:cs="宋体"/>
          <w:color w:val="auto"/>
          <w:kern w:val="0"/>
          <w:sz w:val="21"/>
          <w:szCs w:val="21"/>
          <w:highlight w:val="none"/>
        </w:rPr>
        <w:t>，按</w:t>
      </w:r>
      <w:r>
        <w:rPr>
          <w:rFonts w:hint="eastAsia" w:ascii="宋体" w:hAnsi="宋体" w:eastAsia="宋体" w:cs="宋体"/>
          <w:color w:val="auto"/>
          <w:kern w:val="0"/>
          <w:sz w:val="21"/>
          <w:szCs w:val="21"/>
          <w:highlight w:val="none"/>
          <w:lang w:val="en-US" w:eastAsia="zh-CN"/>
        </w:rPr>
        <w:t>当季度物业服务费用总额</w:t>
      </w:r>
      <w:r>
        <w:rPr>
          <w:rFonts w:hint="eastAsia" w:ascii="宋体" w:hAnsi="宋体" w:eastAsia="宋体" w:cs="宋体"/>
          <w:color w:val="auto"/>
          <w:kern w:val="0"/>
          <w:sz w:val="21"/>
          <w:szCs w:val="21"/>
          <w:highlight w:val="none"/>
        </w:rPr>
        <w:t>的标准向甲方、业主支付违约金。</w:t>
      </w:r>
    </w:p>
    <w:p w14:paraId="357D2917">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rPr>
        <w:t>条  甲方违反本合同第</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条的约定，</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拒绝或拖延履行</w:t>
      </w:r>
      <w:r>
        <w:rPr>
          <w:rFonts w:hint="eastAsia" w:ascii="宋体" w:hAnsi="宋体" w:eastAsia="宋体" w:cs="宋体"/>
          <w:color w:val="auto"/>
          <w:kern w:val="0"/>
          <w:sz w:val="21"/>
          <w:szCs w:val="21"/>
          <w:highlight w:val="none"/>
          <w:lang w:val="en-US" w:eastAsia="zh-CN"/>
        </w:rPr>
        <w:t>维保</w:t>
      </w:r>
      <w:r>
        <w:rPr>
          <w:rFonts w:hint="eastAsia" w:ascii="宋体" w:hAnsi="宋体" w:eastAsia="宋体" w:cs="宋体"/>
          <w:color w:val="auto"/>
          <w:kern w:val="0"/>
          <w:sz w:val="21"/>
          <w:szCs w:val="21"/>
          <w:highlight w:val="none"/>
        </w:rPr>
        <w:t>义务的，</w:t>
      </w:r>
      <w:r>
        <w:rPr>
          <w:rFonts w:hint="eastAsia" w:ascii="宋体" w:hAnsi="宋体" w:eastAsia="宋体" w:cs="宋体"/>
          <w:color w:val="auto"/>
          <w:kern w:val="0"/>
          <w:sz w:val="21"/>
          <w:szCs w:val="21"/>
          <w:highlight w:val="none"/>
          <w:lang w:val="en-US" w:eastAsia="zh-CN"/>
        </w:rPr>
        <w:t>甲方或租户</w:t>
      </w:r>
      <w:r>
        <w:rPr>
          <w:rFonts w:hint="eastAsia" w:ascii="宋体" w:hAnsi="宋体" w:eastAsia="宋体" w:cs="宋体"/>
          <w:color w:val="auto"/>
          <w:kern w:val="0"/>
          <w:sz w:val="21"/>
          <w:szCs w:val="21"/>
          <w:highlight w:val="none"/>
        </w:rPr>
        <w:t>可以自行或委托</w:t>
      </w:r>
      <w:r>
        <w:rPr>
          <w:rFonts w:hint="eastAsia" w:ascii="宋体" w:hAnsi="宋体" w:eastAsia="宋体" w:cs="宋体"/>
          <w:color w:val="auto"/>
          <w:kern w:val="0"/>
          <w:sz w:val="21"/>
          <w:szCs w:val="21"/>
          <w:highlight w:val="none"/>
          <w:lang w:val="en-US" w:eastAsia="zh-CN"/>
        </w:rPr>
        <w:t>第三方</w:t>
      </w:r>
      <w:r>
        <w:rPr>
          <w:rFonts w:hint="eastAsia" w:ascii="宋体" w:hAnsi="宋体" w:eastAsia="宋体" w:cs="宋体"/>
          <w:color w:val="auto"/>
          <w:kern w:val="0"/>
          <w:sz w:val="21"/>
          <w:szCs w:val="21"/>
          <w:highlight w:val="none"/>
        </w:rPr>
        <w:t>修复，修复费用及造成的其他损失由</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承担。</w:t>
      </w:r>
    </w:p>
    <w:p w14:paraId="1D1B0057">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rPr>
        <w:t>条  以下情况乙方不承担责任：</w:t>
      </w:r>
    </w:p>
    <w:p w14:paraId="71FDC592">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因不可抗力导致物业管理服务中断的；</w:t>
      </w:r>
    </w:p>
    <w:p w14:paraId="2C9EB033">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因维修养护物业共用部位、共用设施设备需要且事先已告知业主和物业使用人，暂时停水、停电、停止共用设施设备使用等造成损失的；</w:t>
      </w:r>
    </w:p>
    <w:p w14:paraId="7020651F">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因非乙方责任出现供水、供电、供气、供热、通讯、有线电视及其他共用设施设备运行障碍造成损失的</w:t>
      </w:r>
      <w:r>
        <w:rPr>
          <w:rFonts w:hint="eastAsia" w:ascii="宋体" w:hAnsi="宋体" w:eastAsia="宋体" w:cs="宋体"/>
          <w:color w:val="auto"/>
          <w:kern w:val="0"/>
          <w:sz w:val="21"/>
          <w:szCs w:val="21"/>
          <w:highlight w:val="none"/>
          <w:lang w:eastAsia="zh-CN"/>
        </w:rPr>
        <w:t>。</w:t>
      </w:r>
    </w:p>
    <w:p w14:paraId="22123A37">
      <w:pPr>
        <w:keepNext w:val="0"/>
        <w:keepLines w:val="0"/>
        <w:pageBreakBefore w:val="0"/>
        <w:widowControl/>
        <w:kinsoku/>
        <w:overflowPunct/>
        <w:topLinePunct w:val="0"/>
        <w:autoSpaceDE/>
        <w:autoSpaceDN/>
        <w:bidi w:val="0"/>
        <w:adjustRightInd/>
        <w:spacing w:line="330" w:lineRule="exact"/>
        <w:ind w:firstLine="420" w:firstLineChars="200"/>
        <w:jc w:val="center"/>
        <w:textAlignment w:val="auto"/>
        <w:rPr>
          <w:rFonts w:hint="eastAsia" w:ascii="宋体" w:hAnsi="宋体" w:eastAsia="宋体" w:cs="宋体"/>
          <w:color w:val="auto"/>
          <w:kern w:val="0"/>
          <w:sz w:val="21"/>
          <w:szCs w:val="21"/>
          <w:highlight w:val="none"/>
          <w:u w:val="single"/>
        </w:rPr>
      </w:pPr>
    </w:p>
    <w:p w14:paraId="7607489A">
      <w:pPr>
        <w:keepNext w:val="0"/>
        <w:keepLines w:val="0"/>
        <w:pageBreakBefore w:val="0"/>
        <w:widowControl/>
        <w:kinsoku/>
        <w:wordWrap w:val="0"/>
        <w:overflowPunct/>
        <w:topLinePunct w:val="0"/>
        <w:autoSpaceDE/>
        <w:autoSpaceDN/>
        <w:bidi w:val="0"/>
        <w:adjustRightInd/>
        <w:spacing w:line="330" w:lineRule="exact"/>
        <w:jc w:val="center"/>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第七节  其他事项</w:t>
      </w:r>
    </w:p>
    <w:p w14:paraId="73B9E93D">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条  本合同终止时，乙方应将物业管理用房、物业管理相关资料等移交给甲方</w:t>
      </w:r>
      <w:r>
        <w:rPr>
          <w:rFonts w:hint="eastAsia" w:ascii="宋体" w:hAnsi="宋体" w:eastAsia="宋体" w:cs="宋体"/>
          <w:color w:val="auto"/>
          <w:kern w:val="0"/>
          <w:sz w:val="21"/>
          <w:szCs w:val="21"/>
          <w:highlight w:val="none"/>
          <w:lang w:val="en-US" w:eastAsia="zh-CN"/>
        </w:rPr>
        <w:t>或新接管服务企业，</w:t>
      </w:r>
      <w:r>
        <w:rPr>
          <w:rFonts w:hint="eastAsia" w:ascii="宋体" w:hAnsi="宋体" w:eastAsia="宋体" w:cs="宋体"/>
          <w:b/>
          <w:bCs/>
          <w:color w:val="auto"/>
          <w:kern w:val="0"/>
          <w:sz w:val="21"/>
          <w:szCs w:val="21"/>
          <w:highlight w:val="none"/>
          <w:lang w:val="en-US" w:eastAsia="zh-CN"/>
        </w:rPr>
        <w:t>甲方未确认新接管服务企业或未进场时，乙方须按合同服务标准继续提供项目物业服务，费用按原合同标准执行</w:t>
      </w:r>
      <w:r>
        <w:rPr>
          <w:rFonts w:hint="eastAsia" w:ascii="宋体" w:hAnsi="宋体" w:eastAsia="宋体" w:cs="宋体"/>
          <w:color w:val="auto"/>
          <w:kern w:val="0"/>
          <w:sz w:val="21"/>
          <w:szCs w:val="21"/>
          <w:highlight w:val="none"/>
        </w:rPr>
        <w:t>。</w:t>
      </w:r>
    </w:p>
    <w:p w14:paraId="245CBA22">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条  本合同的附件为本合同不可分割的组成部分，与本合同具有同等法律效力。</w:t>
      </w:r>
    </w:p>
    <w:p w14:paraId="0D52A08B">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条  本合同履行中发生的争议，法律、法规、规章、政策有相关规定的，按规定执行；没有规定的，双方可以协商解决，也可以请求有关主管部门调解。协商解决、调解不成的，可依法向</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所在地人民法院起诉。</w:t>
      </w:r>
    </w:p>
    <w:p w14:paraId="1620F2E8">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条  本合同一式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rPr>
        <w:t>份，具有同等法律效力，其中甲方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份，乙方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份。本合同自双方签字盖章之日起生效，至双方权利义务履行完毕终止。未尽事宜，可订立补充合同。</w:t>
      </w:r>
    </w:p>
    <w:p w14:paraId="5B62DEDE">
      <w:pPr>
        <w:keepNext w:val="0"/>
        <w:keepLines w:val="0"/>
        <w:pageBreakBefore w:val="0"/>
        <w:widowControl/>
        <w:kinsoku/>
        <w:overflowPunct/>
        <w:topLinePunct w:val="0"/>
        <w:autoSpaceDE/>
        <w:autoSpaceDN/>
        <w:bidi w:val="0"/>
        <w:adjustRightInd/>
        <w:spacing w:line="330" w:lineRule="exact"/>
        <w:ind w:firstLine="420" w:firstLineChars="200"/>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附件：1.后勤服务中心（公租房）季度物业考核标准</w:t>
      </w:r>
    </w:p>
    <w:p w14:paraId="39420D78">
      <w:pPr>
        <w:keepNext w:val="0"/>
        <w:keepLines w:val="0"/>
        <w:pageBreakBefore w:val="0"/>
        <w:widowControl/>
        <w:kinsoku/>
        <w:overflowPunct/>
        <w:topLinePunct w:val="0"/>
        <w:autoSpaceDE/>
        <w:autoSpaceDN/>
        <w:bidi w:val="0"/>
        <w:adjustRightInd/>
        <w:spacing w:line="330" w:lineRule="exact"/>
        <w:ind w:firstLine="1050" w:firstLineChars="500"/>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2.物业管理服务质量标准</w:t>
      </w:r>
    </w:p>
    <w:tbl>
      <w:tblPr>
        <w:tblStyle w:val="3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14:paraId="3EB4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4F0C09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甲方发票种类：增值税专用发票，开票信息如下</w:t>
            </w:r>
          </w:p>
        </w:tc>
      </w:tr>
      <w:tr w14:paraId="11AA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0E1CC4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名        称：</w:t>
            </w:r>
            <w:r>
              <w:rPr>
                <w:rFonts w:hint="eastAsia" w:ascii="宋体" w:hAnsi="宋体" w:eastAsia="宋体" w:cs="宋体"/>
                <w:color w:val="auto"/>
                <w:sz w:val="21"/>
                <w:szCs w:val="21"/>
                <w:highlight w:val="none"/>
                <w:vertAlign w:val="baseline"/>
                <w:lang w:val="en-US" w:eastAsia="zh-CN"/>
              </w:rPr>
              <w:t>滁州同业投资发展有限公司</w:t>
            </w:r>
          </w:p>
        </w:tc>
      </w:tr>
      <w:tr w14:paraId="1AB3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3D277B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纳税人识别号：</w:t>
            </w:r>
            <w:r>
              <w:rPr>
                <w:rFonts w:hint="eastAsia" w:ascii="宋体" w:hAnsi="宋体" w:eastAsia="宋体" w:cs="宋体"/>
                <w:b w:val="0"/>
                <w:bCs w:val="0"/>
                <w:color w:val="auto"/>
                <w:sz w:val="21"/>
                <w:szCs w:val="21"/>
                <w:highlight w:val="none"/>
                <w:vertAlign w:val="baseline"/>
                <w:lang w:val="en-US" w:eastAsia="zh-CN"/>
              </w:rPr>
              <w:t>913411005986636098</w:t>
            </w:r>
          </w:p>
        </w:tc>
      </w:tr>
      <w:tr w14:paraId="6981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632A34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地 址、电 话：</w:t>
            </w:r>
            <w:r>
              <w:rPr>
                <w:rFonts w:hint="eastAsia" w:ascii="宋体" w:hAnsi="宋体" w:eastAsia="宋体" w:cs="宋体"/>
                <w:b w:val="0"/>
                <w:bCs w:val="0"/>
                <w:color w:val="auto"/>
                <w:sz w:val="21"/>
                <w:szCs w:val="21"/>
                <w:highlight w:val="none"/>
                <w:vertAlign w:val="baseline"/>
                <w:lang w:val="en-US" w:eastAsia="zh-CN"/>
              </w:rPr>
              <w:t>安徽省滁州市全椒路77号0550-3520529</w:t>
            </w:r>
          </w:p>
        </w:tc>
      </w:tr>
      <w:tr w14:paraId="0687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123FFC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开户行及账户：</w:t>
            </w:r>
            <w:r>
              <w:rPr>
                <w:rFonts w:hint="eastAsia" w:ascii="宋体" w:hAnsi="宋体" w:eastAsia="宋体" w:cs="宋体"/>
                <w:b w:val="0"/>
                <w:bCs w:val="0"/>
                <w:color w:val="auto"/>
                <w:sz w:val="21"/>
                <w:szCs w:val="21"/>
                <w:highlight w:val="none"/>
                <w:vertAlign w:val="baseline"/>
                <w:lang w:val="en-US" w:eastAsia="zh-CN"/>
              </w:rPr>
              <w:t>中国银行滁州分行1872 2612 3908</w:t>
            </w:r>
          </w:p>
        </w:tc>
      </w:tr>
      <w:tr w14:paraId="2564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7D3C8E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vertAlign w:val="baseline"/>
                <w:lang w:val="en-US" w:eastAsia="zh-CN"/>
              </w:rPr>
            </w:pPr>
          </w:p>
        </w:tc>
      </w:tr>
      <w:tr w14:paraId="06C4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5A42456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乙方收款信息如下（公司基本户）：</w:t>
            </w:r>
          </w:p>
        </w:tc>
      </w:tr>
      <w:tr w14:paraId="75A9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40" w:type="dxa"/>
            <w:noWrap w:val="0"/>
            <w:vAlign w:val="top"/>
          </w:tcPr>
          <w:p w14:paraId="3F93BA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名        称：</w:t>
            </w:r>
            <w:r>
              <w:rPr>
                <w:rFonts w:hint="eastAsia" w:ascii="宋体" w:hAnsi="宋体" w:eastAsia="宋体" w:cs="宋体"/>
                <w:color w:val="auto"/>
                <w:sz w:val="21"/>
                <w:szCs w:val="21"/>
                <w:highlight w:val="none"/>
                <w:vertAlign w:val="baseline"/>
                <w:lang w:val="en-US" w:eastAsia="zh-CN"/>
              </w:rPr>
              <w:t xml:space="preserve"> </w:t>
            </w:r>
          </w:p>
        </w:tc>
      </w:tr>
      <w:tr w14:paraId="4224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940" w:type="dxa"/>
            <w:noWrap w:val="0"/>
            <w:vAlign w:val="top"/>
          </w:tcPr>
          <w:p w14:paraId="662953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开户行及账户：</w:t>
            </w:r>
            <w:r>
              <w:rPr>
                <w:rFonts w:hint="eastAsia" w:ascii="宋体" w:hAnsi="宋体" w:eastAsia="宋体" w:cs="宋体"/>
                <w:color w:val="auto"/>
                <w:sz w:val="21"/>
                <w:szCs w:val="21"/>
                <w:highlight w:val="none"/>
                <w:vertAlign w:val="baseline"/>
                <w:lang w:val="en-US" w:eastAsia="zh-CN"/>
              </w:rPr>
              <w:t xml:space="preserve"> </w:t>
            </w:r>
          </w:p>
        </w:tc>
      </w:tr>
    </w:tbl>
    <w:p w14:paraId="18CDC024">
      <w:pPr>
        <w:pStyle w:val="13"/>
        <w:rPr>
          <w:rFonts w:hint="eastAsia" w:ascii="宋体" w:hAnsi="宋体" w:eastAsia="宋体" w:cs="宋体"/>
          <w:color w:val="auto"/>
          <w:kern w:val="0"/>
          <w:sz w:val="21"/>
          <w:szCs w:val="21"/>
          <w:highlight w:val="none"/>
          <w:lang w:val="en-US" w:eastAsia="zh-CN"/>
        </w:rPr>
      </w:pPr>
    </w:p>
    <w:p w14:paraId="341E5838">
      <w:pPr>
        <w:rPr>
          <w:rFonts w:hint="eastAsia" w:ascii="宋体" w:hAnsi="宋体" w:eastAsia="宋体" w:cs="宋体"/>
          <w:color w:val="auto"/>
          <w:kern w:val="0"/>
          <w:sz w:val="21"/>
          <w:szCs w:val="21"/>
          <w:highlight w:val="none"/>
          <w:lang w:val="en-US" w:eastAsia="zh-CN"/>
        </w:rPr>
      </w:pPr>
    </w:p>
    <w:p w14:paraId="2BBD26D1">
      <w:pPr>
        <w:keepNext w:val="0"/>
        <w:keepLines w:val="0"/>
        <w:pageBreakBefore w:val="0"/>
        <w:widowControl/>
        <w:kinsoku/>
        <w:overflowPunct/>
        <w:topLinePunct w:val="0"/>
        <w:autoSpaceDE/>
        <w:autoSpaceDN/>
        <w:bidi w:val="0"/>
        <w:adjustRightInd/>
        <w:spacing w:line="320" w:lineRule="exact"/>
        <w:jc w:val="lef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采购方(盖章):滁州同业投资发展有限公司         供应方(盖章)：</w:t>
      </w:r>
    </w:p>
    <w:p w14:paraId="26B4CD3C">
      <w:pPr>
        <w:pStyle w:val="18"/>
        <w:rPr>
          <w:rFonts w:hint="eastAsia" w:ascii="宋体" w:hAnsi="宋体" w:eastAsia="宋体" w:cs="宋体"/>
          <w:color w:val="auto"/>
          <w:spacing w:val="0"/>
          <w:kern w:val="0"/>
          <w:sz w:val="21"/>
          <w:szCs w:val="21"/>
          <w:highlight w:val="none"/>
          <w:lang w:val="en-US" w:eastAsia="zh-CN" w:bidi="ar-SA"/>
        </w:rPr>
      </w:pPr>
    </w:p>
    <w:p w14:paraId="272A9D72">
      <w:pPr>
        <w:pStyle w:val="18"/>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（盖法人章）：                                （盖法人章）：</w:t>
      </w:r>
    </w:p>
    <w:p w14:paraId="5D5449EA">
      <w:pPr>
        <w:pStyle w:val="13"/>
        <w:rPr>
          <w:rFonts w:hint="eastAsia" w:ascii="宋体" w:hAnsi="宋体" w:eastAsia="宋体" w:cs="宋体"/>
          <w:color w:val="auto"/>
          <w:spacing w:val="0"/>
          <w:sz w:val="21"/>
          <w:szCs w:val="21"/>
          <w:highlight w:val="none"/>
          <w:lang w:val="en-US" w:eastAsia="zh-CN"/>
        </w:rPr>
      </w:pPr>
    </w:p>
    <w:p w14:paraId="4E5DFD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授权代表(签字)：                              授权代表(签字)：</w:t>
      </w:r>
    </w:p>
    <w:p w14:paraId="66FB6B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 xml:space="preserve">               </w:t>
      </w:r>
    </w:p>
    <w:p w14:paraId="7511C4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 xml:space="preserve">联系电话：                                    联系电话：        </w:t>
      </w:r>
    </w:p>
    <w:p w14:paraId="49B81C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 xml:space="preserve">             </w:t>
      </w:r>
    </w:p>
    <w:p w14:paraId="34596C72">
      <w:pPr>
        <w:widowControl/>
        <w:shd w:val="clear" w:color="auto" w:fill="FFFFFF"/>
        <w:spacing w:line="400" w:lineRule="exact"/>
        <w:jc w:val="left"/>
        <w:rPr>
          <w:rFonts w:hint="eastAsia" w:ascii="宋体" w:hAnsi="宋体" w:eastAsia="宋体" w:cs="宋体"/>
          <w:b/>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签订地点：</w:t>
      </w:r>
      <w:r>
        <w:rPr>
          <w:rFonts w:hint="eastAsia" w:ascii="宋体" w:hAnsi="宋体" w:eastAsia="宋体" w:cs="宋体"/>
          <w:color w:val="auto"/>
          <w:spacing w:val="0"/>
          <w:kern w:val="0"/>
          <w:sz w:val="21"/>
          <w:szCs w:val="21"/>
          <w:highlight w:val="none"/>
          <w:u w:val="single"/>
          <w:lang w:val="en-US" w:eastAsia="zh-CN" w:bidi="ar-SA"/>
        </w:rPr>
        <w:t>滁州同业投资发展有限公司</w:t>
      </w:r>
      <w:r>
        <w:rPr>
          <w:rFonts w:hint="eastAsia" w:ascii="宋体" w:hAnsi="宋体" w:eastAsia="宋体" w:cs="宋体"/>
          <w:color w:val="auto"/>
          <w:spacing w:val="0"/>
          <w:kern w:val="0"/>
          <w:sz w:val="21"/>
          <w:szCs w:val="21"/>
          <w:highlight w:val="none"/>
          <w:lang w:val="en-US" w:eastAsia="zh-CN" w:bidi="ar-SA"/>
        </w:rPr>
        <w:t xml:space="preserve">            签订时间：</w:t>
      </w:r>
      <w:r>
        <w:rPr>
          <w:rFonts w:hint="eastAsia" w:ascii="宋体" w:hAnsi="宋体" w:eastAsia="宋体" w:cs="宋体"/>
          <w:color w:val="auto"/>
          <w:spacing w:val="0"/>
          <w:kern w:val="0"/>
          <w:sz w:val="21"/>
          <w:szCs w:val="21"/>
          <w:highlight w:val="none"/>
          <w:u w:val="single"/>
          <w:lang w:val="en-US" w:eastAsia="zh-CN" w:bidi="ar-SA"/>
        </w:rPr>
        <w:t>2024</w:t>
      </w:r>
      <w:r>
        <w:rPr>
          <w:rFonts w:hint="eastAsia" w:ascii="宋体" w:hAnsi="宋体" w:eastAsia="宋体" w:cs="宋体"/>
          <w:color w:val="auto"/>
          <w:spacing w:val="0"/>
          <w:kern w:val="0"/>
          <w:sz w:val="21"/>
          <w:szCs w:val="21"/>
          <w:highlight w:val="none"/>
          <w:lang w:val="en-US" w:eastAsia="zh-CN" w:bidi="ar-SA"/>
        </w:rPr>
        <w:t>年</w:t>
      </w:r>
      <w:r>
        <w:rPr>
          <w:rFonts w:hint="eastAsia" w:ascii="宋体" w:hAnsi="宋体" w:eastAsia="宋体" w:cs="宋体"/>
          <w:color w:val="auto"/>
          <w:spacing w:val="0"/>
          <w:kern w:val="0"/>
          <w:sz w:val="21"/>
          <w:szCs w:val="21"/>
          <w:highlight w:val="none"/>
          <w:u w:val="single"/>
          <w:lang w:val="en-US" w:eastAsia="zh-CN" w:bidi="ar-SA"/>
        </w:rPr>
        <w:t xml:space="preserve">   </w:t>
      </w:r>
      <w:r>
        <w:rPr>
          <w:rFonts w:hint="eastAsia" w:ascii="宋体" w:hAnsi="宋体" w:eastAsia="宋体" w:cs="宋体"/>
          <w:color w:val="auto"/>
          <w:spacing w:val="0"/>
          <w:kern w:val="0"/>
          <w:sz w:val="21"/>
          <w:szCs w:val="21"/>
          <w:highlight w:val="none"/>
          <w:lang w:val="en-US" w:eastAsia="zh-CN" w:bidi="ar-SA"/>
        </w:rPr>
        <w:t>月</w:t>
      </w:r>
      <w:r>
        <w:rPr>
          <w:rFonts w:hint="eastAsia" w:ascii="宋体" w:hAnsi="宋体" w:eastAsia="宋体" w:cs="宋体"/>
          <w:color w:val="auto"/>
          <w:spacing w:val="0"/>
          <w:kern w:val="0"/>
          <w:sz w:val="21"/>
          <w:szCs w:val="21"/>
          <w:highlight w:val="none"/>
          <w:u w:val="single"/>
          <w:lang w:val="en-US" w:eastAsia="zh-CN" w:bidi="ar-SA"/>
        </w:rPr>
        <w:t xml:space="preserve">   </w:t>
      </w:r>
      <w:r>
        <w:rPr>
          <w:rFonts w:hint="eastAsia" w:ascii="宋体" w:hAnsi="宋体" w:eastAsia="宋体" w:cs="宋体"/>
          <w:color w:val="auto"/>
          <w:spacing w:val="0"/>
          <w:kern w:val="0"/>
          <w:sz w:val="21"/>
          <w:szCs w:val="21"/>
          <w:highlight w:val="none"/>
          <w:lang w:val="en-US" w:eastAsia="zh-CN" w:bidi="ar-SA"/>
        </w:rPr>
        <w:t>日</w:t>
      </w:r>
    </w:p>
    <w:p w14:paraId="38B59146">
      <w:pPr>
        <w:pStyle w:val="13"/>
        <w:ind w:left="0" w:leftChars="0" w:firstLine="0" w:firstLineChars="0"/>
        <w:jc w:val="center"/>
        <w:outlineLvl w:val="3"/>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sz w:val="21"/>
          <w:szCs w:val="21"/>
          <w:highlight w:val="none"/>
        </w:rPr>
        <w:br w:type="page"/>
      </w:r>
      <w:r>
        <w:rPr>
          <w:rFonts w:hint="eastAsia" w:ascii="宋体" w:hAnsi="宋体" w:eastAsia="宋体" w:cs="宋体"/>
          <w:b/>
          <w:sz w:val="21"/>
          <w:szCs w:val="21"/>
          <w:highlight w:val="none"/>
          <w:lang w:val="en-US" w:eastAsia="zh-CN"/>
        </w:rPr>
        <w:t>附件1.</w:t>
      </w:r>
      <w:r>
        <w:rPr>
          <w:rFonts w:hint="eastAsia" w:ascii="宋体" w:hAnsi="宋体" w:eastAsia="宋体" w:cs="宋体"/>
          <w:b/>
          <w:i w:val="0"/>
          <w:color w:val="auto"/>
          <w:kern w:val="0"/>
          <w:sz w:val="21"/>
          <w:szCs w:val="21"/>
          <w:highlight w:val="none"/>
          <w:u w:val="none"/>
          <w:lang w:val="en-US" w:eastAsia="zh-CN" w:bidi="ar"/>
        </w:rPr>
        <w:t>后勤服务中心（公租房）季度物业考核标准</w:t>
      </w:r>
    </w:p>
    <w:p w14:paraId="1845F6AE">
      <w:pPr>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考核季度：    年第   季度（   月-  月 ）                 考核时间：   年   月    日</w:t>
      </w:r>
    </w:p>
    <w:tbl>
      <w:tblPr>
        <w:tblStyle w:val="38"/>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36"/>
        <w:gridCol w:w="742"/>
        <w:gridCol w:w="1883"/>
        <w:gridCol w:w="1687"/>
        <w:gridCol w:w="2068"/>
        <w:gridCol w:w="658"/>
        <w:gridCol w:w="4"/>
        <w:gridCol w:w="763"/>
        <w:gridCol w:w="388"/>
        <w:gridCol w:w="888"/>
      </w:tblGrid>
      <w:tr w14:paraId="4230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4" w:type="dxa"/>
            <w:noWrap w:val="0"/>
            <w:vAlign w:val="center"/>
          </w:tcPr>
          <w:p w14:paraId="2B48BA7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7274" w:type="dxa"/>
            <w:gridSpan w:val="6"/>
            <w:noWrap w:val="0"/>
            <w:vAlign w:val="center"/>
          </w:tcPr>
          <w:p w14:paraId="3388B4C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考核内容</w:t>
            </w:r>
          </w:p>
        </w:tc>
        <w:tc>
          <w:tcPr>
            <w:tcW w:w="1155" w:type="dxa"/>
            <w:gridSpan w:val="3"/>
            <w:noWrap w:val="0"/>
            <w:vAlign w:val="center"/>
          </w:tcPr>
          <w:p w14:paraId="4A67979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分值</w:t>
            </w:r>
          </w:p>
        </w:tc>
        <w:tc>
          <w:tcPr>
            <w:tcW w:w="888" w:type="dxa"/>
            <w:noWrap w:val="0"/>
            <w:vAlign w:val="center"/>
          </w:tcPr>
          <w:p w14:paraId="623F8DF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扣分</w:t>
            </w:r>
          </w:p>
        </w:tc>
      </w:tr>
      <w:tr w14:paraId="75E9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971" w:type="dxa"/>
            <w:gridSpan w:val="11"/>
            <w:noWrap w:val="0"/>
            <w:vAlign w:val="center"/>
          </w:tcPr>
          <w:p w14:paraId="466E59AD">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一、综合管理（10%/10分）</w:t>
            </w:r>
          </w:p>
        </w:tc>
      </w:tr>
      <w:tr w14:paraId="3767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6E5E924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7274" w:type="dxa"/>
            <w:gridSpan w:val="6"/>
            <w:noWrap w:val="0"/>
            <w:vAlign w:val="center"/>
          </w:tcPr>
          <w:p w14:paraId="696468E6">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设置物业服务接待场所，办公区域整洁有序，公示管理服务人员情况、监督和报修电话、各项规章制度、工作流程等，配置能满足物业服务办公需求的办公家具、计算机、电话、传真机、复印机、考勤机（钉钉或海康威视）、对讲机、巡逻设备、维修工具等办公设施和办公用品</w:t>
            </w:r>
          </w:p>
        </w:tc>
        <w:tc>
          <w:tcPr>
            <w:tcW w:w="1155" w:type="dxa"/>
            <w:gridSpan w:val="3"/>
            <w:noWrap w:val="0"/>
            <w:vAlign w:val="center"/>
          </w:tcPr>
          <w:p w14:paraId="289E778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8D9815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354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5968E6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7274" w:type="dxa"/>
            <w:gridSpan w:val="6"/>
            <w:noWrap w:val="0"/>
            <w:vAlign w:val="center"/>
          </w:tcPr>
          <w:p w14:paraId="56DF0DAF">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1.2物业服务人员按招投标文件和服务合同约定配置齐全，各专业人员有相应资格证书或操作上岗证，入职人员有岗前培训和日常专业技能培训，统一着装、佩戴服务标识（牌）</w:t>
            </w:r>
          </w:p>
        </w:tc>
        <w:tc>
          <w:tcPr>
            <w:tcW w:w="1155" w:type="dxa"/>
            <w:gridSpan w:val="3"/>
            <w:noWrap w:val="0"/>
            <w:vAlign w:val="center"/>
          </w:tcPr>
          <w:p w14:paraId="01AF72B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D52D08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221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6DD756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7274" w:type="dxa"/>
            <w:gridSpan w:val="6"/>
            <w:noWrap w:val="0"/>
            <w:vAlign w:val="center"/>
          </w:tcPr>
          <w:p w14:paraId="135FFFE4">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1.3服务人员行为规范，服务主动、细致、热情、周到，使用普通话，用语准确、称呼恰当、问候亲切，使用文明用语</w:t>
            </w:r>
          </w:p>
        </w:tc>
        <w:tc>
          <w:tcPr>
            <w:tcW w:w="1155" w:type="dxa"/>
            <w:gridSpan w:val="3"/>
            <w:noWrap w:val="0"/>
            <w:vAlign w:val="center"/>
          </w:tcPr>
          <w:p w14:paraId="7B756B33">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54B73E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BA9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D658D8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7274" w:type="dxa"/>
            <w:gridSpan w:val="6"/>
            <w:noWrap w:val="0"/>
            <w:vAlign w:val="center"/>
          </w:tcPr>
          <w:p w14:paraId="3CC25EA5">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1.4每季度以书面形式向业主单位提交物业服务合同履行情况、运营报告</w:t>
            </w:r>
          </w:p>
        </w:tc>
        <w:tc>
          <w:tcPr>
            <w:tcW w:w="1155" w:type="dxa"/>
            <w:gridSpan w:val="3"/>
            <w:noWrap w:val="0"/>
            <w:vAlign w:val="center"/>
          </w:tcPr>
          <w:p w14:paraId="6A13E23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4E5EF7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807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CC3F183">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7274" w:type="dxa"/>
            <w:gridSpan w:val="6"/>
            <w:noWrap w:val="0"/>
            <w:vAlign w:val="center"/>
          </w:tcPr>
          <w:p w14:paraId="23443076">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1.5制定消防、电梯、给排水、供配电等共用设施设备事故应急预案，制定自然灾害、公共卫生、治安、交通等方面突发事件的配合性预案，应急预案定期演练并作好记录</w:t>
            </w:r>
          </w:p>
        </w:tc>
        <w:tc>
          <w:tcPr>
            <w:tcW w:w="1155" w:type="dxa"/>
            <w:gridSpan w:val="3"/>
            <w:noWrap w:val="0"/>
            <w:vAlign w:val="center"/>
          </w:tcPr>
          <w:p w14:paraId="07CE5DF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0DB065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063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541EB1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7274" w:type="dxa"/>
            <w:gridSpan w:val="6"/>
            <w:noWrap w:val="0"/>
            <w:vAlign w:val="center"/>
          </w:tcPr>
          <w:p w14:paraId="658D476E">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1.6建立项目服务人员培训体系，根据不同岗位特点制订并落实分类培训计划</w:t>
            </w:r>
          </w:p>
        </w:tc>
        <w:tc>
          <w:tcPr>
            <w:tcW w:w="1155" w:type="dxa"/>
            <w:gridSpan w:val="3"/>
            <w:noWrap w:val="0"/>
            <w:vAlign w:val="center"/>
          </w:tcPr>
          <w:p w14:paraId="73847B5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EE428C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D5C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FD56C8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7274" w:type="dxa"/>
            <w:gridSpan w:val="6"/>
            <w:noWrap w:val="0"/>
            <w:vAlign w:val="center"/>
          </w:tcPr>
          <w:p w14:paraId="44D2BE95">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1.7对小区内房屋建筑、设施设备、绿化、保洁、安保、环境等实施专业化管理，提供多种便民和特色服务</w:t>
            </w:r>
          </w:p>
        </w:tc>
        <w:tc>
          <w:tcPr>
            <w:tcW w:w="1155" w:type="dxa"/>
            <w:gridSpan w:val="3"/>
            <w:noWrap w:val="0"/>
            <w:vAlign w:val="center"/>
          </w:tcPr>
          <w:p w14:paraId="0256E37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0B1661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580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182B6C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7274" w:type="dxa"/>
            <w:gridSpan w:val="6"/>
            <w:noWrap w:val="0"/>
            <w:vAlign w:val="center"/>
          </w:tcPr>
          <w:p w14:paraId="3692C79D">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1.8建立24小值班制度，公示24小时服务电话，及时处理租户对小区管理方面的投诉和建议，受理租户投诉，应核实情况做好记录，及时处理登记存档。</w:t>
            </w:r>
          </w:p>
        </w:tc>
        <w:tc>
          <w:tcPr>
            <w:tcW w:w="1155" w:type="dxa"/>
            <w:gridSpan w:val="3"/>
            <w:noWrap w:val="0"/>
            <w:vAlign w:val="center"/>
          </w:tcPr>
          <w:p w14:paraId="3EB0126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3330E11">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5AE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37994B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7274" w:type="dxa"/>
            <w:gridSpan w:val="6"/>
            <w:noWrap w:val="0"/>
            <w:vAlign w:val="center"/>
          </w:tcPr>
          <w:p w14:paraId="3AE2688B">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1.9接管物业项目时，对小区共用部位、共用设施设备、房屋情况等进行承接查验，日常定期按承接查验标准进行巡查，及时收集汇总相关问题并形成书面材料提出相关建议</w:t>
            </w:r>
          </w:p>
        </w:tc>
        <w:tc>
          <w:tcPr>
            <w:tcW w:w="1155" w:type="dxa"/>
            <w:gridSpan w:val="3"/>
            <w:noWrap w:val="0"/>
            <w:vAlign w:val="center"/>
          </w:tcPr>
          <w:p w14:paraId="7735CAE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528C26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0CB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28EDE4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7274" w:type="dxa"/>
            <w:gridSpan w:val="6"/>
            <w:noWrap w:val="0"/>
            <w:vAlign w:val="center"/>
          </w:tcPr>
          <w:p w14:paraId="5B80CBD7">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1.10主动接受居委会的领导，加强与租户的沟通，配合办事处、居委会、派出所等行政主管部门开展社区工作</w:t>
            </w:r>
          </w:p>
        </w:tc>
        <w:tc>
          <w:tcPr>
            <w:tcW w:w="1155" w:type="dxa"/>
            <w:gridSpan w:val="3"/>
            <w:noWrap w:val="0"/>
            <w:vAlign w:val="center"/>
          </w:tcPr>
          <w:p w14:paraId="2905B91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27DFAB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A06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429E48ED">
            <w:pPr>
              <w:spacing w:line="30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第一项小计</w:t>
            </w:r>
          </w:p>
        </w:tc>
        <w:tc>
          <w:tcPr>
            <w:tcW w:w="1151" w:type="dxa"/>
            <w:gridSpan w:val="2"/>
            <w:noWrap w:val="0"/>
            <w:vAlign w:val="center"/>
          </w:tcPr>
          <w:p w14:paraId="46523AE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0B79AD0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E59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971" w:type="dxa"/>
            <w:gridSpan w:val="11"/>
            <w:noWrap w:val="0"/>
            <w:vAlign w:val="center"/>
          </w:tcPr>
          <w:p w14:paraId="5C8C427E">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二、租赁管理（10%/10分）</w:t>
            </w:r>
          </w:p>
        </w:tc>
      </w:tr>
      <w:tr w14:paraId="519F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42838883">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7274" w:type="dxa"/>
            <w:gridSpan w:val="6"/>
            <w:noWrap w:val="0"/>
            <w:vAlign w:val="center"/>
          </w:tcPr>
          <w:p w14:paraId="6266E2F7">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2.1做好租户入住和退出管理，办理租赁合同的签订、续签、变更手续，采集住户基本信息，建立住户档案、空置房、机动车辆等租赁档案和动态信息</w:t>
            </w:r>
          </w:p>
        </w:tc>
        <w:tc>
          <w:tcPr>
            <w:tcW w:w="1155" w:type="dxa"/>
            <w:gridSpan w:val="3"/>
            <w:noWrap w:val="0"/>
            <w:vAlign w:val="center"/>
          </w:tcPr>
          <w:p w14:paraId="7AB01E4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D17795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C89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CAA038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7274" w:type="dxa"/>
            <w:gridSpan w:val="6"/>
            <w:noWrap w:val="0"/>
            <w:vAlign w:val="center"/>
          </w:tcPr>
          <w:p w14:paraId="7816880E">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2.2按财务工作规定和程序，建立健全租金、保证金和水电费台账，按租赁合同约定做好租户各类费用收缴工作，定期统计并上报业主单位</w:t>
            </w:r>
          </w:p>
        </w:tc>
        <w:tc>
          <w:tcPr>
            <w:tcW w:w="1155" w:type="dxa"/>
            <w:gridSpan w:val="3"/>
            <w:noWrap w:val="0"/>
            <w:vAlign w:val="center"/>
          </w:tcPr>
          <w:p w14:paraId="3C04490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CCEF8F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E70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FBDF11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7274" w:type="dxa"/>
            <w:gridSpan w:val="6"/>
            <w:noWrap w:val="0"/>
            <w:vAlign w:val="center"/>
          </w:tcPr>
          <w:p w14:paraId="2FB8C384">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2.3按月统计上报空置房情况，做好空置房的清洁、维修等管理事务</w:t>
            </w:r>
          </w:p>
        </w:tc>
        <w:tc>
          <w:tcPr>
            <w:tcW w:w="1155" w:type="dxa"/>
            <w:gridSpan w:val="3"/>
            <w:noWrap w:val="0"/>
            <w:vAlign w:val="center"/>
          </w:tcPr>
          <w:p w14:paraId="45D8286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8683A3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5A4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707E9E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7274" w:type="dxa"/>
            <w:gridSpan w:val="6"/>
            <w:noWrap w:val="0"/>
            <w:vAlign w:val="center"/>
          </w:tcPr>
          <w:p w14:paraId="4EED76DE">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2.4建立入户回访和日常巡查制度，充分发挥物业管家服务职能，按月进行入户回访和安全检查</w:t>
            </w:r>
          </w:p>
        </w:tc>
        <w:tc>
          <w:tcPr>
            <w:tcW w:w="1155" w:type="dxa"/>
            <w:gridSpan w:val="3"/>
            <w:noWrap w:val="0"/>
            <w:vAlign w:val="center"/>
          </w:tcPr>
          <w:p w14:paraId="69D7002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EF231D6">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D2D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B5C739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7274" w:type="dxa"/>
            <w:gridSpan w:val="6"/>
            <w:noWrap w:val="0"/>
            <w:vAlign w:val="center"/>
          </w:tcPr>
          <w:p w14:paraId="5D733F22">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2.5及时发现、处置违法、违规、违约使用公租房行为并上报，负责向当事人追偿损失或落实恢复原状</w:t>
            </w:r>
          </w:p>
        </w:tc>
        <w:tc>
          <w:tcPr>
            <w:tcW w:w="1155" w:type="dxa"/>
            <w:gridSpan w:val="3"/>
            <w:noWrap w:val="0"/>
            <w:vAlign w:val="center"/>
          </w:tcPr>
          <w:p w14:paraId="215E61D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C7DBE77">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050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C7ABD6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7274" w:type="dxa"/>
            <w:gridSpan w:val="6"/>
            <w:noWrap w:val="0"/>
            <w:vAlign w:val="center"/>
          </w:tcPr>
          <w:p w14:paraId="0A88B6ED">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2.6管理、配置小区文化娱乐活动场所（棋牌、球类等），每日开放，每月组织开展不少于1次活动，不定期开展小区公益服务（健康义诊、便民维修等），做好社区文化体系建设</w:t>
            </w:r>
          </w:p>
        </w:tc>
        <w:tc>
          <w:tcPr>
            <w:tcW w:w="1155" w:type="dxa"/>
            <w:gridSpan w:val="3"/>
            <w:noWrap w:val="0"/>
            <w:vAlign w:val="center"/>
          </w:tcPr>
          <w:p w14:paraId="195D1A2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CF8CBC7">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468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7C5064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7274" w:type="dxa"/>
            <w:gridSpan w:val="6"/>
            <w:noWrap w:val="0"/>
            <w:vAlign w:val="center"/>
          </w:tcPr>
          <w:p w14:paraId="1AFBB41C">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2.7及时处理小区房屋租赁事务和纠纷，与入住企业宿管等管理方加强沟通，做好防火、防盗工作</w:t>
            </w:r>
          </w:p>
        </w:tc>
        <w:tc>
          <w:tcPr>
            <w:tcW w:w="1155" w:type="dxa"/>
            <w:gridSpan w:val="3"/>
            <w:noWrap w:val="0"/>
            <w:vAlign w:val="center"/>
          </w:tcPr>
          <w:p w14:paraId="4406ACC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2A4ED43">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2A2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F949C4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7274" w:type="dxa"/>
            <w:gridSpan w:val="6"/>
            <w:noWrap w:val="0"/>
            <w:vAlign w:val="center"/>
          </w:tcPr>
          <w:p w14:paraId="69A8B982">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2.8加强房屋安全使用的预防宣传，建立安全生产巡查制度</w:t>
            </w:r>
          </w:p>
        </w:tc>
        <w:tc>
          <w:tcPr>
            <w:tcW w:w="1155" w:type="dxa"/>
            <w:gridSpan w:val="3"/>
            <w:noWrap w:val="0"/>
            <w:vAlign w:val="center"/>
          </w:tcPr>
          <w:p w14:paraId="7F43959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E27CC05">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CD5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1C82C9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7274" w:type="dxa"/>
            <w:gridSpan w:val="6"/>
            <w:noWrap w:val="0"/>
            <w:vAlign w:val="center"/>
          </w:tcPr>
          <w:p w14:paraId="4E1DFBBC">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2.9根据公租房管理办法，做好各类材料统计上报工作</w:t>
            </w:r>
          </w:p>
        </w:tc>
        <w:tc>
          <w:tcPr>
            <w:tcW w:w="1155" w:type="dxa"/>
            <w:gridSpan w:val="3"/>
            <w:noWrap w:val="0"/>
            <w:vAlign w:val="center"/>
          </w:tcPr>
          <w:p w14:paraId="1D805BA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08551B2">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837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18CE81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7274" w:type="dxa"/>
            <w:gridSpan w:val="6"/>
            <w:noWrap w:val="0"/>
            <w:vAlign w:val="center"/>
          </w:tcPr>
          <w:p w14:paraId="5BDD1E03">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2.10及时报备媒体采访报道、上级领导或相关单位的巡检、参观工作。未经通知的媒体采访，及时报告业主单位，按要求处置</w:t>
            </w:r>
          </w:p>
        </w:tc>
        <w:tc>
          <w:tcPr>
            <w:tcW w:w="1155" w:type="dxa"/>
            <w:gridSpan w:val="3"/>
            <w:noWrap w:val="0"/>
            <w:vAlign w:val="center"/>
          </w:tcPr>
          <w:p w14:paraId="5D57B13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0EAB49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95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6C53696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第二项小计</w:t>
            </w:r>
          </w:p>
        </w:tc>
        <w:tc>
          <w:tcPr>
            <w:tcW w:w="1151" w:type="dxa"/>
            <w:gridSpan w:val="2"/>
            <w:noWrap w:val="0"/>
            <w:vAlign w:val="center"/>
          </w:tcPr>
          <w:p w14:paraId="36F2D41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6C8D86B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57C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971" w:type="dxa"/>
            <w:gridSpan w:val="11"/>
            <w:noWrap w:val="0"/>
            <w:vAlign w:val="center"/>
          </w:tcPr>
          <w:p w14:paraId="7B962218">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三、房屋管理（7%/7分）</w:t>
            </w:r>
          </w:p>
        </w:tc>
      </w:tr>
      <w:tr w14:paraId="2A6D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A30DE6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7274" w:type="dxa"/>
            <w:gridSpan w:val="6"/>
            <w:noWrap w:val="0"/>
            <w:vAlign w:val="center"/>
          </w:tcPr>
          <w:p w14:paraId="7873C702">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3.1每年两次以上对房屋结构、涉及使用安全的部位进行检查并有记录，发现损坏及时告知租户、业主单位并安排专项维修</w:t>
            </w:r>
          </w:p>
        </w:tc>
        <w:tc>
          <w:tcPr>
            <w:tcW w:w="1155" w:type="dxa"/>
            <w:gridSpan w:val="3"/>
            <w:noWrap w:val="0"/>
            <w:vAlign w:val="center"/>
          </w:tcPr>
          <w:p w14:paraId="421FBC8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C1A8BB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0A5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18FF48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7274" w:type="dxa"/>
            <w:gridSpan w:val="6"/>
            <w:noWrap w:val="0"/>
            <w:vAlign w:val="center"/>
          </w:tcPr>
          <w:p w14:paraId="7492B658">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3.2定期做好房屋屋面、地漏、单元门、楼梯、通道、窗等共用部位巡查，发现损坏及时维修养护并做好记录</w:t>
            </w:r>
          </w:p>
        </w:tc>
        <w:tc>
          <w:tcPr>
            <w:tcW w:w="1155" w:type="dxa"/>
            <w:gridSpan w:val="3"/>
            <w:noWrap w:val="0"/>
            <w:vAlign w:val="center"/>
          </w:tcPr>
          <w:p w14:paraId="365E58C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A2C98A2">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C13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F5AF67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w:t>
            </w:r>
          </w:p>
        </w:tc>
        <w:tc>
          <w:tcPr>
            <w:tcW w:w="7274" w:type="dxa"/>
            <w:gridSpan w:val="6"/>
            <w:noWrap w:val="0"/>
            <w:vAlign w:val="center"/>
          </w:tcPr>
          <w:p w14:paraId="59DD75A8">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3.3门窗无破损，楼梯、通道以及楼顶无乱堆乱放现象，屋面无渗漏和积水，地漏无堵塞，楼顶进入有监控措施，物业采取必要的安全保障措施防止租户从建筑物中抛掷物品造成他人损害</w:t>
            </w:r>
          </w:p>
        </w:tc>
        <w:tc>
          <w:tcPr>
            <w:tcW w:w="1155" w:type="dxa"/>
            <w:gridSpan w:val="3"/>
            <w:noWrap w:val="0"/>
            <w:vAlign w:val="center"/>
          </w:tcPr>
          <w:p w14:paraId="7608119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436B9B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504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366090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w:t>
            </w:r>
          </w:p>
        </w:tc>
        <w:tc>
          <w:tcPr>
            <w:tcW w:w="7274" w:type="dxa"/>
            <w:gridSpan w:val="6"/>
            <w:noWrap w:val="0"/>
            <w:vAlign w:val="center"/>
          </w:tcPr>
          <w:p w14:paraId="276D7620">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3.4定期巡查房屋使用状况，发现梁、板、柱等承重结构有变形、开裂等现象时，应及时建议业主单位申请房屋安全鉴定，并采取必要的警示和防护措施</w:t>
            </w:r>
          </w:p>
        </w:tc>
        <w:tc>
          <w:tcPr>
            <w:tcW w:w="1155" w:type="dxa"/>
            <w:gridSpan w:val="3"/>
            <w:noWrap w:val="0"/>
            <w:vAlign w:val="center"/>
          </w:tcPr>
          <w:p w14:paraId="745FE6B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5DBDE0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03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EFBF33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w:t>
            </w:r>
          </w:p>
        </w:tc>
        <w:tc>
          <w:tcPr>
            <w:tcW w:w="7274" w:type="dxa"/>
            <w:gridSpan w:val="6"/>
            <w:noWrap w:val="0"/>
            <w:vAlign w:val="center"/>
          </w:tcPr>
          <w:p w14:paraId="4A3CBC57">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3.5房屋外观完好、整洁，空调室外机安装位置统一，冷凝水集中收集排放畅通，管线整齐，美观大方</w:t>
            </w:r>
          </w:p>
        </w:tc>
        <w:tc>
          <w:tcPr>
            <w:tcW w:w="1155" w:type="dxa"/>
            <w:gridSpan w:val="3"/>
            <w:noWrap w:val="0"/>
            <w:vAlign w:val="center"/>
          </w:tcPr>
          <w:p w14:paraId="6D824C1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286EC05">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251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54" w:type="dxa"/>
            <w:noWrap w:val="0"/>
            <w:vAlign w:val="center"/>
          </w:tcPr>
          <w:p w14:paraId="55F631A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w:t>
            </w:r>
          </w:p>
        </w:tc>
        <w:tc>
          <w:tcPr>
            <w:tcW w:w="7274" w:type="dxa"/>
            <w:gridSpan w:val="6"/>
            <w:noWrap w:val="0"/>
            <w:vAlign w:val="center"/>
          </w:tcPr>
          <w:p w14:paraId="1BC1D9C6">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在小区主出入口设置小区平面示意图且规范清晰，管理区域安全标识、告示注意事项，明确禁止行为。禁止标志、警告标志、提示标志、消防安全标志、道路交通标志和标线、楼栋层标志、公共信息符号标志、停车场导向标志和设施设备图形符号标志符合相关国标规范</w:t>
            </w:r>
          </w:p>
        </w:tc>
        <w:tc>
          <w:tcPr>
            <w:tcW w:w="1155" w:type="dxa"/>
            <w:gridSpan w:val="3"/>
            <w:noWrap w:val="0"/>
            <w:vAlign w:val="center"/>
          </w:tcPr>
          <w:p w14:paraId="31C3A75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B65EAC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B07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FD4BA0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w:t>
            </w:r>
          </w:p>
        </w:tc>
        <w:tc>
          <w:tcPr>
            <w:tcW w:w="7274" w:type="dxa"/>
            <w:gridSpan w:val="6"/>
            <w:noWrap w:val="0"/>
            <w:vAlign w:val="center"/>
          </w:tcPr>
          <w:p w14:paraId="237AB656">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对租户申报的装饰装修方案进行登记，办理装修施工手续，书面告知租户及施工单位关于装饰装修的禁止行为和注意事项，做好装修现场的消防及安全防范措施，定期巡视装饰装修现场，纠正违规和制止违规行为，制止无效及时上报</w:t>
            </w:r>
          </w:p>
        </w:tc>
        <w:tc>
          <w:tcPr>
            <w:tcW w:w="1155" w:type="dxa"/>
            <w:gridSpan w:val="3"/>
            <w:noWrap w:val="0"/>
            <w:vAlign w:val="center"/>
          </w:tcPr>
          <w:p w14:paraId="0E332CB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9612F4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403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28" w:type="dxa"/>
            <w:gridSpan w:val="7"/>
            <w:noWrap w:val="0"/>
            <w:vAlign w:val="center"/>
          </w:tcPr>
          <w:p w14:paraId="3F76F4F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第三项小计</w:t>
            </w:r>
          </w:p>
        </w:tc>
        <w:tc>
          <w:tcPr>
            <w:tcW w:w="1155" w:type="dxa"/>
            <w:gridSpan w:val="3"/>
            <w:noWrap w:val="0"/>
            <w:vAlign w:val="center"/>
          </w:tcPr>
          <w:p w14:paraId="1F5D91E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7分</w:t>
            </w:r>
          </w:p>
        </w:tc>
        <w:tc>
          <w:tcPr>
            <w:tcW w:w="888" w:type="dxa"/>
            <w:noWrap w:val="0"/>
            <w:vAlign w:val="center"/>
          </w:tcPr>
          <w:p w14:paraId="3F5F3EA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C44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71" w:type="dxa"/>
            <w:gridSpan w:val="11"/>
            <w:noWrap w:val="0"/>
            <w:vAlign w:val="center"/>
          </w:tcPr>
          <w:p w14:paraId="5C95DF73">
            <w:pPr>
              <w:spacing w:line="30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四、安保管理（10%/10分）</w:t>
            </w:r>
          </w:p>
        </w:tc>
      </w:tr>
      <w:tr w14:paraId="726D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20AE756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w:t>
            </w:r>
          </w:p>
        </w:tc>
        <w:tc>
          <w:tcPr>
            <w:tcW w:w="7274" w:type="dxa"/>
            <w:gridSpan w:val="6"/>
            <w:noWrap w:val="0"/>
            <w:vAlign w:val="center"/>
          </w:tcPr>
          <w:p w14:paraId="1A69FE41">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4.1安保人员接受过安全技术训练并持证上岗，能能正确使用各类消防、物防、技防器械和设备，熟悉小区环境，熟知治安管理有关法律法规。熟悉各类刑事、治安案件和各类灾害事故的应急预案</w:t>
            </w:r>
          </w:p>
        </w:tc>
        <w:tc>
          <w:tcPr>
            <w:tcW w:w="1155" w:type="dxa"/>
            <w:gridSpan w:val="3"/>
            <w:noWrap w:val="0"/>
            <w:vAlign w:val="center"/>
          </w:tcPr>
          <w:p w14:paraId="24EAA91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67E5F8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BD3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1FD1C1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w:t>
            </w:r>
          </w:p>
        </w:tc>
        <w:tc>
          <w:tcPr>
            <w:tcW w:w="7274" w:type="dxa"/>
            <w:gridSpan w:val="6"/>
            <w:noWrap w:val="0"/>
            <w:vAlign w:val="center"/>
          </w:tcPr>
          <w:p w14:paraId="74F5E5F9">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4.2实行封闭式管理，主出入口和值班室（监控室）24 小时有人值守，门岗实行着制服站岗制度（7：00-8：00，11：30-12：30，14：00-15：00，17：00-18：00），有详细交接班记录和小区外来车辆的登记记录</w:t>
            </w:r>
          </w:p>
        </w:tc>
        <w:tc>
          <w:tcPr>
            <w:tcW w:w="1155" w:type="dxa"/>
            <w:gridSpan w:val="3"/>
            <w:noWrap w:val="0"/>
            <w:vAlign w:val="center"/>
          </w:tcPr>
          <w:p w14:paraId="080D221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1E26C46">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CC1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4" w:type="dxa"/>
            <w:noWrap w:val="0"/>
            <w:vAlign w:val="center"/>
          </w:tcPr>
          <w:p w14:paraId="56927DA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w:t>
            </w:r>
          </w:p>
        </w:tc>
        <w:tc>
          <w:tcPr>
            <w:tcW w:w="7274" w:type="dxa"/>
            <w:gridSpan w:val="6"/>
            <w:noWrap w:val="0"/>
            <w:vAlign w:val="center"/>
          </w:tcPr>
          <w:p w14:paraId="2E55F88A">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4.3对进出车辆进行管理、疏导，保证出入口环境整洁、有序、通畅，对大件物品搬出进行登记，保证车辆进出道闸、地下停车场设施运行良好</w:t>
            </w:r>
          </w:p>
        </w:tc>
        <w:tc>
          <w:tcPr>
            <w:tcW w:w="1155" w:type="dxa"/>
            <w:gridSpan w:val="3"/>
            <w:noWrap w:val="0"/>
            <w:vAlign w:val="center"/>
          </w:tcPr>
          <w:p w14:paraId="3A1A8DB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7CE6645">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0CF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503F0F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w:t>
            </w:r>
          </w:p>
        </w:tc>
        <w:tc>
          <w:tcPr>
            <w:tcW w:w="7274" w:type="dxa"/>
            <w:gridSpan w:val="6"/>
            <w:noWrap w:val="0"/>
            <w:vAlign w:val="center"/>
          </w:tcPr>
          <w:p w14:paraId="2CC32CB4">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安保人员按设定路线每2小时巡查一次，安全巡逻重点包括不限于可疑外来人员、堵塞消防通道车辆、乱堆放可燃易燃物品、公共区域水电气等，维持交通秩序劝阻违章停车，确保消防通道畅通，物业按要求配备对进机、警棍、口哨、巡更采集器等安保设备</w:t>
            </w:r>
          </w:p>
        </w:tc>
        <w:tc>
          <w:tcPr>
            <w:tcW w:w="1155" w:type="dxa"/>
            <w:gridSpan w:val="3"/>
            <w:noWrap w:val="0"/>
            <w:vAlign w:val="center"/>
          </w:tcPr>
          <w:p w14:paraId="35AADD2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61CC3CE">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39E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480D80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w:t>
            </w:r>
          </w:p>
        </w:tc>
        <w:tc>
          <w:tcPr>
            <w:tcW w:w="7274" w:type="dxa"/>
            <w:gridSpan w:val="6"/>
            <w:noWrap w:val="0"/>
            <w:vAlign w:val="center"/>
          </w:tcPr>
          <w:p w14:paraId="4D60D503">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4.5安保人员坚守岗位，忠于职守，严格执行岗位责任制，不脱岗、窜岗、睡岗，注意观察人员进出情况，发现疑点及时询问，敢于制止违法犯罪行为并及时报警，减少小区治安、盗窃等案发率</w:t>
            </w:r>
          </w:p>
        </w:tc>
        <w:tc>
          <w:tcPr>
            <w:tcW w:w="1155" w:type="dxa"/>
            <w:gridSpan w:val="3"/>
            <w:noWrap w:val="0"/>
            <w:vAlign w:val="center"/>
          </w:tcPr>
          <w:p w14:paraId="1AEB491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6358DE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3C8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FDB15C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w:t>
            </w:r>
          </w:p>
        </w:tc>
        <w:tc>
          <w:tcPr>
            <w:tcW w:w="7274" w:type="dxa"/>
            <w:gridSpan w:val="6"/>
            <w:noWrap w:val="0"/>
            <w:vAlign w:val="center"/>
          </w:tcPr>
          <w:p w14:paraId="7C6EC0F0">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4.6对火灾、治安等突发事件有应急预案，事发时及时赶到现场采取相应的应对措施，及时报告业主单位和有关部门</w:t>
            </w:r>
          </w:p>
        </w:tc>
        <w:tc>
          <w:tcPr>
            <w:tcW w:w="1155" w:type="dxa"/>
            <w:gridSpan w:val="3"/>
            <w:noWrap w:val="0"/>
            <w:vAlign w:val="center"/>
          </w:tcPr>
          <w:p w14:paraId="42B9D21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D0816F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022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E85619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w:t>
            </w:r>
          </w:p>
        </w:tc>
        <w:tc>
          <w:tcPr>
            <w:tcW w:w="7274" w:type="dxa"/>
            <w:gridSpan w:val="6"/>
            <w:noWrap w:val="0"/>
            <w:vAlign w:val="center"/>
          </w:tcPr>
          <w:p w14:paraId="028CFD2A">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4.7监控室实施24小时专人值守，熟悉监控设备操作，对监控设备反映的异常信息实施管理并及时处理上报</w:t>
            </w:r>
          </w:p>
        </w:tc>
        <w:tc>
          <w:tcPr>
            <w:tcW w:w="1155" w:type="dxa"/>
            <w:gridSpan w:val="3"/>
            <w:noWrap w:val="0"/>
            <w:vAlign w:val="center"/>
          </w:tcPr>
          <w:p w14:paraId="505629F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1B3CAE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CAC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668850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w:t>
            </w:r>
          </w:p>
        </w:tc>
        <w:tc>
          <w:tcPr>
            <w:tcW w:w="7274" w:type="dxa"/>
            <w:gridSpan w:val="6"/>
            <w:noWrap w:val="0"/>
            <w:vAlign w:val="center"/>
          </w:tcPr>
          <w:p w14:paraId="5BDBAC19">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4.8安保人员值班时禁止喝酒、吃东西，不准嬉笑、打闹、看书报、听收音机、打瞌睡，不准做其他与值班职责无关的事</w:t>
            </w:r>
          </w:p>
        </w:tc>
        <w:tc>
          <w:tcPr>
            <w:tcW w:w="1155" w:type="dxa"/>
            <w:gridSpan w:val="3"/>
            <w:noWrap w:val="0"/>
            <w:vAlign w:val="center"/>
          </w:tcPr>
          <w:p w14:paraId="6BFACC9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789CAC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1B0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54" w:type="dxa"/>
            <w:noWrap w:val="0"/>
            <w:vAlign w:val="center"/>
          </w:tcPr>
          <w:p w14:paraId="1295C42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7274" w:type="dxa"/>
            <w:gridSpan w:val="6"/>
            <w:noWrap w:val="0"/>
            <w:vAlign w:val="center"/>
          </w:tcPr>
          <w:p w14:paraId="719094B3">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4.9非机动车辆有集中停放场地，管理制度落实，管理有序，停放整齐，场地整洁</w:t>
            </w:r>
          </w:p>
        </w:tc>
        <w:tc>
          <w:tcPr>
            <w:tcW w:w="1155" w:type="dxa"/>
            <w:gridSpan w:val="3"/>
            <w:noWrap w:val="0"/>
            <w:vAlign w:val="center"/>
          </w:tcPr>
          <w:p w14:paraId="0370676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4D28C26">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19C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FB2F5D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w:t>
            </w:r>
          </w:p>
        </w:tc>
        <w:tc>
          <w:tcPr>
            <w:tcW w:w="7274" w:type="dxa"/>
            <w:gridSpan w:val="6"/>
            <w:noWrap w:val="0"/>
            <w:vAlign w:val="center"/>
          </w:tcPr>
          <w:p w14:paraId="3935057A">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4.10小区无安全隐患，在有可能发生事故处设有明显标志和防范措施，加强安保人员处突能力，不准与租户发生争吵或出现有效投诉</w:t>
            </w:r>
          </w:p>
        </w:tc>
        <w:tc>
          <w:tcPr>
            <w:tcW w:w="1155" w:type="dxa"/>
            <w:gridSpan w:val="3"/>
            <w:noWrap w:val="0"/>
            <w:vAlign w:val="center"/>
          </w:tcPr>
          <w:p w14:paraId="2B301EC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AC852F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30A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542AB4C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第四项小计</w:t>
            </w:r>
          </w:p>
        </w:tc>
        <w:tc>
          <w:tcPr>
            <w:tcW w:w="1151" w:type="dxa"/>
            <w:gridSpan w:val="2"/>
            <w:noWrap w:val="0"/>
            <w:vAlign w:val="center"/>
          </w:tcPr>
          <w:p w14:paraId="3FCF5D7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4A98B4B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A76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71" w:type="dxa"/>
            <w:gridSpan w:val="11"/>
            <w:noWrap w:val="0"/>
            <w:vAlign w:val="center"/>
          </w:tcPr>
          <w:p w14:paraId="12BE1F39">
            <w:pPr>
              <w:spacing w:line="30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五、保洁管理（10%/10分）</w:t>
            </w:r>
          </w:p>
        </w:tc>
      </w:tr>
      <w:tr w14:paraId="38F1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CDFC5E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w:t>
            </w:r>
          </w:p>
        </w:tc>
        <w:tc>
          <w:tcPr>
            <w:tcW w:w="7274" w:type="dxa"/>
            <w:gridSpan w:val="6"/>
            <w:noWrap w:val="0"/>
            <w:vAlign w:val="center"/>
          </w:tcPr>
          <w:p w14:paraId="3D3C4531">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5.1保洁人员配置合理并经过培训，着统一工作服上岗服务，要求责任区域明确，建立保洁制度、消杀制度和操作规程，清洁服务定时定点，保持物业服务公共区域环境整洁、干净，生活垃圾日产日清</w:t>
            </w:r>
          </w:p>
        </w:tc>
        <w:tc>
          <w:tcPr>
            <w:tcW w:w="1155" w:type="dxa"/>
            <w:gridSpan w:val="3"/>
            <w:noWrap w:val="0"/>
            <w:vAlign w:val="center"/>
          </w:tcPr>
          <w:p w14:paraId="77F9919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21FDE3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999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3024C3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39</w:t>
            </w:r>
          </w:p>
        </w:tc>
        <w:tc>
          <w:tcPr>
            <w:tcW w:w="7274" w:type="dxa"/>
            <w:gridSpan w:val="6"/>
            <w:noWrap w:val="0"/>
            <w:vAlign w:val="center"/>
          </w:tcPr>
          <w:p w14:paraId="03D77D02">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5.2公共保洁服务包括不限于共用楼道保洁，电梯及电梯厅保洁，道路保洁，广场环境保洁，停车场及车库保洁，标识、宣传栏、信报箱保洁，休闲、娱乐、健身设施保洁，门卫、岗亭、监控探头保洁，绿化区域保洁、公共卫生间保洁、垃圾收集与清运、卫生消杀、公共疫情应急处理等</w:t>
            </w:r>
          </w:p>
        </w:tc>
        <w:tc>
          <w:tcPr>
            <w:tcW w:w="1155" w:type="dxa"/>
            <w:gridSpan w:val="3"/>
            <w:noWrap w:val="0"/>
            <w:vAlign w:val="center"/>
          </w:tcPr>
          <w:p w14:paraId="2F929F0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0DD75D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C64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2FCD6C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w:t>
            </w:r>
          </w:p>
        </w:tc>
        <w:tc>
          <w:tcPr>
            <w:tcW w:w="7274" w:type="dxa"/>
            <w:gridSpan w:val="6"/>
            <w:noWrap w:val="0"/>
            <w:vAlign w:val="center"/>
          </w:tcPr>
          <w:p w14:paraId="14CB2CE1">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5.3定期巡查清理化粪池、雨水井、污水井等管网，通道及楼梯台阶、扶手、栏杆、窗台、开关、门窗、天花板、公共灯具、道路等公共部位保洁每天清扫一次，共用设施设备每两天清洁一次</w:t>
            </w:r>
          </w:p>
        </w:tc>
        <w:tc>
          <w:tcPr>
            <w:tcW w:w="1155" w:type="dxa"/>
            <w:gridSpan w:val="3"/>
            <w:noWrap w:val="0"/>
            <w:vAlign w:val="center"/>
          </w:tcPr>
          <w:p w14:paraId="2A75DBF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258062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2BF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21CFF2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w:t>
            </w:r>
          </w:p>
        </w:tc>
        <w:tc>
          <w:tcPr>
            <w:tcW w:w="7274" w:type="dxa"/>
            <w:gridSpan w:val="6"/>
            <w:noWrap w:val="0"/>
            <w:vAlign w:val="center"/>
          </w:tcPr>
          <w:p w14:paraId="723F0B3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5.4停车场或共用车库（棚）每天清扫一次；及时清除地下室进出口的垃圾；发现油迹、污迹、锈迹，应及时擦洗干净；无异味、空气流通；标识、指示牌等公共设施目视无灰尘</w:t>
            </w:r>
          </w:p>
        </w:tc>
        <w:tc>
          <w:tcPr>
            <w:tcW w:w="1155" w:type="dxa"/>
            <w:gridSpan w:val="3"/>
            <w:noWrap w:val="0"/>
            <w:vAlign w:val="center"/>
          </w:tcPr>
          <w:p w14:paraId="238F375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AF7B215">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99F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F51284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w:t>
            </w:r>
          </w:p>
        </w:tc>
        <w:tc>
          <w:tcPr>
            <w:tcW w:w="7274" w:type="dxa"/>
            <w:gridSpan w:val="6"/>
            <w:noWrap w:val="0"/>
            <w:vAlign w:val="center"/>
          </w:tcPr>
          <w:p w14:paraId="72B61A56">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5.5公共楼梯、走道、天台、墙面、电梯轿厢等公共部位保持清洁，无乱贴、乱画、擅自占用和堆放杂物现象</w:t>
            </w:r>
          </w:p>
        </w:tc>
        <w:tc>
          <w:tcPr>
            <w:tcW w:w="1155" w:type="dxa"/>
            <w:gridSpan w:val="3"/>
            <w:noWrap w:val="0"/>
            <w:vAlign w:val="center"/>
          </w:tcPr>
          <w:p w14:paraId="78F634B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EFFFC76">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A3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331E32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w:t>
            </w:r>
          </w:p>
        </w:tc>
        <w:tc>
          <w:tcPr>
            <w:tcW w:w="7274" w:type="dxa"/>
            <w:gridSpan w:val="6"/>
            <w:noWrap w:val="0"/>
            <w:vAlign w:val="center"/>
          </w:tcPr>
          <w:p w14:paraId="159D9EF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5.6每日清洁绿化带垃圾一次，秋冬季节或落叶较多季节增加清洁次数</w:t>
            </w:r>
          </w:p>
        </w:tc>
        <w:tc>
          <w:tcPr>
            <w:tcW w:w="1155" w:type="dxa"/>
            <w:gridSpan w:val="3"/>
            <w:noWrap w:val="0"/>
            <w:vAlign w:val="center"/>
          </w:tcPr>
          <w:p w14:paraId="35F5415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FC719F1">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7FD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E9D2B1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w:t>
            </w:r>
          </w:p>
        </w:tc>
        <w:tc>
          <w:tcPr>
            <w:tcW w:w="7274" w:type="dxa"/>
            <w:gridSpan w:val="6"/>
            <w:noWrap w:val="0"/>
            <w:vAlign w:val="center"/>
          </w:tcPr>
          <w:p w14:paraId="1B7D7980">
            <w:pP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5.7保洁设施设备配备合理，定期对保洁设施设备进行卫生消毒。有害生物防治符合相关规定，每月对窨井、明沟、垃圾箱等喷洒药水一次，春夏季（4 月、5 月、6 月、7 月、8 月）每月灭蚊、蝇、蟑螂、鼠一次，其余每季灭鼠一次。防治鼠害、虫害等有计划、有措施、有记录</w:t>
            </w:r>
          </w:p>
        </w:tc>
        <w:tc>
          <w:tcPr>
            <w:tcW w:w="1155" w:type="dxa"/>
            <w:gridSpan w:val="3"/>
            <w:noWrap w:val="0"/>
            <w:vAlign w:val="center"/>
          </w:tcPr>
          <w:p w14:paraId="3D095F4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E72AEA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CEF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E2ACF8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w:t>
            </w:r>
          </w:p>
        </w:tc>
        <w:tc>
          <w:tcPr>
            <w:tcW w:w="7274" w:type="dxa"/>
            <w:gridSpan w:val="6"/>
            <w:noWrap w:val="0"/>
            <w:vAlign w:val="center"/>
          </w:tcPr>
          <w:p w14:paraId="0F202436">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5.8垃圾桶分类配置，每幢楼至少设置6个大垃圾桶，每日早晚清运各一次，清运垃圾时间避开人流高峰</w:t>
            </w:r>
          </w:p>
        </w:tc>
        <w:tc>
          <w:tcPr>
            <w:tcW w:w="1155" w:type="dxa"/>
            <w:gridSpan w:val="3"/>
            <w:noWrap w:val="0"/>
            <w:vAlign w:val="center"/>
          </w:tcPr>
          <w:p w14:paraId="5B4A87A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615854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A6B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8DD090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46</w:t>
            </w:r>
          </w:p>
        </w:tc>
        <w:tc>
          <w:tcPr>
            <w:tcW w:w="7274" w:type="dxa"/>
            <w:gridSpan w:val="6"/>
            <w:noWrap w:val="0"/>
            <w:vAlign w:val="center"/>
          </w:tcPr>
          <w:p w14:paraId="699C248E">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5.9日常各项保洁服务工作应有记录，每个月进行一次汇总存档</w:t>
            </w:r>
          </w:p>
        </w:tc>
        <w:tc>
          <w:tcPr>
            <w:tcW w:w="1155" w:type="dxa"/>
            <w:gridSpan w:val="3"/>
            <w:noWrap w:val="0"/>
            <w:vAlign w:val="center"/>
          </w:tcPr>
          <w:p w14:paraId="1E6E22F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D3F2DC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E57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C60F11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47</w:t>
            </w:r>
          </w:p>
        </w:tc>
        <w:tc>
          <w:tcPr>
            <w:tcW w:w="7274" w:type="dxa"/>
            <w:gridSpan w:val="6"/>
            <w:noWrap w:val="0"/>
            <w:vAlign w:val="center"/>
          </w:tcPr>
          <w:p w14:paraId="70BAC804">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5.10出现环境污染、公共性疫情等情况，应启动应急预案，配合有关部门处置</w:t>
            </w:r>
          </w:p>
        </w:tc>
        <w:tc>
          <w:tcPr>
            <w:tcW w:w="1155" w:type="dxa"/>
            <w:gridSpan w:val="3"/>
            <w:noWrap w:val="0"/>
            <w:vAlign w:val="center"/>
          </w:tcPr>
          <w:p w14:paraId="66F1AD7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E53135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014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28" w:type="dxa"/>
            <w:gridSpan w:val="7"/>
            <w:noWrap w:val="0"/>
            <w:vAlign w:val="center"/>
          </w:tcPr>
          <w:p w14:paraId="0DD7765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第五项小计</w:t>
            </w:r>
          </w:p>
        </w:tc>
        <w:tc>
          <w:tcPr>
            <w:tcW w:w="1155" w:type="dxa"/>
            <w:gridSpan w:val="3"/>
            <w:noWrap w:val="0"/>
            <w:vAlign w:val="center"/>
          </w:tcPr>
          <w:p w14:paraId="40E7A82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4A7481E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DA7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71" w:type="dxa"/>
            <w:gridSpan w:val="11"/>
            <w:noWrap w:val="0"/>
            <w:vAlign w:val="center"/>
          </w:tcPr>
          <w:p w14:paraId="680C06B2">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六、设施设备管理（10%/10分）</w:t>
            </w:r>
          </w:p>
        </w:tc>
      </w:tr>
      <w:tr w14:paraId="408F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5DF656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w:t>
            </w:r>
          </w:p>
        </w:tc>
        <w:tc>
          <w:tcPr>
            <w:tcW w:w="7274" w:type="dxa"/>
            <w:gridSpan w:val="6"/>
            <w:noWrap w:val="0"/>
            <w:vAlign w:val="center"/>
          </w:tcPr>
          <w:p w14:paraId="031DA40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6.1建立健全小区各类公共设施设备明细台账，包括不限于强电系统、公共照明系统、弱电系统、给排水系统、消防电梯系统、避雷系统等</w:t>
            </w:r>
          </w:p>
        </w:tc>
        <w:tc>
          <w:tcPr>
            <w:tcW w:w="1155" w:type="dxa"/>
            <w:gridSpan w:val="3"/>
            <w:noWrap w:val="0"/>
            <w:vAlign w:val="center"/>
          </w:tcPr>
          <w:p w14:paraId="7C8EC03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0F33B66">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A44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C00CCD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49</w:t>
            </w:r>
          </w:p>
        </w:tc>
        <w:tc>
          <w:tcPr>
            <w:tcW w:w="7274" w:type="dxa"/>
            <w:gridSpan w:val="6"/>
            <w:noWrap w:val="0"/>
            <w:vAlign w:val="center"/>
          </w:tcPr>
          <w:p w14:paraId="045F1494">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6.2道路、停车场运行正常完好，保证道路通畅，停车场汽车停放有序，现场卫生干净整洁，定期维护更新车辆道闸信息系统</w:t>
            </w:r>
          </w:p>
        </w:tc>
        <w:tc>
          <w:tcPr>
            <w:tcW w:w="1155" w:type="dxa"/>
            <w:gridSpan w:val="3"/>
            <w:noWrap w:val="0"/>
            <w:vAlign w:val="center"/>
          </w:tcPr>
          <w:p w14:paraId="4EA11FC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F294427">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DF1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3BD149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w:t>
            </w:r>
          </w:p>
        </w:tc>
        <w:tc>
          <w:tcPr>
            <w:tcW w:w="7274" w:type="dxa"/>
            <w:gridSpan w:val="6"/>
            <w:noWrap w:val="0"/>
            <w:vAlign w:val="center"/>
          </w:tcPr>
          <w:p w14:paraId="407C484C">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6.3供电系统运行正常完好，设备编号有序，运行、维修、保养、巡检记录完整，保持配电房清洁卫生，做好各类供电表登记统计工作，定期检查维护。每周检查发电机设施设备，保证配电机房灭火设施设备运行正常完好</w:t>
            </w:r>
          </w:p>
        </w:tc>
        <w:tc>
          <w:tcPr>
            <w:tcW w:w="1155" w:type="dxa"/>
            <w:gridSpan w:val="3"/>
            <w:noWrap w:val="0"/>
            <w:vAlign w:val="center"/>
          </w:tcPr>
          <w:p w14:paraId="4BF1B5D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7FB498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7A4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DDF767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7274" w:type="dxa"/>
            <w:gridSpan w:val="6"/>
            <w:noWrap w:val="0"/>
            <w:vAlign w:val="center"/>
          </w:tcPr>
          <w:p w14:paraId="382EE55F">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6.4公共照明系统运行正常完好，每天巡查公共照明、应急照明，及时更换缺损、失效照明设施设备</w:t>
            </w:r>
          </w:p>
        </w:tc>
        <w:tc>
          <w:tcPr>
            <w:tcW w:w="1155" w:type="dxa"/>
            <w:gridSpan w:val="3"/>
            <w:noWrap w:val="0"/>
            <w:vAlign w:val="center"/>
          </w:tcPr>
          <w:p w14:paraId="3BF7FCD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D354CA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52E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2153BB4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p>
        </w:tc>
        <w:tc>
          <w:tcPr>
            <w:tcW w:w="7274" w:type="dxa"/>
            <w:gridSpan w:val="6"/>
            <w:noWrap w:val="0"/>
            <w:vAlign w:val="center"/>
          </w:tcPr>
          <w:p w14:paraId="78D15E5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6.5消防系统运行正常完好，每天巡查消防设施设备，及时发现问题，消防维保单位和物业服务企业要及时处理消防隐患</w:t>
            </w:r>
          </w:p>
        </w:tc>
        <w:tc>
          <w:tcPr>
            <w:tcW w:w="1155" w:type="dxa"/>
            <w:gridSpan w:val="3"/>
            <w:noWrap w:val="0"/>
            <w:vAlign w:val="center"/>
          </w:tcPr>
          <w:p w14:paraId="37698F5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E88A732">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DB9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86FCFE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53</w:t>
            </w:r>
          </w:p>
        </w:tc>
        <w:tc>
          <w:tcPr>
            <w:tcW w:w="7274" w:type="dxa"/>
            <w:gridSpan w:val="6"/>
            <w:noWrap w:val="0"/>
            <w:vAlign w:val="center"/>
          </w:tcPr>
          <w:p w14:paraId="678F9E8A">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6.6</w:t>
            </w:r>
            <w:r>
              <w:rPr>
                <w:rFonts w:hint="eastAsia" w:ascii="宋体" w:hAnsi="宋体" w:eastAsia="宋体" w:cs="宋体"/>
                <w:color w:val="auto"/>
                <w:kern w:val="2"/>
                <w:sz w:val="21"/>
                <w:szCs w:val="21"/>
                <w:highlight w:val="none"/>
                <w:vertAlign w:val="baseline"/>
                <w:lang w:val="en-US" w:eastAsia="zh-CN" w:bidi="ar-SA"/>
              </w:rPr>
              <w:t>弱电安防系统运行正常完好，有小区监控分布图，安防监控出现故障能及时排除故障，保证摄像监控图像清晰，监控室实行24小时专人值班制度，系统每月检查一次有巡查记录档案</w:t>
            </w:r>
          </w:p>
        </w:tc>
        <w:tc>
          <w:tcPr>
            <w:tcW w:w="1155" w:type="dxa"/>
            <w:gridSpan w:val="3"/>
            <w:noWrap w:val="0"/>
            <w:vAlign w:val="center"/>
          </w:tcPr>
          <w:p w14:paraId="6587062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07916B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177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E03665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54</w:t>
            </w:r>
          </w:p>
        </w:tc>
        <w:tc>
          <w:tcPr>
            <w:tcW w:w="7274" w:type="dxa"/>
            <w:gridSpan w:val="6"/>
            <w:noWrap w:val="0"/>
            <w:vAlign w:val="center"/>
          </w:tcPr>
          <w:p w14:paraId="28C2846F">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6.7给排水系统运行正常完好，有小区给排水管线图，定期巡查、维护保养，记录完整，定期检查生活用水箱、各水泵等给水系统，饮用水水箱每半年清洗、消毒、水质化验一次，水质符合国家标准，做好各类用水表登记统计工作</w:t>
            </w:r>
          </w:p>
        </w:tc>
        <w:tc>
          <w:tcPr>
            <w:tcW w:w="1155" w:type="dxa"/>
            <w:gridSpan w:val="3"/>
            <w:noWrap w:val="0"/>
            <w:vAlign w:val="center"/>
          </w:tcPr>
          <w:p w14:paraId="3174BEA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80F5B95">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CD2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ED7252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w:t>
            </w:r>
          </w:p>
        </w:tc>
        <w:tc>
          <w:tcPr>
            <w:tcW w:w="7274" w:type="dxa"/>
            <w:gridSpan w:val="6"/>
            <w:noWrap w:val="0"/>
            <w:vAlign w:val="center"/>
          </w:tcPr>
          <w:p w14:paraId="09685BCC">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6.8避雷系统运行正常完好，有避雷设施位置平面图，定期检查、维护且记录完整，</w:t>
            </w:r>
            <w:r>
              <w:rPr>
                <w:rFonts w:hint="eastAsia" w:ascii="宋体" w:hAnsi="宋体" w:eastAsia="宋体" w:cs="宋体"/>
                <w:color w:val="auto"/>
                <w:sz w:val="21"/>
                <w:szCs w:val="21"/>
                <w:highlight w:val="none"/>
                <w:vertAlign w:val="baseline"/>
                <w:lang w:val="en-US" w:eastAsia="zh-CN"/>
              </w:rPr>
              <w:t>每年雷雨季节来临前检测避雷设施，保证接地电阻不大于10欧姆，保证避雷系统其性能符合国家标准</w:t>
            </w:r>
          </w:p>
        </w:tc>
        <w:tc>
          <w:tcPr>
            <w:tcW w:w="1155" w:type="dxa"/>
            <w:gridSpan w:val="3"/>
            <w:noWrap w:val="0"/>
            <w:vAlign w:val="center"/>
          </w:tcPr>
          <w:p w14:paraId="060782A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0DD890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60C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39D3C4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w:t>
            </w:r>
          </w:p>
        </w:tc>
        <w:tc>
          <w:tcPr>
            <w:tcW w:w="7274" w:type="dxa"/>
            <w:gridSpan w:val="6"/>
            <w:noWrap w:val="0"/>
            <w:vAlign w:val="center"/>
          </w:tcPr>
          <w:p w14:paraId="7D6C4E49">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6.9房屋设施设备正常完好，每半年对房屋共用部位、设施设备、道路、绿地等全面检查一次，每半年检查巡视</w:t>
            </w:r>
          </w:p>
        </w:tc>
        <w:tc>
          <w:tcPr>
            <w:tcW w:w="1155" w:type="dxa"/>
            <w:gridSpan w:val="3"/>
            <w:noWrap w:val="0"/>
            <w:vAlign w:val="center"/>
          </w:tcPr>
          <w:p w14:paraId="1596B7F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BEF727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531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8CE4D0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57</w:t>
            </w:r>
          </w:p>
        </w:tc>
        <w:tc>
          <w:tcPr>
            <w:tcW w:w="7274" w:type="dxa"/>
            <w:gridSpan w:val="6"/>
            <w:noWrap w:val="0"/>
            <w:vAlign w:val="center"/>
          </w:tcPr>
          <w:p w14:paraId="21582D59">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6.10加强物业服务区域的电信、有线等配套服务设施设备管理，物业公司负责监控有关运营管理单位进入小区维护活动和行为</w:t>
            </w:r>
          </w:p>
        </w:tc>
        <w:tc>
          <w:tcPr>
            <w:tcW w:w="1155" w:type="dxa"/>
            <w:gridSpan w:val="3"/>
            <w:noWrap w:val="0"/>
            <w:vAlign w:val="center"/>
          </w:tcPr>
          <w:p w14:paraId="571680B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4BF9C9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F42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32" w:type="dxa"/>
            <w:gridSpan w:val="8"/>
            <w:noWrap w:val="0"/>
            <w:vAlign w:val="center"/>
          </w:tcPr>
          <w:p w14:paraId="768839B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第六项小计</w:t>
            </w:r>
          </w:p>
        </w:tc>
        <w:tc>
          <w:tcPr>
            <w:tcW w:w="1151" w:type="dxa"/>
            <w:gridSpan w:val="2"/>
            <w:noWrap w:val="0"/>
            <w:vAlign w:val="center"/>
          </w:tcPr>
          <w:p w14:paraId="4C89777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0FEA9CB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604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71" w:type="dxa"/>
            <w:gridSpan w:val="11"/>
            <w:noWrap w:val="0"/>
            <w:vAlign w:val="center"/>
          </w:tcPr>
          <w:p w14:paraId="078D0871">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七、电梯管理（8%/8分）</w:t>
            </w:r>
          </w:p>
        </w:tc>
      </w:tr>
      <w:tr w14:paraId="7F10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1F9B92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w:t>
            </w:r>
          </w:p>
        </w:tc>
        <w:tc>
          <w:tcPr>
            <w:tcW w:w="7274" w:type="dxa"/>
            <w:gridSpan w:val="6"/>
            <w:noWrap w:val="0"/>
            <w:vAlign w:val="center"/>
          </w:tcPr>
          <w:p w14:paraId="41F149DF">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7.1电梯准用证、年检合格证、紧急电话和乘客注意事项置于轿厢醒目位置</w:t>
            </w:r>
          </w:p>
        </w:tc>
        <w:tc>
          <w:tcPr>
            <w:tcW w:w="1155" w:type="dxa"/>
            <w:gridSpan w:val="3"/>
            <w:noWrap w:val="0"/>
            <w:vAlign w:val="center"/>
          </w:tcPr>
          <w:p w14:paraId="2B054EA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1A691E3">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806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3D89BA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59</w:t>
            </w:r>
          </w:p>
        </w:tc>
        <w:tc>
          <w:tcPr>
            <w:tcW w:w="7274" w:type="dxa"/>
            <w:gridSpan w:val="6"/>
            <w:noWrap w:val="0"/>
            <w:vAlign w:val="center"/>
          </w:tcPr>
          <w:p w14:paraId="71C9DD0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7.2委托专业机构进行维修和养护，维保单位资质符合规定，电梯维修保养合同规范，资质和合同及时向业主单位报备</w:t>
            </w:r>
          </w:p>
        </w:tc>
        <w:tc>
          <w:tcPr>
            <w:tcW w:w="1155" w:type="dxa"/>
            <w:gridSpan w:val="3"/>
            <w:noWrap w:val="0"/>
            <w:vAlign w:val="center"/>
          </w:tcPr>
          <w:p w14:paraId="319C49F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8C3B00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AC6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C60DC4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60</w:t>
            </w:r>
          </w:p>
        </w:tc>
        <w:tc>
          <w:tcPr>
            <w:tcW w:w="7274" w:type="dxa"/>
            <w:gridSpan w:val="6"/>
            <w:noWrap w:val="0"/>
            <w:vAlign w:val="center"/>
          </w:tcPr>
          <w:p w14:paraId="210E1A7A">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7.3电梯机房通风、照明等设施设备情况良好，平层标志线清晰，专业工具齐全</w:t>
            </w:r>
          </w:p>
        </w:tc>
        <w:tc>
          <w:tcPr>
            <w:tcW w:w="1155" w:type="dxa"/>
            <w:gridSpan w:val="3"/>
            <w:noWrap w:val="0"/>
            <w:vAlign w:val="center"/>
          </w:tcPr>
          <w:p w14:paraId="6EDBE9E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14F68A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5F2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3D1AD1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61</w:t>
            </w:r>
          </w:p>
        </w:tc>
        <w:tc>
          <w:tcPr>
            <w:tcW w:w="7274" w:type="dxa"/>
            <w:gridSpan w:val="6"/>
            <w:noWrap w:val="0"/>
            <w:vAlign w:val="center"/>
          </w:tcPr>
          <w:p w14:paraId="4BA7E95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7.4电梯轿厢、井道内保持清洁，轿厢广告设置有审批手续且张贴有序，无乱贴、乱画现象，加强日常维修保养，适时降温、通风、防雨，防止地面水流入电梯井</w:t>
            </w:r>
          </w:p>
        </w:tc>
        <w:tc>
          <w:tcPr>
            <w:tcW w:w="1155" w:type="dxa"/>
            <w:gridSpan w:val="3"/>
            <w:noWrap w:val="0"/>
            <w:vAlign w:val="center"/>
          </w:tcPr>
          <w:p w14:paraId="47A0CC4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E68A2D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8DD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56E6EF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62</w:t>
            </w:r>
          </w:p>
        </w:tc>
        <w:tc>
          <w:tcPr>
            <w:tcW w:w="7274" w:type="dxa"/>
            <w:gridSpan w:val="6"/>
            <w:noWrap w:val="0"/>
            <w:vAlign w:val="center"/>
          </w:tcPr>
          <w:p w14:paraId="76991A9D">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7.5每天检查电梯运行情况，保证电梯运行平稳，维修、保养、检修记录完整，轿厢内设置紧急呼救报警装置或应急救援电话，保证正常使用，并24小时值班室联网专人值守</w:t>
            </w:r>
          </w:p>
        </w:tc>
        <w:tc>
          <w:tcPr>
            <w:tcW w:w="1155" w:type="dxa"/>
            <w:gridSpan w:val="3"/>
            <w:noWrap w:val="0"/>
            <w:vAlign w:val="center"/>
          </w:tcPr>
          <w:p w14:paraId="07E550C3">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73950F2">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CD5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37D2C0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63</w:t>
            </w:r>
          </w:p>
        </w:tc>
        <w:tc>
          <w:tcPr>
            <w:tcW w:w="7274" w:type="dxa"/>
            <w:gridSpan w:val="6"/>
            <w:noWrap w:val="0"/>
            <w:vAlign w:val="center"/>
          </w:tcPr>
          <w:p w14:paraId="7FFB691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7.6电梯要求24小时运行，出现一般故障或险情，维修人员接到报修后60分钟内到达现场，发生电梯困人或其他重大事件时，物业管理人员5分钟之内到场应急处理，专业人员30分钟之内到场进行救助</w:t>
            </w:r>
          </w:p>
        </w:tc>
        <w:tc>
          <w:tcPr>
            <w:tcW w:w="1155" w:type="dxa"/>
            <w:gridSpan w:val="3"/>
            <w:noWrap w:val="0"/>
            <w:vAlign w:val="center"/>
          </w:tcPr>
          <w:p w14:paraId="2DF53C1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751BFF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257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EEEEEB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64</w:t>
            </w:r>
          </w:p>
        </w:tc>
        <w:tc>
          <w:tcPr>
            <w:tcW w:w="7274" w:type="dxa"/>
            <w:gridSpan w:val="6"/>
            <w:noWrap w:val="0"/>
            <w:vAlign w:val="center"/>
          </w:tcPr>
          <w:p w14:paraId="07C1F7A2">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7.7定期对机房、轿厢顶和底坑进行检查，发现问题及时处理并做好记录</w:t>
            </w:r>
          </w:p>
        </w:tc>
        <w:tc>
          <w:tcPr>
            <w:tcW w:w="1155" w:type="dxa"/>
            <w:gridSpan w:val="3"/>
            <w:noWrap w:val="0"/>
            <w:vAlign w:val="center"/>
          </w:tcPr>
          <w:p w14:paraId="20730D9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8AF6A26">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BB6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4CB9AF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w:t>
            </w:r>
          </w:p>
        </w:tc>
        <w:tc>
          <w:tcPr>
            <w:tcW w:w="7274" w:type="dxa"/>
            <w:gridSpan w:val="6"/>
            <w:noWrap w:val="0"/>
            <w:vAlign w:val="center"/>
          </w:tcPr>
          <w:p w14:paraId="69AC2009">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7.8建立电梯安全技术档案和运行档案，记录电梯运行情况和维修保养工作内容</w:t>
            </w:r>
          </w:p>
        </w:tc>
        <w:tc>
          <w:tcPr>
            <w:tcW w:w="1155" w:type="dxa"/>
            <w:gridSpan w:val="3"/>
            <w:noWrap w:val="0"/>
            <w:vAlign w:val="center"/>
          </w:tcPr>
          <w:p w14:paraId="3915CC9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C3B05B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57A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28" w:type="dxa"/>
            <w:gridSpan w:val="7"/>
            <w:noWrap w:val="0"/>
            <w:vAlign w:val="center"/>
          </w:tcPr>
          <w:p w14:paraId="6C9CC9D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第七项小计</w:t>
            </w:r>
          </w:p>
        </w:tc>
        <w:tc>
          <w:tcPr>
            <w:tcW w:w="1155" w:type="dxa"/>
            <w:gridSpan w:val="3"/>
            <w:noWrap w:val="0"/>
            <w:vAlign w:val="center"/>
          </w:tcPr>
          <w:p w14:paraId="014046F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8分</w:t>
            </w:r>
          </w:p>
        </w:tc>
        <w:tc>
          <w:tcPr>
            <w:tcW w:w="888" w:type="dxa"/>
            <w:noWrap w:val="0"/>
            <w:vAlign w:val="center"/>
          </w:tcPr>
          <w:p w14:paraId="1359C6D7">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62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71" w:type="dxa"/>
            <w:gridSpan w:val="11"/>
            <w:noWrap w:val="0"/>
            <w:vAlign w:val="center"/>
          </w:tcPr>
          <w:p w14:paraId="0BEA73E9">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八、消防管理（10%/10分）</w:t>
            </w:r>
          </w:p>
        </w:tc>
      </w:tr>
      <w:tr w14:paraId="090B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1264AC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66</w:t>
            </w:r>
          </w:p>
        </w:tc>
        <w:tc>
          <w:tcPr>
            <w:tcW w:w="7274" w:type="dxa"/>
            <w:gridSpan w:val="6"/>
            <w:noWrap w:val="0"/>
            <w:vAlign w:val="center"/>
          </w:tcPr>
          <w:p w14:paraId="2D33932B">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8.1有消防设施设置平面图、火警疏散示意图，按幢按楼层设置在明显位置</w:t>
            </w:r>
          </w:p>
        </w:tc>
        <w:tc>
          <w:tcPr>
            <w:tcW w:w="1155" w:type="dxa"/>
            <w:gridSpan w:val="3"/>
            <w:noWrap w:val="0"/>
            <w:vAlign w:val="center"/>
          </w:tcPr>
          <w:p w14:paraId="0271002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4CF4175">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62B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262659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67</w:t>
            </w:r>
          </w:p>
        </w:tc>
        <w:tc>
          <w:tcPr>
            <w:tcW w:w="7274" w:type="dxa"/>
            <w:gridSpan w:val="6"/>
            <w:noWrap w:val="0"/>
            <w:vAlign w:val="center"/>
          </w:tcPr>
          <w:p w14:paraId="6DDF79EA">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8.2消防监控系统运行良好，自动和手动报警设施启动正常，地下泵房按规定时间巡查和维保</w:t>
            </w:r>
          </w:p>
        </w:tc>
        <w:tc>
          <w:tcPr>
            <w:tcW w:w="1155" w:type="dxa"/>
            <w:gridSpan w:val="3"/>
            <w:noWrap w:val="0"/>
            <w:vAlign w:val="center"/>
          </w:tcPr>
          <w:p w14:paraId="0910B30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4E9F77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227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A4AC42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68</w:t>
            </w:r>
          </w:p>
        </w:tc>
        <w:tc>
          <w:tcPr>
            <w:tcW w:w="7274" w:type="dxa"/>
            <w:gridSpan w:val="6"/>
            <w:noWrap w:val="0"/>
            <w:vAlign w:val="center"/>
          </w:tcPr>
          <w:p w14:paraId="58F1C463">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8.3委托专业机构进行维修和养护，符合法定资质要求的维修保养单位按国家法律法规做好消防维保工作，维保单位资质和合同向业主单位报备</w:t>
            </w:r>
          </w:p>
        </w:tc>
        <w:tc>
          <w:tcPr>
            <w:tcW w:w="1155" w:type="dxa"/>
            <w:gridSpan w:val="3"/>
            <w:noWrap w:val="0"/>
            <w:vAlign w:val="center"/>
          </w:tcPr>
          <w:p w14:paraId="154AAD2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77C0192">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245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1EB910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69</w:t>
            </w:r>
          </w:p>
        </w:tc>
        <w:tc>
          <w:tcPr>
            <w:tcW w:w="7274" w:type="dxa"/>
            <w:gridSpan w:val="6"/>
            <w:noWrap w:val="0"/>
            <w:vAlign w:val="center"/>
          </w:tcPr>
          <w:p w14:paraId="50EEEDCB">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8.4每月定期开展上门入户消防安全检查，做好检查记录</w:t>
            </w:r>
          </w:p>
        </w:tc>
        <w:tc>
          <w:tcPr>
            <w:tcW w:w="1155" w:type="dxa"/>
            <w:gridSpan w:val="3"/>
            <w:noWrap w:val="0"/>
            <w:vAlign w:val="center"/>
          </w:tcPr>
          <w:p w14:paraId="3745890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3A9CA2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1AB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BE254D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70</w:t>
            </w:r>
          </w:p>
        </w:tc>
        <w:tc>
          <w:tcPr>
            <w:tcW w:w="7274" w:type="dxa"/>
            <w:gridSpan w:val="6"/>
            <w:noWrap w:val="0"/>
            <w:vAlign w:val="center"/>
          </w:tcPr>
          <w:p w14:paraId="46ABA688">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8.5消火栓柜、防火卷帘、防火门、灭火器、消防电话、风机房、疏散指示灯，应急照明和应急工具等消防设施设备完好，定期组织检验和保养并做好记录</w:t>
            </w:r>
          </w:p>
        </w:tc>
        <w:tc>
          <w:tcPr>
            <w:tcW w:w="1155" w:type="dxa"/>
            <w:gridSpan w:val="3"/>
            <w:noWrap w:val="0"/>
            <w:vAlign w:val="center"/>
          </w:tcPr>
          <w:p w14:paraId="6AB877F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33D3292">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A51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7B7C460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71</w:t>
            </w:r>
          </w:p>
        </w:tc>
        <w:tc>
          <w:tcPr>
            <w:tcW w:w="7274" w:type="dxa"/>
            <w:gridSpan w:val="6"/>
            <w:noWrap w:val="0"/>
            <w:vAlign w:val="center"/>
          </w:tcPr>
          <w:p w14:paraId="4165FAEB">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8.6消防加压和稳压设备运行正常，管网压力始终满足消防灭火的要求，管道和阀门无跟冒滴漏，测试、维修、保养记录完整</w:t>
            </w:r>
          </w:p>
        </w:tc>
        <w:tc>
          <w:tcPr>
            <w:tcW w:w="1155" w:type="dxa"/>
            <w:gridSpan w:val="3"/>
            <w:noWrap w:val="0"/>
            <w:vAlign w:val="center"/>
          </w:tcPr>
          <w:p w14:paraId="1A459FB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BABF16E">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475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6593A0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72</w:t>
            </w:r>
          </w:p>
        </w:tc>
        <w:tc>
          <w:tcPr>
            <w:tcW w:w="7274" w:type="dxa"/>
            <w:gridSpan w:val="6"/>
            <w:noWrap w:val="0"/>
            <w:vAlign w:val="center"/>
          </w:tcPr>
          <w:p w14:paraId="4310413B">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8.7消防通道、安全出口畅通，无杂物堆放，无违章占用，疏散标志、疏散指示灯和示意图等设置合理、醒目，严禁电动自行车违规停放和私接乱拉电线充电</w:t>
            </w:r>
          </w:p>
        </w:tc>
        <w:tc>
          <w:tcPr>
            <w:tcW w:w="1155" w:type="dxa"/>
            <w:gridSpan w:val="3"/>
            <w:noWrap w:val="0"/>
            <w:vAlign w:val="center"/>
          </w:tcPr>
          <w:p w14:paraId="341068C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7B46333">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D5A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4" w:type="dxa"/>
            <w:noWrap w:val="0"/>
            <w:vAlign w:val="center"/>
          </w:tcPr>
          <w:p w14:paraId="6BF805B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73</w:t>
            </w:r>
          </w:p>
        </w:tc>
        <w:tc>
          <w:tcPr>
            <w:tcW w:w="7274" w:type="dxa"/>
            <w:gridSpan w:val="6"/>
            <w:noWrap w:val="0"/>
            <w:vAlign w:val="center"/>
          </w:tcPr>
          <w:p w14:paraId="089F47E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8.8定期开展消防演练活动、应急预案，定期为物业服务人员和租户开展消防培训</w:t>
            </w:r>
          </w:p>
        </w:tc>
        <w:tc>
          <w:tcPr>
            <w:tcW w:w="1155" w:type="dxa"/>
            <w:gridSpan w:val="3"/>
            <w:noWrap w:val="0"/>
            <w:vAlign w:val="center"/>
          </w:tcPr>
          <w:p w14:paraId="0E0075A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8A7042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722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7235EE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74</w:t>
            </w:r>
          </w:p>
        </w:tc>
        <w:tc>
          <w:tcPr>
            <w:tcW w:w="7274" w:type="dxa"/>
            <w:gridSpan w:val="6"/>
            <w:noWrap w:val="0"/>
            <w:vAlign w:val="center"/>
          </w:tcPr>
          <w:p w14:paraId="3FB3B01C">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8.9消防控制室实行24小时专人值班制度，值班人员持证上岗，记录控制主机运行情况，有巡查记录</w:t>
            </w:r>
          </w:p>
        </w:tc>
        <w:tc>
          <w:tcPr>
            <w:tcW w:w="1155" w:type="dxa"/>
            <w:gridSpan w:val="3"/>
            <w:noWrap w:val="0"/>
            <w:vAlign w:val="center"/>
          </w:tcPr>
          <w:p w14:paraId="3C5FE99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9EE399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C30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57E3DA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75</w:t>
            </w:r>
          </w:p>
        </w:tc>
        <w:tc>
          <w:tcPr>
            <w:tcW w:w="7274" w:type="dxa"/>
            <w:gridSpan w:val="6"/>
            <w:noWrap w:val="0"/>
            <w:vAlign w:val="center"/>
          </w:tcPr>
          <w:p w14:paraId="545F178A">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8.10接到火警、警情后要求5分钟到达现场，采取相应措施和协助保护现场，并报告业主单位与警方</w:t>
            </w:r>
          </w:p>
        </w:tc>
        <w:tc>
          <w:tcPr>
            <w:tcW w:w="1155" w:type="dxa"/>
            <w:gridSpan w:val="3"/>
            <w:noWrap w:val="0"/>
            <w:vAlign w:val="center"/>
          </w:tcPr>
          <w:p w14:paraId="2D34451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1DE742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53C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28" w:type="dxa"/>
            <w:gridSpan w:val="7"/>
            <w:noWrap w:val="0"/>
            <w:vAlign w:val="center"/>
          </w:tcPr>
          <w:p w14:paraId="46F9B10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第八项小计</w:t>
            </w:r>
          </w:p>
        </w:tc>
        <w:tc>
          <w:tcPr>
            <w:tcW w:w="1155" w:type="dxa"/>
            <w:gridSpan w:val="3"/>
            <w:noWrap w:val="0"/>
            <w:vAlign w:val="center"/>
          </w:tcPr>
          <w:p w14:paraId="3DB4789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179F1DF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139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71" w:type="dxa"/>
            <w:gridSpan w:val="11"/>
            <w:noWrap w:val="0"/>
            <w:vAlign w:val="center"/>
          </w:tcPr>
          <w:p w14:paraId="11323267">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九、绿化管理（5%/5分）</w:t>
            </w:r>
          </w:p>
        </w:tc>
      </w:tr>
      <w:tr w14:paraId="59A5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574A8F2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76</w:t>
            </w:r>
          </w:p>
        </w:tc>
        <w:tc>
          <w:tcPr>
            <w:tcW w:w="7274" w:type="dxa"/>
            <w:gridSpan w:val="6"/>
            <w:noWrap w:val="0"/>
            <w:vAlign w:val="center"/>
          </w:tcPr>
          <w:p w14:paraId="45922F25">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9.1绿化图纸、苗木清单等资料齐全，绿化养护责任区域明确，制定并落实绿化养护计划</w:t>
            </w:r>
          </w:p>
        </w:tc>
        <w:tc>
          <w:tcPr>
            <w:tcW w:w="1155" w:type="dxa"/>
            <w:gridSpan w:val="3"/>
            <w:noWrap w:val="0"/>
            <w:vAlign w:val="center"/>
          </w:tcPr>
          <w:p w14:paraId="5A11B5F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95EBCB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DB0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0F3B85A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77</w:t>
            </w:r>
          </w:p>
        </w:tc>
        <w:tc>
          <w:tcPr>
            <w:tcW w:w="7274" w:type="dxa"/>
            <w:gridSpan w:val="6"/>
            <w:noWrap w:val="0"/>
            <w:vAlign w:val="center"/>
          </w:tcPr>
          <w:p w14:paraId="4F6E00AF">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9.2可以委托专业机构进行维修和养护，物业，委托专业绿化养护单位定期组织浇灌、施肥、松土和喷药等养护管理，消杀作业前提前将计划在小区内公示，提前做好防涝、防旱和防冻工作，养护工作记录在档</w:t>
            </w:r>
          </w:p>
        </w:tc>
        <w:tc>
          <w:tcPr>
            <w:tcW w:w="1155" w:type="dxa"/>
            <w:gridSpan w:val="3"/>
            <w:noWrap w:val="0"/>
            <w:vAlign w:val="center"/>
          </w:tcPr>
          <w:p w14:paraId="5458B02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15FCBD3">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302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347B13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78</w:t>
            </w:r>
          </w:p>
        </w:tc>
        <w:tc>
          <w:tcPr>
            <w:tcW w:w="7274" w:type="dxa"/>
            <w:gridSpan w:val="6"/>
            <w:noWrap w:val="0"/>
            <w:vAlign w:val="center"/>
          </w:tcPr>
          <w:p w14:paraId="79E3C5E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9.3醒目处设置爱护绿化提示标志，重点树木品种实行标牌管理</w:t>
            </w:r>
          </w:p>
        </w:tc>
        <w:tc>
          <w:tcPr>
            <w:tcW w:w="1155" w:type="dxa"/>
            <w:gridSpan w:val="3"/>
            <w:noWrap w:val="0"/>
            <w:vAlign w:val="center"/>
          </w:tcPr>
          <w:p w14:paraId="201B9D3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79B6AB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1D5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81241C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79</w:t>
            </w:r>
          </w:p>
        </w:tc>
        <w:tc>
          <w:tcPr>
            <w:tcW w:w="7274" w:type="dxa"/>
            <w:gridSpan w:val="6"/>
            <w:noWrap w:val="0"/>
            <w:vAlign w:val="center"/>
          </w:tcPr>
          <w:p w14:paraId="62DA9CEE">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9.4各类乔、灌、草等植物长势良好，修剪整齐美观，无折损、无病虫害、斑秃等现象</w:t>
            </w:r>
          </w:p>
        </w:tc>
        <w:tc>
          <w:tcPr>
            <w:tcW w:w="1155" w:type="dxa"/>
            <w:gridSpan w:val="3"/>
            <w:noWrap w:val="0"/>
            <w:vAlign w:val="center"/>
          </w:tcPr>
          <w:p w14:paraId="17EA0A9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D72ADC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4D9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4" w:type="dxa"/>
            <w:noWrap w:val="0"/>
            <w:vAlign w:val="center"/>
          </w:tcPr>
          <w:p w14:paraId="763067A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80</w:t>
            </w:r>
          </w:p>
        </w:tc>
        <w:tc>
          <w:tcPr>
            <w:tcW w:w="7274" w:type="dxa"/>
            <w:gridSpan w:val="6"/>
            <w:noWrap w:val="0"/>
            <w:vAlign w:val="center"/>
          </w:tcPr>
          <w:p w14:paraId="425076E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9.5绿地无破坏、践踏、占用现象，树木无悬挂物及晾晒物品现象</w:t>
            </w:r>
          </w:p>
        </w:tc>
        <w:tc>
          <w:tcPr>
            <w:tcW w:w="1155" w:type="dxa"/>
            <w:gridSpan w:val="3"/>
            <w:noWrap w:val="0"/>
            <w:vAlign w:val="center"/>
          </w:tcPr>
          <w:p w14:paraId="744531C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F4B6C0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C44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32" w:type="dxa"/>
            <w:gridSpan w:val="8"/>
            <w:noWrap w:val="0"/>
            <w:vAlign w:val="center"/>
          </w:tcPr>
          <w:p w14:paraId="1180C82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第九项小计</w:t>
            </w:r>
          </w:p>
        </w:tc>
        <w:tc>
          <w:tcPr>
            <w:tcW w:w="1151" w:type="dxa"/>
            <w:gridSpan w:val="2"/>
            <w:noWrap w:val="0"/>
            <w:vAlign w:val="center"/>
          </w:tcPr>
          <w:p w14:paraId="54C42B2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5分</w:t>
            </w:r>
          </w:p>
        </w:tc>
        <w:tc>
          <w:tcPr>
            <w:tcW w:w="888" w:type="dxa"/>
            <w:noWrap w:val="0"/>
            <w:vAlign w:val="center"/>
          </w:tcPr>
          <w:p w14:paraId="184E13D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E44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971" w:type="dxa"/>
            <w:gridSpan w:val="11"/>
            <w:noWrap w:val="0"/>
            <w:vAlign w:val="center"/>
          </w:tcPr>
          <w:p w14:paraId="0D01C251">
            <w:pPr>
              <w:spacing w:line="30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十、维修管理（10%/10分）</w:t>
            </w:r>
          </w:p>
        </w:tc>
      </w:tr>
      <w:tr w14:paraId="0D39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A2E23E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w:t>
            </w:r>
          </w:p>
        </w:tc>
        <w:tc>
          <w:tcPr>
            <w:tcW w:w="7274" w:type="dxa"/>
            <w:gridSpan w:val="6"/>
            <w:noWrap w:val="0"/>
            <w:vAlign w:val="center"/>
          </w:tcPr>
          <w:p w14:paraId="41D37A72">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10.1维修工程技术人员配置数量和专业达到合同等相关规定，熟悉物业管理区域公用配套设施设备的各类和分布，掌握各类线路走向、分布、位置以及其维修保养方法</w:t>
            </w:r>
          </w:p>
        </w:tc>
        <w:tc>
          <w:tcPr>
            <w:tcW w:w="1155" w:type="dxa"/>
            <w:gridSpan w:val="3"/>
            <w:noWrap w:val="0"/>
            <w:vAlign w:val="center"/>
          </w:tcPr>
          <w:p w14:paraId="63747BF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C8A7E41">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60D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BF1F5C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82</w:t>
            </w:r>
          </w:p>
        </w:tc>
        <w:tc>
          <w:tcPr>
            <w:tcW w:w="7274" w:type="dxa"/>
            <w:gridSpan w:val="6"/>
            <w:noWrap w:val="0"/>
            <w:vAlign w:val="center"/>
          </w:tcPr>
          <w:p w14:paraId="240D67E2">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10.2维修人员工作时间按规定着装，佩戴工作牌，严格遵守操作规程、工作标准，坚持贯彻执行安全生产第一的原则</w:t>
            </w:r>
          </w:p>
        </w:tc>
        <w:tc>
          <w:tcPr>
            <w:tcW w:w="1155" w:type="dxa"/>
            <w:gridSpan w:val="3"/>
            <w:noWrap w:val="0"/>
            <w:vAlign w:val="center"/>
          </w:tcPr>
          <w:p w14:paraId="060459C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566C36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78F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836088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83</w:t>
            </w:r>
          </w:p>
        </w:tc>
        <w:tc>
          <w:tcPr>
            <w:tcW w:w="7274" w:type="dxa"/>
            <w:gridSpan w:val="6"/>
            <w:noWrap w:val="0"/>
            <w:vAlign w:val="center"/>
          </w:tcPr>
          <w:p w14:paraId="7B19C8C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10.3维修人员对物业管理区域经常巡视，发现公用设施有损坏、隐患或其他异常情况，及时上报给予维修，确保公共配套设施设备的正常运行，建立维修档案</w:t>
            </w:r>
          </w:p>
        </w:tc>
        <w:tc>
          <w:tcPr>
            <w:tcW w:w="1155" w:type="dxa"/>
            <w:gridSpan w:val="3"/>
            <w:noWrap w:val="0"/>
            <w:vAlign w:val="center"/>
          </w:tcPr>
          <w:p w14:paraId="2D07993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1581468">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F89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3EDFE24">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84</w:t>
            </w:r>
          </w:p>
        </w:tc>
        <w:tc>
          <w:tcPr>
            <w:tcW w:w="7274" w:type="dxa"/>
            <w:gridSpan w:val="6"/>
            <w:noWrap w:val="0"/>
            <w:vAlign w:val="center"/>
          </w:tcPr>
          <w:p w14:paraId="2F87A511">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10.4及时处理租户报修，日常维修或急修不超过4小时，维修更换的配件必须用知名品牌产品，，上门服务语言规范，态度礼貌，能耐心解答租户问题，维修台账和工作日志资料齐全</w:t>
            </w:r>
          </w:p>
        </w:tc>
        <w:tc>
          <w:tcPr>
            <w:tcW w:w="1155" w:type="dxa"/>
            <w:gridSpan w:val="3"/>
            <w:noWrap w:val="0"/>
            <w:vAlign w:val="center"/>
          </w:tcPr>
          <w:p w14:paraId="2BB8763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5E7DE12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B5A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DC7C46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85</w:t>
            </w:r>
          </w:p>
        </w:tc>
        <w:tc>
          <w:tcPr>
            <w:tcW w:w="7274" w:type="dxa"/>
            <w:gridSpan w:val="6"/>
            <w:noWrap w:val="0"/>
            <w:vAlign w:val="center"/>
          </w:tcPr>
          <w:p w14:paraId="5602BD04">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10.5报修程序规范，及时受理、检查、处置报修项目，图文信息齐全，无虚报、瞒报现象</w:t>
            </w:r>
          </w:p>
        </w:tc>
        <w:tc>
          <w:tcPr>
            <w:tcW w:w="1155" w:type="dxa"/>
            <w:gridSpan w:val="3"/>
            <w:noWrap w:val="0"/>
            <w:vAlign w:val="center"/>
          </w:tcPr>
          <w:p w14:paraId="5A411073">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AD2121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784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4" w:type="dxa"/>
            <w:noWrap w:val="0"/>
            <w:vAlign w:val="center"/>
          </w:tcPr>
          <w:p w14:paraId="04700978">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86</w:t>
            </w:r>
          </w:p>
        </w:tc>
        <w:tc>
          <w:tcPr>
            <w:tcW w:w="7274" w:type="dxa"/>
            <w:gridSpan w:val="6"/>
            <w:noWrap w:val="0"/>
            <w:vAlign w:val="center"/>
          </w:tcPr>
          <w:p w14:paraId="53852264">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10.6制定合理维修养护计划，通过对建筑物和配套设施设备有计划的保养，使其保持美观并延长使用寿命，近期完成维修计划</w:t>
            </w:r>
          </w:p>
        </w:tc>
        <w:tc>
          <w:tcPr>
            <w:tcW w:w="1155" w:type="dxa"/>
            <w:gridSpan w:val="3"/>
            <w:noWrap w:val="0"/>
            <w:vAlign w:val="center"/>
          </w:tcPr>
          <w:p w14:paraId="3BFF4157">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4ED573AE">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0E8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05CC251">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87</w:t>
            </w:r>
          </w:p>
        </w:tc>
        <w:tc>
          <w:tcPr>
            <w:tcW w:w="7274" w:type="dxa"/>
            <w:gridSpan w:val="6"/>
            <w:noWrap w:val="0"/>
            <w:vAlign w:val="center"/>
          </w:tcPr>
          <w:p w14:paraId="7059ADE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10.7维修质量符合相关规范标准，报修计划批复后，按时完成施工，专人负责维修质量的控制和自检，维修人员主动清理干净维修现场</w:t>
            </w:r>
          </w:p>
        </w:tc>
        <w:tc>
          <w:tcPr>
            <w:tcW w:w="1155" w:type="dxa"/>
            <w:gridSpan w:val="3"/>
            <w:noWrap w:val="0"/>
            <w:vAlign w:val="center"/>
          </w:tcPr>
          <w:p w14:paraId="325BEE1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7A6FD97D">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4DD6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D2C4AB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88</w:t>
            </w:r>
          </w:p>
        </w:tc>
        <w:tc>
          <w:tcPr>
            <w:tcW w:w="7274" w:type="dxa"/>
            <w:gridSpan w:val="6"/>
            <w:noWrap w:val="0"/>
            <w:vAlign w:val="center"/>
          </w:tcPr>
          <w:p w14:paraId="440BBEC6">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10.8制定维修回访制度且科学合理，维修回访率达100%，维修回访满意率不低于90%，回访过程中发现的问题，24小时内进行整改</w:t>
            </w:r>
          </w:p>
        </w:tc>
        <w:tc>
          <w:tcPr>
            <w:tcW w:w="1155" w:type="dxa"/>
            <w:gridSpan w:val="3"/>
            <w:noWrap w:val="0"/>
            <w:vAlign w:val="center"/>
          </w:tcPr>
          <w:p w14:paraId="079D62B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D4241D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865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4" w:type="dxa"/>
            <w:noWrap w:val="0"/>
            <w:vAlign w:val="center"/>
          </w:tcPr>
          <w:p w14:paraId="3E5E896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89</w:t>
            </w:r>
          </w:p>
        </w:tc>
        <w:tc>
          <w:tcPr>
            <w:tcW w:w="7274" w:type="dxa"/>
            <w:gridSpan w:val="6"/>
            <w:noWrap w:val="0"/>
            <w:vAlign w:val="center"/>
          </w:tcPr>
          <w:p w14:paraId="38B3FC4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10.9按时完成物业服务企业承担的维修、养护项目，没有拖延现象</w:t>
            </w:r>
          </w:p>
        </w:tc>
        <w:tc>
          <w:tcPr>
            <w:tcW w:w="1155" w:type="dxa"/>
            <w:gridSpan w:val="3"/>
            <w:noWrap w:val="0"/>
            <w:vAlign w:val="center"/>
          </w:tcPr>
          <w:p w14:paraId="751BBC6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5C31AB3">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0E3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3F4FC86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90</w:t>
            </w:r>
          </w:p>
        </w:tc>
        <w:tc>
          <w:tcPr>
            <w:tcW w:w="7274" w:type="dxa"/>
            <w:gridSpan w:val="6"/>
            <w:noWrap w:val="0"/>
            <w:vAlign w:val="center"/>
          </w:tcPr>
          <w:p w14:paraId="62441D09">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10.10做好物业区域大、中修维修现场秩序维护，定时巡查，排除安全隐患并做好标识与围挡，积极配合施工单位维修工作，无推诿、拖拉、吃拿卡要现象发生</w:t>
            </w:r>
          </w:p>
        </w:tc>
        <w:tc>
          <w:tcPr>
            <w:tcW w:w="1155" w:type="dxa"/>
            <w:gridSpan w:val="3"/>
            <w:noWrap w:val="0"/>
            <w:vAlign w:val="center"/>
          </w:tcPr>
          <w:p w14:paraId="2B7811E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B5AF6C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8D1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28" w:type="dxa"/>
            <w:gridSpan w:val="7"/>
            <w:noWrap w:val="0"/>
            <w:vAlign w:val="center"/>
          </w:tcPr>
          <w:p w14:paraId="6194519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第十项小计</w:t>
            </w:r>
          </w:p>
        </w:tc>
        <w:tc>
          <w:tcPr>
            <w:tcW w:w="1155" w:type="dxa"/>
            <w:gridSpan w:val="3"/>
            <w:noWrap w:val="0"/>
            <w:vAlign w:val="center"/>
          </w:tcPr>
          <w:p w14:paraId="4ECF19CE">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10分</w:t>
            </w:r>
          </w:p>
        </w:tc>
        <w:tc>
          <w:tcPr>
            <w:tcW w:w="888" w:type="dxa"/>
            <w:noWrap w:val="0"/>
            <w:vAlign w:val="center"/>
          </w:tcPr>
          <w:p w14:paraId="515AF93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859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71" w:type="dxa"/>
            <w:gridSpan w:val="11"/>
            <w:tcBorders>
              <w:bottom w:val="single" w:color="auto" w:sz="4" w:space="0"/>
            </w:tcBorders>
            <w:noWrap w:val="0"/>
            <w:vAlign w:val="center"/>
          </w:tcPr>
          <w:p w14:paraId="17C9F472">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十一、档案管理（5%/5分）</w:t>
            </w:r>
          </w:p>
        </w:tc>
      </w:tr>
      <w:tr w14:paraId="073B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654" w:type="dxa"/>
            <w:tcBorders>
              <w:top w:val="single" w:color="auto" w:sz="4" w:space="0"/>
              <w:bottom w:val="single" w:color="auto" w:sz="4" w:space="0"/>
              <w:right w:val="single" w:color="auto" w:sz="4" w:space="0"/>
            </w:tcBorders>
            <w:noWrap w:val="0"/>
            <w:vAlign w:val="center"/>
          </w:tcPr>
          <w:p w14:paraId="376337B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2D015DC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11.1项目档案资料齐全、分类规范、查阅方便，包括不限于房屋档案，竣工总平面图，单体建筑、结构、设备竣工图，配套设施、地下管网竣工图等竣工验收资料，项目物业服务合同、招投标材料、人员花名册、劳动合同、租户基本信息、车辆信息档案、租赁合同、电梯消防等档案、公用设施设备档案、租金保证金水电费收缴档案、维修养护档案、车辆收费档案、投诉处理档案、专项服务外包管理档案、各类应急预案、员工培训档案、财务档案、日常管理档案等</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4E15411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7580EDE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EB0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54" w:type="dxa"/>
            <w:tcBorders>
              <w:top w:val="single" w:color="auto" w:sz="4" w:space="0"/>
              <w:bottom w:val="single" w:color="auto" w:sz="4" w:space="0"/>
              <w:right w:val="single" w:color="auto" w:sz="4" w:space="0"/>
            </w:tcBorders>
            <w:noWrap w:val="0"/>
            <w:vAlign w:val="center"/>
          </w:tcPr>
          <w:p w14:paraId="1D08526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92</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53C3AF6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11.2房屋共用部位、共用设施设备运行、维修、养护档案和住户信息档案实行动态管理，及时更新，及时归档，要求逐步实行档案纸制归档和电子归档两条线管理</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63FF659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29D8BD1E">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3724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tcBorders>
              <w:top w:val="single" w:color="auto" w:sz="4" w:space="0"/>
              <w:bottom w:val="single" w:color="auto" w:sz="4" w:space="0"/>
              <w:right w:val="single" w:color="auto" w:sz="4" w:space="0"/>
            </w:tcBorders>
            <w:noWrap w:val="0"/>
            <w:vAlign w:val="center"/>
          </w:tcPr>
          <w:p w14:paraId="66CFE15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93</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0D429787">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11.3各类档案存放环境符合规定条件，做好防潮防虫工作</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4049A0A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0FB650E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C78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tcBorders>
              <w:top w:val="single" w:color="auto" w:sz="4" w:space="0"/>
              <w:bottom w:val="single" w:color="auto" w:sz="4" w:space="0"/>
              <w:right w:val="single" w:color="auto" w:sz="4" w:space="0"/>
            </w:tcBorders>
            <w:noWrap w:val="0"/>
            <w:vAlign w:val="center"/>
          </w:tcPr>
          <w:p w14:paraId="1F02C1F3">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94</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7ADF5B61">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11.4小区开展的各类物业服务活动逐步建立图片、视频等电子存储档案</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34B53CF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22D995F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16A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tcBorders>
              <w:top w:val="single" w:color="auto" w:sz="4" w:space="0"/>
              <w:bottom w:val="single" w:color="auto" w:sz="4" w:space="0"/>
              <w:right w:val="single" w:color="auto" w:sz="4" w:space="0"/>
            </w:tcBorders>
            <w:noWrap w:val="0"/>
            <w:vAlign w:val="center"/>
          </w:tcPr>
          <w:p w14:paraId="10BF748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95</w:t>
            </w:r>
          </w:p>
        </w:tc>
        <w:tc>
          <w:tcPr>
            <w:tcW w:w="7274" w:type="dxa"/>
            <w:gridSpan w:val="6"/>
            <w:tcBorders>
              <w:top w:val="single" w:color="auto" w:sz="4" w:space="0"/>
              <w:left w:val="single" w:color="auto" w:sz="4" w:space="0"/>
              <w:bottom w:val="single" w:color="auto" w:sz="4" w:space="0"/>
              <w:right w:val="single" w:color="auto" w:sz="4" w:space="0"/>
            </w:tcBorders>
            <w:noWrap w:val="0"/>
            <w:vAlign w:val="center"/>
          </w:tcPr>
          <w:p w14:paraId="75E3E248">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11.5做好各类档案的保密工作，日常档案实行上锁管理，领取查阅要求登记记录，无泄露住户信息资料现象</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14:paraId="79699AC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tcBorders>
              <w:top w:val="single" w:color="auto" w:sz="4" w:space="0"/>
              <w:left w:val="single" w:color="auto" w:sz="4" w:space="0"/>
              <w:bottom w:val="single" w:color="auto" w:sz="4" w:space="0"/>
            </w:tcBorders>
            <w:noWrap w:val="0"/>
            <w:vAlign w:val="center"/>
          </w:tcPr>
          <w:p w14:paraId="5ABD108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D7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28" w:type="dxa"/>
            <w:gridSpan w:val="7"/>
            <w:tcBorders>
              <w:top w:val="single" w:color="auto" w:sz="4" w:space="0"/>
              <w:right w:val="single" w:color="auto" w:sz="4" w:space="0"/>
            </w:tcBorders>
            <w:noWrap w:val="0"/>
            <w:vAlign w:val="center"/>
          </w:tcPr>
          <w:p w14:paraId="033A8AAC">
            <w:pPr>
              <w:tabs>
                <w:tab w:val="left" w:pos="3716"/>
              </w:tabs>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b/>
            </w:r>
            <w:r>
              <w:rPr>
                <w:rFonts w:hint="eastAsia" w:ascii="宋体" w:hAnsi="宋体" w:eastAsia="宋体" w:cs="宋体"/>
                <w:color w:val="auto"/>
                <w:sz w:val="21"/>
                <w:szCs w:val="21"/>
                <w:highlight w:val="none"/>
                <w:vertAlign w:val="baseline"/>
                <w:lang w:val="en-US" w:eastAsia="zh-CN"/>
              </w:rPr>
              <w:t>第十一项小计</w:t>
            </w:r>
          </w:p>
        </w:tc>
        <w:tc>
          <w:tcPr>
            <w:tcW w:w="1155" w:type="dxa"/>
            <w:gridSpan w:val="3"/>
            <w:tcBorders>
              <w:top w:val="single" w:color="auto" w:sz="4" w:space="0"/>
              <w:right w:val="single" w:color="auto" w:sz="4" w:space="0"/>
            </w:tcBorders>
            <w:noWrap w:val="0"/>
            <w:vAlign w:val="center"/>
          </w:tcPr>
          <w:p w14:paraId="3B3DC43E">
            <w:pPr>
              <w:tabs>
                <w:tab w:val="left" w:pos="3716"/>
              </w:tabs>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5分</w:t>
            </w:r>
          </w:p>
        </w:tc>
        <w:tc>
          <w:tcPr>
            <w:tcW w:w="888" w:type="dxa"/>
            <w:tcBorders>
              <w:top w:val="single" w:color="auto" w:sz="4" w:space="0"/>
              <w:left w:val="single" w:color="auto" w:sz="4" w:space="0"/>
            </w:tcBorders>
            <w:noWrap w:val="0"/>
            <w:vAlign w:val="center"/>
          </w:tcPr>
          <w:p w14:paraId="7B530B1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810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71" w:type="dxa"/>
            <w:gridSpan w:val="11"/>
            <w:noWrap w:val="0"/>
            <w:vAlign w:val="center"/>
          </w:tcPr>
          <w:p w14:paraId="501477CF">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十二、企业服务（5%/5分）</w:t>
            </w:r>
          </w:p>
        </w:tc>
      </w:tr>
      <w:tr w14:paraId="21A1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4" w:type="dxa"/>
            <w:noWrap w:val="0"/>
            <w:vAlign w:val="center"/>
          </w:tcPr>
          <w:p w14:paraId="0F4A4220">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96</w:t>
            </w:r>
          </w:p>
        </w:tc>
        <w:tc>
          <w:tcPr>
            <w:tcW w:w="7274" w:type="dxa"/>
            <w:gridSpan w:val="6"/>
            <w:noWrap w:val="0"/>
            <w:vAlign w:val="center"/>
          </w:tcPr>
          <w:p w14:paraId="1B958EAC">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12.1设立物业服务租户企业服务中心，公示物业服务企业营业执照、项目负责人照片、服务电话等信息，有专人负责接待租户来访，24小时受理租户报修和投诉</w:t>
            </w:r>
          </w:p>
        </w:tc>
        <w:tc>
          <w:tcPr>
            <w:tcW w:w="1155" w:type="dxa"/>
            <w:gridSpan w:val="3"/>
            <w:noWrap w:val="0"/>
            <w:vAlign w:val="center"/>
          </w:tcPr>
          <w:p w14:paraId="7CF1AED9">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2589E2E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51A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103DDC7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97</w:t>
            </w:r>
          </w:p>
        </w:tc>
        <w:tc>
          <w:tcPr>
            <w:tcW w:w="7274" w:type="dxa"/>
            <w:gridSpan w:val="6"/>
            <w:noWrap w:val="0"/>
            <w:vAlign w:val="center"/>
          </w:tcPr>
          <w:p w14:paraId="2F157B32">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12.2客服接待人员值班记录及时，租户信息处理记录完整，按季进行统计分析不断提升改进服务标准</w:t>
            </w:r>
          </w:p>
        </w:tc>
        <w:tc>
          <w:tcPr>
            <w:tcW w:w="1155" w:type="dxa"/>
            <w:gridSpan w:val="3"/>
            <w:noWrap w:val="0"/>
            <w:vAlign w:val="center"/>
          </w:tcPr>
          <w:p w14:paraId="09DEA676">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3C882F7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5C6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62A2742C">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98</w:t>
            </w:r>
          </w:p>
        </w:tc>
        <w:tc>
          <w:tcPr>
            <w:tcW w:w="7274" w:type="dxa"/>
            <w:gridSpan w:val="6"/>
            <w:noWrap w:val="0"/>
            <w:vAlign w:val="center"/>
          </w:tcPr>
          <w:p w14:paraId="2C5C530E">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12.3严格按照合同和招投标文件规定的质量标准要求开展企业服务，协助租赁企业做好内部管理、防火安全、零星维修等其他服务</w:t>
            </w:r>
          </w:p>
        </w:tc>
        <w:tc>
          <w:tcPr>
            <w:tcW w:w="1155" w:type="dxa"/>
            <w:gridSpan w:val="3"/>
            <w:noWrap w:val="0"/>
            <w:vAlign w:val="center"/>
          </w:tcPr>
          <w:p w14:paraId="6D32AEF5">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0A1CF55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6557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472D997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99</w:t>
            </w:r>
          </w:p>
        </w:tc>
        <w:tc>
          <w:tcPr>
            <w:tcW w:w="7274" w:type="dxa"/>
            <w:gridSpan w:val="6"/>
            <w:noWrap w:val="0"/>
            <w:vAlign w:val="center"/>
          </w:tcPr>
          <w:p w14:paraId="31FBF9FD">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12.4每年至少开展一次租户企业满意率调查，具备条件的，可邀请第三方机构开展租户满意度测评</w:t>
            </w:r>
          </w:p>
        </w:tc>
        <w:tc>
          <w:tcPr>
            <w:tcW w:w="1155" w:type="dxa"/>
            <w:gridSpan w:val="3"/>
            <w:noWrap w:val="0"/>
            <w:vAlign w:val="center"/>
          </w:tcPr>
          <w:p w14:paraId="7245D35A">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64A63342">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8A0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noWrap w:val="0"/>
            <w:vAlign w:val="center"/>
          </w:tcPr>
          <w:p w14:paraId="22D500A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w:t>
            </w:r>
          </w:p>
        </w:tc>
        <w:tc>
          <w:tcPr>
            <w:tcW w:w="7274" w:type="dxa"/>
            <w:gridSpan w:val="6"/>
            <w:noWrap w:val="0"/>
            <w:vAlign w:val="center"/>
          </w:tcPr>
          <w:p w14:paraId="2BC3CBF0">
            <w:pPr>
              <w:spacing w:line="300" w:lineRule="exact"/>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12.5加强与小区租户企业的联系，多形式、多渠道收集租户企业对物业服务的建议意见，分析总结，不断改进完善</w:t>
            </w:r>
          </w:p>
        </w:tc>
        <w:tc>
          <w:tcPr>
            <w:tcW w:w="1155" w:type="dxa"/>
            <w:gridSpan w:val="3"/>
            <w:noWrap w:val="0"/>
            <w:vAlign w:val="center"/>
          </w:tcPr>
          <w:p w14:paraId="581A4F8F">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1分</w:t>
            </w:r>
          </w:p>
        </w:tc>
        <w:tc>
          <w:tcPr>
            <w:tcW w:w="888" w:type="dxa"/>
            <w:noWrap w:val="0"/>
            <w:vAlign w:val="center"/>
          </w:tcPr>
          <w:p w14:paraId="1055E784">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EAF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28" w:type="dxa"/>
            <w:gridSpan w:val="7"/>
            <w:noWrap w:val="0"/>
            <w:vAlign w:val="center"/>
          </w:tcPr>
          <w:p w14:paraId="725E47DD">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第十二项小计</w:t>
            </w:r>
          </w:p>
        </w:tc>
        <w:tc>
          <w:tcPr>
            <w:tcW w:w="1155" w:type="dxa"/>
            <w:gridSpan w:val="3"/>
            <w:noWrap w:val="0"/>
            <w:vAlign w:val="center"/>
          </w:tcPr>
          <w:p w14:paraId="398EA21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5分</w:t>
            </w:r>
          </w:p>
        </w:tc>
        <w:tc>
          <w:tcPr>
            <w:tcW w:w="888" w:type="dxa"/>
            <w:noWrap w:val="0"/>
            <w:vAlign w:val="center"/>
          </w:tcPr>
          <w:p w14:paraId="34187BCF">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512E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28" w:type="dxa"/>
            <w:gridSpan w:val="7"/>
            <w:noWrap w:val="0"/>
            <w:vAlign w:val="center"/>
          </w:tcPr>
          <w:p w14:paraId="5E3D1275">
            <w:pPr>
              <w:spacing w:line="300" w:lineRule="exact"/>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以上全部合计</w:t>
            </w:r>
          </w:p>
        </w:tc>
        <w:tc>
          <w:tcPr>
            <w:tcW w:w="1155" w:type="dxa"/>
            <w:gridSpan w:val="3"/>
            <w:noWrap w:val="0"/>
            <w:vAlign w:val="center"/>
          </w:tcPr>
          <w:p w14:paraId="4AB71DA7">
            <w:pPr>
              <w:spacing w:line="300" w:lineRule="exact"/>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100分</w:t>
            </w:r>
          </w:p>
        </w:tc>
        <w:tc>
          <w:tcPr>
            <w:tcW w:w="888" w:type="dxa"/>
            <w:noWrap w:val="0"/>
            <w:vAlign w:val="center"/>
          </w:tcPr>
          <w:p w14:paraId="08CB6E2A">
            <w:pPr>
              <w:spacing w:line="300" w:lineRule="exact"/>
              <w:jc w:val="center"/>
              <w:rPr>
                <w:rFonts w:hint="eastAsia" w:ascii="宋体" w:hAnsi="宋体" w:eastAsia="宋体" w:cs="宋体"/>
                <w:b/>
                <w:bCs/>
                <w:color w:val="auto"/>
                <w:sz w:val="21"/>
                <w:szCs w:val="21"/>
                <w:highlight w:val="none"/>
                <w:vertAlign w:val="baseline"/>
                <w:lang w:val="en-US" w:eastAsia="zh-CN"/>
              </w:rPr>
            </w:pPr>
          </w:p>
        </w:tc>
      </w:tr>
      <w:tr w14:paraId="22F3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restart"/>
            <w:noWrap w:val="0"/>
            <w:vAlign w:val="center"/>
          </w:tcPr>
          <w:p w14:paraId="0B81D84B">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其他扣分</w:t>
            </w:r>
          </w:p>
          <w:p w14:paraId="2DFFB922">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加分因素</w:t>
            </w:r>
          </w:p>
        </w:tc>
        <w:tc>
          <w:tcPr>
            <w:tcW w:w="6296" w:type="dxa"/>
            <w:gridSpan w:val="4"/>
            <w:noWrap w:val="0"/>
            <w:vAlign w:val="center"/>
          </w:tcPr>
          <w:p w14:paraId="4B45C3E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经查实因物业管理原因造成重大安全事故</w:t>
            </w:r>
          </w:p>
        </w:tc>
        <w:tc>
          <w:tcPr>
            <w:tcW w:w="1155" w:type="dxa"/>
            <w:gridSpan w:val="3"/>
            <w:noWrap w:val="0"/>
            <w:vAlign w:val="center"/>
          </w:tcPr>
          <w:p w14:paraId="226F56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扣10分/当季</w:t>
            </w:r>
          </w:p>
        </w:tc>
        <w:tc>
          <w:tcPr>
            <w:tcW w:w="888" w:type="dxa"/>
            <w:noWrap w:val="0"/>
            <w:vAlign w:val="center"/>
          </w:tcPr>
          <w:p w14:paraId="564B0E60">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7693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7E8D6B6B">
            <w:pPr>
              <w:spacing w:line="30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49DBEF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下发整改通知书逾期未整改或整改不到位</w:t>
            </w:r>
          </w:p>
        </w:tc>
        <w:tc>
          <w:tcPr>
            <w:tcW w:w="1155" w:type="dxa"/>
            <w:gridSpan w:val="3"/>
            <w:noWrap w:val="0"/>
            <w:vAlign w:val="center"/>
          </w:tcPr>
          <w:p w14:paraId="130B48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扣5分/当季</w:t>
            </w:r>
          </w:p>
        </w:tc>
        <w:tc>
          <w:tcPr>
            <w:tcW w:w="888" w:type="dxa"/>
            <w:noWrap w:val="0"/>
            <w:vAlign w:val="center"/>
          </w:tcPr>
          <w:p w14:paraId="2BBED561">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20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6BF9C1A1">
            <w:pPr>
              <w:spacing w:line="30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09D6941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经查实门卫室、监控室和消控室无人值守</w:t>
            </w:r>
          </w:p>
        </w:tc>
        <w:tc>
          <w:tcPr>
            <w:tcW w:w="1155" w:type="dxa"/>
            <w:gridSpan w:val="3"/>
            <w:noWrap w:val="0"/>
            <w:vAlign w:val="center"/>
          </w:tcPr>
          <w:p w14:paraId="4346C4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扣5分/当季</w:t>
            </w:r>
          </w:p>
        </w:tc>
        <w:tc>
          <w:tcPr>
            <w:tcW w:w="888" w:type="dxa"/>
            <w:noWrap w:val="0"/>
            <w:vAlign w:val="center"/>
          </w:tcPr>
          <w:p w14:paraId="3FC6CD7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21AE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001E1A61">
            <w:pPr>
              <w:spacing w:line="30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1EED72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项目获得区级表彰荣誉</w:t>
            </w:r>
          </w:p>
        </w:tc>
        <w:tc>
          <w:tcPr>
            <w:tcW w:w="1155" w:type="dxa"/>
            <w:gridSpan w:val="3"/>
            <w:noWrap w:val="0"/>
            <w:vAlign w:val="center"/>
          </w:tcPr>
          <w:p w14:paraId="6539E7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加5分/当季</w:t>
            </w:r>
          </w:p>
        </w:tc>
        <w:tc>
          <w:tcPr>
            <w:tcW w:w="888" w:type="dxa"/>
            <w:noWrap w:val="0"/>
            <w:vAlign w:val="center"/>
          </w:tcPr>
          <w:p w14:paraId="77EC5539">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0B39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01075E80">
            <w:pPr>
              <w:spacing w:line="30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4F85877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项目获得市级表彰荣誉</w:t>
            </w:r>
          </w:p>
        </w:tc>
        <w:tc>
          <w:tcPr>
            <w:tcW w:w="1155" w:type="dxa"/>
            <w:gridSpan w:val="3"/>
            <w:noWrap w:val="0"/>
            <w:vAlign w:val="center"/>
          </w:tcPr>
          <w:p w14:paraId="39DB83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加8分/当季</w:t>
            </w:r>
          </w:p>
        </w:tc>
        <w:tc>
          <w:tcPr>
            <w:tcW w:w="888" w:type="dxa"/>
            <w:noWrap w:val="0"/>
            <w:vAlign w:val="center"/>
          </w:tcPr>
          <w:p w14:paraId="2611993B">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F75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32" w:type="dxa"/>
            <w:gridSpan w:val="3"/>
            <w:vMerge w:val="continue"/>
            <w:noWrap w:val="0"/>
            <w:vAlign w:val="center"/>
          </w:tcPr>
          <w:p w14:paraId="20F82F9C">
            <w:pPr>
              <w:spacing w:line="300" w:lineRule="exact"/>
              <w:jc w:val="center"/>
              <w:rPr>
                <w:rFonts w:hint="eastAsia" w:ascii="宋体" w:hAnsi="宋体" w:eastAsia="宋体" w:cs="宋体"/>
                <w:color w:val="auto"/>
                <w:sz w:val="21"/>
                <w:szCs w:val="21"/>
                <w:highlight w:val="none"/>
                <w:vertAlign w:val="baseline"/>
                <w:lang w:val="en-US" w:eastAsia="zh-CN"/>
              </w:rPr>
            </w:pPr>
          </w:p>
        </w:tc>
        <w:tc>
          <w:tcPr>
            <w:tcW w:w="6296" w:type="dxa"/>
            <w:gridSpan w:val="4"/>
            <w:noWrap w:val="0"/>
            <w:vAlign w:val="center"/>
          </w:tcPr>
          <w:p w14:paraId="6239AB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项目获得省级表彰荣誉</w:t>
            </w:r>
          </w:p>
        </w:tc>
        <w:tc>
          <w:tcPr>
            <w:tcW w:w="1155" w:type="dxa"/>
            <w:gridSpan w:val="3"/>
            <w:noWrap w:val="0"/>
            <w:vAlign w:val="center"/>
          </w:tcPr>
          <w:p w14:paraId="346FED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加10分/当季</w:t>
            </w:r>
          </w:p>
        </w:tc>
        <w:tc>
          <w:tcPr>
            <w:tcW w:w="888" w:type="dxa"/>
            <w:noWrap w:val="0"/>
            <w:vAlign w:val="center"/>
          </w:tcPr>
          <w:p w14:paraId="7E92C8DA">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490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9971" w:type="dxa"/>
            <w:gridSpan w:val="11"/>
            <w:noWrap w:val="0"/>
            <w:vAlign w:val="center"/>
          </w:tcPr>
          <w:p w14:paraId="3AEC588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备注：（1）考核内容有得分，无或不合格不得分。本考核未列明事宜可参考《安徽省地方标准-物业管理区域安全管理规范DB34/T 4390-2023》。</w:t>
            </w:r>
          </w:p>
          <w:p w14:paraId="1A12E705">
            <w:pPr>
              <w:keepNext w:val="0"/>
              <w:keepLines w:val="0"/>
              <w:pageBreakBefore w:val="0"/>
              <w:numPr>
                <w:ilvl w:val="0"/>
                <w:numId w:val="10"/>
              </w:numPr>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按季</w:t>
            </w:r>
            <w:r>
              <w:rPr>
                <w:rFonts w:hint="eastAsia" w:ascii="宋体" w:hAnsi="宋体" w:eastAsia="宋体" w:cs="宋体"/>
                <w:b w:val="0"/>
                <w:bCs w:val="0"/>
                <w:color w:val="auto"/>
                <w:sz w:val="21"/>
                <w:szCs w:val="21"/>
                <w:highlight w:val="none"/>
                <w:lang w:val="en-US" w:eastAsia="zh-CN"/>
              </w:rPr>
              <w:t>度（3个月）</w:t>
            </w:r>
            <w:r>
              <w:rPr>
                <w:rFonts w:hint="eastAsia" w:ascii="宋体" w:hAnsi="宋体" w:eastAsia="宋体" w:cs="宋体"/>
                <w:b w:val="0"/>
                <w:bCs w:val="0"/>
                <w:color w:val="auto"/>
                <w:sz w:val="21"/>
                <w:szCs w:val="21"/>
                <w:highlight w:val="none"/>
              </w:rPr>
              <w:t>考核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结合平时不定期考核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，逐项核实，按季</w:t>
            </w:r>
            <w:r>
              <w:rPr>
                <w:rFonts w:hint="eastAsia" w:ascii="宋体" w:hAnsi="宋体" w:eastAsia="宋体" w:cs="宋体"/>
                <w:b w:val="0"/>
                <w:bCs w:val="0"/>
                <w:color w:val="auto"/>
                <w:sz w:val="21"/>
                <w:szCs w:val="21"/>
                <w:highlight w:val="none"/>
                <w:lang w:val="en-US" w:eastAsia="zh-CN"/>
              </w:rPr>
              <w:t>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3个月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考核结果结算</w:t>
            </w:r>
            <w:r>
              <w:rPr>
                <w:rFonts w:hint="eastAsia" w:ascii="宋体" w:hAnsi="宋体" w:eastAsia="宋体" w:cs="宋体"/>
                <w:b w:val="0"/>
                <w:bCs w:val="0"/>
                <w:color w:val="auto"/>
                <w:sz w:val="21"/>
                <w:szCs w:val="21"/>
                <w:highlight w:val="none"/>
              </w:rPr>
              <w:t>付款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每月15日前固定预付上月费用10万元，剩余按季考核结果结算付清)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预付固定费用需核实已支付人员和项目费用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按季</w:t>
            </w:r>
            <w:r>
              <w:rPr>
                <w:rFonts w:hint="eastAsia" w:ascii="宋体" w:hAnsi="宋体" w:eastAsia="宋体" w:cs="宋体"/>
                <w:b w:val="0"/>
                <w:bCs w:val="0"/>
                <w:color w:val="auto"/>
                <w:sz w:val="21"/>
                <w:szCs w:val="21"/>
                <w:highlight w:val="none"/>
                <w:lang w:val="en-US" w:eastAsia="zh-CN"/>
              </w:rPr>
              <w:t>度考核核实后实际金额</w:t>
            </w:r>
            <w:r>
              <w:rPr>
                <w:rFonts w:hint="eastAsia" w:ascii="宋体" w:hAnsi="宋体" w:eastAsia="宋体" w:cs="宋体"/>
                <w:b w:val="0"/>
                <w:bCs w:val="0"/>
                <w:color w:val="auto"/>
                <w:sz w:val="21"/>
                <w:szCs w:val="21"/>
                <w:highlight w:val="none"/>
              </w:rPr>
              <w:t>支付</w:t>
            </w:r>
            <w:r>
              <w:rPr>
                <w:rFonts w:hint="eastAsia" w:ascii="宋体" w:hAnsi="宋体" w:eastAsia="宋体" w:cs="宋体"/>
                <w:b w:val="0"/>
                <w:bCs w:val="0"/>
                <w:color w:val="auto"/>
                <w:sz w:val="21"/>
                <w:szCs w:val="21"/>
                <w:highlight w:val="none"/>
                <w:lang w:val="en-US" w:eastAsia="zh-CN"/>
              </w:rPr>
              <w:t>当季</w:t>
            </w:r>
            <w:r>
              <w:rPr>
                <w:rFonts w:hint="eastAsia" w:ascii="宋体" w:hAnsi="宋体" w:eastAsia="宋体" w:cs="宋体"/>
                <w:b w:val="0"/>
                <w:bCs w:val="0"/>
                <w:color w:val="auto"/>
                <w:sz w:val="21"/>
                <w:szCs w:val="21"/>
                <w:highlight w:val="none"/>
              </w:rPr>
              <w:t>物业服务费用（由人员费用、项目费用、利润和税费</w:t>
            </w:r>
            <w:r>
              <w:rPr>
                <w:rFonts w:hint="eastAsia" w:ascii="宋体" w:hAnsi="宋体" w:eastAsia="宋体" w:cs="宋体"/>
                <w:b w:val="0"/>
                <w:bCs w:val="0"/>
                <w:color w:val="auto"/>
                <w:sz w:val="21"/>
                <w:szCs w:val="21"/>
                <w:highlight w:val="none"/>
                <w:lang w:val="en-US" w:eastAsia="zh-CN"/>
              </w:rPr>
              <w:t>实付总额</w:t>
            </w:r>
            <w:r>
              <w:rPr>
                <w:rFonts w:hint="eastAsia" w:ascii="宋体" w:hAnsi="宋体" w:eastAsia="宋体" w:cs="宋体"/>
                <w:b w:val="0"/>
                <w:bCs w:val="0"/>
                <w:color w:val="auto"/>
                <w:sz w:val="21"/>
                <w:szCs w:val="21"/>
                <w:highlight w:val="none"/>
              </w:rPr>
              <w:t>组成），其中人员费用和项目费用按实际</w:t>
            </w:r>
            <w:r>
              <w:rPr>
                <w:rFonts w:hint="eastAsia" w:ascii="宋体" w:hAnsi="宋体" w:eastAsia="宋体" w:cs="宋体"/>
                <w:b w:val="0"/>
                <w:bCs w:val="0"/>
                <w:color w:val="auto"/>
                <w:sz w:val="21"/>
                <w:szCs w:val="21"/>
                <w:highlight w:val="none"/>
                <w:lang w:val="en-US" w:eastAsia="zh-CN"/>
              </w:rPr>
              <w:t>总</w:t>
            </w:r>
            <w:r>
              <w:rPr>
                <w:rFonts w:hint="eastAsia" w:ascii="宋体" w:hAnsi="宋体" w:eastAsia="宋体" w:cs="宋体"/>
                <w:b w:val="0"/>
                <w:bCs w:val="0"/>
                <w:color w:val="auto"/>
                <w:sz w:val="21"/>
                <w:szCs w:val="21"/>
                <w:highlight w:val="none"/>
              </w:rPr>
              <w:t>支出</w:t>
            </w:r>
            <w:r>
              <w:rPr>
                <w:rFonts w:hint="eastAsia" w:ascii="宋体" w:hAnsi="宋体" w:eastAsia="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rPr>
              <w:t>不超固定</w:t>
            </w:r>
            <w:r>
              <w:rPr>
                <w:rFonts w:hint="eastAsia" w:ascii="宋体" w:hAnsi="宋体" w:eastAsia="宋体" w:cs="宋体"/>
                <w:b w:val="0"/>
                <w:bCs w:val="0"/>
                <w:color w:val="auto"/>
                <w:sz w:val="21"/>
                <w:szCs w:val="21"/>
                <w:highlight w:val="none"/>
                <w:lang w:val="en-US" w:eastAsia="zh-CN"/>
              </w:rPr>
              <w:t>总</w:t>
            </w:r>
            <w:r>
              <w:rPr>
                <w:rFonts w:hint="eastAsia" w:ascii="宋体" w:hAnsi="宋体" w:eastAsia="宋体" w:cs="宋体"/>
                <w:b w:val="0"/>
                <w:bCs w:val="0"/>
                <w:color w:val="auto"/>
                <w:sz w:val="21"/>
                <w:szCs w:val="21"/>
                <w:highlight w:val="none"/>
              </w:rPr>
              <w:t>额度支付，利润按投标费率%*（人员费用季度实际金额+项目费用季度实际金额）*季度考核分值百分比%确定本季本项金额。</w:t>
            </w:r>
            <w:r>
              <w:rPr>
                <w:rFonts w:hint="eastAsia" w:ascii="宋体" w:hAnsi="宋体" w:eastAsia="宋体" w:cs="宋体"/>
                <w:b w:val="0"/>
                <w:bCs w:val="0"/>
                <w:color w:val="auto"/>
                <w:sz w:val="21"/>
                <w:szCs w:val="21"/>
                <w:highlight w:val="none"/>
                <w:lang w:val="en-US" w:eastAsia="zh-CN"/>
              </w:rPr>
              <w:t>季度</w:t>
            </w:r>
            <w:r>
              <w:rPr>
                <w:rFonts w:hint="eastAsia" w:ascii="宋体" w:hAnsi="宋体" w:eastAsia="宋体" w:cs="宋体"/>
                <w:b w:val="0"/>
                <w:bCs w:val="0"/>
                <w:color w:val="auto"/>
                <w:sz w:val="21"/>
                <w:szCs w:val="21"/>
                <w:highlight w:val="none"/>
              </w:rPr>
              <w:t>考核分值90分及以上</w:t>
            </w:r>
            <w:r>
              <w:rPr>
                <w:rFonts w:hint="eastAsia" w:ascii="宋体" w:hAnsi="宋体" w:eastAsia="宋体" w:cs="宋体"/>
                <w:b w:val="0"/>
                <w:bCs w:val="0"/>
                <w:color w:val="auto"/>
                <w:sz w:val="21"/>
                <w:szCs w:val="21"/>
                <w:highlight w:val="none"/>
                <w:lang w:val="en-US" w:eastAsia="zh-CN"/>
              </w:rPr>
              <w:t>利润</w:t>
            </w:r>
            <w:r>
              <w:rPr>
                <w:rFonts w:hint="eastAsia" w:ascii="宋体" w:hAnsi="宋体" w:eastAsia="宋体" w:cs="宋体"/>
                <w:b w:val="0"/>
                <w:bCs w:val="0"/>
                <w:color w:val="auto"/>
                <w:sz w:val="21"/>
                <w:szCs w:val="21"/>
                <w:highlight w:val="none"/>
              </w:rPr>
              <w:t>按100%，80</w:t>
            </w:r>
            <w:r>
              <w:rPr>
                <w:rFonts w:hint="eastAsia" w:ascii="宋体" w:hAnsi="宋体" w:eastAsia="宋体" w:cs="宋体"/>
                <w:b w:val="0"/>
                <w:bCs w:val="0"/>
                <w:color w:val="auto"/>
                <w:sz w:val="21"/>
                <w:szCs w:val="21"/>
                <w:highlight w:val="none"/>
                <w:lang w:val="en-US" w:eastAsia="zh-CN"/>
              </w:rPr>
              <w:t>分（含）至90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不含）利润</w:t>
            </w:r>
            <w:r>
              <w:rPr>
                <w:rFonts w:hint="eastAsia" w:ascii="宋体" w:hAnsi="宋体" w:eastAsia="宋体" w:cs="宋体"/>
                <w:b w:val="0"/>
                <w:bCs w:val="0"/>
                <w:color w:val="auto"/>
                <w:sz w:val="21"/>
                <w:szCs w:val="21"/>
                <w:highlight w:val="none"/>
              </w:rPr>
              <w:t>按90%，</w:t>
            </w:r>
            <w:r>
              <w:rPr>
                <w:rFonts w:hint="eastAsia" w:ascii="宋体" w:hAnsi="宋体" w:eastAsia="宋体" w:cs="宋体"/>
                <w:b w:val="0"/>
                <w:bCs w:val="0"/>
                <w:color w:val="auto"/>
                <w:sz w:val="21"/>
                <w:szCs w:val="21"/>
                <w:highlight w:val="none"/>
                <w:lang w:val="en-US" w:eastAsia="zh-CN"/>
              </w:rPr>
              <w:t>80</w:t>
            </w:r>
            <w:r>
              <w:rPr>
                <w:rFonts w:hint="eastAsia" w:ascii="宋体" w:hAnsi="宋体" w:eastAsia="宋体" w:cs="宋体"/>
                <w:b w:val="0"/>
                <w:bCs w:val="0"/>
                <w:color w:val="auto"/>
                <w:sz w:val="21"/>
                <w:szCs w:val="21"/>
                <w:highlight w:val="none"/>
              </w:rPr>
              <w:t>分以下</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w:t>
            </w:r>
            <w:r>
              <w:rPr>
                <w:rFonts w:hint="eastAsia" w:ascii="宋体" w:hAnsi="宋体" w:eastAsia="宋体" w:cs="宋体"/>
                <w:b w:val="0"/>
                <w:bCs w:val="0"/>
                <w:color w:val="auto"/>
                <w:sz w:val="21"/>
                <w:szCs w:val="21"/>
                <w:highlight w:val="none"/>
              </w:rPr>
              <w:t>不予支付，若平时有扣款则从利润项扣除，不足则从其他</w:t>
            </w:r>
            <w:r>
              <w:rPr>
                <w:rFonts w:hint="eastAsia" w:ascii="宋体" w:hAnsi="宋体" w:eastAsia="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rPr>
              <w:t>扣除。税费按实付金额（人员费用季度实际金额+项目费用季度实际金额+利润季度金额）*6%或实际开票税率确定本季</w:t>
            </w:r>
            <w:r>
              <w:rPr>
                <w:rFonts w:hint="eastAsia" w:ascii="宋体" w:hAnsi="宋体" w:eastAsia="宋体" w:cs="宋体"/>
                <w:b w:val="0"/>
                <w:bCs w:val="0"/>
                <w:color w:val="auto"/>
                <w:sz w:val="21"/>
                <w:szCs w:val="21"/>
                <w:highlight w:val="none"/>
                <w:lang w:val="en-US" w:eastAsia="zh-CN"/>
              </w:rPr>
              <w:t>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3个月）</w:t>
            </w:r>
            <w:r>
              <w:rPr>
                <w:rFonts w:hint="eastAsia" w:ascii="宋体" w:hAnsi="宋体" w:eastAsia="宋体" w:cs="宋体"/>
                <w:b w:val="0"/>
                <w:bCs w:val="0"/>
                <w:color w:val="auto"/>
                <w:sz w:val="21"/>
                <w:szCs w:val="21"/>
                <w:highlight w:val="none"/>
              </w:rPr>
              <w:t>本项金额。合同履行期</w:t>
            </w:r>
            <w:r>
              <w:rPr>
                <w:rFonts w:hint="eastAsia" w:ascii="宋体" w:hAnsi="宋体" w:eastAsia="宋体" w:cs="宋体"/>
                <w:b w:val="0"/>
                <w:bCs w:val="0"/>
                <w:color w:val="auto"/>
                <w:kern w:val="2"/>
                <w:sz w:val="21"/>
                <w:szCs w:val="21"/>
                <w:highlight w:val="none"/>
                <w:u w:val="none" w:color="000000"/>
                <w:lang w:val="en-US" w:eastAsia="zh-CN" w:bidi="ar-SA"/>
              </w:rPr>
              <w:t>内合同一年一签</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上</w:t>
            </w:r>
            <w:r>
              <w:rPr>
                <w:rFonts w:hint="eastAsia" w:ascii="宋体" w:hAnsi="宋体" w:eastAsia="宋体" w:cs="宋体"/>
                <w:b w:val="0"/>
                <w:bCs w:val="0"/>
                <w:color w:val="auto"/>
                <w:sz w:val="21"/>
                <w:szCs w:val="21"/>
                <w:highlight w:val="none"/>
              </w:rPr>
              <w:t>年考核标准平均分值达90分及以上续签下一年合同，低于90分以下或有</w:t>
            </w:r>
            <w:r>
              <w:rPr>
                <w:rFonts w:hint="eastAsia" w:ascii="宋体" w:hAnsi="宋体" w:eastAsia="宋体" w:cs="宋体"/>
                <w:b w:val="0"/>
                <w:bCs w:val="0"/>
                <w:color w:val="auto"/>
                <w:sz w:val="21"/>
                <w:szCs w:val="21"/>
                <w:highlight w:val="none"/>
                <w:lang w:val="en-US" w:eastAsia="zh-CN"/>
              </w:rPr>
              <w:t>重大</w:t>
            </w:r>
            <w:r>
              <w:rPr>
                <w:rFonts w:hint="eastAsia" w:ascii="宋体" w:hAnsi="宋体" w:eastAsia="宋体" w:cs="宋体"/>
                <w:b w:val="0"/>
                <w:bCs w:val="0"/>
                <w:color w:val="auto"/>
                <w:sz w:val="21"/>
                <w:szCs w:val="21"/>
                <w:highlight w:val="none"/>
              </w:rPr>
              <w:t>不良记录不予续签，则重新招标</w:t>
            </w:r>
            <w:r>
              <w:rPr>
                <w:rFonts w:hint="eastAsia" w:ascii="宋体" w:hAnsi="宋体" w:eastAsia="宋体" w:cs="宋体"/>
                <w:b w:val="0"/>
                <w:bCs w:val="0"/>
                <w:color w:val="auto"/>
                <w:sz w:val="21"/>
                <w:szCs w:val="21"/>
                <w:highlight w:val="none"/>
                <w:lang w:eastAsia="zh-CN"/>
              </w:rPr>
              <w:t>。</w:t>
            </w:r>
          </w:p>
          <w:p w14:paraId="564ABB2E">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vertAlign w:val="baseline"/>
                <w:lang w:val="en-US" w:eastAsia="zh-CN"/>
              </w:rPr>
              <w:t>平时检查发现有不符合考核标准要求的且不及时整改的可以视情节严重扣除款项500-2000元/次。</w:t>
            </w:r>
          </w:p>
          <w:p w14:paraId="2B2B79AC">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（4）本物业考核标准业主单位可根据实际情况进行调整。</w:t>
            </w:r>
          </w:p>
        </w:tc>
      </w:tr>
      <w:tr w14:paraId="0579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71" w:type="dxa"/>
            <w:gridSpan w:val="11"/>
            <w:noWrap w:val="0"/>
            <w:vAlign w:val="center"/>
          </w:tcPr>
          <w:p w14:paraId="5ACAACA3">
            <w:pPr>
              <w:spacing w:line="3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项目费用核查（核查合同、服务内容、银行流水、发票等）</w:t>
            </w:r>
          </w:p>
        </w:tc>
      </w:tr>
      <w:tr w14:paraId="4DAC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043949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625" w:type="dxa"/>
            <w:gridSpan w:val="2"/>
            <w:noWrap w:val="0"/>
            <w:vAlign w:val="center"/>
          </w:tcPr>
          <w:p w14:paraId="2220A7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项目内容</w:t>
            </w:r>
          </w:p>
        </w:tc>
        <w:tc>
          <w:tcPr>
            <w:tcW w:w="1687" w:type="dxa"/>
            <w:noWrap w:val="0"/>
            <w:vAlign w:val="center"/>
          </w:tcPr>
          <w:p w14:paraId="5A60DF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季费用上限标准</w:t>
            </w:r>
          </w:p>
        </w:tc>
        <w:tc>
          <w:tcPr>
            <w:tcW w:w="2068" w:type="dxa"/>
            <w:noWrap w:val="0"/>
            <w:vAlign w:val="center"/>
          </w:tcPr>
          <w:p w14:paraId="70CEF6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核查实际支出</w:t>
            </w:r>
          </w:p>
        </w:tc>
        <w:tc>
          <w:tcPr>
            <w:tcW w:w="1425" w:type="dxa"/>
            <w:gridSpan w:val="3"/>
            <w:noWrap w:val="0"/>
            <w:vAlign w:val="center"/>
          </w:tcPr>
          <w:p w14:paraId="1A9944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核查人1</w:t>
            </w:r>
          </w:p>
        </w:tc>
        <w:tc>
          <w:tcPr>
            <w:tcW w:w="1276" w:type="dxa"/>
            <w:gridSpan w:val="2"/>
            <w:noWrap w:val="0"/>
            <w:vAlign w:val="center"/>
          </w:tcPr>
          <w:p w14:paraId="4A8A7A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核查人2</w:t>
            </w:r>
          </w:p>
        </w:tc>
      </w:tr>
      <w:tr w14:paraId="401A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0B8AC3AB">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w:t>
            </w:r>
            <w:r>
              <w:rPr>
                <w:rFonts w:hint="eastAsia" w:ascii="宋体" w:hAnsi="宋体" w:eastAsia="宋体" w:cs="宋体"/>
                <w:b/>
                <w:bCs/>
                <w:color w:val="auto"/>
                <w:kern w:val="2"/>
                <w:sz w:val="21"/>
                <w:szCs w:val="21"/>
                <w:highlight w:val="none"/>
                <w:vertAlign w:val="baseline"/>
                <w:lang w:val="en-US" w:eastAsia="zh-CN" w:bidi="ar-SA"/>
              </w:rPr>
              <w:t>人员费用/27人</w:t>
            </w:r>
          </w:p>
        </w:tc>
      </w:tr>
      <w:tr w14:paraId="21C0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0338C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2625" w:type="dxa"/>
            <w:gridSpan w:val="2"/>
            <w:noWrap w:val="0"/>
            <w:vAlign w:val="center"/>
          </w:tcPr>
          <w:p w14:paraId="508374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项目经理/1人</w:t>
            </w:r>
          </w:p>
        </w:tc>
        <w:tc>
          <w:tcPr>
            <w:tcW w:w="1687" w:type="dxa"/>
            <w:noWrap w:val="0"/>
            <w:vAlign w:val="center"/>
          </w:tcPr>
          <w:p w14:paraId="7128AF4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25740元/季</w:t>
            </w:r>
          </w:p>
        </w:tc>
        <w:tc>
          <w:tcPr>
            <w:tcW w:w="2068" w:type="dxa"/>
            <w:noWrap w:val="0"/>
            <w:vAlign w:val="center"/>
          </w:tcPr>
          <w:p w14:paraId="012D23F2">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22BC4A06">
            <w:pPr>
              <w:spacing w:line="300" w:lineRule="exact"/>
              <w:jc w:val="center"/>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5514820C">
            <w:pPr>
              <w:spacing w:line="300" w:lineRule="exact"/>
              <w:jc w:val="center"/>
              <w:rPr>
                <w:rFonts w:hint="eastAsia" w:ascii="宋体" w:hAnsi="宋体" w:eastAsia="宋体" w:cs="宋体"/>
                <w:color w:val="auto"/>
                <w:sz w:val="21"/>
                <w:szCs w:val="21"/>
                <w:highlight w:val="none"/>
                <w:vertAlign w:val="baseline"/>
                <w:lang w:val="en-US" w:eastAsia="zh-CN"/>
              </w:rPr>
            </w:pPr>
          </w:p>
        </w:tc>
      </w:tr>
      <w:tr w14:paraId="186D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11C73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2625" w:type="dxa"/>
            <w:gridSpan w:val="2"/>
            <w:noWrap w:val="0"/>
            <w:vAlign w:val="center"/>
          </w:tcPr>
          <w:p w14:paraId="01DE43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项目主管/1人</w:t>
            </w:r>
          </w:p>
        </w:tc>
        <w:tc>
          <w:tcPr>
            <w:tcW w:w="1687" w:type="dxa"/>
            <w:noWrap w:val="0"/>
            <w:vAlign w:val="center"/>
          </w:tcPr>
          <w:p w14:paraId="4D60111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21840元/季</w:t>
            </w:r>
          </w:p>
        </w:tc>
        <w:tc>
          <w:tcPr>
            <w:tcW w:w="2068" w:type="dxa"/>
            <w:noWrap w:val="0"/>
            <w:vAlign w:val="center"/>
          </w:tcPr>
          <w:p w14:paraId="034FA8D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59E1AB7F">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0657DC7D">
            <w:pPr>
              <w:spacing w:line="300" w:lineRule="exact"/>
              <w:jc w:val="left"/>
              <w:rPr>
                <w:rFonts w:hint="eastAsia" w:ascii="宋体" w:hAnsi="宋体" w:eastAsia="宋体" w:cs="宋体"/>
                <w:color w:val="auto"/>
                <w:sz w:val="21"/>
                <w:szCs w:val="21"/>
                <w:highlight w:val="none"/>
                <w:vertAlign w:val="baseline"/>
                <w:lang w:val="en-US" w:eastAsia="zh-CN"/>
              </w:rPr>
            </w:pPr>
          </w:p>
        </w:tc>
      </w:tr>
      <w:tr w14:paraId="1532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382EC0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2625" w:type="dxa"/>
            <w:gridSpan w:val="2"/>
            <w:noWrap w:val="0"/>
            <w:vAlign w:val="center"/>
          </w:tcPr>
          <w:p w14:paraId="68062C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客服兼管家</w:t>
            </w:r>
            <w:r>
              <w:rPr>
                <w:rFonts w:hint="eastAsia" w:ascii="宋体" w:hAnsi="宋体" w:eastAsia="宋体" w:cs="宋体"/>
                <w:color w:val="auto"/>
                <w:kern w:val="2"/>
                <w:sz w:val="21"/>
                <w:szCs w:val="21"/>
                <w:highlight w:val="none"/>
                <w:vertAlign w:val="baseline"/>
                <w:lang w:val="en-US" w:eastAsia="zh-CN" w:bidi="ar-SA"/>
              </w:rPr>
              <w:t>/2人</w:t>
            </w:r>
          </w:p>
        </w:tc>
        <w:tc>
          <w:tcPr>
            <w:tcW w:w="1687" w:type="dxa"/>
            <w:noWrap w:val="0"/>
            <w:vAlign w:val="center"/>
          </w:tcPr>
          <w:p w14:paraId="1E1916A1">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33540元/季</w:t>
            </w:r>
          </w:p>
        </w:tc>
        <w:tc>
          <w:tcPr>
            <w:tcW w:w="2068" w:type="dxa"/>
            <w:noWrap w:val="0"/>
            <w:vAlign w:val="center"/>
          </w:tcPr>
          <w:p w14:paraId="05247E3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3C7777A6">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07FEAA3">
            <w:pPr>
              <w:spacing w:line="300" w:lineRule="exact"/>
              <w:jc w:val="left"/>
              <w:rPr>
                <w:rFonts w:hint="eastAsia" w:ascii="宋体" w:hAnsi="宋体" w:eastAsia="宋体" w:cs="宋体"/>
                <w:color w:val="auto"/>
                <w:sz w:val="21"/>
                <w:szCs w:val="21"/>
                <w:highlight w:val="none"/>
                <w:vertAlign w:val="baseline"/>
                <w:lang w:val="en-US" w:eastAsia="zh-CN"/>
              </w:rPr>
            </w:pPr>
          </w:p>
        </w:tc>
      </w:tr>
      <w:tr w14:paraId="3D03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071DD6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2625" w:type="dxa"/>
            <w:gridSpan w:val="2"/>
            <w:noWrap w:val="0"/>
            <w:vAlign w:val="center"/>
          </w:tcPr>
          <w:p w14:paraId="5CAA28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文员兼人事</w:t>
            </w:r>
            <w:r>
              <w:rPr>
                <w:rFonts w:hint="eastAsia" w:ascii="宋体" w:hAnsi="宋体" w:eastAsia="宋体" w:cs="宋体"/>
                <w:color w:val="auto"/>
                <w:kern w:val="2"/>
                <w:sz w:val="21"/>
                <w:szCs w:val="21"/>
                <w:highlight w:val="none"/>
                <w:vertAlign w:val="baseline"/>
                <w:lang w:val="en-US" w:eastAsia="zh-CN" w:bidi="ar-SA"/>
              </w:rPr>
              <w:t>/1人</w:t>
            </w:r>
          </w:p>
        </w:tc>
        <w:tc>
          <w:tcPr>
            <w:tcW w:w="1687" w:type="dxa"/>
            <w:noWrap w:val="0"/>
            <w:vAlign w:val="center"/>
          </w:tcPr>
          <w:p w14:paraId="775BED0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16770元/季</w:t>
            </w:r>
          </w:p>
        </w:tc>
        <w:tc>
          <w:tcPr>
            <w:tcW w:w="2068" w:type="dxa"/>
            <w:noWrap w:val="0"/>
            <w:vAlign w:val="center"/>
          </w:tcPr>
          <w:p w14:paraId="1FBA2957">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4019F7B">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220813CC">
            <w:pPr>
              <w:spacing w:line="300" w:lineRule="exact"/>
              <w:jc w:val="left"/>
              <w:rPr>
                <w:rFonts w:hint="eastAsia" w:ascii="宋体" w:hAnsi="宋体" w:eastAsia="宋体" w:cs="宋体"/>
                <w:color w:val="auto"/>
                <w:sz w:val="21"/>
                <w:szCs w:val="21"/>
                <w:highlight w:val="none"/>
                <w:vertAlign w:val="baseline"/>
                <w:lang w:val="en-US" w:eastAsia="zh-CN"/>
              </w:rPr>
            </w:pPr>
          </w:p>
        </w:tc>
      </w:tr>
      <w:tr w14:paraId="6BF9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363E4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2625" w:type="dxa"/>
            <w:gridSpan w:val="2"/>
            <w:noWrap w:val="0"/>
            <w:vAlign w:val="center"/>
          </w:tcPr>
          <w:p w14:paraId="6EF95E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维修（工程技工/水电抄表）/2人</w:t>
            </w:r>
          </w:p>
        </w:tc>
        <w:tc>
          <w:tcPr>
            <w:tcW w:w="1687" w:type="dxa"/>
            <w:noWrap w:val="0"/>
            <w:vAlign w:val="center"/>
          </w:tcPr>
          <w:p w14:paraId="26F18A37">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39000元/季</w:t>
            </w:r>
          </w:p>
        </w:tc>
        <w:tc>
          <w:tcPr>
            <w:tcW w:w="2068" w:type="dxa"/>
            <w:noWrap w:val="0"/>
            <w:vAlign w:val="center"/>
          </w:tcPr>
          <w:p w14:paraId="2E7E44D4">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CC4FA16">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ACBD453">
            <w:pPr>
              <w:spacing w:line="300" w:lineRule="exact"/>
              <w:jc w:val="left"/>
              <w:rPr>
                <w:rFonts w:hint="eastAsia" w:ascii="宋体" w:hAnsi="宋体" w:eastAsia="宋体" w:cs="宋体"/>
                <w:color w:val="auto"/>
                <w:sz w:val="21"/>
                <w:szCs w:val="21"/>
                <w:highlight w:val="none"/>
                <w:vertAlign w:val="baseline"/>
                <w:lang w:val="en-US" w:eastAsia="zh-CN"/>
              </w:rPr>
            </w:pPr>
          </w:p>
        </w:tc>
      </w:tr>
      <w:tr w14:paraId="6049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498B7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2625" w:type="dxa"/>
            <w:gridSpan w:val="2"/>
            <w:noWrap w:val="0"/>
            <w:vAlign w:val="center"/>
          </w:tcPr>
          <w:p w14:paraId="494EFB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安保队长/1人</w:t>
            </w:r>
          </w:p>
        </w:tc>
        <w:tc>
          <w:tcPr>
            <w:tcW w:w="1687" w:type="dxa"/>
            <w:noWrap w:val="0"/>
            <w:vAlign w:val="center"/>
          </w:tcPr>
          <w:p w14:paraId="18672544">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17550元/季</w:t>
            </w:r>
          </w:p>
        </w:tc>
        <w:tc>
          <w:tcPr>
            <w:tcW w:w="2068" w:type="dxa"/>
            <w:noWrap w:val="0"/>
            <w:vAlign w:val="center"/>
          </w:tcPr>
          <w:p w14:paraId="7B67A02F">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48AE0C1">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209D3205">
            <w:pPr>
              <w:spacing w:line="300" w:lineRule="exact"/>
              <w:jc w:val="left"/>
              <w:rPr>
                <w:rFonts w:hint="eastAsia" w:ascii="宋体" w:hAnsi="宋体" w:eastAsia="宋体" w:cs="宋体"/>
                <w:color w:val="auto"/>
                <w:sz w:val="21"/>
                <w:szCs w:val="21"/>
                <w:highlight w:val="none"/>
                <w:vertAlign w:val="baseline"/>
                <w:lang w:val="en-US" w:eastAsia="zh-CN"/>
              </w:rPr>
            </w:pPr>
          </w:p>
        </w:tc>
      </w:tr>
      <w:tr w14:paraId="3796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0A5F29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2625" w:type="dxa"/>
            <w:gridSpan w:val="2"/>
            <w:noWrap w:val="0"/>
            <w:vAlign w:val="center"/>
          </w:tcPr>
          <w:p w14:paraId="5E3276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秩序维护（</w:t>
            </w:r>
            <w:r>
              <w:rPr>
                <w:rFonts w:hint="eastAsia" w:ascii="宋体" w:hAnsi="宋体" w:eastAsia="宋体" w:cs="宋体"/>
                <w:color w:val="auto"/>
                <w:kern w:val="2"/>
                <w:sz w:val="21"/>
                <w:szCs w:val="21"/>
                <w:highlight w:val="none"/>
                <w:vertAlign w:val="baseline"/>
                <w:lang w:val="en-US" w:eastAsia="zh-CN" w:bidi="ar-SA"/>
              </w:rPr>
              <w:t>形象岗）/1人</w:t>
            </w:r>
          </w:p>
        </w:tc>
        <w:tc>
          <w:tcPr>
            <w:tcW w:w="1687" w:type="dxa"/>
            <w:noWrap w:val="0"/>
            <w:vAlign w:val="center"/>
          </w:tcPr>
          <w:p w14:paraId="03DE46D1">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14820元/季</w:t>
            </w:r>
          </w:p>
        </w:tc>
        <w:tc>
          <w:tcPr>
            <w:tcW w:w="2068" w:type="dxa"/>
            <w:noWrap w:val="0"/>
            <w:vAlign w:val="center"/>
          </w:tcPr>
          <w:p w14:paraId="78F5B217">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4D6F1DA7">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1AE2F9F">
            <w:pPr>
              <w:spacing w:line="300" w:lineRule="exact"/>
              <w:jc w:val="left"/>
              <w:rPr>
                <w:rFonts w:hint="eastAsia" w:ascii="宋体" w:hAnsi="宋体" w:eastAsia="宋体" w:cs="宋体"/>
                <w:color w:val="auto"/>
                <w:sz w:val="21"/>
                <w:szCs w:val="21"/>
                <w:highlight w:val="none"/>
                <w:vertAlign w:val="baseline"/>
                <w:lang w:val="en-US" w:eastAsia="zh-CN"/>
              </w:rPr>
            </w:pPr>
          </w:p>
        </w:tc>
      </w:tr>
      <w:tr w14:paraId="08C1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35FC25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2625" w:type="dxa"/>
            <w:gridSpan w:val="2"/>
            <w:noWrap w:val="0"/>
            <w:vAlign w:val="center"/>
          </w:tcPr>
          <w:p w14:paraId="46FE3C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秩序维护/普通岗（监控岗2人/普通4人/巡逻岗1人）</w:t>
            </w:r>
          </w:p>
        </w:tc>
        <w:tc>
          <w:tcPr>
            <w:tcW w:w="1687" w:type="dxa"/>
            <w:noWrap w:val="0"/>
            <w:vAlign w:val="center"/>
          </w:tcPr>
          <w:p w14:paraId="37660673">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95550元/季</w:t>
            </w:r>
          </w:p>
        </w:tc>
        <w:tc>
          <w:tcPr>
            <w:tcW w:w="2068" w:type="dxa"/>
            <w:noWrap w:val="0"/>
            <w:vAlign w:val="center"/>
          </w:tcPr>
          <w:p w14:paraId="1A36C41E">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71DB70B8">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31249B4">
            <w:pPr>
              <w:spacing w:line="300" w:lineRule="exact"/>
              <w:jc w:val="left"/>
              <w:rPr>
                <w:rFonts w:hint="eastAsia" w:ascii="宋体" w:hAnsi="宋体" w:eastAsia="宋体" w:cs="宋体"/>
                <w:color w:val="auto"/>
                <w:sz w:val="21"/>
                <w:szCs w:val="21"/>
                <w:highlight w:val="none"/>
                <w:vertAlign w:val="baseline"/>
                <w:lang w:val="en-US" w:eastAsia="zh-CN"/>
              </w:rPr>
            </w:pPr>
          </w:p>
        </w:tc>
      </w:tr>
      <w:tr w14:paraId="5E72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4963D8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2625" w:type="dxa"/>
            <w:gridSpan w:val="2"/>
            <w:noWrap w:val="0"/>
            <w:vAlign w:val="center"/>
          </w:tcPr>
          <w:p w14:paraId="692A07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保洁班长/1人</w:t>
            </w:r>
          </w:p>
        </w:tc>
        <w:tc>
          <w:tcPr>
            <w:tcW w:w="1687" w:type="dxa"/>
            <w:noWrap w:val="0"/>
            <w:vAlign w:val="center"/>
          </w:tcPr>
          <w:p w14:paraId="776824E3">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13650元/季</w:t>
            </w:r>
          </w:p>
        </w:tc>
        <w:tc>
          <w:tcPr>
            <w:tcW w:w="2068" w:type="dxa"/>
            <w:noWrap w:val="0"/>
            <w:vAlign w:val="center"/>
          </w:tcPr>
          <w:p w14:paraId="21772D77">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4BFBC53">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08CEF753">
            <w:pPr>
              <w:spacing w:line="300" w:lineRule="exact"/>
              <w:jc w:val="left"/>
              <w:rPr>
                <w:rFonts w:hint="eastAsia" w:ascii="宋体" w:hAnsi="宋体" w:eastAsia="宋体" w:cs="宋体"/>
                <w:color w:val="auto"/>
                <w:sz w:val="21"/>
                <w:szCs w:val="21"/>
                <w:highlight w:val="none"/>
                <w:vertAlign w:val="baseline"/>
                <w:lang w:val="en-US" w:eastAsia="zh-CN"/>
              </w:rPr>
            </w:pPr>
          </w:p>
        </w:tc>
      </w:tr>
      <w:tr w14:paraId="2232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564EE2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w:t>
            </w:r>
          </w:p>
        </w:tc>
        <w:tc>
          <w:tcPr>
            <w:tcW w:w="2625" w:type="dxa"/>
            <w:gridSpan w:val="2"/>
            <w:noWrap w:val="0"/>
            <w:vAlign w:val="center"/>
          </w:tcPr>
          <w:p w14:paraId="414224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lang w:val="en-US" w:eastAsia="zh-CN"/>
              </w:rPr>
              <w:t>保洁（含绿化1人）（单身4人/白领3人/会所1人/路面2人）</w:t>
            </w:r>
          </w:p>
        </w:tc>
        <w:tc>
          <w:tcPr>
            <w:tcW w:w="1687" w:type="dxa"/>
            <w:noWrap w:val="0"/>
            <w:vAlign w:val="center"/>
          </w:tcPr>
          <w:p w14:paraId="768A1EAB">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117000元/季</w:t>
            </w:r>
          </w:p>
        </w:tc>
        <w:tc>
          <w:tcPr>
            <w:tcW w:w="2068" w:type="dxa"/>
            <w:noWrap w:val="0"/>
            <w:vAlign w:val="center"/>
          </w:tcPr>
          <w:p w14:paraId="33390E76">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58DB2560">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2CA0F42B">
            <w:pPr>
              <w:spacing w:line="300" w:lineRule="exact"/>
              <w:jc w:val="left"/>
              <w:rPr>
                <w:rFonts w:hint="eastAsia" w:ascii="宋体" w:hAnsi="宋体" w:eastAsia="宋体" w:cs="宋体"/>
                <w:color w:val="auto"/>
                <w:sz w:val="21"/>
                <w:szCs w:val="21"/>
                <w:highlight w:val="none"/>
                <w:vertAlign w:val="baseline"/>
                <w:lang w:val="en-US" w:eastAsia="zh-CN"/>
              </w:rPr>
            </w:pPr>
          </w:p>
        </w:tc>
      </w:tr>
      <w:tr w14:paraId="0717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30303A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人员费用小计</w:t>
            </w:r>
          </w:p>
        </w:tc>
        <w:tc>
          <w:tcPr>
            <w:tcW w:w="1687" w:type="dxa"/>
            <w:noWrap w:val="0"/>
            <w:vAlign w:val="center"/>
          </w:tcPr>
          <w:p w14:paraId="044387B7">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395460元/季</w:t>
            </w:r>
          </w:p>
        </w:tc>
        <w:tc>
          <w:tcPr>
            <w:tcW w:w="2068" w:type="dxa"/>
            <w:noWrap w:val="0"/>
            <w:vAlign w:val="center"/>
          </w:tcPr>
          <w:p w14:paraId="1ABD3E7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2DAC3341">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739A29B5">
            <w:pPr>
              <w:spacing w:line="300" w:lineRule="exact"/>
              <w:jc w:val="left"/>
              <w:rPr>
                <w:rFonts w:hint="eastAsia" w:ascii="宋体" w:hAnsi="宋体" w:eastAsia="宋体" w:cs="宋体"/>
                <w:color w:val="auto"/>
                <w:sz w:val="21"/>
                <w:szCs w:val="21"/>
                <w:highlight w:val="none"/>
                <w:vertAlign w:val="baseline"/>
                <w:lang w:val="en-US" w:eastAsia="zh-CN"/>
              </w:rPr>
            </w:pPr>
          </w:p>
        </w:tc>
      </w:tr>
      <w:tr w14:paraId="4099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572A5FA0">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二、</w:t>
            </w:r>
            <w:r>
              <w:rPr>
                <w:rFonts w:hint="eastAsia" w:ascii="宋体" w:hAnsi="宋体" w:eastAsia="宋体" w:cs="宋体"/>
                <w:b/>
                <w:bCs/>
                <w:color w:val="auto"/>
                <w:kern w:val="2"/>
                <w:sz w:val="21"/>
                <w:szCs w:val="21"/>
                <w:highlight w:val="none"/>
                <w:vertAlign w:val="baseline"/>
                <w:lang w:val="en-US" w:eastAsia="zh-CN" w:bidi="ar-SA"/>
              </w:rPr>
              <w:t>项目费用/7项</w:t>
            </w:r>
          </w:p>
        </w:tc>
      </w:tr>
      <w:tr w14:paraId="7083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73C6F8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2625" w:type="dxa"/>
            <w:gridSpan w:val="2"/>
            <w:noWrap w:val="0"/>
            <w:vAlign w:val="center"/>
          </w:tcPr>
          <w:p w14:paraId="4CEB6B7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电梯维保/22部</w:t>
            </w:r>
          </w:p>
        </w:tc>
        <w:tc>
          <w:tcPr>
            <w:tcW w:w="1687" w:type="dxa"/>
            <w:noWrap w:val="0"/>
            <w:vAlign w:val="center"/>
          </w:tcPr>
          <w:p w14:paraId="720F903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26400元/季</w:t>
            </w:r>
          </w:p>
        </w:tc>
        <w:tc>
          <w:tcPr>
            <w:tcW w:w="2068" w:type="dxa"/>
            <w:noWrap w:val="0"/>
            <w:vAlign w:val="center"/>
          </w:tcPr>
          <w:p w14:paraId="05A47455">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3B4B6647">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50459C4D">
            <w:pPr>
              <w:spacing w:line="300" w:lineRule="exact"/>
              <w:jc w:val="left"/>
              <w:rPr>
                <w:rFonts w:hint="eastAsia" w:ascii="宋体" w:hAnsi="宋体" w:eastAsia="宋体" w:cs="宋体"/>
                <w:color w:val="auto"/>
                <w:sz w:val="21"/>
                <w:szCs w:val="21"/>
                <w:highlight w:val="none"/>
                <w:vertAlign w:val="baseline"/>
                <w:lang w:val="en-US" w:eastAsia="zh-CN"/>
              </w:rPr>
            </w:pPr>
          </w:p>
        </w:tc>
      </w:tr>
      <w:tr w14:paraId="274E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0D0051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2625" w:type="dxa"/>
            <w:gridSpan w:val="2"/>
            <w:noWrap w:val="0"/>
            <w:vAlign w:val="center"/>
          </w:tcPr>
          <w:p w14:paraId="7D03A8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消防维保</w:t>
            </w:r>
          </w:p>
        </w:tc>
        <w:tc>
          <w:tcPr>
            <w:tcW w:w="1687" w:type="dxa"/>
            <w:noWrap w:val="0"/>
            <w:vAlign w:val="center"/>
          </w:tcPr>
          <w:p w14:paraId="245D2A3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9000元/季</w:t>
            </w:r>
          </w:p>
        </w:tc>
        <w:tc>
          <w:tcPr>
            <w:tcW w:w="2068" w:type="dxa"/>
            <w:noWrap w:val="0"/>
            <w:vAlign w:val="center"/>
          </w:tcPr>
          <w:p w14:paraId="44BB37DD">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03CED1FD">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5CE584FF">
            <w:pPr>
              <w:spacing w:line="300" w:lineRule="exact"/>
              <w:jc w:val="left"/>
              <w:rPr>
                <w:rFonts w:hint="eastAsia" w:ascii="宋体" w:hAnsi="宋体" w:eastAsia="宋体" w:cs="宋体"/>
                <w:color w:val="auto"/>
                <w:sz w:val="21"/>
                <w:szCs w:val="21"/>
                <w:highlight w:val="none"/>
                <w:vertAlign w:val="baseline"/>
                <w:lang w:val="en-US" w:eastAsia="zh-CN"/>
              </w:rPr>
            </w:pPr>
          </w:p>
        </w:tc>
      </w:tr>
      <w:tr w14:paraId="0EDB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6A64E3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w:t>
            </w:r>
          </w:p>
        </w:tc>
        <w:tc>
          <w:tcPr>
            <w:tcW w:w="2625" w:type="dxa"/>
            <w:gridSpan w:val="2"/>
            <w:noWrap w:val="0"/>
            <w:vAlign w:val="center"/>
          </w:tcPr>
          <w:p w14:paraId="48C57C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绿化养护/约0.9万m²</w:t>
            </w:r>
          </w:p>
        </w:tc>
        <w:tc>
          <w:tcPr>
            <w:tcW w:w="1687" w:type="dxa"/>
            <w:noWrap w:val="0"/>
            <w:vAlign w:val="center"/>
          </w:tcPr>
          <w:p w14:paraId="540B180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7500元/季</w:t>
            </w:r>
          </w:p>
        </w:tc>
        <w:tc>
          <w:tcPr>
            <w:tcW w:w="2068" w:type="dxa"/>
            <w:noWrap w:val="0"/>
            <w:vAlign w:val="center"/>
          </w:tcPr>
          <w:p w14:paraId="72858882">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29CF07AC">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28E97855">
            <w:pPr>
              <w:spacing w:line="300" w:lineRule="exact"/>
              <w:jc w:val="left"/>
              <w:rPr>
                <w:rFonts w:hint="eastAsia" w:ascii="宋体" w:hAnsi="宋体" w:eastAsia="宋体" w:cs="宋体"/>
                <w:color w:val="auto"/>
                <w:sz w:val="21"/>
                <w:szCs w:val="21"/>
                <w:highlight w:val="none"/>
                <w:vertAlign w:val="baseline"/>
                <w:lang w:val="en-US" w:eastAsia="zh-CN"/>
              </w:rPr>
            </w:pPr>
          </w:p>
        </w:tc>
      </w:tr>
      <w:tr w14:paraId="7206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4E6483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w:t>
            </w:r>
          </w:p>
        </w:tc>
        <w:tc>
          <w:tcPr>
            <w:tcW w:w="2625" w:type="dxa"/>
            <w:gridSpan w:val="2"/>
            <w:noWrap w:val="0"/>
            <w:vAlign w:val="center"/>
          </w:tcPr>
          <w:p w14:paraId="7B4CE6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零星维修</w:t>
            </w:r>
          </w:p>
        </w:tc>
        <w:tc>
          <w:tcPr>
            <w:tcW w:w="1687" w:type="dxa"/>
            <w:noWrap w:val="0"/>
            <w:vAlign w:val="center"/>
          </w:tcPr>
          <w:p w14:paraId="24ECA23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24000元/季</w:t>
            </w:r>
          </w:p>
        </w:tc>
        <w:tc>
          <w:tcPr>
            <w:tcW w:w="2068" w:type="dxa"/>
            <w:noWrap w:val="0"/>
            <w:vAlign w:val="center"/>
          </w:tcPr>
          <w:p w14:paraId="56B5100E">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46375AB0">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3854302">
            <w:pPr>
              <w:spacing w:line="300" w:lineRule="exact"/>
              <w:jc w:val="left"/>
              <w:rPr>
                <w:rFonts w:hint="eastAsia" w:ascii="宋体" w:hAnsi="宋体" w:eastAsia="宋体" w:cs="宋体"/>
                <w:color w:val="auto"/>
                <w:sz w:val="21"/>
                <w:szCs w:val="21"/>
                <w:highlight w:val="none"/>
                <w:vertAlign w:val="baseline"/>
                <w:lang w:val="en-US" w:eastAsia="zh-CN"/>
              </w:rPr>
            </w:pPr>
          </w:p>
        </w:tc>
      </w:tr>
      <w:tr w14:paraId="0A0B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66507D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w:t>
            </w:r>
          </w:p>
        </w:tc>
        <w:tc>
          <w:tcPr>
            <w:tcW w:w="2625" w:type="dxa"/>
            <w:gridSpan w:val="2"/>
            <w:noWrap w:val="0"/>
            <w:vAlign w:val="center"/>
          </w:tcPr>
          <w:p w14:paraId="0142598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垃圾清运</w:t>
            </w:r>
          </w:p>
        </w:tc>
        <w:tc>
          <w:tcPr>
            <w:tcW w:w="1687" w:type="dxa"/>
            <w:noWrap w:val="0"/>
            <w:vAlign w:val="center"/>
          </w:tcPr>
          <w:p w14:paraId="02C83F9B">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9000元/季</w:t>
            </w:r>
          </w:p>
        </w:tc>
        <w:tc>
          <w:tcPr>
            <w:tcW w:w="2068" w:type="dxa"/>
            <w:noWrap w:val="0"/>
            <w:vAlign w:val="center"/>
          </w:tcPr>
          <w:p w14:paraId="01947CC3">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229CE230">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73D1B241">
            <w:pPr>
              <w:spacing w:line="300" w:lineRule="exact"/>
              <w:jc w:val="left"/>
              <w:rPr>
                <w:rFonts w:hint="eastAsia" w:ascii="宋体" w:hAnsi="宋体" w:eastAsia="宋体" w:cs="宋体"/>
                <w:color w:val="auto"/>
                <w:sz w:val="21"/>
                <w:szCs w:val="21"/>
                <w:highlight w:val="none"/>
                <w:vertAlign w:val="baseline"/>
                <w:lang w:val="en-US" w:eastAsia="zh-CN"/>
              </w:rPr>
            </w:pPr>
          </w:p>
        </w:tc>
      </w:tr>
      <w:tr w14:paraId="60D9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279686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2.6</w:t>
            </w:r>
          </w:p>
        </w:tc>
        <w:tc>
          <w:tcPr>
            <w:tcW w:w="2625" w:type="dxa"/>
            <w:gridSpan w:val="2"/>
            <w:noWrap w:val="0"/>
            <w:vAlign w:val="center"/>
          </w:tcPr>
          <w:p w14:paraId="74FA51A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公众责任保险</w:t>
            </w:r>
          </w:p>
        </w:tc>
        <w:tc>
          <w:tcPr>
            <w:tcW w:w="1687" w:type="dxa"/>
            <w:noWrap w:val="0"/>
            <w:vAlign w:val="center"/>
          </w:tcPr>
          <w:p w14:paraId="4EC3BE6F">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4800元/季</w:t>
            </w:r>
          </w:p>
        </w:tc>
        <w:tc>
          <w:tcPr>
            <w:tcW w:w="2068" w:type="dxa"/>
            <w:noWrap w:val="0"/>
            <w:vAlign w:val="center"/>
          </w:tcPr>
          <w:p w14:paraId="5894B873">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61936BDD">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C91A6CE">
            <w:pPr>
              <w:spacing w:line="300" w:lineRule="exact"/>
              <w:jc w:val="left"/>
              <w:rPr>
                <w:rFonts w:hint="eastAsia" w:ascii="宋体" w:hAnsi="宋体" w:eastAsia="宋体" w:cs="宋体"/>
                <w:color w:val="auto"/>
                <w:sz w:val="21"/>
                <w:szCs w:val="21"/>
                <w:highlight w:val="none"/>
                <w:vertAlign w:val="baseline"/>
                <w:lang w:val="en-US" w:eastAsia="zh-CN"/>
              </w:rPr>
            </w:pPr>
          </w:p>
        </w:tc>
      </w:tr>
      <w:tr w14:paraId="5D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7251C0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w:t>
            </w:r>
          </w:p>
        </w:tc>
        <w:tc>
          <w:tcPr>
            <w:tcW w:w="2625" w:type="dxa"/>
            <w:gridSpan w:val="2"/>
            <w:noWrap w:val="0"/>
            <w:vAlign w:val="center"/>
          </w:tcPr>
          <w:p w14:paraId="37F4A6E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行政办公</w:t>
            </w:r>
          </w:p>
        </w:tc>
        <w:tc>
          <w:tcPr>
            <w:tcW w:w="1687" w:type="dxa"/>
            <w:noWrap w:val="0"/>
            <w:vAlign w:val="center"/>
          </w:tcPr>
          <w:p w14:paraId="3EEB7DF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4500元/季</w:t>
            </w:r>
          </w:p>
        </w:tc>
        <w:tc>
          <w:tcPr>
            <w:tcW w:w="2068" w:type="dxa"/>
            <w:noWrap w:val="0"/>
            <w:vAlign w:val="center"/>
          </w:tcPr>
          <w:p w14:paraId="010ABDD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7D5C8B21">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641BC19C">
            <w:pPr>
              <w:spacing w:line="300" w:lineRule="exact"/>
              <w:jc w:val="left"/>
              <w:rPr>
                <w:rFonts w:hint="eastAsia" w:ascii="宋体" w:hAnsi="宋体" w:eastAsia="宋体" w:cs="宋体"/>
                <w:color w:val="auto"/>
                <w:sz w:val="21"/>
                <w:szCs w:val="21"/>
                <w:highlight w:val="none"/>
                <w:vertAlign w:val="baseline"/>
                <w:lang w:val="en-US" w:eastAsia="zh-CN"/>
              </w:rPr>
            </w:pPr>
          </w:p>
        </w:tc>
      </w:tr>
      <w:tr w14:paraId="371D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72B4D9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项目费用小计</w:t>
            </w:r>
          </w:p>
        </w:tc>
        <w:tc>
          <w:tcPr>
            <w:tcW w:w="1687" w:type="dxa"/>
            <w:noWrap w:val="0"/>
            <w:vAlign w:val="center"/>
          </w:tcPr>
          <w:p w14:paraId="3214F403">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85200元/季</w:t>
            </w:r>
          </w:p>
        </w:tc>
        <w:tc>
          <w:tcPr>
            <w:tcW w:w="2068" w:type="dxa"/>
            <w:noWrap w:val="0"/>
            <w:vAlign w:val="center"/>
          </w:tcPr>
          <w:p w14:paraId="62BB3B5A">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3283F075">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787CF966">
            <w:pPr>
              <w:spacing w:line="300" w:lineRule="exact"/>
              <w:jc w:val="left"/>
              <w:rPr>
                <w:rFonts w:hint="eastAsia" w:ascii="宋体" w:hAnsi="宋体" w:eastAsia="宋体" w:cs="宋体"/>
                <w:color w:val="auto"/>
                <w:sz w:val="21"/>
                <w:szCs w:val="21"/>
                <w:highlight w:val="none"/>
                <w:vertAlign w:val="baseline"/>
                <w:lang w:val="en-US" w:eastAsia="zh-CN"/>
              </w:rPr>
            </w:pPr>
          </w:p>
        </w:tc>
      </w:tr>
      <w:tr w14:paraId="36EC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6D65DF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三、利润=（当季实际人员费用+当季实际项目费用）*占比8%（以投标费率为准）*考核分值比例</w:t>
            </w:r>
          </w:p>
          <w:p w14:paraId="0DB970A4">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（考核分值在90分及以上按100%，80-89分按90%，79分及以下不予支付）</w:t>
            </w:r>
          </w:p>
        </w:tc>
      </w:tr>
      <w:tr w14:paraId="2D67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5320C2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w:t>
            </w:r>
          </w:p>
        </w:tc>
        <w:tc>
          <w:tcPr>
            <w:tcW w:w="2625" w:type="dxa"/>
            <w:gridSpan w:val="2"/>
            <w:noWrap w:val="0"/>
            <w:vAlign w:val="center"/>
          </w:tcPr>
          <w:p w14:paraId="33389F0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项目利润</w:t>
            </w:r>
          </w:p>
        </w:tc>
        <w:tc>
          <w:tcPr>
            <w:tcW w:w="1687" w:type="dxa"/>
            <w:noWrap w:val="0"/>
            <w:vAlign w:val="center"/>
          </w:tcPr>
          <w:p w14:paraId="198239D2">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38452.8元/季</w:t>
            </w:r>
          </w:p>
        </w:tc>
        <w:tc>
          <w:tcPr>
            <w:tcW w:w="2068" w:type="dxa"/>
            <w:noWrap w:val="0"/>
            <w:vAlign w:val="center"/>
          </w:tcPr>
          <w:p w14:paraId="7E621F56">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2C3536B1">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1D3C2F33">
            <w:pPr>
              <w:spacing w:line="300" w:lineRule="exact"/>
              <w:jc w:val="left"/>
              <w:rPr>
                <w:rFonts w:hint="eastAsia" w:ascii="宋体" w:hAnsi="宋体" w:eastAsia="宋体" w:cs="宋体"/>
                <w:color w:val="auto"/>
                <w:sz w:val="21"/>
                <w:szCs w:val="21"/>
                <w:highlight w:val="none"/>
                <w:vertAlign w:val="baseline"/>
                <w:lang w:val="en-US" w:eastAsia="zh-CN"/>
              </w:rPr>
            </w:pPr>
          </w:p>
        </w:tc>
      </w:tr>
      <w:tr w14:paraId="0CAB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6DF2CB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利润小计</w:t>
            </w:r>
          </w:p>
        </w:tc>
        <w:tc>
          <w:tcPr>
            <w:tcW w:w="1687" w:type="dxa"/>
            <w:noWrap w:val="0"/>
            <w:vAlign w:val="center"/>
          </w:tcPr>
          <w:p w14:paraId="16421687">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38452.8元/季</w:t>
            </w:r>
          </w:p>
        </w:tc>
        <w:tc>
          <w:tcPr>
            <w:tcW w:w="2068" w:type="dxa"/>
            <w:noWrap w:val="0"/>
            <w:vAlign w:val="center"/>
          </w:tcPr>
          <w:p w14:paraId="3738DD0D">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7B38A0A0">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3073B399">
            <w:pPr>
              <w:spacing w:line="300" w:lineRule="exact"/>
              <w:jc w:val="left"/>
              <w:rPr>
                <w:rFonts w:hint="eastAsia" w:ascii="宋体" w:hAnsi="宋体" w:eastAsia="宋体" w:cs="宋体"/>
                <w:color w:val="auto"/>
                <w:sz w:val="21"/>
                <w:szCs w:val="21"/>
                <w:highlight w:val="none"/>
                <w:vertAlign w:val="baseline"/>
                <w:lang w:val="en-US" w:eastAsia="zh-CN"/>
              </w:rPr>
            </w:pPr>
          </w:p>
        </w:tc>
      </w:tr>
      <w:tr w14:paraId="50F6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71" w:type="dxa"/>
            <w:gridSpan w:val="11"/>
            <w:noWrap w:val="0"/>
            <w:vAlign w:val="center"/>
          </w:tcPr>
          <w:p w14:paraId="041FAB27">
            <w:pPr>
              <w:spacing w:line="3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四、税费=（人员费用+项目费用+利润费用）*税率6%（以实际开票税率为准）</w:t>
            </w:r>
          </w:p>
        </w:tc>
      </w:tr>
      <w:tr w14:paraId="0249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90" w:type="dxa"/>
            <w:gridSpan w:val="2"/>
            <w:noWrap w:val="0"/>
            <w:vAlign w:val="center"/>
          </w:tcPr>
          <w:p w14:paraId="148364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4.1</w:t>
            </w:r>
          </w:p>
        </w:tc>
        <w:tc>
          <w:tcPr>
            <w:tcW w:w="2625" w:type="dxa"/>
            <w:gridSpan w:val="2"/>
            <w:noWrap w:val="0"/>
            <w:vAlign w:val="center"/>
          </w:tcPr>
          <w:p w14:paraId="51E1118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开票税费</w:t>
            </w:r>
          </w:p>
        </w:tc>
        <w:tc>
          <w:tcPr>
            <w:tcW w:w="1687" w:type="dxa"/>
            <w:noWrap w:val="0"/>
            <w:vAlign w:val="center"/>
          </w:tcPr>
          <w:p w14:paraId="5622DEBD">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31146.78元/季</w:t>
            </w:r>
          </w:p>
        </w:tc>
        <w:tc>
          <w:tcPr>
            <w:tcW w:w="2068" w:type="dxa"/>
            <w:noWrap w:val="0"/>
            <w:vAlign w:val="center"/>
          </w:tcPr>
          <w:p w14:paraId="3A63EB1E">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元/季</w:t>
            </w:r>
          </w:p>
        </w:tc>
        <w:tc>
          <w:tcPr>
            <w:tcW w:w="1425" w:type="dxa"/>
            <w:gridSpan w:val="3"/>
            <w:vMerge w:val="restart"/>
            <w:noWrap w:val="0"/>
            <w:vAlign w:val="center"/>
          </w:tcPr>
          <w:p w14:paraId="22600689">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restart"/>
            <w:noWrap w:val="0"/>
            <w:vAlign w:val="center"/>
          </w:tcPr>
          <w:p w14:paraId="33A7EEF5">
            <w:pPr>
              <w:spacing w:line="300" w:lineRule="exact"/>
              <w:jc w:val="left"/>
              <w:rPr>
                <w:rFonts w:hint="eastAsia" w:ascii="宋体" w:hAnsi="宋体" w:eastAsia="宋体" w:cs="宋体"/>
                <w:color w:val="auto"/>
                <w:sz w:val="21"/>
                <w:szCs w:val="21"/>
                <w:highlight w:val="none"/>
                <w:vertAlign w:val="baseline"/>
                <w:lang w:val="en-US" w:eastAsia="zh-CN"/>
              </w:rPr>
            </w:pPr>
          </w:p>
        </w:tc>
      </w:tr>
      <w:tr w14:paraId="6B34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515" w:type="dxa"/>
            <w:gridSpan w:val="4"/>
            <w:noWrap w:val="0"/>
            <w:vAlign w:val="center"/>
          </w:tcPr>
          <w:p w14:paraId="632654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税费小计</w:t>
            </w:r>
          </w:p>
        </w:tc>
        <w:tc>
          <w:tcPr>
            <w:tcW w:w="1687" w:type="dxa"/>
            <w:noWrap w:val="0"/>
            <w:vAlign w:val="center"/>
          </w:tcPr>
          <w:p w14:paraId="429D753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31146.78元/季</w:t>
            </w:r>
          </w:p>
        </w:tc>
        <w:tc>
          <w:tcPr>
            <w:tcW w:w="2068" w:type="dxa"/>
            <w:noWrap w:val="0"/>
            <w:vAlign w:val="center"/>
          </w:tcPr>
          <w:p w14:paraId="2F2AFC59">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元/季</w:t>
            </w:r>
          </w:p>
        </w:tc>
        <w:tc>
          <w:tcPr>
            <w:tcW w:w="1425" w:type="dxa"/>
            <w:gridSpan w:val="3"/>
            <w:vMerge w:val="continue"/>
            <w:noWrap w:val="0"/>
            <w:vAlign w:val="center"/>
          </w:tcPr>
          <w:p w14:paraId="44222CAC">
            <w:pPr>
              <w:spacing w:line="300" w:lineRule="exact"/>
              <w:jc w:val="left"/>
              <w:rPr>
                <w:rFonts w:hint="eastAsia" w:ascii="宋体" w:hAnsi="宋体" w:eastAsia="宋体" w:cs="宋体"/>
                <w:color w:val="auto"/>
                <w:sz w:val="21"/>
                <w:szCs w:val="21"/>
                <w:highlight w:val="none"/>
                <w:vertAlign w:val="baseline"/>
                <w:lang w:val="en-US" w:eastAsia="zh-CN"/>
              </w:rPr>
            </w:pPr>
          </w:p>
        </w:tc>
        <w:tc>
          <w:tcPr>
            <w:tcW w:w="1276" w:type="dxa"/>
            <w:gridSpan w:val="2"/>
            <w:vMerge w:val="continue"/>
            <w:noWrap w:val="0"/>
            <w:vAlign w:val="center"/>
          </w:tcPr>
          <w:p w14:paraId="2C3EBAE8">
            <w:pPr>
              <w:spacing w:line="300" w:lineRule="exact"/>
              <w:jc w:val="left"/>
              <w:rPr>
                <w:rFonts w:hint="eastAsia" w:ascii="宋体" w:hAnsi="宋体" w:eastAsia="宋体" w:cs="宋体"/>
                <w:color w:val="auto"/>
                <w:sz w:val="21"/>
                <w:szCs w:val="21"/>
                <w:highlight w:val="none"/>
                <w:vertAlign w:val="baseline"/>
                <w:lang w:val="en-US" w:eastAsia="zh-CN"/>
              </w:rPr>
            </w:pPr>
          </w:p>
        </w:tc>
      </w:tr>
      <w:tr w14:paraId="267D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515" w:type="dxa"/>
            <w:gridSpan w:val="4"/>
            <w:vMerge w:val="restart"/>
            <w:noWrap w:val="0"/>
            <w:vAlign w:val="center"/>
          </w:tcPr>
          <w:p w14:paraId="580015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本季物业费用总额</w:t>
            </w:r>
          </w:p>
        </w:tc>
        <w:tc>
          <w:tcPr>
            <w:tcW w:w="1687" w:type="dxa"/>
            <w:vMerge w:val="restart"/>
            <w:noWrap w:val="0"/>
            <w:vAlign w:val="center"/>
          </w:tcPr>
          <w:p w14:paraId="3DCF55A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550259.6元/季</w:t>
            </w:r>
          </w:p>
        </w:tc>
        <w:tc>
          <w:tcPr>
            <w:tcW w:w="4769" w:type="dxa"/>
            <w:gridSpan w:val="6"/>
            <w:noWrap w:val="0"/>
            <w:vAlign w:val="center"/>
          </w:tcPr>
          <w:p w14:paraId="708746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1"/>
                <w:szCs w:val="21"/>
                <w:highlight w:val="none"/>
                <w:vertAlign w:val="baseline"/>
                <w:lang w:val="en-US" w:eastAsia="zh-CN"/>
              </w:rPr>
            </w:pPr>
          </w:p>
          <w:p w14:paraId="2BAA809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实际总费用小写：</w:t>
            </w:r>
            <w:r>
              <w:rPr>
                <w:rFonts w:hint="eastAsia" w:ascii="宋体" w:hAnsi="宋体" w:eastAsia="宋体" w:cs="宋体"/>
                <w:b/>
                <w:bCs/>
                <w:color w:val="auto"/>
                <w:sz w:val="21"/>
                <w:szCs w:val="21"/>
                <w:highlight w:val="none"/>
                <w:u w:val="single"/>
                <w:vertAlign w:val="baseline"/>
                <w:lang w:val="en-US" w:eastAsia="zh-CN"/>
              </w:rPr>
              <w:t xml:space="preserve">                        </w:t>
            </w:r>
            <w:r>
              <w:rPr>
                <w:rFonts w:hint="eastAsia" w:ascii="宋体" w:hAnsi="宋体" w:eastAsia="宋体" w:cs="宋体"/>
                <w:b/>
                <w:bCs/>
                <w:color w:val="auto"/>
                <w:sz w:val="21"/>
                <w:szCs w:val="21"/>
                <w:highlight w:val="none"/>
                <w:vertAlign w:val="baseline"/>
                <w:lang w:val="en-US" w:eastAsia="zh-CN"/>
              </w:rPr>
              <w:t>元</w:t>
            </w:r>
          </w:p>
        </w:tc>
      </w:tr>
      <w:tr w14:paraId="6C33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515" w:type="dxa"/>
            <w:gridSpan w:val="4"/>
            <w:vMerge w:val="continue"/>
            <w:noWrap w:val="0"/>
            <w:vAlign w:val="center"/>
          </w:tcPr>
          <w:p w14:paraId="440863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vertAlign w:val="baseline"/>
                <w:lang w:val="en-US" w:eastAsia="zh-CN"/>
              </w:rPr>
            </w:pPr>
          </w:p>
        </w:tc>
        <w:tc>
          <w:tcPr>
            <w:tcW w:w="1687" w:type="dxa"/>
            <w:vMerge w:val="continue"/>
            <w:noWrap w:val="0"/>
            <w:vAlign w:val="center"/>
          </w:tcPr>
          <w:p w14:paraId="696B1222">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769" w:type="dxa"/>
            <w:gridSpan w:val="6"/>
            <w:noWrap w:val="0"/>
            <w:vAlign w:val="center"/>
          </w:tcPr>
          <w:p w14:paraId="6802E2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kern w:val="2"/>
                <w:sz w:val="21"/>
                <w:szCs w:val="21"/>
                <w:highlight w:val="none"/>
                <w:vertAlign w:val="baseline"/>
                <w:lang w:val="en-US" w:eastAsia="zh-CN" w:bidi="ar-SA"/>
              </w:rPr>
            </w:pPr>
          </w:p>
          <w:p w14:paraId="42A409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大写：（</w:t>
            </w:r>
            <w:r>
              <w:rPr>
                <w:rFonts w:hint="eastAsia" w:ascii="宋体" w:hAnsi="宋体" w:eastAsia="宋体" w:cs="宋体"/>
                <w:b/>
                <w:bCs/>
                <w:color w:val="auto"/>
                <w:kern w:val="2"/>
                <w:sz w:val="21"/>
                <w:szCs w:val="21"/>
                <w:highlight w:val="none"/>
                <w:u w:val="single"/>
                <w:vertAlign w:val="baseline"/>
                <w:lang w:val="en-US" w:eastAsia="zh-CN" w:bidi="ar-SA"/>
              </w:rPr>
              <w:t xml:space="preserve">                                  </w:t>
            </w:r>
            <w:r>
              <w:rPr>
                <w:rFonts w:hint="eastAsia" w:ascii="宋体" w:hAnsi="宋体" w:eastAsia="宋体" w:cs="宋体"/>
                <w:b/>
                <w:bCs/>
                <w:color w:val="auto"/>
                <w:kern w:val="2"/>
                <w:sz w:val="21"/>
                <w:szCs w:val="21"/>
                <w:highlight w:val="none"/>
                <w:vertAlign w:val="baseline"/>
                <w:lang w:val="en-US" w:eastAsia="zh-CN" w:bidi="ar-SA"/>
              </w:rPr>
              <w:t>）</w:t>
            </w:r>
          </w:p>
        </w:tc>
      </w:tr>
      <w:tr w14:paraId="60E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5202" w:type="dxa"/>
            <w:gridSpan w:val="5"/>
            <w:noWrap w:val="0"/>
            <w:vAlign w:val="center"/>
          </w:tcPr>
          <w:p w14:paraId="038541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val="en-US" w:eastAsia="zh-CN"/>
              </w:rPr>
            </w:pPr>
          </w:p>
          <w:p w14:paraId="42E3BCC2">
            <w:pPr>
              <w:pStyle w:val="1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被考核单位物业经理签字：</w:t>
            </w:r>
          </w:p>
          <w:p w14:paraId="2E049FC6">
            <w:pPr>
              <w:pStyle w:val="1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（物业公司盖章）</w:t>
            </w:r>
          </w:p>
          <w:p w14:paraId="6FBAC808">
            <w:pPr>
              <w:pStyle w:val="28"/>
              <w:keepNext w:val="0"/>
              <w:keepLines w:val="0"/>
              <w:pageBreakBefore w:val="0"/>
              <w:widowControl w:val="0"/>
              <w:kinsoku/>
              <w:wordWrap/>
              <w:overflowPunct/>
              <w:topLinePunct w:val="0"/>
              <w:autoSpaceDE/>
              <w:autoSpaceDN/>
              <w:bidi w:val="0"/>
              <w:adjustRightInd/>
              <w:snapToGrid/>
              <w:spacing w:line="300" w:lineRule="exact"/>
              <w:ind w:left="420" w:leftChars="0" w:hanging="420" w:firstLineChars="0"/>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4769" w:type="dxa"/>
            <w:gridSpan w:val="6"/>
            <w:noWrap w:val="0"/>
            <w:vAlign w:val="center"/>
          </w:tcPr>
          <w:p w14:paraId="79339E19">
            <w:pPr>
              <w:pStyle w:val="2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考核人员签字：</w:t>
            </w:r>
          </w:p>
          <w:p w14:paraId="53824B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（业主单位盖章）</w:t>
            </w:r>
          </w:p>
        </w:tc>
      </w:tr>
    </w:tbl>
    <w:p w14:paraId="080D975F">
      <w:pPr>
        <w:pStyle w:val="13"/>
        <w:rPr>
          <w:rFonts w:hint="eastAsia" w:ascii="宋体" w:hAnsi="宋体" w:eastAsia="宋体" w:cs="宋体"/>
          <w:color w:val="auto"/>
          <w:sz w:val="21"/>
          <w:szCs w:val="21"/>
          <w:highlight w:val="none"/>
          <w:vertAlign w:val="baseline"/>
          <w:lang w:val="en-US" w:eastAsia="zh-CN"/>
        </w:rPr>
      </w:pPr>
    </w:p>
    <w:p w14:paraId="65929FED">
      <w:pP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br w:type="page"/>
      </w:r>
    </w:p>
    <w:p w14:paraId="6F315746">
      <w:pPr>
        <w:keepNext w:val="0"/>
        <w:keepLines w:val="0"/>
        <w:pageBreakBefore w:val="0"/>
        <w:widowControl/>
        <w:kinsoku/>
        <w:overflowPunct/>
        <w:topLinePunct w:val="0"/>
        <w:autoSpaceDE/>
        <w:autoSpaceDN/>
        <w:bidi w:val="0"/>
        <w:adjustRightInd/>
        <w:spacing w:line="32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附件2.</w:t>
      </w:r>
      <w:r>
        <w:rPr>
          <w:rFonts w:hint="eastAsia" w:ascii="宋体" w:hAnsi="宋体" w:eastAsia="宋体" w:cs="宋体"/>
          <w:b/>
          <w:bCs/>
          <w:color w:val="auto"/>
          <w:kern w:val="0"/>
          <w:sz w:val="21"/>
          <w:szCs w:val="21"/>
          <w:highlight w:val="none"/>
        </w:rPr>
        <w:t>物业管理服务质量标准</w:t>
      </w:r>
    </w:p>
    <w:p w14:paraId="1B4B2CD2">
      <w:pPr>
        <w:pStyle w:val="13"/>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p w14:paraId="195BFC5E">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一、物业管理区域的综合管理</w:t>
      </w:r>
    </w:p>
    <w:p w14:paraId="48FFFA51">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1.1设置物业服务接待场所，办公区域整洁有序，公示管理服务人员情况、监督和报修电话、各项规章制度、工作流程等，配置能满足物业服务办公需求的办公家具、计算机、电话、传真机、复印机、考勤机（钉钉或海康威视）、对讲机、巡逻设备、维修工具等办公设施和办公用品</w:t>
      </w:r>
      <w:r>
        <w:rPr>
          <w:rFonts w:hint="eastAsia" w:ascii="宋体" w:hAnsi="宋体" w:eastAsia="宋体" w:cs="宋体"/>
          <w:color w:val="auto"/>
          <w:kern w:val="0"/>
          <w:sz w:val="21"/>
          <w:szCs w:val="21"/>
          <w:highlight w:val="none"/>
          <w:lang w:val="en-US" w:eastAsia="zh-CN"/>
        </w:rPr>
        <w:t>；</w:t>
      </w:r>
    </w:p>
    <w:p w14:paraId="249A9371">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1.2物业服务人员按招投标文件和服务合同约定配置齐全，各专业人员有相应资格证书或操作上岗证，入职人员有岗前培训和日常专业技能培训，统一着装、佩戴服务标识（牌）</w:t>
      </w:r>
      <w:r>
        <w:rPr>
          <w:rFonts w:hint="eastAsia" w:ascii="宋体" w:hAnsi="宋体" w:eastAsia="宋体" w:cs="宋体"/>
          <w:color w:val="auto"/>
          <w:kern w:val="0"/>
          <w:sz w:val="21"/>
          <w:szCs w:val="21"/>
          <w:highlight w:val="none"/>
          <w:lang w:val="en-US" w:eastAsia="zh-CN"/>
        </w:rPr>
        <w:t>；</w:t>
      </w:r>
    </w:p>
    <w:p w14:paraId="4B9B635B">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1.3服务人员行为规范，服务主动、细致、热情、周到，使用普通话，用语准确、称呼恰当、问候亲切，使用文明用语</w:t>
      </w:r>
      <w:r>
        <w:rPr>
          <w:rFonts w:hint="eastAsia" w:ascii="宋体" w:hAnsi="宋体" w:eastAsia="宋体" w:cs="宋体"/>
          <w:color w:val="auto"/>
          <w:kern w:val="0"/>
          <w:sz w:val="21"/>
          <w:szCs w:val="21"/>
          <w:highlight w:val="none"/>
          <w:lang w:val="en-US" w:eastAsia="zh-CN"/>
        </w:rPr>
        <w:t>；</w:t>
      </w:r>
    </w:p>
    <w:p w14:paraId="32CF6FCC">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1.4每季度以书面形式向业主单位提交物业服务合同履行情况、运营报告</w:t>
      </w:r>
      <w:r>
        <w:rPr>
          <w:rFonts w:hint="eastAsia" w:ascii="宋体" w:hAnsi="宋体" w:eastAsia="宋体" w:cs="宋体"/>
          <w:color w:val="auto"/>
          <w:kern w:val="0"/>
          <w:sz w:val="21"/>
          <w:szCs w:val="21"/>
          <w:highlight w:val="none"/>
          <w:lang w:val="en-US" w:eastAsia="zh-CN"/>
        </w:rPr>
        <w:t>；</w:t>
      </w:r>
    </w:p>
    <w:p w14:paraId="5F94612F">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1.5制定消防、电梯、给排水、供配电等共用设施设备事故应急预案，制定自然灾害、公共卫生、治安、交通等方面突发事件的配合性预案，应急预案定期演练并作好记录</w:t>
      </w:r>
      <w:r>
        <w:rPr>
          <w:rFonts w:hint="eastAsia" w:ascii="宋体" w:hAnsi="宋体" w:eastAsia="宋体" w:cs="宋体"/>
          <w:color w:val="auto"/>
          <w:kern w:val="0"/>
          <w:sz w:val="21"/>
          <w:szCs w:val="21"/>
          <w:highlight w:val="none"/>
          <w:lang w:val="en-US" w:eastAsia="zh-CN"/>
        </w:rPr>
        <w:t>；</w:t>
      </w:r>
    </w:p>
    <w:p w14:paraId="1A908F9F">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1.6建立项目服务人员培训体系，根据不同岗位特点制订并落实分类培训计划</w:t>
      </w:r>
      <w:r>
        <w:rPr>
          <w:rFonts w:hint="eastAsia" w:ascii="宋体" w:hAnsi="宋体" w:eastAsia="宋体" w:cs="宋体"/>
          <w:color w:val="auto"/>
          <w:kern w:val="0"/>
          <w:sz w:val="21"/>
          <w:szCs w:val="21"/>
          <w:highlight w:val="none"/>
          <w:lang w:val="en-US" w:eastAsia="zh-CN"/>
        </w:rPr>
        <w:t>；</w:t>
      </w:r>
    </w:p>
    <w:p w14:paraId="0F96E49A">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1.7对小区内房屋建筑、设施设备、绿化、保洁、安保、环境等实施专业化管理，提供多种便民和特色服务</w:t>
      </w:r>
      <w:r>
        <w:rPr>
          <w:rFonts w:hint="eastAsia" w:ascii="宋体" w:hAnsi="宋体" w:eastAsia="宋体" w:cs="宋体"/>
          <w:color w:val="auto"/>
          <w:kern w:val="0"/>
          <w:sz w:val="21"/>
          <w:szCs w:val="21"/>
          <w:highlight w:val="none"/>
          <w:lang w:val="en-US" w:eastAsia="zh-CN"/>
        </w:rPr>
        <w:t>；</w:t>
      </w:r>
    </w:p>
    <w:p w14:paraId="3DA46323">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1.8建立24小值班制度，公示24小时服务电话，及时处理租户对小区管理方面的投诉和建议，受理租户投诉，应核实情况做好记录，及时处理登记存档</w:t>
      </w:r>
      <w:r>
        <w:rPr>
          <w:rFonts w:hint="eastAsia" w:ascii="宋体" w:hAnsi="宋体" w:eastAsia="宋体" w:cs="宋体"/>
          <w:color w:val="auto"/>
          <w:kern w:val="0"/>
          <w:sz w:val="21"/>
          <w:szCs w:val="21"/>
          <w:highlight w:val="none"/>
          <w:lang w:val="en-US" w:eastAsia="zh-CN"/>
        </w:rPr>
        <w:t>；</w:t>
      </w:r>
    </w:p>
    <w:p w14:paraId="02C4F334">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1.9接管物业项目时，对小区共用部位、共用设施设备、房屋情况等进行承接查验，日常定期按承接查验标准进行巡查，及时收集汇总相关问题并形成书面材料提出相关建议</w:t>
      </w:r>
      <w:r>
        <w:rPr>
          <w:rFonts w:hint="eastAsia" w:ascii="宋体" w:hAnsi="宋体" w:eastAsia="宋体" w:cs="宋体"/>
          <w:color w:val="auto"/>
          <w:kern w:val="0"/>
          <w:sz w:val="21"/>
          <w:szCs w:val="21"/>
          <w:highlight w:val="none"/>
          <w:lang w:val="en-US" w:eastAsia="zh-CN"/>
        </w:rPr>
        <w:t>；</w:t>
      </w:r>
    </w:p>
    <w:p w14:paraId="3A0F18B8">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1.10主动接受居委会的领导，加强与租户的沟通，配合办事处、居委会、派出所等行政主管部门开展社区工作</w:t>
      </w:r>
      <w:r>
        <w:rPr>
          <w:rFonts w:hint="eastAsia" w:ascii="宋体" w:hAnsi="宋体" w:eastAsia="宋体" w:cs="宋体"/>
          <w:color w:val="auto"/>
          <w:kern w:val="0"/>
          <w:sz w:val="21"/>
          <w:szCs w:val="21"/>
          <w:highlight w:val="none"/>
          <w:lang w:eastAsia="zh-CN"/>
        </w:rPr>
        <w:t>。</w:t>
      </w:r>
    </w:p>
    <w:p w14:paraId="42E7EA91">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二、物业管理区域的租赁管理</w:t>
      </w:r>
    </w:p>
    <w:p w14:paraId="4DF25579">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2.1做好租户入住和退出管理，办理租赁合同的签订、续签、变更手续，采集住户基本信息，建立住户档案、空置房、机动车辆等租赁档案和动态信息</w:t>
      </w:r>
      <w:r>
        <w:rPr>
          <w:rFonts w:hint="eastAsia" w:ascii="宋体" w:hAnsi="宋体" w:eastAsia="宋体" w:cs="宋体"/>
          <w:color w:val="auto"/>
          <w:kern w:val="0"/>
          <w:sz w:val="21"/>
          <w:szCs w:val="21"/>
          <w:highlight w:val="none"/>
          <w:lang w:val="en-US" w:eastAsia="zh-CN"/>
        </w:rPr>
        <w:t>；</w:t>
      </w:r>
    </w:p>
    <w:p w14:paraId="1AA4DDB0">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2.2按财务工作规定和程序，建立健全租金、保证金和水电费台账，按租赁合同约定做好租户各类费用收缴工作，定期统计并上报业主单位</w:t>
      </w:r>
      <w:r>
        <w:rPr>
          <w:rFonts w:hint="eastAsia" w:ascii="宋体" w:hAnsi="宋体" w:eastAsia="宋体" w:cs="宋体"/>
          <w:color w:val="auto"/>
          <w:kern w:val="0"/>
          <w:sz w:val="21"/>
          <w:szCs w:val="21"/>
          <w:highlight w:val="none"/>
          <w:lang w:val="en-US" w:eastAsia="zh-CN"/>
        </w:rPr>
        <w:t>；</w:t>
      </w:r>
    </w:p>
    <w:p w14:paraId="2B9D9C7A">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2.3按月统计上报空置房情况，做好空置房的清洁、维修等管理事务</w:t>
      </w:r>
      <w:r>
        <w:rPr>
          <w:rFonts w:hint="eastAsia" w:ascii="宋体" w:hAnsi="宋体" w:eastAsia="宋体" w:cs="宋体"/>
          <w:color w:val="auto"/>
          <w:kern w:val="0"/>
          <w:sz w:val="21"/>
          <w:szCs w:val="21"/>
          <w:highlight w:val="none"/>
          <w:lang w:val="en-US" w:eastAsia="zh-CN"/>
        </w:rPr>
        <w:t>；</w:t>
      </w:r>
    </w:p>
    <w:p w14:paraId="40505005">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2.4建立入户回访和日常巡查制度，充分发挥物业管家服务职能，按月进行入户回访和安全检查</w:t>
      </w:r>
      <w:r>
        <w:rPr>
          <w:rFonts w:hint="eastAsia" w:ascii="宋体" w:hAnsi="宋体" w:eastAsia="宋体" w:cs="宋体"/>
          <w:color w:val="auto"/>
          <w:kern w:val="0"/>
          <w:sz w:val="21"/>
          <w:szCs w:val="21"/>
          <w:highlight w:val="none"/>
          <w:lang w:val="en-US" w:eastAsia="zh-CN"/>
        </w:rPr>
        <w:t>；</w:t>
      </w:r>
    </w:p>
    <w:p w14:paraId="35C578CC">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2.5及时发现、处置违法、违规、违约使用公租房行为并上报，负责向当事人追偿损失或落实恢复原状</w:t>
      </w:r>
      <w:r>
        <w:rPr>
          <w:rFonts w:hint="eastAsia" w:ascii="宋体" w:hAnsi="宋体" w:eastAsia="宋体" w:cs="宋体"/>
          <w:color w:val="auto"/>
          <w:kern w:val="0"/>
          <w:sz w:val="21"/>
          <w:szCs w:val="21"/>
          <w:highlight w:val="none"/>
          <w:lang w:val="en-US" w:eastAsia="zh-CN"/>
        </w:rPr>
        <w:t>；</w:t>
      </w:r>
    </w:p>
    <w:p w14:paraId="594EEA69">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2.6管理、配置小区文化娱乐活动场所（棋牌、球类等），每日开放，每月组织开展不少于1次活动，不定期开展小区公益服务（健康义诊、便民维修等），做好社区文化体系建设</w:t>
      </w:r>
      <w:r>
        <w:rPr>
          <w:rFonts w:hint="eastAsia" w:ascii="宋体" w:hAnsi="宋体" w:eastAsia="宋体" w:cs="宋体"/>
          <w:color w:val="auto"/>
          <w:kern w:val="0"/>
          <w:sz w:val="21"/>
          <w:szCs w:val="21"/>
          <w:highlight w:val="none"/>
          <w:lang w:val="en-US" w:eastAsia="zh-CN"/>
        </w:rPr>
        <w:t>；</w:t>
      </w:r>
    </w:p>
    <w:p w14:paraId="01CCB283">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2.7及时处理小区房屋租赁事务和纠纷，与入住企业宿管等管理方加强沟通，做好防火、防盗工作</w:t>
      </w:r>
      <w:r>
        <w:rPr>
          <w:rFonts w:hint="eastAsia" w:ascii="宋体" w:hAnsi="宋体" w:eastAsia="宋体" w:cs="宋体"/>
          <w:color w:val="auto"/>
          <w:kern w:val="0"/>
          <w:sz w:val="21"/>
          <w:szCs w:val="21"/>
          <w:highlight w:val="none"/>
          <w:lang w:val="en-US" w:eastAsia="zh-CN"/>
        </w:rPr>
        <w:t>；</w:t>
      </w:r>
    </w:p>
    <w:p w14:paraId="25ECC7EC">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2.8加强房屋安全使用的预防宣传，建立安全生产巡查制度</w:t>
      </w:r>
      <w:r>
        <w:rPr>
          <w:rFonts w:hint="eastAsia" w:ascii="宋体" w:hAnsi="宋体" w:eastAsia="宋体" w:cs="宋体"/>
          <w:color w:val="auto"/>
          <w:kern w:val="0"/>
          <w:sz w:val="21"/>
          <w:szCs w:val="21"/>
          <w:highlight w:val="none"/>
          <w:lang w:val="en-US" w:eastAsia="zh-CN"/>
        </w:rPr>
        <w:t>；</w:t>
      </w:r>
    </w:p>
    <w:p w14:paraId="3376282E">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2.9根据公租房管理办法，做好各类材料统计上报工作</w:t>
      </w:r>
      <w:r>
        <w:rPr>
          <w:rFonts w:hint="eastAsia" w:ascii="宋体" w:hAnsi="宋体" w:eastAsia="宋体" w:cs="宋体"/>
          <w:color w:val="auto"/>
          <w:kern w:val="0"/>
          <w:sz w:val="21"/>
          <w:szCs w:val="21"/>
          <w:highlight w:val="none"/>
          <w:lang w:val="en-US" w:eastAsia="zh-CN"/>
        </w:rPr>
        <w:t>；</w:t>
      </w:r>
    </w:p>
    <w:p w14:paraId="6F1EF374">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2.10及时报备媒体采访报道、上级领导或相关单位的巡检、参观工作。未经通知的媒体采访，及时报告业主单位，按要求处置。</w:t>
      </w:r>
    </w:p>
    <w:p w14:paraId="1B87B8B7">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物业管理区域的房屋管理</w:t>
      </w:r>
    </w:p>
    <w:p w14:paraId="1E029AD6">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3.1每年两次以上对房屋结构、涉及使用安全的部位进行检查并有记录，发现损坏及时告知租户、业主单位并安排专项维修</w:t>
      </w:r>
      <w:r>
        <w:rPr>
          <w:rFonts w:hint="eastAsia" w:ascii="宋体" w:hAnsi="宋体" w:eastAsia="宋体" w:cs="宋体"/>
          <w:color w:val="auto"/>
          <w:kern w:val="0"/>
          <w:sz w:val="21"/>
          <w:szCs w:val="21"/>
          <w:highlight w:val="none"/>
          <w:lang w:val="en-US" w:eastAsia="zh-CN"/>
        </w:rPr>
        <w:t>；</w:t>
      </w:r>
    </w:p>
    <w:p w14:paraId="1B4EC61E">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3.2定期做好房屋屋面、地漏、单元门、楼梯、通道、窗等共用部位巡查，发现损坏及时维修养护并做好记录</w:t>
      </w:r>
      <w:r>
        <w:rPr>
          <w:rFonts w:hint="eastAsia" w:ascii="宋体" w:hAnsi="宋体" w:eastAsia="宋体" w:cs="宋体"/>
          <w:color w:val="auto"/>
          <w:kern w:val="0"/>
          <w:sz w:val="21"/>
          <w:szCs w:val="21"/>
          <w:highlight w:val="none"/>
          <w:lang w:val="en-US" w:eastAsia="zh-CN"/>
        </w:rPr>
        <w:t>；</w:t>
      </w:r>
    </w:p>
    <w:p w14:paraId="402BD112">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3.3门窗无破损，楼梯、通道以及楼顶无乱堆乱放现象，屋面无渗漏和积水，地漏无堵塞，楼顶进入有监控措施，物业采取必要的安全保障措施防止租户从建筑物中抛掷物品造成他人损害</w:t>
      </w:r>
      <w:r>
        <w:rPr>
          <w:rFonts w:hint="eastAsia" w:ascii="宋体" w:hAnsi="宋体" w:eastAsia="宋体" w:cs="宋体"/>
          <w:color w:val="auto"/>
          <w:kern w:val="0"/>
          <w:sz w:val="21"/>
          <w:szCs w:val="21"/>
          <w:highlight w:val="none"/>
          <w:lang w:val="en-US" w:eastAsia="zh-CN"/>
        </w:rPr>
        <w:t>；</w:t>
      </w:r>
    </w:p>
    <w:p w14:paraId="58E92CFC">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3.4定期巡查房屋使用状况，发现梁、板、柱等承重结构有变形、开裂等现象时，应及时建议业主单位申请房屋安全鉴定，并采取必要的警示和防护措施</w:t>
      </w:r>
      <w:r>
        <w:rPr>
          <w:rFonts w:hint="eastAsia" w:ascii="宋体" w:hAnsi="宋体" w:eastAsia="宋体" w:cs="宋体"/>
          <w:color w:val="auto"/>
          <w:kern w:val="0"/>
          <w:sz w:val="21"/>
          <w:szCs w:val="21"/>
          <w:highlight w:val="none"/>
          <w:lang w:val="en-US" w:eastAsia="zh-CN"/>
        </w:rPr>
        <w:t>；</w:t>
      </w:r>
    </w:p>
    <w:p w14:paraId="5CCC024A">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3.5房屋外观完好、整洁，空调室外机安装位置统一，冷凝水集中收集排放畅通，管线整齐，美观大方</w:t>
      </w:r>
      <w:r>
        <w:rPr>
          <w:rFonts w:hint="eastAsia" w:ascii="宋体" w:hAnsi="宋体" w:eastAsia="宋体" w:cs="宋体"/>
          <w:color w:val="auto"/>
          <w:kern w:val="0"/>
          <w:sz w:val="21"/>
          <w:szCs w:val="21"/>
          <w:highlight w:val="none"/>
          <w:lang w:val="en-US" w:eastAsia="zh-CN"/>
        </w:rPr>
        <w:t>；</w:t>
      </w:r>
    </w:p>
    <w:p w14:paraId="0878CF69">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3.6在小区主出入口设置小区平面示意图且规范清晰，管理区域交通标志、引导指示牌、紧急疏散标识规范清晰，小区楼栋号、单元、楼层以用配套公建标识规范清晰</w:t>
      </w:r>
      <w:r>
        <w:rPr>
          <w:rFonts w:hint="eastAsia" w:ascii="宋体" w:hAnsi="宋体" w:eastAsia="宋体" w:cs="宋体"/>
          <w:color w:val="auto"/>
          <w:kern w:val="0"/>
          <w:sz w:val="21"/>
          <w:szCs w:val="21"/>
          <w:highlight w:val="none"/>
          <w:lang w:val="en-US" w:eastAsia="zh-CN"/>
        </w:rPr>
        <w:t>；</w:t>
      </w:r>
    </w:p>
    <w:p w14:paraId="1C9CEB0A">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对租户申报的装饰装修方案进行登记，办理装修施工手续，书面告知租户及施工单位关于装饰装修的禁止行为和注意事项，做好装修现场的消防及安全防范措施，定期巡视装饰装修现场，纠正违规和制止违规行为，制止无效的上报业主单位。</w:t>
      </w:r>
    </w:p>
    <w:p w14:paraId="404BCA0A">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物业管理区域的安保管理</w:t>
      </w:r>
    </w:p>
    <w:p w14:paraId="1C58D74D">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4.1安保人员接受过安全技术训练并持证上岗，能能正确使用各类消防、物防、技防器械和设备，熟悉小区环境，熟知治安管理有关法律法规。熟悉各类刑事、治安案件和各类灾害事故的应急预案</w:t>
      </w:r>
      <w:r>
        <w:rPr>
          <w:rFonts w:hint="eastAsia" w:ascii="宋体" w:hAnsi="宋体" w:eastAsia="宋体" w:cs="宋体"/>
          <w:color w:val="auto"/>
          <w:kern w:val="0"/>
          <w:sz w:val="21"/>
          <w:szCs w:val="21"/>
          <w:highlight w:val="none"/>
          <w:lang w:val="en-US" w:eastAsia="zh-CN"/>
        </w:rPr>
        <w:t>；</w:t>
      </w:r>
    </w:p>
    <w:p w14:paraId="67EF6E04">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4.2实行封闭式管理，主出入口和值班室（监控室）24 小时有人值守，门岗实行着制服站岗制度（7：00-8：00，11：30-12：30，14：00-15：00，17：00-18：00），有详细交接班记录和小区外来车辆的登记记录</w:t>
      </w:r>
      <w:r>
        <w:rPr>
          <w:rFonts w:hint="eastAsia" w:ascii="宋体" w:hAnsi="宋体" w:eastAsia="宋体" w:cs="宋体"/>
          <w:color w:val="auto"/>
          <w:kern w:val="0"/>
          <w:sz w:val="21"/>
          <w:szCs w:val="21"/>
          <w:highlight w:val="none"/>
          <w:lang w:val="en-US" w:eastAsia="zh-CN"/>
        </w:rPr>
        <w:t>；</w:t>
      </w:r>
    </w:p>
    <w:p w14:paraId="6A8551C7">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4.3对进出车辆进行管理、疏导，保证出入口环境整洁、有序、通畅，对大件物品搬出进行登记，保证车辆进出道闸、地下停车场设施运行良好</w:t>
      </w:r>
      <w:r>
        <w:rPr>
          <w:rFonts w:hint="eastAsia" w:ascii="宋体" w:hAnsi="宋体" w:eastAsia="宋体" w:cs="宋体"/>
          <w:color w:val="auto"/>
          <w:kern w:val="0"/>
          <w:sz w:val="21"/>
          <w:szCs w:val="21"/>
          <w:highlight w:val="none"/>
          <w:lang w:val="en-US" w:eastAsia="zh-CN"/>
        </w:rPr>
        <w:t>；</w:t>
      </w:r>
    </w:p>
    <w:p w14:paraId="6E65231C">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4.4安保人员按设定路线每2小时巡查一次，维持交通秩序劝阻违章停车，确保消防通道畅通，物业按要求配备对进机、警棍、口哨、巡更采集器等安保设备</w:t>
      </w:r>
      <w:r>
        <w:rPr>
          <w:rFonts w:hint="eastAsia" w:ascii="宋体" w:hAnsi="宋体" w:eastAsia="宋体" w:cs="宋体"/>
          <w:color w:val="auto"/>
          <w:kern w:val="0"/>
          <w:sz w:val="21"/>
          <w:szCs w:val="21"/>
          <w:highlight w:val="none"/>
          <w:lang w:val="en-US" w:eastAsia="zh-CN"/>
        </w:rPr>
        <w:t>；</w:t>
      </w:r>
    </w:p>
    <w:p w14:paraId="302DB846">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4.5安保人员坚守岗位，忠于职守，严格执行岗位责任制，不脱岗、窜岗、睡岗，注意观察人员进出情况，发现疑点及时询问，敢于制止违法犯罪行为并及时报警，减少小区治安、盗窃等案发率</w:t>
      </w:r>
      <w:r>
        <w:rPr>
          <w:rFonts w:hint="eastAsia" w:ascii="宋体" w:hAnsi="宋体" w:eastAsia="宋体" w:cs="宋体"/>
          <w:color w:val="auto"/>
          <w:kern w:val="0"/>
          <w:sz w:val="21"/>
          <w:szCs w:val="21"/>
          <w:highlight w:val="none"/>
          <w:lang w:val="en-US" w:eastAsia="zh-CN"/>
        </w:rPr>
        <w:t>；</w:t>
      </w:r>
    </w:p>
    <w:p w14:paraId="62C7AC84">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4.6对火灾、治安等突发事件有应急预案，事发时及时赶到现场采取相应的应对措施，及时报告业主单位和有关部门</w:t>
      </w:r>
      <w:r>
        <w:rPr>
          <w:rFonts w:hint="eastAsia" w:ascii="宋体" w:hAnsi="宋体" w:eastAsia="宋体" w:cs="宋体"/>
          <w:color w:val="auto"/>
          <w:kern w:val="0"/>
          <w:sz w:val="21"/>
          <w:szCs w:val="21"/>
          <w:highlight w:val="none"/>
          <w:lang w:val="en-US" w:eastAsia="zh-CN"/>
        </w:rPr>
        <w:t>；</w:t>
      </w:r>
    </w:p>
    <w:p w14:paraId="0CD7A4EA">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4.7监控室实施24小时专人值守，熟悉监控设备操作，对监控设备反映的异常信息实施管理并及时处理上报</w:t>
      </w:r>
      <w:r>
        <w:rPr>
          <w:rFonts w:hint="eastAsia" w:ascii="宋体" w:hAnsi="宋体" w:eastAsia="宋体" w:cs="宋体"/>
          <w:color w:val="auto"/>
          <w:kern w:val="0"/>
          <w:sz w:val="21"/>
          <w:szCs w:val="21"/>
          <w:highlight w:val="none"/>
          <w:lang w:val="en-US" w:eastAsia="zh-CN"/>
        </w:rPr>
        <w:t>；</w:t>
      </w:r>
    </w:p>
    <w:p w14:paraId="5AFA37E8">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4.8安保人员值班时禁止喝酒、吃东西，不准嬉笑、打闹、看书报、听收音机、打瞌睡，不准做其他与值班职责无关的事</w:t>
      </w:r>
      <w:r>
        <w:rPr>
          <w:rFonts w:hint="eastAsia" w:ascii="宋体" w:hAnsi="宋体" w:eastAsia="宋体" w:cs="宋体"/>
          <w:color w:val="auto"/>
          <w:kern w:val="0"/>
          <w:sz w:val="21"/>
          <w:szCs w:val="21"/>
          <w:highlight w:val="none"/>
          <w:lang w:val="en-US" w:eastAsia="zh-CN"/>
        </w:rPr>
        <w:t>；</w:t>
      </w:r>
    </w:p>
    <w:p w14:paraId="63D40F2E">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4.9非机动车辆有集中停放场地，管理制度落实，管理有序，停放整齐，场地整洁</w:t>
      </w:r>
      <w:r>
        <w:rPr>
          <w:rFonts w:hint="eastAsia" w:ascii="宋体" w:hAnsi="宋体" w:eastAsia="宋体" w:cs="宋体"/>
          <w:color w:val="auto"/>
          <w:kern w:val="0"/>
          <w:sz w:val="21"/>
          <w:szCs w:val="21"/>
          <w:highlight w:val="none"/>
          <w:lang w:val="en-US" w:eastAsia="zh-CN"/>
        </w:rPr>
        <w:t>；</w:t>
      </w:r>
    </w:p>
    <w:p w14:paraId="79B5D8B0">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4.10小区无安全隐患，在有可能发生事故处设有明显标志和防范措施，加强安保人员处突能力，不准与租户发生争吵或出现有效投诉。</w:t>
      </w:r>
    </w:p>
    <w:p w14:paraId="40DE39F8">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物业管理区域的保洁管理</w:t>
      </w:r>
    </w:p>
    <w:p w14:paraId="5AE3F7A9">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5.1保洁人员配置合理并经过培训，着统一工作服上岗服务，要求责任区域明确，建立保洁制度、消杀制度和操作规程，清洁服务定时定点，保持物业服务公共区域环境整洁、干净，生活垃圾日产日清</w:t>
      </w:r>
      <w:r>
        <w:rPr>
          <w:rFonts w:hint="eastAsia" w:ascii="宋体" w:hAnsi="宋体" w:eastAsia="宋体" w:cs="宋体"/>
          <w:color w:val="auto"/>
          <w:kern w:val="0"/>
          <w:sz w:val="21"/>
          <w:szCs w:val="21"/>
          <w:highlight w:val="none"/>
          <w:lang w:val="en-US" w:eastAsia="zh-CN"/>
        </w:rPr>
        <w:t>；</w:t>
      </w:r>
    </w:p>
    <w:p w14:paraId="2005279B">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5.2公共保洁服务包括不限于共用楼道保洁，电梯及电梯厅保洁，道路保洁，广场环境保洁，停车场及车库保洁，标识、宣传栏、信报箱保洁，休闲、娱乐、健身设施保洁，门卫、岗亭、监控探头保洁，绿化区域保洁、公共卫生间保洁、垃圾收集与清运、卫生消杀、公共疫情应急处理等</w:t>
      </w:r>
      <w:r>
        <w:rPr>
          <w:rFonts w:hint="eastAsia" w:ascii="宋体" w:hAnsi="宋体" w:eastAsia="宋体" w:cs="宋体"/>
          <w:color w:val="auto"/>
          <w:kern w:val="0"/>
          <w:sz w:val="21"/>
          <w:szCs w:val="21"/>
          <w:highlight w:val="none"/>
          <w:lang w:val="en-US" w:eastAsia="zh-CN"/>
        </w:rPr>
        <w:t>；</w:t>
      </w:r>
    </w:p>
    <w:p w14:paraId="12959E30">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5.3定期巡查清理化粪池、雨水井、污水井等管网，通道及楼梯台阶、扶手、栏杆、窗台、开关、门窗、天花板、公共灯具、道路等公共部位保洁每天清扫一次，共用设施设备每两天清洁一次</w:t>
      </w:r>
      <w:r>
        <w:rPr>
          <w:rFonts w:hint="eastAsia" w:ascii="宋体" w:hAnsi="宋体" w:eastAsia="宋体" w:cs="宋体"/>
          <w:color w:val="auto"/>
          <w:kern w:val="0"/>
          <w:sz w:val="21"/>
          <w:szCs w:val="21"/>
          <w:highlight w:val="none"/>
          <w:lang w:val="en-US" w:eastAsia="zh-CN"/>
        </w:rPr>
        <w:t>；</w:t>
      </w:r>
    </w:p>
    <w:p w14:paraId="0CE69114">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5.4停车场或共用车库（棚）每天清扫一次；及时清除地下室进出口的垃圾；发现油迹、污迹、锈迹，应及时擦洗干净；无异味、空气流通；标识、指示牌等公共设施目视无灰尘；</w:t>
      </w:r>
    </w:p>
    <w:p w14:paraId="35E4604B">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5.5公共楼梯、走道、天台、墙面、电梯轿厢等公共部位保持清洁，无乱贴、乱画、擅自占用和堆放杂物现象；</w:t>
      </w:r>
    </w:p>
    <w:p w14:paraId="38B9DCE0">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5.6每日清洁绿化带垃圾一次，秋冬季节或落叶较多季节增加清洁次数；</w:t>
      </w:r>
    </w:p>
    <w:p w14:paraId="5588F797">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5.7保洁设施设备配备合理，定期对保洁设施设备进行卫生消毒，每月对窨井、明沟、垃圾箱等喷洒药水一次，春夏季（4 月、5 月、6 月、7 月、8 月）每月灭蚊、蝇、蟑螂、鼠一次，其余每季灭鼠一次。防治鼠害、虫害等有计划、有措施、有记录；</w:t>
      </w:r>
    </w:p>
    <w:p w14:paraId="5E4B1832">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5.8垃圾桶分类配置，每幢楼至少设置6个大垃圾桶，每日早晚清运各一次，清运垃圾时间避开人流高峰；</w:t>
      </w:r>
    </w:p>
    <w:p w14:paraId="0074D889">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outlineLvl w:val="4"/>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5.9日常各项保洁服务工作应有记录，每个月进行一次汇总存档；</w:t>
      </w:r>
    </w:p>
    <w:p w14:paraId="1BD548B8">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5.10出现环境污染、公共性疫情等情况，应启动应急预案，配合有关部门处置。</w:t>
      </w:r>
    </w:p>
    <w:p w14:paraId="43D70B93">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rPr>
        <w:t>物业管理区域的设施设备管理</w:t>
      </w:r>
    </w:p>
    <w:p w14:paraId="1CE0FBCA">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6.1建立健全小区各类公共设施设备明细台账，包括不限于供电系统、公共照明系统、弱电系统、给排水系统、消防电梯系统、避雷系统等；</w:t>
      </w:r>
    </w:p>
    <w:p w14:paraId="19A3A41D">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6.2道路、停车场运行正常完好，保证道路通畅，停车场汽车停放有序，现场卫生干净整洁，定期维护更新车辆道闸信息系统；</w:t>
      </w:r>
    </w:p>
    <w:p w14:paraId="6CCF62AC">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6.3供电系统运行正常完好，设备编号有序，运行、维修、保养、巡检记录完整，保持配电房清洁卫生，做好各类供电表登记统计工作，定期检查维护。每周检查发电机设施设备，保证配电机房灭火设施设备运行正常完好；</w:t>
      </w:r>
    </w:p>
    <w:p w14:paraId="4E5C42F3">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6.4公共照明系统运行正常完好，每天巡查公共照明、应急照明，及时更换缺损、失效照明设施设备；</w:t>
      </w:r>
    </w:p>
    <w:p w14:paraId="450B71B0">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6.5消防系统运行正常完好，每天巡查消防设施设备，及时发现问题，消防维保单位和物业服务企业要及时处理消防隐患；</w:t>
      </w:r>
    </w:p>
    <w:p w14:paraId="21549D46">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6.6弱电安防系统运行正常完好，有小区监控分布图，安防监控出现故障能及时排除故障，保证摄像监控图像清晰，监控室实行24小时专人值班制度，系统每月检查一次有巡查记录档案；</w:t>
      </w:r>
    </w:p>
    <w:p w14:paraId="32065AAC">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6.7给排水系统运行正常完好，有小区给排水管线图，定期巡查、维护保养，记录完整，定期检查生活用水箱、各水泵等给水系统，饮用水水箱每半年清洗、消毒、水质化验一次，水质符合国家标准，做好各类用水表登记统计工作；</w:t>
      </w:r>
    </w:p>
    <w:p w14:paraId="17C4AAAF">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6.8避雷系统运行正常完好，有避雷设施位置平面图，定期检查、维护且记录完整，每年雷雨季节来临前检测避雷设施，保证接地电阻不大于10欧姆，保证避雷系统其性能符合国家标准；</w:t>
      </w:r>
    </w:p>
    <w:p w14:paraId="58364D94">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6.9房屋设施设备正常完好，每半年对房屋共用部位、设施设备、道路、绿地等全面检查一次，每半年检查巡视；</w:t>
      </w:r>
    </w:p>
    <w:p w14:paraId="288CF06F">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6.10加强物业服务区域的电信、有线等配套服务设施设备管理，物业公司负责监控有关运营管理单位进入小区维护活动和行为。</w:t>
      </w:r>
    </w:p>
    <w:p w14:paraId="2B44989A">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rPr>
        <w:t>物业管理区域的电梯管理</w:t>
      </w:r>
    </w:p>
    <w:p w14:paraId="707AF050">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7.1电梯准用证、年检合格证、紧急电话和乘客注意事项置于轿厢醒目位置；</w:t>
      </w:r>
    </w:p>
    <w:p w14:paraId="512679C1">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7.2维保单位资质符合规定，电梯维修保养合同规范，资质和合同及时向业主单位报备；</w:t>
      </w:r>
    </w:p>
    <w:p w14:paraId="39D4FA6F">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7.3电梯机房通风、照明等设施设备情况良好，平层标志线清晰，专业工具齐全；</w:t>
      </w:r>
    </w:p>
    <w:p w14:paraId="23A41AAC">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7.4电梯轿厢、井道内保持清洁，轿厢广告设置有审批手续且张贴有序，无乱贴、乱画现象，加强日常维修保养，适时降温、通风、防雨，防止地面水流入电梯井；</w:t>
      </w:r>
    </w:p>
    <w:p w14:paraId="2BACEB69">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7.5每天检查电梯运行情况，保证电梯运行平稳，维修、保养、检修记录完整，轿厢内设置紧急呼救报警装置或应急救援电话，保证正常使用，并24小时值班室联网专人值守；</w:t>
      </w:r>
    </w:p>
    <w:p w14:paraId="4732FFBD">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7.6电梯要求24小时运行，出现一般故障或险情，维修人员接到报修后60分钟内到达现场，发生电梯困人或其他重大事件时，物业管理人员5分钟之内到场应急处理，专业人员30分钟之内到场进行救助；</w:t>
      </w:r>
    </w:p>
    <w:p w14:paraId="0AA241A2">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7.7定期对机房、轿厢顶和底坑进行检查，发现问题及时处理并做好记录；</w:t>
      </w:r>
    </w:p>
    <w:p w14:paraId="58EA8116">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7.8建立电梯安全技术档案和运行档案，记录电梯运行情况和维修保养工作内容。</w:t>
      </w:r>
    </w:p>
    <w:p w14:paraId="6B3A4309">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八、</w:t>
      </w:r>
      <w:r>
        <w:rPr>
          <w:rFonts w:hint="eastAsia" w:ascii="宋体" w:hAnsi="宋体" w:eastAsia="宋体" w:cs="宋体"/>
          <w:b/>
          <w:bCs/>
          <w:color w:val="auto"/>
          <w:kern w:val="0"/>
          <w:sz w:val="21"/>
          <w:szCs w:val="21"/>
          <w:highlight w:val="none"/>
        </w:rPr>
        <w:t>物业管理区域的消防管理</w:t>
      </w:r>
    </w:p>
    <w:p w14:paraId="67A09B52">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8.1有消防设施设置平面图、火警疏散示意图，按幢按楼层设置在明显位置；</w:t>
      </w:r>
    </w:p>
    <w:p w14:paraId="646A82FC">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8.2消防监控系统运行良好，自动和手动报警设施启动正常，地下泵房按规定时间巡查和维保；</w:t>
      </w:r>
    </w:p>
    <w:p w14:paraId="6FEA36B6">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8.3委托有资质的维修保养单位按国家法律法规做好消防维保工作，维保单位资质和合同向业主单位报备；</w:t>
      </w:r>
    </w:p>
    <w:p w14:paraId="292DC33F">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outlineLvl w:val="4"/>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8.4每月定期开展上门入户消防安全检查，做好检查记录；</w:t>
      </w:r>
    </w:p>
    <w:p w14:paraId="30B66C4F">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8.5消火栓柜、防火卷帘、防火门、灭火器、消防电话、风机房、疏散指示灯，应急照明和应急工具等消防设施设备完好，定期组织检验和保养并做好记录；</w:t>
      </w:r>
    </w:p>
    <w:p w14:paraId="6BBEE0CC">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8.6消防加压和稳压设备运行正常，管网压力始终满足消防灭火的要求，管道和阀门无跟冒滴漏，测试、维修、保养记录完整；</w:t>
      </w:r>
    </w:p>
    <w:p w14:paraId="7967FF71">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8.7消防通道、安全出口畅通，无杂物堆放，无违章占用，疏散标志、疏散指示灯和示意图等设置合理、醒目，严禁电动自行车违规停放和私接乱拉电线充电；</w:t>
      </w:r>
    </w:p>
    <w:p w14:paraId="6CDAC0D8">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8.8定期开展消防演练活动、应急预案，定期为物业服务人员和租户开展消防培训；</w:t>
      </w:r>
    </w:p>
    <w:p w14:paraId="10D2A877">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8.9消防控制室实行24小时专人值班制度，值班人员持证上岗，记录控制主机运行情况，有巡查记录；</w:t>
      </w:r>
    </w:p>
    <w:p w14:paraId="73E53766">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8.10接到火警、警情后要求5分钟到达现场，采取相应措施和协助保护现场，并报告业主单位与警方。</w:t>
      </w:r>
    </w:p>
    <w:p w14:paraId="17330666">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rPr>
        <w:t>物业管理区域的绿化管理</w:t>
      </w:r>
    </w:p>
    <w:p w14:paraId="7BE7B7B4">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9.1绿化图纸、苗木清单等资料齐全，绿化养护责任区域明确，制定并落实绿化养护计划；</w:t>
      </w:r>
    </w:p>
    <w:p w14:paraId="4273E8EB">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9.2委托专业绿化养护单位定期组织浇灌、施肥、松土和喷药等养护管理，消杀作业前提前将计划在小区内公示，提前做好防涝、防旱和防冻工作，养护工作记录在档；</w:t>
      </w:r>
    </w:p>
    <w:p w14:paraId="6D124BEE">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outlineLvl w:val="4"/>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9.3醒目处设置爱护绿化提示标志，重点树木品种实行标牌管理；</w:t>
      </w:r>
    </w:p>
    <w:p w14:paraId="24011512">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9.4各类乔、灌、草等植物长势良好，修剪整齐美观，无折损、无病虫害、斑秃等现象；</w:t>
      </w:r>
    </w:p>
    <w:p w14:paraId="620DEBE4">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9.5绿地无破坏、践踏、占用现象，树木无悬挂物及晾晒物品现象。</w:t>
      </w:r>
    </w:p>
    <w:p w14:paraId="75D215A1">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w:t>
      </w:r>
      <w:r>
        <w:rPr>
          <w:rFonts w:hint="eastAsia" w:ascii="宋体" w:hAnsi="宋体" w:eastAsia="宋体" w:cs="宋体"/>
          <w:b/>
          <w:bCs/>
          <w:color w:val="auto"/>
          <w:kern w:val="0"/>
          <w:sz w:val="21"/>
          <w:szCs w:val="21"/>
          <w:highlight w:val="none"/>
        </w:rPr>
        <w:t>物业管理区域的维修管理</w:t>
      </w:r>
    </w:p>
    <w:p w14:paraId="782CB98A">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10.1维修工程技术人员配置数量和专业达到合同等相关规定，熟悉物业管理区域公用配套设施设备的各类和分布，掌握各类线路走向、分布、位置以及其维修保养方法；</w:t>
      </w:r>
    </w:p>
    <w:p w14:paraId="3DA48717">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10.2维修人员工作时间按规定着装，佩戴工作牌，严格遵守操作规程、工作标准，坚持贯彻执行安全生产第一的原则；</w:t>
      </w:r>
    </w:p>
    <w:p w14:paraId="7B0F5111">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10.3维修人员对物业管理区域经常巡视，发现公用设施有损坏、隐患或其他异常情况，及时上报给予维修，确保公共配套设施设备的正常运行，建立维修档案；</w:t>
      </w:r>
    </w:p>
    <w:p w14:paraId="25C93271">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10.4及时处理租户报修，日常维修或急修不超过4小时，维修更换的配件必须用知名品牌产品，，上门服务语言规范，态度礼貌，能耐心解答租户问题，维修台账和工作日志资料齐全；</w:t>
      </w:r>
    </w:p>
    <w:p w14:paraId="2CB58C68">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10.5报修程序规范，及时受理、检查、处置报修项目，图文信息齐全，无虚报、瞒报现象；</w:t>
      </w:r>
    </w:p>
    <w:p w14:paraId="14B94E2A">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10.6制定合理维修养护计划，通过对建筑物和配套设施设备有计划的保养，使其保持美观并延长使用寿命，近期完成维修计划；</w:t>
      </w:r>
    </w:p>
    <w:p w14:paraId="6AD7B674">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10.7维修质量符合相关规范标准，报修计划批复后，按时完成施工，专人负责维修质量的控制和自检，维修人员主动清理干净维修现场；</w:t>
      </w:r>
    </w:p>
    <w:p w14:paraId="1AFA99DB">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10.8制定维修回访制度且科学合理，维修回访率达100%，维修回访满意率不低于90%，回访过程中发现的问题，24小时内进行整改；</w:t>
      </w:r>
    </w:p>
    <w:p w14:paraId="698372B4">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10.9按时完成物业服务企业承担的维修、养护项目，没有拖延现象；</w:t>
      </w:r>
    </w:p>
    <w:p w14:paraId="34CE1320">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10.10做好物业区域大、中修维修现场秩序维护，定时巡查，排除安全隐患并做好标识与围挡，积极配合施工单位维修工作，无推诿、拖拉、吃拿卡要现象发生。</w:t>
      </w:r>
    </w:p>
    <w:p w14:paraId="4EEF8D95">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w:t>
      </w:r>
      <w:r>
        <w:rPr>
          <w:rFonts w:hint="eastAsia" w:ascii="宋体" w:hAnsi="宋体" w:eastAsia="宋体" w:cs="宋体"/>
          <w:b/>
          <w:bCs/>
          <w:color w:val="auto"/>
          <w:kern w:val="0"/>
          <w:sz w:val="21"/>
          <w:szCs w:val="21"/>
          <w:highlight w:val="none"/>
        </w:rPr>
        <w:t>物业管理区域的档案管</w:t>
      </w:r>
      <w:r>
        <w:rPr>
          <w:rFonts w:hint="eastAsia" w:ascii="宋体" w:hAnsi="宋体" w:eastAsia="宋体" w:cs="宋体"/>
          <w:b/>
          <w:bCs/>
          <w:color w:val="auto"/>
          <w:kern w:val="0"/>
          <w:sz w:val="21"/>
          <w:szCs w:val="21"/>
          <w:highlight w:val="none"/>
          <w:lang w:val="en-US" w:eastAsia="zh-CN"/>
        </w:rPr>
        <w:t>理</w:t>
      </w:r>
    </w:p>
    <w:p w14:paraId="2F3AB730">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11.1项目档案资料齐全、分类规范、查阅方便，包括不限于房屋档案，竣工总平面图，单体建筑、结构、设备竣工图，配套设施、地下管网竣工图等竣工验收资料，项目物业服务合同、招投标材料、人员花名册、劳动合同、租户基本信息、车辆信息档案、租赁合同、电梯消防等档案、公用设施设备档案、租金保证金水电费收缴档案、维修养护档案、车辆收费档案、投诉处理档案、专项服务外包管理档案、各类应急预案、员工培训档案、财务档案、日常管理档案等；</w:t>
      </w:r>
    </w:p>
    <w:p w14:paraId="52F488FC">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11.2房屋共用部位、共用设施设备运行、维修、养护档案和住户信息档案实行动态管理，及时更新，及时归档，要求逐步实行档案纸制归档和电子归档两条线管理；</w:t>
      </w:r>
    </w:p>
    <w:p w14:paraId="1704E0C3">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outlineLvl w:val="4"/>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11.3各类档案存放环境符合规定条件，做好防潮防虫工作；；</w:t>
      </w:r>
    </w:p>
    <w:p w14:paraId="17336DA6">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11.4小区开展的各类物业服务活动逐步建立图片、视频等电子存储档案</w:t>
      </w:r>
    </w:p>
    <w:p w14:paraId="209EF6FE">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11.5做好各类档案的保密工作，日常档案实行上锁管理，领取查阅要求登记记录，无泄露住户信息资料现象。</w:t>
      </w:r>
    </w:p>
    <w:p w14:paraId="0C05FA29">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十二、</w:t>
      </w:r>
      <w:r>
        <w:rPr>
          <w:rFonts w:hint="eastAsia" w:ascii="宋体" w:hAnsi="宋体" w:eastAsia="宋体" w:cs="宋体"/>
          <w:b/>
          <w:bCs/>
          <w:color w:val="auto"/>
          <w:kern w:val="0"/>
          <w:sz w:val="21"/>
          <w:szCs w:val="21"/>
          <w:highlight w:val="none"/>
        </w:rPr>
        <w:t>物业管理区域的企业服务</w:t>
      </w:r>
    </w:p>
    <w:p w14:paraId="6562981F">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12.1设立物业服务租户企业服务中心，公示物业服务企业营业执照、项目负责人照片、服务电话等信息，有专人负责接待租户来访，24小时受理租户报修和投诉；</w:t>
      </w:r>
    </w:p>
    <w:p w14:paraId="29BBBE03">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12.2客服接待人员值班记录及时，租户信息处理记录完整，按季进行统计分析不断提升改进服务标准；</w:t>
      </w:r>
    </w:p>
    <w:p w14:paraId="3FFF3384">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12.3严格按照合同和招投标文件规定的质量标准要求开展企业服务，协助租赁企业做好内部管理、防火安全、零星维修等其他服务；</w:t>
      </w:r>
    </w:p>
    <w:p w14:paraId="3DB053B3">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12.4每年至少开展一次租户企业满意率调查，具备条件的，可邀请第三方机构开展租户满意度测评；</w:t>
      </w:r>
    </w:p>
    <w:p w14:paraId="10CCF705">
      <w:pPr>
        <w:pStyle w:val="13"/>
        <w:keepNext w:val="0"/>
        <w:keepLines w:val="0"/>
        <w:pageBreakBefore w:val="0"/>
        <w:kinsoku/>
        <w:wordWrap/>
        <w:overflowPunct/>
        <w:topLinePunct w:val="0"/>
        <w:autoSpaceDE/>
        <w:autoSpaceDN/>
        <w:bidi w:val="0"/>
        <w:adjustRightInd/>
        <w:snapToGrid/>
        <w:spacing w:after="0" w:line="32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12.5加强与小区租户企业的联系，多形式、多渠道收集租户企业对物业服务的建议意见，分析总结，不断改进完善。</w:t>
      </w:r>
    </w:p>
    <w:p w14:paraId="7A200527">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3"/>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十三、</w:t>
      </w:r>
      <w:r>
        <w:rPr>
          <w:rFonts w:hint="eastAsia" w:ascii="宋体" w:hAnsi="宋体" w:eastAsia="宋体" w:cs="宋体"/>
          <w:b/>
          <w:bCs/>
          <w:color w:val="auto"/>
          <w:kern w:val="0"/>
          <w:sz w:val="21"/>
          <w:szCs w:val="21"/>
          <w:highlight w:val="none"/>
        </w:rPr>
        <w:t>其他法律法规规定的服务内容</w:t>
      </w:r>
    </w:p>
    <w:p w14:paraId="608A16C9">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5AA59B2F">
      <w:pPr>
        <w:pStyle w:val="3"/>
        <w:tabs>
          <w:tab w:val="left" w:pos="0"/>
          <w:tab w:val="left" w:pos="3165"/>
          <w:tab w:val="center" w:pos="4153"/>
        </w:tabs>
        <w:autoSpaceDE w:val="0"/>
        <w:autoSpaceDN w:val="0"/>
        <w:adjustRightInd w:val="0"/>
        <w:spacing w:before="0" w:after="0" w:line="240" w:lineRule="auto"/>
        <w:rPr>
          <w:rFonts w:hint="eastAsia" w:ascii="华文中宋" w:hAnsi="华文中宋" w:eastAsia="华文中宋"/>
          <w:color w:val="auto"/>
          <w:highlight w:val="none"/>
        </w:rPr>
      </w:pPr>
      <w:bookmarkStart w:id="106" w:name="_Toc8628"/>
      <w:bookmarkStart w:id="107" w:name="_Toc449028948"/>
      <w:r>
        <w:rPr>
          <w:rFonts w:hint="eastAsia" w:ascii="华文中宋" w:hAnsi="华文中宋" w:eastAsia="华文中宋"/>
          <w:color w:val="auto"/>
          <w:highlight w:val="none"/>
        </w:rPr>
        <w:t>第</w:t>
      </w:r>
      <w:r>
        <w:rPr>
          <w:rFonts w:hint="eastAsia" w:ascii="华文中宋" w:hAnsi="华文中宋" w:eastAsia="华文中宋"/>
          <w:color w:val="auto"/>
          <w:highlight w:val="none"/>
          <w:lang w:val="en-US" w:eastAsia="zh-CN"/>
        </w:rPr>
        <w:t>七</w:t>
      </w:r>
      <w:r>
        <w:rPr>
          <w:rFonts w:hint="eastAsia" w:ascii="华文中宋" w:hAnsi="华文中宋" w:eastAsia="华文中宋"/>
          <w:color w:val="auto"/>
          <w:highlight w:val="none"/>
        </w:rPr>
        <w:t>章  投标文件格式</w:t>
      </w:r>
      <w:bookmarkEnd w:id="106"/>
      <w:bookmarkEnd w:id="107"/>
    </w:p>
    <w:p w14:paraId="16D53636">
      <w:pPr>
        <w:jc w:val="center"/>
        <w:outlineLvl w:val="1"/>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t>一、资信证明格式文件</w:t>
      </w:r>
    </w:p>
    <w:p w14:paraId="1164145B">
      <w:pPr>
        <w:jc w:val="center"/>
        <w:rPr>
          <w:rFonts w:hint="eastAsia" w:eastAsia="黑体"/>
          <w:color w:val="auto"/>
          <w:sz w:val="20"/>
          <w:highlight w:val="none"/>
        </w:rPr>
      </w:pPr>
    </w:p>
    <w:p w14:paraId="38AB92FE">
      <w:pPr>
        <w:rPr>
          <w:rFonts w:hint="eastAsia" w:eastAsia="黑体"/>
          <w:color w:val="auto"/>
          <w:sz w:val="20"/>
          <w:highlight w:val="none"/>
        </w:rPr>
      </w:pPr>
    </w:p>
    <w:p w14:paraId="2030C5D5">
      <w:pPr>
        <w:jc w:val="center"/>
        <w:outlineLvl w:val="2"/>
        <w:rPr>
          <w:rFonts w:hint="eastAsia" w:ascii="宋体"/>
          <w:b/>
          <w:color w:val="auto"/>
          <w:sz w:val="44"/>
          <w:szCs w:val="44"/>
          <w:highlight w:val="none"/>
        </w:rPr>
      </w:pPr>
      <w:bookmarkStart w:id="108" w:name="_Toc350698753"/>
      <w:bookmarkStart w:id="109" w:name="_Toc449028949"/>
      <w:r>
        <w:rPr>
          <w:rFonts w:hint="eastAsia" w:ascii="宋体"/>
          <w:b/>
          <w:color w:val="auto"/>
          <w:sz w:val="44"/>
          <w:szCs w:val="44"/>
          <w:highlight w:val="none"/>
        </w:rPr>
        <w:t>资信证明文件</w:t>
      </w:r>
      <w:bookmarkEnd w:id="108"/>
      <w:bookmarkEnd w:id="109"/>
    </w:p>
    <w:p w14:paraId="4404CF37">
      <w:pPr>
        <w:jc w:val="center"/>
        <w:rPr>
          <w:rFonts w:hint="eastAsia" w:ascii="宋体"/>
          <w:color w:val="auto"/>
          <w:sz w:val="32"/>
          <w:szCs w:val="32"/>
          <w:highlight w:val="none"/>
        </w:rPr>
      </w:pPr>
      <w:r>
        <w:rPr>
          <w:rFonts w:hint="eastAsia" w:ascii="宋体"/>
          <w:color w:val="auto"/>
          <w:sz w:val="32"/>
          <w:szCs w:val="32"/>
          <w:highlight w:val="none"/>
        </w:rPr>
        <w:t>（投标文件一）</w:t>
      </w:r>
    </w:p>
    <w:p w14:paraId="3A5013AA">
      <w:pPr>
        <w:jc w:val="center"/>
        <w:rPr>
          <w:rFonts w:hint="eastAsia" w:eastAsia="黑体"/>
          <w:color w:val="auto"/>
          <w:sz w:val="44"/>
          <w:szCs w:val="44"/>
          <w:highlight w:val="none"/>
        </w:rPr>
      </w:pPr>
    </w:p>
    <w:p w14:paraId="7661B974">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07C8955F">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7ED6AA0">
      <w:pPr>
        <w:rPr>
          <w:rFonts w:hint="eastAsia" w:ascii="宋体"/>
          <w:color w:val="auto"/>
          <w:sz w:val="28"/>
          <w:szCs w:val="28"/>
          <w:highlight w:val="none"/>
        </w:rPr>
      </w:pPr>
    </w:p>
    <w:p w14:paraId="4A7C0A9A">
      <w:pPr>
        <w:rPr>
          <w:rFonts w:hint="eastAsia" w:ascii="宋体"/>
          <w:color w:val="auto"/>
          <w:sz w:val="28"/>
          <w:szCs w:val="28"/>
          <w:highlight w:val="none"/>
        </w:rPr>
      </w:pPr>
    </w:p>
    <w:p w14:paraId="3D5EEE88">
      <w:pPr>
        <w:rPr>
          <w:rFonts w:hint="eastAsia" w:ascii="宋体"/>
          <w:color w:val="auto"/>
          <w:sz w:val="28"/>
          <w:szCs w:val="28"/>
          <w:highlight w:val="none"/>
        </w:rPr>
      </w:pPr>
    </w:p>
    <w:p w14:paraId="182A80F6">
      <w:pPr>
        <w:rPr>
          <w:rFonts w:hint="eastAsia" w:ascii="宋体"/>
          <w:color w:val="auto"/>
          <w:sz w:val="28"/>
          <w:szCs w:val="28"/>
          <w:highlight w:val="none"/>
        </w:rPr>
      </w:pPr>
    </w:p>
    <w:p w14:paraId="567E019B">
      <w:pPr>
        <w:rPr>
          <w:rFonts w:hint="eastAsia" w:ascii="宋体"/>
          <w:color w:val="auto"/>
          <w:sz w:val="28"/>
          <w:szCs w:val="28"/>
          <w:highlight w:val="none"/>
        </w:rPr>
      </w:pPr>
    </w:p>
    <w:p w14:paraId="6776BAF0">
      <w:pPr>
        <w:pStyle w:val="13"/>
        <w:rPr>
          <w:rFonts w:hint="eastAsia" w:ascii="宋体"/>
          <w:color w:val="auto"/>
          <w:sz w:val="28"/>
          <w:szCs w:val="28"/>
          <w:highlight w:val="none"/>
        </w:rPr>
      </w:pPr>
    </w:p>
    <w:p w14:paraId="6FEF2022">
      <w:pPr>
        <w:rPr>
          <w:rFonts w:hint="eastAsia" w:ascii="宋体"/>
          <w:color w:val="auto"/>
          <w:sz w:val="28"/>
          <w:szCs w:val="28"/>
          <w:highlight w:val="none"/>
        </w:rPr>
      </w:pPr>
    </w:p>
    <w:p w14:paraId="5C661E42">
      <w:pPr>
        <w:pStyle w:val="13"/>
        <w:rPr>
          <w:rFonts w:hint="eastAsia"/>
          <w:color w:val="auto"/>
          <w:highlight w:val="none"/>
        </w:rPr>
      </w:pPr>
    </w:p>
    <w:p w14:paraId="273F7646">
      <w:pPr>
        <w:rPr>
          <w:rFonts w:hint="eastAsia" w:ascii="宋体"/>
          <w:color w:val="auto"/>
          <w:sz w:val="28"/>
          <w:szCs w:val="28"/>
          <w:highlight w:val="none"/>
        </w:rPr>
      </w:pPr>
    </w:p>
    <w:p w14:paraId="426C1708">
      <w:pPr>
        <w:rPr>
          <w:rFonts w:hint="eastAsia" w:ascii="宋体"/>
          <w:color w:val="auto"/>
          <w:sz w:val="28"/>
          <w:szCs w:val="28"/>
          <w:highlight w:val="none"/>
        </w:rPr>
      </w:pPr>
    </w:p>
    <w:p w14:paraId="09506B40">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签章</w:t>
      </w:r>
      <w:r>
        <w:rPr>
          <w:rFonts w:hint="eastAsia" w:ascii="宋体"/>
          <w:color w:val="auto"/>
          <w:sz w:val="28"/>
          <w:szCs w:val="28"/>
          <w:highlight w:val="none"/>
        </w:rPr>
        <w:t>）</w:t>
      </w:r>
    </w:p>
    <w:p w14:paraId="2DAA5A49">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07567512">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4BB4733">
      <w:pPr>
        <w:spacing w:line="720" w:lineRule="auto"/>
        <w:jc w:val="center"/>
        <w:rPr>
          <w:rFonts w:hint="eastAsia" w:ascii="宋体"/>
          <w:b/>
          <w:color w:val="auto"/>
          <w:sz w:val="36"/>
          <w:szCs w:val="36"/>
          <w:highlight w:val="none"/>
        </w:rPr>
      </w:pPr>
    </w:p>
    <w:p w14:paraId="0151D1ED">
      <w:pPr>
        <w:spacing w:line="400" w:lineRule="exact"/>
        <w:ind w:firstLine="4130" w:firstLineChars="935"/>
        <w:rPr>
          <w:rFonts w:hint="eastAsia"/>
          <w:b/>
          <w:color w:val="auto"/>
          <w:sz w:val="44"/>
          <w:szCs w:val="44"/>
          <w:highlight w:val="none"/>
        </w:rPr>
      </w:pPr>
    </w:p>
    <w:p w14:paraId="3626B401">
      <w:pPr>
        <w:jc w:val="center"/>
        <w:rPr>
          <w:rFonts w:hint="eastAsia"/>
          <w:b/>
          <w:color w:val="auto"/>
          <w:sz w:val="44"/>
          <w:szCs w:val="44"/>
          <w:highlight w:val="none"/>
        </w:rPr>
      </w:pPr>
      <w:r>
        <w:rPr>
          <w:rFonts w:hint="eastAsia"/>
          <w:b/>
          <w:color w:val="auto"/>
          <w:sz w:val="36"/>
          <w:szCs w:val="36"/>
          <w:highlight w:val="none"/>
        </w:rPr>
        <w:t>目   录</w:t>
      </w:r>
    </w:p>
    <w:p w14:paraId="0B4438EE">
      <w:pPr>
        <w:spacing w:line="400" w:lineRule="exact"/>
        <w:ind w:firstLine="562" w:firstLineChars="200"/>
        <w:rPr>
          <w:rFonts w:hint="eastAsia"/>
          <w:b/>
          <w:color w:val="auto"/>
          <w:sz w:val="28"/>
          <w:szCs w:val="28"/>
          <w:highlight w:val="none"/>
        </w:rPr>
      </w:pPr>
    </w:p>
    <w:p w14:paraId="58DF64A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（1）法定代表人身份证明及其有效身份证（或法定代表人授权委托书及其有效身份证）（格式见附件）；</w:t>
      </w:r>
    </w:p>
    <w:p w14:paraId="29F025D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（2）投标人有效的营业执照、税务登记证、组织机构代码证（或三合一证书）；</w:t>
      </w:r>
    </w:p>
    <w:p w14:paraId="3765B86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（3）项目负责人证书有效身份证</w:t>
      </w:r>
      <w:r>
        <w:rPr>
          <w:rFonts w:hint="eastAsia" w:ascii="宋体" w:hAnsi="宋体" w:cs="宋体"/>
          <w:color w:val="000000"/>
          <w:szCs w:val="21"/>
          <w:highlight w:val="none"/>
          <w:lang w:val="en-US" w:eastAsia="zh-CN"/>
        </w:rPr>
        <w:t>和</w:t>
      </w:r>
      <w:r>
        <w:rPr>
          <w:rFonts w:hint="eastAsia" w:ascii="宋体" w:hAnsi="宋体" w:eastAsia="宋体" w:cs="宋体"/>
          <w:color w:val="000000"/>
          <w:szCs w:val="21"/>
          <w:highlight w:val="none"/>
          <w:lang w:val="en-US" w:eastAsia="zh-CN"/>
        </w:rPr>
        <w:t>资格证书</w:t>
      </w:r>
      <w:r>
        <w:rPr>
          <w:rFonts w:hint="eastAsia" w:ascii="宋体" w:hAnsi="宋体" w:eastAsia="宋体" w:cs="宋体"/>
          <w:color w:val="000000"/>
          <w:szCs w:val="21"/>
          <w:highlight w:val="none"/>
        </w:rPr>
        <w:t>；</w:t>
      </w:r>
    </w:p>
    <w:p w14:paraId="4516EE6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（4）法定代表人(或委托代理人)和拟任项目负责人须持有社保部门出具的本单位为其缴纳的投标前近</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个月连续的</w:t>
      </w:r>
      <w:r>
        <w:rPr>
          <w:rFonts w:hint="eastAsia" w:ascii="宋体" w:hAnsi="宋体" w:cs="宋体"/>
          <w:color w:val="000000"/>
          <w:szCs w:val="21"/>
          <w:highlight w:val="none"/>
          <w:lang w:val="en-US" w:eastAsia="zh-CN"/>
        </w:rPr>
        <w:t>社保</w:t>
      </w:r>
      <w:r>
        <w:rPr>
          <w:rFonts w:hint="eastAsia" w:ascii="宋体" w:hAnsi="宋体" w:eastAsia="宋体" w:cs="宋体"/>
          <w:color w:val="000000"/>
          <w:szCs w:val="21"/>
          <w:highlight w:val="none"/>
        </w:rPr>
        <w:t>证明（或官网在线打印件，证明文件两个月内有效）（同一人担任不同公司法定代表人的，该法定代表人参加本项目投标时须提供本人在其他公司任法定代表人的营业执照及为其缴纳</w:t>
      </w:r>
      <w:r>
        <w:rPr>
          <w:rFonts w:hint="eastAsia" w:ascii="宋体" w:hAnsi="宋体" w:cs="宋体"/>
          <w:color w:val="000000"/>
          <w:szCs w:val="21"/>
          <w:highlight w:val="none"/>
          <w:lang w:val="en-US" w:eastAsia="zh-CN"/>
        </w:rPr>
        <w:t>社保</w:t>
      </w:r>
      <w:r>
        <w:rPr>
          <w:rFonts w:hint="eastAsia" w:ascii="宋体" w:hAnsi="宋体" w:eastAsia="宋体" w:cs="宋体"/>
          <w:color w:val="000000"/>
          <w:szCs w:val="21"/>
          <w:highlight w:val="none"/>
        </w:rPr>
        <w:t>证明材料），投标人是事业单位的，暂未缴纳社保的，须由其主管部门出具证明；</w:t>
      </w:r>
    </w:p>
    <w:p w14:paraId="0BECEF0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诚信投标承诺书（或《公共信用信息报告（无违法违规证明版或核查版）》）；</w:t>
      </w:r>
    </w:p>
    <w:p w14:paraId="79025BB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）服务承诺：是否响应招标文件要求的书面说明和服务承诺书（格式见附件）；</w:t>
      </w:r>
    </w:p>
    <w:p w14:paraId="2E6FAD3C">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招标文件中要求的资信标评审及其他支持资料。</w:t>
      </w:r>
    </w:p>
    <w:p w14:paraId="0440EEA5">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8）其他资料（如有）。</w:t>
      </w:r>
    </w:p>
    <w:p w14:paraId="4C621E7A">
      <w:pPr>
        <w:spacing w:line="360" w:lineRule="auto"/>
        <w:ind w:firstLine="420" w:firstLineChars="200"/>
        <w:rPr>
          <w:rFonts w:hint="eastAsia" w:ascii="宋体" w:hAnsi="宋体" w:eastAsia="宋体" w:cs="宋体"/>
          <w:color w:val="000000"/>
          <w:szCs w:val="21"/>
          <w:highlight w:val="none"/>
        </w:rPr>
      </w:pPr>
    </w:p>
    <w:p w14:paraId="1114D17A">
      <w:pPr>
        <w:spacing w:line="400" w:lineRule="exact"/>
        <w:ind w:firstLine="562" w:firstLineChars="200"/>
        <w:rPr>
          <w:rFonts w:hint="eastAsia"/>
          <w:b/>
          <w:color w:val="auto"/>
          <w:sz w:val="28"/>
          <w:szCs w:val="28"/>
          <w:highlight w:val="none"/>
        </w:rPr>
      </w:pPr>
    </w:p>
    <w:p w14:paraId="43459E83">
      <w:pPr>
        <w:spacing w:line="400" w:lineRule="exact"/>
        <w:ind w:firstLine="562" w:firstLineChars="200"/>
        <w:rPr>
          <w:rFonts w:hint="eastAsia"/>
          <w:b/>
          <w:color w:val="auto"/>
          <w:sz w:val="28"/>
          <w:szCs w:val="28"/>
          <w:highlight w:val="none"/>
        </w:rPr>
      </w:pPr>
    </w:p>
    <w:p w14:paraId="329BA8BF">
      <w:pPr>
        <w:spacing w:line="400" w:lineRule="exact"/>
        <w:ind w:firstLine="562" w:firstLineChars="200"/>
        <w:rPr>
          <w:rFonts w:hint="eastAsia"/>
          <w:b/>
          <w:color w:val="auto"/>
          <w:sz w:val="28"/>
          <w:szCs w:val="28"/>
          <w:highlight w:val="none"/>
        </w:rPr>
      </w:pPr>
    </w:p>
    <w:p w14:paraId="54F95009">
      <w:pPr>
        <w:spacing w:line="400" w:lineRule="exact"/>
        <w:rPr>
          <w:b/>
          <w:color w:val="auto"/>
          <w:sz w:val="28"/>
          <w:szCs w:val="28"/>
          <w:highlight w:val="none"/>
        </w:rPr>
        <w:sectPr>
          <w:headerReference r:id="rId3" w:type="default"/>
          <w:footerReference r:id="rId4" w:type="default"/>
          <w:pgSz w:w="11906" w:h="16838"/>
          <w:pgMar w:top="1417" w:right="1361" w:bottom="1417" w:left="147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0C6D664">
      <w:pPr>
        <w:spacing w:line="360" w:lineRule="auto"/>
        <w:rPr>
          <w:rFonts w:hint="eastAsia"/>
          <w:b/>
          <w:color w:val="auto"/>
          <w:sz w:val="28"/>
          <w:szCs w:val="28"/>
          <w:highlight w:val="none"/>
        </w:rPr>
      </w:pPr>
      <w:r>
        <w:rPr>
          <w:rFonts w:hint="eastAsia"/>
          <w:b/>
          <w:color w:val="auto"/>
          <w:sz w:val="28"/>
          <w:szCs w:val="28"/>
          <w:highlight w:val="none"/>
        </w:rPr>
        <w:t>附件1</w:t>
      </w:r>
    </w:p>
    <w:p w14:paraId="5B35EEEA">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258DE592">
      <w:pPr>
        <w:pStyle w:val="105"/>
        <w:spacing w:before="312" w:beforeLines="100" w:after="312" w:afterLines="100" w:line="480" w:lineRule="exact"/>
        <w:ind w:firstLine="180" w:firstLineChars="75"/>
        <w:outlineLvl w:val="2"/>
        <w:rPr>
          <w:rFonts w:hint="eastAsia" w:ascii="宋体"/>
          <w:b/>
          <w:color w:val="auto"/>
          <w:sz w:val="24"/>
          <w:szCs w:val="24"/>
          <w:highlight w:val="none"/>
        </w:rPr>
      </w:pPr>
      <w:r>
        <w:rPr>
          <w:rFonts w:hint="eastAsia" w:ascii="宋体"/>
          <w:color w:val="auto"/>
          <w:sz w:val="24"/>
          <w:szCs w:val="24"/>
          <w:highlight w:val="none"/>
        </w:rPr>
        <w:t>1.法定代表人身份证明</w:t>
      </w:r>
    </w:p>
    <w:p w14:paraId="7591E987">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0320101F">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4C1CB0B8">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7E9FF8FA">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5B82DCF5">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12D919E4">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49B2EE4C">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5D126243">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30243713">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7E997FF1">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90D53F6">
      <w:pPr>
        <w:spacing w:before="312" w:beforeLines="100" w:after="312" w:afterLines="100" w:line="480" w:lineRule="exact"/>
        <w:ind w:firstLine="3654" w:firstLineChars="1305"/>
        <w:outlineLvl w:val="2"/>
        <w:rPr>
          <w:rFonts w:hint="eastAsia" w:ascii="宋体"/>
          <w:color w:val="auto"/>
          <w:sz w:val="28"/>
          <w:szCs w:val="28"/>
          <w:highlight w:val="none"/>
        </w:rPr>
      </w:pPr>
      <w:r>
        <w:rPr>
          <w:rFonts w:hint="eastAsia" w:ascii="宋体"/>
          <w:color w:val="auto"/>
          <w:sz w:val="28"/>
          <w:szCs w:val="28"/>
          <w:highlight w:val="none"/>
        </w:rPr>
        <w:t>2.授权委托书</w:t>
      </w:r>
    </w:p>
    <w:p w14:paraId="0C60D08E">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766A4B86">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1FF4C88C">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2E8CC6BE">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7F6F8D4F">
      <w:pPr>
        <w:spacing w:line="480" w:lineRule="exact"/>
        <w:rPr>
          <w:rFonts w:hint="eastAsia" w:ascii="宋体"/>
          <w:color w:val="auto"/>
          <w:sz w:val="24"/>
          <w:highlight w:val="none"/>
        </w:rPr>
      </w:pPr>
      <w:r>
        <w:rPr>
          <w:rFonts w:hint="eastAsia" w:ascii="宋体"/>
          <w:color w:val="auto"/>
          <w:sz w:val="24"/>
          <w:highlight w:val="none"/>
        </w:rPr>
        <w:t xml:space="preserve">                                     投标人：             （盖单位章）</w:t>
      </w:r>
    </w:p>
    <w:p w14:paraId="02531DC4">
      <w:pPr>
        <w:spacing w:line="480" w:lineRule="exact"/>
        <w:jc w:val="right"/>
        <w:rPr>
          <w:rFonts w:hint="eastAsia" w:ascii="宋体"/>
          <w:color w:val="auto"/>
          <w:sz w:val="24"/>
          <w:highlight w:val="none"/>
        </w:rPr>
      </w:pPr>
      <w:r>
        <w:rPr>
          <w:rFonts w:hint="eastAsia" w:ascii="宋体"/>
          <w:color w:val="auto"/>
          <w:sz w:val="24"/>
          <w:highlight w:val="none"/>
        </w:rPr>
        <w:t>法定代表人（身份证号码）：             （签章）</w:t>
      </w:r>
    </w:p>
    <w:p w14:paraId="0452F7DA">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4A9E4493">
      <w:pPr>
        <w:spacing w:line="360" w:lineRule="exact"/>
        <w:ind w:firstLine="413" w:firstLineChars="147"/>
        <w:rPr>
          <w:rFonts w:hint="eastAsia"/>
          <w:b/>
          <w:color w:val="auto"/>
          <w:sz w:val="28"/>
          <w:szCs w:val="28"/>
          <w:highlight w:val="none"/>
          <w:u w:val="single"/>
        </w:rPr>
      </w:pPr>
    </w:p>
    <w:p w14:paraId="66FA9B78">
      <w:pPr>
        <w:spacing w:line="360" w:lineRule="exact"/>
        <w:ind w:firstLine="413" w:firstLineChars="147"/>
        <w:rPr>
          <w:rFonts w:hint="eastAsia"/>
          <w:b/>
          <w:color w:val="auto"/>
          <w:sz w:val="28"/>
          <w:szCs w:val="28"/>
          <w:highlight w:val="none"/>
          <w:u w:val="single"/>
        </w:rPr>
      </w:pPr>
    </w:p>
    <w:p w14:paraId="5FD89C61">
      <w:pPr>
        <w:spacing w:line="360" w:lineRule="exact"/>
        <w:ind w:firstLine="443" w:firstLineChars="147"/>
        <w:outlineLvl w:val="3"/>
        <w:rPr>
          <w:rFonts w:hint="eastAsia" w:ascii="宋体"/>
          <w:b/>
          <w:color w:val="auto"/>
          <w:sz w:val="30"/>
          <w:szCs w:val="30"/>
          <w:highlight w:val="none"/>
        </w:rPr>
      </w:pPr>
      <w:r>
        <w:rPr>
          <w:rFonts w:hint="eastAsia" w:ascii="宋体"/>
          <w:b/>
          <w:color w:val="auto"/>
          <w:sz w:val="30"/>
          <w:szCs w:val="30"/>
          <w:highlight w:val="none"/>
        </w:rPr>
        <w:t>附件2</w:t>
      </w:r>
    </w:p>
    <w:p w14:paraId="67F52C18">
      <w:pPr>
        <w:spacing w:line="360" w:lineRule="exact"/>
        <w:ind w:firstLine="413" w:firstLineChars="147"/>
        <w:jc w:val="center"/>
        <w:outlineLvl w:val="3"/>
        <w:rPr>
          <w:rFonts w:hint="eastAsia"/>
          <w:b/>
          <w:sz w:val="28"/>
          <w:szCs w:val="28"/>
          <w:highlight w:val="none"/>
        </w:rPr>
      </w:pPr>
      <w:r>
        <w:rPr>
          <w:rFonts w:hint="eastAsia"/>
          <w:b/>
          <w:sz w:val="28"/>
          <w:szCs w:val="28"/>
          <w:highlight w:val="none"/>
        </w:rPr>
        <w:t>（2）诚信投标承诺书</w:t>
      </w:r>
    </w:p>
    <w:p w14:paraId="2BC08D96">
      <w:pPr>
        <w:adjustRightInd w:val="0"/>
        <w:snapToGrid w:val="0"/>
        <w:spacing w:line="560" w:lineRule="exact"/>
        <w:rPr>
          <w:rFonts w:hint="eastAsia" w:ascii="宋体" w:hAnsi="宋体"/>
          <w:color w:val="000000"/>
          <w:szCs w:val="21"/>
          <w:highlight w:val="none"/>
        </w:rPr>
      </w:pPr>
      <w:r>
        <w:rPr>
          <w:rFonts w:hint="eastAsia" w:ascii="宋体" w:hAnsi="宋体"/>
          <w:color w:val="000000"/>
          <w:szCs w:val="21"/>
          <w:highlight w:val="none"/>
        </w:rPr>
        <w:t>本人以企业法定代表人的身份郑重承诺：</w:t>
      </w:r>
    </w:p>
    <w:p w14:paraId="22B4AF16">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一、将遵循公</w:t>
      </w:r>
      <w:bookmarkStart w:id="110" w:name="_Toc503196197"/>
      <w:bookmarkStart w:id="111" w:name="_Toc506107356"/>
      <w:bookmarkStart w:id="112" w:name="_Toc26598"/>
      <w:r>
        <w:rPr>
          <w:rFonts w:hint="eastAsia" w:ascii="宋体" w:hAnsi="宋体"/>
          <w:color w:val="000000"/>
          <w:szCs w:val="21"/>
          <w:highlight w:val="none"/>
        </w:rPr>
        <w:t>开、公正和诚实信用</w:t>
      </w:r>
      <w:bookmarkEnd w:id="110"/>
      <w:bookmarkEnd w:id="111"/>
      <w:r>
        <w:rPr>
          <w:rFonts w:hint="eastAsia" w:ascii="宋体" w:hAnsi="宋体"/>
          <w:color w:val="000000"/>
          <w:szCs w:val="21"/>
          <w:highlight w:val="none"/>
        </w:rPr>
        <w:t>的</w:t>
      </w:r>
      <w:bookmarkEnd w:id="112"/>
      <w:r>
        <w:rPr>
          <w:rFonts w:hint="eastAsia" w:ascii="宋体" w:hAnsi="宋体"/>
          <w:color w:val="000000"/>
          <w:szCs w:val="21"/>
          <w:highlight w:val="none"/>
        </w:rPr>
        <w:t>原则自愿参加</w:t>
      </w:r>
      <w:r>
        <w:rPr>
          <w:rFonts w:hint="eastAsia" w:ascii="宋体" w:hAnsi="宋体"/>
          <w:color w:val="000000"/>
          <w:szCs w:val="21"/>
          <w:highlight w:val="none"/>
          <w:u w:val="single"/>
        </w:rPr>
        <w:t xml:space="preserve">                     （项目名称）</w:t>
      </w:r>
      <w:r>
        <w:rPr>
          <w:rFonts w:hint="eastAsia" w:ascii="宋体" w:hAnsi="宋体"/>
          <w:color w:val="000000"/>
          <w:szCs w:val="21"/>
          <w:highlight w:val="none"/>
        </w:rPr>
        <w:t>项目的投标；</w:t>
      </w:r>
    </w:p>
    <w:p w14:paraId="227BAC67">
      <w:pPr>
        <w:adjustRightInd w:val="0"/>
        <w:snapToGrid w:val="0"/>
        <w:spacing w:line="560" w:lineRule="exact"/>
        <w:ind w:firstLine="420" w:firstLineChars="200"/>
        <w:outlineLvl w:val="1"/>
        <w:rPr>
          <w:rFonts w:ascii="宋体" w:hAnsi="宋体"/>
          <w:color w:val="000000"/>
          <w:szCs w:val="21"/>
          <w:highlight w:val="none"/>
        </w:rPr>
      </w:pPr>
      <w:r>
        <w:rPr>
          <w:rFonts w:hint="eastAsia" w:ascii="宋体" w:hAnsi="宋体"/>
          <w:color w:val="000000"/>
          <w:szCs w:val="21"/>
          <w:highlight w:val="none"/>
        </w:rPr>
        <w:t>二、所提供的一切材料都是真实、合法的；</w:t>
      </w:r>
    </w:p>
    <w:p w14:paraId="5BF4E0F5">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三、不出借、转让资质证书，不让他人挂靠投标，不以他人名义投标或者以其他方式弄虚作假，骗取中标；</w:t>
      </w:r>
    </w:p>
    <w:p w14:paraId="729CF908">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四、不与其他投标人相互串通投标报价，不排挤其他投标人的公平竞争、损害招标人的合法权益；</w:t>
      </w:r>
    </w:p>
    <w:p w14:paraId="3F91B62B">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五、不与招标人、招标代理机构或其他投标人串通投标，损害国家利益、社会公共利益或者他人的合法权益；</w:t>
      </w:r>
    </w:p>
    <w:p w14:paraId="53064787">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六、</w:t>
      </w:r>
      <w:r>
        <w:rPr>
          <w:rFonts w:hint="eastAsia" w:ascii="宋体" w:hAnsi="宋体"/>
          <w:color w:val="000000"/>
          <w:szCs w:val="21"/>
          <w:highlight w:val="none"/>
          <w:u w:val="single"/>
        </w:rPr>
        <w:t xml:space="preserve">                </w:t>
      </w:r>
      <w:r>
        <w:rPr>
          <w:rFonts w:hint="eastAsia" w:ascii="宋体" w:hAnsi="宋体"/>
          <w:color w:val="000000"/>
          <w:szCs w:val="21"/>
          <w:highlight w:val="none"/>
        </w:rPr>
        <w:t>没有下列情形：1、被人民法院列入失信被执行人的；2、我公司及其法定代表人、拟任项目经理（建造师）前三年有行贿犯罪行为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人力资源社会保障主管部门列入拖欠农民工工资‘黑名单’或因拖欠农民工工资被县级及以上有关行政主管部门限制投标资格且在限制期限内的；8、</w:t>
      </w:r>
      <w:r>
        <w:rPr>
          <w:rFonts w:hint="eastAsia"/>
          <w:color w:val="000000"/>
          <w:szCs w:val="21"/>
          <w:highlight w:val="none"/>
          <w:lang w:eastAsia="zh-CN"/>
        </w:rPr>
        <w:t>被列入省级、市级农民工工资支付异常名录的施工企业，限制其参加全市范围内项目投标；列入县级异常名录的施工企业，限制其参加本行政区域内项目投标。</w:t>
      </w:r>
      <w:r>
        <w:rPr>
          <w:rFonts w:hint="eastAsia"/>
          <w:color w:val="000000"/>
          <w:szCs w:val="21"/>
          <w:highlight w:val="none"/>
        </w:rPr>
        <w:t>（若招标文件对投标人所属分公司、办事处等分支机构有上述1-8项信誉要求，在此一并承诺我公司所属分公司、办事处等分支机构没有上述1-8项情形）</w:t>
      </w:r>
    </w:p>
    <w:p w14:paraId="48F4E713">
      <w:pPr>
        <w:adjustRightInd w:val="0"/>
        <w:snapToGrid w:val="0"/>
        <w:spacing w:line="560" w:lineRule="exact"/>
        <w:ind w:firstLine="420" w:firstLineChars="200"/>
        <w:outlineLvl w:val="1"/>
        <w:rPr>
          <w:rFonts w:ascii="宋体" w:hAnsi="宋体"/>
          <w:color w:val="000000"/>
          <w:szCs w:val="21"/>
          <w:highlight w:val="none"/>
        </w:rPr>
      </w:pPr>
      <w:r>
        <w:rPr>
          <w:rFonts w:hint="eastAsia" w:ascii="宋体" w:hAnsi="宋体"/>
          <w:color w:val="000000"/>
          <w:szCs w:val="21"/>
          <w:highlight w:val="none"/>
        </w:rPr>
        <w:t>七、严格遵守开标纪律，服从监管人员管理；</w:t>
      </w:r>
    </w:p>
    <w:p w14:paraId="1270FAC9">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八、保证中标后不转包及使用挂靠施工队伍，若有分包征得建设单位同意；</w:t>
      </w:r>
    </w:p>
    <w:p w14:paraId="34F39D30">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九、保证中标之后，按照投标文件承诺派驻管理人员及投入机械设备，如有违反，同意接受建设单位违约处罚；</w:t>
      </w:r>
    </w:p>
    <w:p w14:paraId="78CEB610">
      <w:pPr>
        <w:adjustRightInd w:val="0"/>
        <w:snapToGrid w:val="0"/>
        <w:spacing w:line="560" w:lineRule="exact"/>
        <w:ind w:firstLine="420" w:firstLineChars="200"/>
        <w:outlineLvl w:val="1"/>
        <w:rPr>
          <w:rFonts w:ascii="宋体" w:hAnsi="宋体"/>
          <w:color w:val="000000"/>
          <w:szCs w:val="21"/>
          <w:highlight w:val="none"/>
        </w:rPr>
      </w:pPr>
      <w:r>
        <w:rPr>
          <w:rFonts w:hint="eastAsia" w:ascii="宋体" w:hAnsi="宋体"/>
          <w:color w:val="000000"/>
          <w:szCs w:val="21"/>
          <w:highlight w:val="none"/>
        </w:rPr>
        <w:t>十、保证企业及所属相关人员在本次投标中无行贿等犯罪行为；</w:t>
      </w:r>
    </w:p>
    <w:p w14:paraId="425F9F5F">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0605AB7E">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2102C645">
      <w:pPr>
        <w:adjustRightInd w:val="0"/>
        <w:snapToGrid w:val="0"/>
        <w:spacing w:line="560" w:lineRule="exact"/>
        <w:ind w:firstLine="420" w:firstLineChars="200"/>
        <w:rPr>
          <w:rFonts w:hint="eastAsia" w:ascii="宋体" w:hAnsi="宋体"/>
          <w:color w:val="000000"/>
          <w:szCs w:val="21"/>
          <w:highlight w:val="none"/>
        </w:rPr>
      </w:pPr>
    </w:p>
    <w:p w14:paraId="4590688B">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10E286F7">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开户银行：                          基本账户：</w:t>
      </w:r>
    </w:p>
    <w:p w14:paraId="4B342964">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投标单位（签章或盖章）：          法定代表人（签字或签章）：</w:t>
      </w:r>
    </w:p>
    <w:p w14:paraId="759A1F14">
      <w:pPr>
        <w:spacing w:line="360" w:lineRule="exact"/>
        <w:ind w:firstLine="420" w:firstLineChars="200"/>
        <w:rPr>
          <w:rFonts w:hint="eastAsia" w:ascii="宋体" w:hAnsi="宋体"/>
          <w:szCs w:val="21"/>
          <w:highlight w:val="none"/>
        </w:rPr>
      </w:pPr>
    </w:p>
    <w:p w14:paraId="483AECE3">
      <w:pPr>
        <w:spacing w:line="360" w:lineRule="exact"/>
        <w:jc w:val="right"/>
        <w:rPr>
          <w:rFonts w:hint="eastAsia" w:ascii="仿宋_GB2312" w:eastAsia="仿宋_GB2312"/>
          <w:sz w:val="32"/>
          <w:szCs w:val="32"/>
          <w:highlight w:val="none"/>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日</w:t>
      </w:r>
    </w:p>
    <w:p w14:paraId="4BEC155E">
      <w:pPr>
        <w:spacing w:line="360" w:lineRule="exact"/>
        <w:ind w:firstLine="420" w:firstLineChars="200"/>
        <w:rPr>
          <w:rFonts w:hint="eastAsia" w:ascii="宋体" w:hAnsi="宋体"/>
          <w:szCs w:val="21"/>
          <w:highlight w:val="none"/>
        </w:rPr>
      </w:pPr>
    </w:p>
    <w:p w14:paraId="7948CE89">
      <w:pPr>
        <w:adjustRightInd w:val="0"/>
        <w:snapToGrid w:val="0"/>
        <w:spacing w:line="560" w:lineRule="exact"/>
        <w:jc w:val="center"/>
        <w:rPr>
          <w:rFonts w:hint="eastAsia"/>
          <w:b/>
          <w:color w:val="000000"/>
          <w:sz w:val="28"/>
          <w:szCs w:val="28"/>
          <w:highlight w:val="none"/>
          <w:lang w:eastAsia="zh-CN"/>
        </w:rPr>
      </w:pPr>
    </w:p>
    <w:p w14:paraId="35D2E8B7">
      <w:pPr>
        <w:adjustRightInd w:val="0"/>
        <w:snapToGrid w:val="0"/>
        <w:spacing w:line="560" w:lineRule="exact"/>
        <w:jc w:val="center"/>
        <w:outlineLvl w:val="2"/>
        <w:rPr>
          <w:rFonts w:hint="eastAsia"/>
          <w:b/>
          <w:color w:val="000000"/>
          <w:sz w:val="28"/>
          <w:szCs w:val="28"/>
          <w:highlight w:val="none"/>
        </w:rPr>
      </w:pPr>
      <w:r>
        <w:rPr>
          <w:rFonts w:hint="eastAsia"/>
          <w:b/>
          <w:color w:val="000000"/>
          <w:sz w:val="28"/>
          <w:szCs w:val="28"/>
          <w:highlight w:val="none"/>
          <w:lang w:eastAsia="zh-CN"/>
        </w:rPr>
        <w:t>（</w:t>
      </w:r>
      <w:r>
        <w:rPr>
          <w:rFonts w:hint="eastAsia"/>
          <w:b/>
          <w:color w:val="000000"/>
          <w:sz w:val="28"/>
          <w:szCs w:val="28"/>
          <w:highlight w:val="none"/>
          <w:lang w:val="en-US" w:eastAsia="zh-CN"/>
        </w:rPr>
        <w:t>2）</w:t>
      </w:r>
      <w:r>
        <w:rPr>
          <w:rFonts w:hint="eastAsia"/>
          <w:b/>
          <w:color w:val="000000"/>
          <w:sz w:val="28"/>
          <w:szCs w:val="28"/>
          <w:highlight w:val="none"/>
        </w:rPr>
        <w:t>公共信用信息报告（无违法违规证明版或核查版））</w:t>
      </w:r>
    </w:p>
    <w:p w14:paraId="09EDD57E">
      <w:pPr>
        <w:adjustRightInd w:val="0"/>
        <w:snapToGrid w:val="0"/>
        <w:spacing w:line="5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符合条件的投标人可在信用中国（安徽）网站（网址</w:t>
      </w:r>
      <w:r>
        <w:rPr>
          <w:rFonts w:hint="eastAsia" w:ascii="宋体" w:hAnsi="宋体" w:eastAsia="宋体" w:cs="Times New Roman"/>
          <w:color w:val="000000"/>
          <w:szCs w:val="21"/>
          <w:highlight w:val="none"/>
        </w:rPr>
        <w:fldChar w:fldCharType="begin"/>
      </w:r>
      <w:r>
        <w:rPr>
          <w:rFonts w:hint="eastAsia" w:ascii="宋体" w:hAnsi="宋体" w:eastAsia="宋体" w:cs="Times New Roman"/>
          <w:color w:val="000000"/>
          <w:szCs w:val="21"/>
          <w:highlight w:val="none"/>
        </w:rPr>
        <w:instrText xml:space="preserve"> HYPERLINK "https://credit.ah.gov.cn/xinyongfuwu/index.html" </w:instrText>
      </w:r>
      <w:r>
        <w:rPr>
          <w:rFonts w:hint="eastAsia" w:ascii="宋体" w:hAnsi="宋体" w:eastAsia="宋体" w:cs="Times New Roman"/>
          <w:color w:val="000000"/>
          <w:szCs w:val="21"/>
          <w:highlight w:val="none"/>
        </w:rPr>
        <w:fldChar w:fldCharType="separate"/>
      </w:r>
      <w:r>
        <w:rPr>
          <w:rFonts w:hint="eastAsia" w:ascii="宋体" w:hAnsi="宋体" w:eastAsia="宋体" w:cs="Times New Roman"/>
          <w:color w:val="000000"/>
          <w:szCs w:val="21"/>
          <w:highlight w:val="none"/>
        </w:rPr>
        <w:t>https://credit.ah.gov.cn/xinyongfuwu/index.html</w:t>
      </w:r>
      <w:r>
        <w:rPr>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），获取信用报告（无违法违规证明版或核查版）并上传至投标文件中。</w:t>
      </w:r>
    </w:p>
    <w:p w14:paraId="285FEBC1">
      <w:pPr>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br w:type="page"/>
      </w:r>
    </w:p>
    <w:p w14:paraId="6C6D7C67">
      <w:pPr>
        <w:spacing w:line="360" w:lineRule="exact"/>
        <w:ind w:firstLine="443" w:firstLineChars="147"/>
        <w:outlineLvl w:val="3"/>
        <w:rPr>
          <w:rFonts w:hint="default" w:ascii="宋体" w:hAnsi="Times New Roman" w:eastAsia="宋体" w:cs="Times New Roman"/>
          <w:b/>
          <w:color w:val="auto"/>
          <w:sz w:val="30"/>
          <w:szCs w:val="30"/>
          <w:highlight w:val="none"/>
          <w:lang w:val="en-US" w:eastAsia="zh-CN"/>
        </w:rPr>
      </w:pPr>
      <w:r>
        <w:rPr>
          <w:rFonts w:hint="eastAsia" w:ascii="宋体" w:hAnsi="Times New Roman" w:eastAsia="宋体" w:cs="Times New Roman"/>
          <w:b/>
          <w:color w:val="auto"/>
          <w:sz w:val="30"/>
          <w:szCs w:val="30"/>
          <w:highlight w:val="none"/>
          <w:lang w:val="en-US" w:eastAsia="zh-CN"/>
        </w:rPr>
        <w:t>附件3：</w:t>
      </w:r>
    </w:p>
    <w:p w14:paraId="54EA807B">
      <w:pPr>
        <w:jc w:val="center"/>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lang w:val="en-US" w:eastAsia="zh-CN"/>
        </w:rPr>
        <w:t>（3）</w:t>
      </w:r>
      <w:r>
        <w:rPr>
          <w:rFonts w:hint="eastAsia" w:ascii="Times New Roman" w:hAnsi="Times New Roman" w:eastAsia="宋体" w:cs="Times New Roman"/>
          <w:b/>
          <w:sz w:val="28"/>
          <w:szCs w:val="28"/>
          <w:highlight w:val="none"/>
        </w:rPr>
        <w:t>服务承诺书</w:t>
      </w:r>
    </w:p>
    <w:p w14:paraId="7533BEAE">
      <w:pPr>
        <w:ind w:firstLine="480" w:firstLineChars="200"/>
        <w:rPr>
          <w:rFonts w:hint="eastAsia" w:ascii="宋体"/>
          <w:color w:val="000000"/>
          <w:sz w:val="24"/>
          <w:highlight w:val="none"/>
        </w:rPr>
      </w:pPr>
    </w:p>
    <w:p w14:paraId="55946116">
      <w:pPr>
        <w:spacing w:line="500" w:lineRule="exact"/>
        <w:ind w:firstLine="480" w:firstLineChars="200"/>
        <w:rPr>
          <w:rFonts w:hint="eastAsia" w:ascii="宋体"/>
          <w:b/>
          <w:color w:val="000000"/>
          <w:sz w:val="24"/>
          <w:highlight w:val="none"/>
        </w:rPr>
      </w:pPr>
      <w:r>
        <w:rPr>
          <w:rFonts w:hint="eastAsia" w:ascii="宋体"/>
          <w:color w:val="000000"/>
          <w:sz w:val="24"/>
          <w:highlight w:val="none"/>
        </w:rPr>
        <w:t>致：</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招标人</w:t>
      </w:r>
      <w:r>
        <w:rPr>
          <w:rFonts w:hint="eastAsia" w:ascii="宋体"/>
          <w:color w:val="000000"/>
          <w:sz w:val="24"/>
          <w:highlight w:val="none"/>
          <w:u w:val="single"/>
        </w:rPr>
        <w:t>）</w:t>
      </w:r>
      <w:r>
        <w:rPr>
          <w:rFonts w:hint="eastAsia" w:ascii="宋体"/>
          <w:color w:val="000000"/>
          <w:sz w:val="24"/>
          <w:highlight w:val="none"/>
        </w:rPr>
        <w:t>：</w:t>
      </w:r>
    </w:p>
    <w:p w14:paraId="0C08A58D">
      <w:pPr>
        <w:spacing w:line="500" w:lineRule="exact"/>
        <w:ind w:firstLine="480" w:firstLineChars="200"/>
        <w:rPr>
          <w:rFonts w:hint="eastAsia" w:ascii="宋体"/>
          <w:color w:val="000000"/>
          <w:sz w:val="24"/>
          <w:highlight w:val="none"/>
        </w:rPr>
      </w:pPr>
      <w:r>
        <w:rPr>
          <w:rFonts w:hint="eastAsia" w:ascii="宋体"/>
          <w:color w:val="000000"/>
          <w:sz w:val="24"/>
          <w:highlight w:val="none"/>
        </w:rPr>
        <w:t>说明：本单位承诺对本招标文件的相关要求完全响应，</w:t>
      </w:r>
      <w:r>
        <w:rPr>
          <w:rFonts w:hint="eastAsia" w:ascii="宋体"/>
          <w:sz w:val="24"/>
          <w:highlight w:val="none"/>
        </w:rPr>
        <w:t>配备人员不低于采购需求的要求。</w:t>
      </w:r>
      <w:r>
        <w:rPr>
          <w:rFonts w:hint="eastAsia" w:ascii="宋体" w:hAnsi="宋体"/>
          <w:color w:val="000000"/>
          <w:sz w:val="24"/>
          <w:highlight w:val="none"/>
        </w:rPr>
        <w:t>若有幸成为中标人将严格按照以上承诺进行服务。</w:t>
      </w:r>
    </w:p>
    <w:p w14:paraId="4C72278D">
      <w:pPr>
        <w:spacing w:line="500" w:lineRule="exact"/>
        <w:ind w:firstLine="480" w:firstLineChars="200"/>
        <w:rPr>
          <w:rFonts w:hint="eastAsia" w:ascii="宋体"/>
          <w:color w:val="000000"/>
          <w:sz w:val="24"/>
          <w:highlight w:val="none"/>
        </w:rPr>
      </w:pPr>
      <w:r>
        <w:rPr>
          <w:rFonts w:hint="eastAsia" w:ascii="宋体"/>
          <w:color w:val="000000"/>
          <w:sz w:val="24"/>
          <w:highlight w:val="none"/>
        </w:rPr>
        <w:t>特此声明。</w:t>
      </w:r>
    </w:p>
    <w:p w14:paraId="0F2C37D6">
      <w:pPr>
        <w:spacing w:line="500" w:lineRule="exact"/>
        <w:ind w:firstLine="480" w:firstLineChars="200"/>
        <w:rPr>
          <w:rFonts w:hint="eastAsia" w:ascii="宋体"/>
          <w:color w:val="000000"/>
          <w:sz w:val="24"/>
          <w:highlight w:val="none"/>
        </w:rPr>
      </w:pPr>
    </w:p>
    <w:p w14:paraId="6C484616">
      <w:pPr>
        <w:spacing w:line="480" w:lineRule="auto"/>
        <w:ind w:firstLine="480" w:firstLineChars="200"/>
        <w:jc w:val="right"/>
        <w:rPr>
          <w:rFonts w:hint="eastAsia" w:ascii="宋体" w:hAnsi="宋体"/>
          <w:color w:val="000000"/>
          <w:sz w:val="24"/>
          <w:highlight w:val="none"/>
        </w:rPr>
      </w:pPr>
    </w:p>
    <w:p w14:paraId="439B0935">
      <w:pPr>
        <w:spacing w:line="480" w:lineRule="auto"/>
        <w:jc w:val="center"/>
        <w:rPr>
          <w:rFonts w:hint="eastAsia" w:ascii="宋体" w:hAnsi="宋体"/>
          <w:color w:val="000000"/>
          <w:sz w:val="24"/>
          <w:highlight w:val="none"/>
        </w:rPr>
      </w:pPr>
      <w:r>
        <w:rPr>
          <w:rFonts w:hint="eastAsia" w:ascii="宋体" w:hAnsi="宋体"/>
          <w:color w:val="000000"/>
          <w:sz w:val="24"/>
          <w:highlight w:val="none"/>
        </w:rPr>
        <w:t xml:space="preserve">      投标人：</w:t>
      </w:r>
    </w:p>
    <w:p w14:paraId="5FDC43B2">
      <w:pPr>
        <w:spacing w:line="480" w:lineRule="auto"/>
        <w:jc w:val="right"/>
        <w:rPr>
          <w:b/>
          <w:color w:val="000000"/>
          <w:sz w:val="36"/>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3070B94C">
      <w:pPr>
        <w:adjustRightInd w:val="0"/>
        <w:snapToGrid w:val="0"/>
        <w:spacing w:line="560" w:lineRule="exact"/>
        <w:ind w:firstLine="420" w:firstLineChars="200"/>
        <w:rPr>
          <w:rFonts w:hint="eastAsia" w:ascii="宋体" w:hAnsi="宋体" w:eastAsia="宋体" w:cs="Times New Roman"/>
          <w:color w:val="000000"/>
          <w:szCs w:val="21"/>
          <w:highlight w:val="none"/>
          <w:lang w:val="en-US" w:eastAsia="zh-CN"/>
        </w:rPr>
      </w:pPr>
    </w:p>
    <w:p w14:paraId="7FC19995">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A375643">
      <w:pPr>
        <w:wordWrap w:val="0"/>
        <w:spacing w:before="100" w:beforeAutospacing="1" w:after="100" w:afterAutospacing="1"/>
        <w:jc w:val="center"/>
        <w:outlineLvl w:val="1"/>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t>二、技术标格式文件</w:t>
      </w:r>
    </w:p>
    <w:p w14:paraId="38253489">
      <w:pPr>
        <w:jc w:val="center"/>
        <w:rPr>
          <w:rFonts w:hint="eastAsia" w:ascii="宋体"/>
          <w:b/>
          <w:color w:val="auto"/>
          <w:sz w:val="44"/>
          <w:szCs w:val="44"/>
          <w:highlight w:val="none"/>
        </w:rPr>
      </w:pPr>
      <w:bookmarkStart w:id="113" w:name="_Toc449028953"/>
      <w:bookmarkStart w:id="114" w:name="_Toc387149626"/>
    </w:p>
    <w:p w14:paraId="408F6B48">
      <w:pPr>
        <w:jc w:val="center"/>
        <w:rPr>
          <w:rFonts w:hint="eastAsia" w:ascii="宋体"/>
          <w:b/>
          <w:color w:val="auto"/>
          <w:sz w:val="44"/>
          <w:szCs w:val="44"/>
          <w:highlight w:val="none"/>
        </w:rPr>
      </w:pPr>
      <w:r>
        <w:rPr>
          <w:rFonts w:hint="eastAsia" w:ascii="宋体"/>
          <w:b/>
          <w:color w:val="auto"/>
          <w:sz w:val="44"/>
          <w:szCs w:val="44"/>
          <w:highlight w:val="none"/>
        </w:rPr>
        <w:t>技术标</w:t>
      </w:r>
      <w:bookmarkEnd w:id="113"/>
      <w:bookmarkEnd w:id="114"/>
    </w:p>
    <w:p w14:paraId="4AFE989B">
      <w:pPr>
        <w:jc w:val="center"/>
        <w:rPr>
          <w:rFonts w:hint="eastAsia" w:ascii="宋体"/>
          <w:color w:val="auto"/>
          <w:sz w:val="32"/>
          <w:szCs w:val="32"/>
          <w:highlight w:val="none"/>
        </w:rPr>
      </w:pPr>
      <w:r>
        <w:rPr>
          <w:rFonts w:hint="eastAsia" w:ascii="宋体"/>
          <w:color w:val="auto"/>
          <w:sz w:val="32"/>
          <w:szCs w:val="32"/>
          <w:highlight w:val="none"/>
        </w:rPr>
        <w:t>（投标文件二）</w:t>
      </w:r>
    </w:p>
    <w:p w14:paraId="07E9407D">
      <w:pPr>
        <w:jc w:val="center"/>
        <w:rPr>
          <w:rFonts w:hint="eastAsia" w:eastAsia="黑体"/>
          <w:color w:val="auto"/>
          <w:sz w:val="44"/>
          <w:szCs w:val="44"/>
          <w:highlight w:val="none"/>
        </w:rPr>
      </w:pPr>
    </w:p>
    <w:p w14:paraId="0AAD398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428ED37B">
      <w:pPr>
        <w:jc w:val="center"/>
        <w:rPr>
          <w:rFonts w:hint="eastAsia"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p>
    <w:p w14:paraId="74C885BD">
      <w:pPr>
        <w:jc w:val="center"/>
        <w:rPr>
          <w:rFonts w:hint="eastAsia" w:ascii="宋体"/>
          <w:color w:val="auto"/>
          <w:sz w:val="28"/>
          <w:szCs w:val="28"/>
          <w:highlight w:val="none"/>
          <w:u w:val="single"/>
        </w:rPr>
      </w:pPr>
    </w:p>
    <w:p w14:paraId="567D84D9">
      <w:pPr>
        <w:jc w:val="center"/>
        <w:rPr>
          <w:rFonts w:hint="eastAsia" w:ascii="宋体"/>
          <w:color w:val="auto"/>
          <w:sz w:val="28"/>
          <w:szCs w:val="28"/>
          <w:highlight w:val="none"/>
          <w:u w:val="single"/>
        </w:rPr>
      </w:pPr>
    </w:p>
    <w:p w14:paraId="115FAD7C">
      <w:pPr>
        <w:jc w:val="center"/>
        <w:rPr>
          <w:rFonts w:hint="eastAsia" w:ascii="宋体"/>
          <w:color w:val="auto"/>
          <w:sz w:val="28"/>
          <w:szCs w:val="28"/>
          <w:highlight w:val="none"/>
          <w:u w:val="single"/>
        </w:rPr>
      </w:pPr>
    </w:p>
    <w:p w14:paraId="11DFE560">
      <w:pPr>
        <w:jc w:val="center"/>
        <w:rPr>
          <w:rFonts w:hint="eastAsia" w:ascii="宋体"/>
          <w:color w:val="auto"/>
          <w:sz w:val="28"/>
          <w:szCs w:val="28"/>
          <w:highlight w:val="none"/>
          <w:u w:val="single"/>
        </w:rPr>
      </w:pPr>
    </w:p>
    <w:p w14:paraId="658912DE">
      <w:pPr>
        <w:jc w:val="center"/>
        <w:rPr>
          <w:rFonts w:hint="eastAsia" w:ascii="宋体"/>
          <w:color w:val="auto"/>
          <w:sz w:val="28"/>
          <w:szCs w:val="28"/>
          <w:highlight w:val="none"/>
          <w:u w:val="single"/>
        </w:rPr>
      </w:pPr>
    </w:p>
    <w:p w14:paraId="49543CC5">
      <w:pPr>
        <w:jc w:val="center"/>
        <w:rPr>
          <w:rFonts w:hint="eastAsia" w:ascii="宋体"/>
          <w:color w:val="auto"/>
          <w:sz w:val="28"/>
          <w:szCs w:val="28"/>
          <w:highlight w:val="none"/>
          <w:u w:val="single"/>
        </w:rPr>
      </w:pPr>
    </w:p>
    <w:p w14:paraId="5E2D10D2">
      <w:pPr>
        <w:jc w:val="both"/>
        <w:rPr>
          <w:rFonts w:hint="eastAsia" w:ascii="宋体"/>
          <w:color w:val="auto"/>
          <w:sz w:val="28"/>
          <w:szCs w:val="28"/>
          <w:highlight w:val="none"/>
          <w:u w:val="single"/>
        </w:rPr>
      </w:pPr>
    </w:p>
    <w:p w14:paraId="4BF91F4D">
      <w:pPr>
        <w:jc w:val="center"/>
        <w:rPr>
          <w:rFonts w:hint="eastAsia" w:ascii="宋体"/>
          <w:color w:val="auto"/>
          <w:sz w:val="28"/>
          <w:szCs w:val="28"/>
          <w:highlight w:val="none"/>
          <w:u w:val="single"/>
        </w:rPr>
      </w:pPr>
    </w:p>
    <w:p w14:paraId="0A43132F">
      <w:pPr>
        <w:jc w:val="center"/>
        <w:rPr>
          <w:rFonts w:hint="eastAsia" w:ascii="宋体"/>
          <w:color w:val="auto"/>
          <w:sz w:val="28"/>
          <w:szCs w:val="28"/>
          <w:highlight w:val="none"/>
          <w:u w:val="single"/>
        </w:rPr>
      </w:pPr>
    </w:p>
    <w:p w14:paraId="367D5EDB">
      <w:pPr>
        <w:jc w:val="center"/>
        <w:rPr>
          <w:rFonts w:hint="eastAsia" w:ascii="宋体"/>
          <w:color w:val="auto"/>
          <w:sz w:val="28"/>
          <w:szCs w:val="28"/>
          <w:highlight w:val="none"/>
          <w:u w:val="single"/>
        </w:rPr>
      </w:pPr>
    </w:p>
    <w:p w14:paraId="1B2ECEE5">
      <w:pPr>
        <w:jc w:val="center"/>
        <w:rPr>
          <w:rFonts w:hint="eastAsia" w:ascii="宋体"/>
          <w:color w:val="auto"/>
          <w:sz w:val="28"/>
          <w:szCs w:val="28"/>
          <w:highlight w:val="none"/>
          <w:u w:val="single"/>
        </w:rPr>
      </w:pPr>
    </w:p>
    <w:p w14:paraId="23A76F02">
      <w:pPr>
        <w:jc w:val="center"/>
        <w:rPr>
          <w:rFonts w:hint="eastAsia" w:ascii="宋体"/>
          <w:color w:val="auto"/>
          <w:sz w:val="28"/>
          <w:szCs w:val="28"/>
          <w:highlight w:val="none"/>
          <w:u w:val="single"/>
        </w:rPr>
      </w:pPr>
    </w:p>
    <w:p w14:paraId="5D6852E8">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19FE8F7">
      <w:pPr>
        <w:pStyle w:val="13"/>
        <w:ind w:firstLine="560"/>
        <w:rPr>
          <w:rFonts w:hint="eastAsia" w:ascii="宋体"/>
          <w:color w:val="auto"/>
          <w:sz w:val="28"/>
          <w:szCs w:val="28"/>
          <w:highlight w:val="none"/>
        </w:rPr>
      </w:pPr>
    </w:p>
    <w:p w14:paraId="44BF2DA4">
      <w:pPr>
        <w:rPr>
          <w:rFonts w:hint="eastAsia"/>
          <w:color w:val="auto"/>
          <w:highlight w:val="none"/>
        </w:rPr>
      </w:pPr>
    </w:p>
    <w:p w14:paraId="1C93DE42">
      <w:pPr>
        <w:rPr>
          <w:rFonts w:hint="eastAsia" w:ascii="宋体"/>
          <w:color w:val="auto"/>
          <w:sz w:val="28"/>
          <w:szCs w:val="28"/>
          <w:highlight w:val="none"/>
        </w:rPr>
      </w:pPr>
    </w:p>
    <w:p w14:paraId="643922B4">
      <w:pPr>
        <w:pStyle w:val="13"/>
        <w:ind w:firstLine="400"/>
        <w:rPr>
          <w:rFonts w:hint="eastAsia"/>
          <w:color w:val="auto"/>
          <w:highlight w:val="none"/>
        </w:rPr>
      </w:pPr>
    </w:p>
    <w:p w14:paraId="768F796F">
      <w:pPr>
        <w:spacing w:line="400" w:lineRule="exact"/>
        <w:jc w:val="both"/>
        <w:rPr>
          <w:rFonts w:hint="eastAsia"/>
          <w:b/>
          <w:color w:val="auto"/>
          <w:sz w:val="36"/>
          <w:szCs w:val="36"/>
          <w:highlight w:val="none"/>
        </w:rPr>
      </w:pPr>
    </w:p>
    <w:p w14:paraId="78AB31CA">
      <w:pPr>
        <w:jc w:val="center"/>
        <w:rPr>
          <w:rFonts w:hint="eastAsia" w:ascii="Times New Roman" w:hAnsi="Times New Roman" w:cs="Times New Roman"/>
          <w:b/>
          <w:color w:val="auto"/>
          <w:sz w:val="36"/>
          <w:szCs w:val="36"/>
          <w:highlight w:val="none"/>
        </w:rPr>
      </w:pPr>
      <w:r>
        <w:rPr>
          <w:rFonts w:hint="eastAsia" w:ascii="Times New Roman" w:hAnsi="Times New Roman" w:cs="Times New Roman"/>
          <w:b/>
          <w:color w:val="auto"/>
          <w:sz w:val="36"/>
          <w:szCs w:val="36"/>
          <w:highlight w:val="none"/>
        </w:rPr>
        <w:t>目   录</w:t>
      </w:r>
    </w:p>
    <w:p w14:paraId="4FC11C03">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物业管理方案</w:t>
      </w:r>
      <w:r>
        <w:rPr>
          <w:rFonts w:hint="eastAsia" w:ascii="宋体" w:hAnsi="宋体" w:eastAsia="宋体" w:cs="宋体"/>
          <w:color w:val="000000"/>
          <w:szCs w:val="21"/>
          <w:highlight w:val="none"/>
          <w:lang w:eastAsia="zh-CN"/>
        </w:rPr>
        <w:t>；</w:t>
      </w:r>
    </w:p>
    <w:p w14:paraId="750F6069">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人员管理方案</w:t>
      </w:r>
      <w:r>
        <w:rPr>
          <w:rFonts w:hint="eastAsia" w:ascii="宋体" w:hAnsi="宋体" w:eastAsia="宋体" w:cs="宋体"/>
          <w:color w:val="000000"/>
          <w:szCs w:val="21"/>
          <w:highlight w:val="none"/>
          <w:lang w:eastAsia="zh-CN"/>
        </w:rPr>
        <w:t>；</w:t>
      </w:r>
    </w:p>
    <w:p w14:paraId="11548B4F">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各项指标承诺及采取的措施</w:t>
      </w:r>
      <w:r>
        <w:rPr>
          <w:rFonts w:hint="eastAsia" w:ascii="宋体" w:hAnsi="宋体" w:eastAsia="宋体" w:cs="宋体"/>
          <w:color w:val="000000"/>
          <w:szCs w:val="21"/>
          <w:highlight w:val="none"/>
          <w:lang w:eastAsia="zh-CN"/>
        </w:rPr>
        <w:t>；</w:t>
      </w:r>
    </w:p>
    <w:p w14:paraId="2491A43D">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应急预案</w:t>
      </w:r>
      <w:r>
        <w:rPr>
          <w:rFonts w:hint="eastAsia" w:ascii="宋体" w:hAnsi="宋体" w:eastAsia="宋体" w:cs="宋体"/>
          <w:color w:val="000000"/>
          <w:szCs w:val="21"/>
          <w:highlight w:val="none"/>
          <w:lang w:eastAsia="zh-CN"/>
        </w:rPr>
        <w:t>；</w:t>
      </w:r>
    </w:p>
    <w:p w14:paraId="1C4BB56C">
      <w:pPr>
        <w:spacing w:line="360" w:lineRule="auto"/>
        <w:ind w:firstLine="420" w:firstLineChars="200"/>
        <w:rPr>
          <w:rFonts w:hint="eastAsia" w:ascii="宋体"/>
          <w:color w:val="auto"/>
          <w:sz w:val="24"/>
          <w:highlight w:val="none"/>
          <w:u w:val="singl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设备投入</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w:t>
      </w:r>
    </w:p>
    <w:p w14:paraId="04DB823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bCs/>
          <w:color w:val="auto"/>
          <w:sz w:val="24"/>
          <w:szCs w:val="24"/>
          <w:highlight w:val="none"/>
          <w:lang w:val="en-US" w:eastAsia="zh-CN"/>
        </w:rPr>
      </w:pPr>
    </w:p>
    <w:p w14:paraId="7743F15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color w:val="auto"/>
          <w:sz w:val="28"/>
          <w:szCs w:val="28"/>
          <w:highlight w:val="none"/>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本项目采用横向暗标评审，请投标人结合技术标评审细则和系统内容在对应模块上传技术标评审内容。</w:t>
      </w:r>
      <w:r>
        <w:rPr>
          <w:rFonts w:hint="eastAsia" w:ascii="宋体" w:hAnsi="宋体"/>
          <w:b/>
          <w:color w:val="auto"/>
          <w:sz w:val="28"/>
          <w:szCs w:val="28"/>
          <w:highlight w:val="none"/>
        </w:rPr>
        <w:br w:type="page"/>
      </w:r>
    </w:p>
    <w:p w14:paraId="2050FBFC">
      <w:pPr>
        <w:jc w:val="center"/>
        <w:outlineLvl w:val="1"/>
        <w:rPr>
          <w:rFonts w:hint="eastAsia" w:ascii="宋体"/>
          <w:color w:val="auto"/>
          <w:sz w:val="24"/>
          <w:highlight w:val="none"/>
        </w:rPr>
      </w:pPr>
      <w:r>
        <w:rPr>
          <w:rFonts w:hint="eastAsia" w:ascii="宋体" w:hAnsi="宋体"/>
          <w:b/>
          <w:color w:val="auto"/>
          <w:sz w:val="28"/>
          <w:szCs w:val="28"/>
          <w:highlight w:val="none"/>
        </w:rPr>
        <w:t>三、商务标格式文件</w:t>
      </w:r>
    </w:p>
    <w:p w14:paraId="4210BC62">
      <w:pPr>
        <w:jc w:val="center"/>
        <w:rPr>
          <w:rFonts w:hint="eastAsia" w:eastAsia="黑体"/>
          <w:color w:val="auto"/>
          <w:sz w:val="20"/>
          <w:highlight w:val="none"/>
        </w:rPr>
      </w:pPr>
    </w:p>
    <w:p w14:paraId="2DD490AF">
      <w:pPr>
        <w:rPr>
          <w:rFonts w:hint="eastAsia" w:ascii="宋体"/>
          <w:color w:val="auto"/>
          <w:sz w:val="20"/>
          <w:highlight w:val="none"/>
        </w:rPr>
      </w:pPr>
    </w:p>
    <w:p w14:paraId="4716B078">
      <w:pPr>
        <w:pStyle w:val="13"/>
        <w:ind w:firstLine="400"/>
        <w:rPr>
          <w:rFonts w:hint="eastAsia"/>
          <w:color w:val="auto"/>
          <w:highlight w:val="none"/>
        </w:rPr>
      </w:pPr>
    </w:p>
    <w:p w14:paraId="43BB8B62">
      <w:pPr>
        <w:jc w:val="center"/>
        <w:rPr>
          <w:rFonts w:hint="eastAsia" w:ascii="宋体"/>
          <w:b/>
          <w:color w:val="auto"/>
          <w:sz w:val="44"/>
          <w:szCs w:val="44"/>
          <w:highlight w:val="none"/>
        </w:rPr>
      </w:pPr>
      <w:bookmarkStart w:id="115" w:name="_Toc449028954"/>
      <w:r>
        <w:rPr>
          <w:rFonts w:hint="eastAsia" w:ascii="宋体"/>
          <w:b/>
          <w:color w:val="auto"/>
          <w:sz w:val="44"/>
          <w:szCs w:val="44"/>
          <w:highlight w:val="none"/>
        </w:rPr>
        <w:t>商务标</w:t>
      </w:r>
      <w:bookmarkEnd w:id="115"/>
    </w:p>
    <w:p w14:paraId="7C1EE44C">
      <w:pPr>
        <w:jc w:val="center"/>
        <w:rPr>
          <w:rFonts w:hint="eastAsia"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054C624E">
      <w:pPr>
        <w:jc w:val="center"/>
        <w:rPr>
          <w:rFonts w:hint="eastAsia" w:ascii="宋体"/>
          <w:color w:val="auto"/>
          <w:sz w:val="36"/>
          <w:szCs w:val="36"/>
          <w:highlight w:val="none"/>
        </w:rPr>
      </w:pPr>
    </w:p>
    <w:p w14:paraId="7AA38DBA">
      <w:pPr>
        <w:jc w:val="center"/>
        <w:outlineLvl w:val="2"/>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47832800">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41834596">
      <w:pPr>
        <w:rPr>
          <w:rFonts w:hint="eastAsia" w:ascii="宋体"/>
          <w:color w:val="auto"/>
          <w:sz w:val="28"/>
          <w:szCs w:val="28"/>
          <w:highlight w:val="none"/>
        </w:rPr>
      </w:pPr>
    </w:p>
    <w:p w14:paraId="094C0FA7">
      <w:pPr>
        <w:rPr>
          <w:rFonts w:hint="eastAsia" w:ascii="宋体"/>
          <w:color w:val="auto"/>
          <w:sz w:val="28"/>
          <w:szCs w:val="28"/>
          <w:highlight w:val="none"/>
        </w:rPr>
      </w:pPr>
    </w:p>
    <w:p w14:paraId="5E4783FC">
      <w:pPr>
        <w:rPr>
          <w:rFonts w:hint="eastAsia" w:ascii="宋体"/>
          <w:color w:val="auto"/>
          <w:sz w:val="28"/>
          <w:szCs w:val="28"/>
          <w:highlight w:val="none"/>
        </w:rPr>
      </w:pPr>
    </w:p>
    <w:p w14:paraId="7A75B292">
      <w:pPr>
        <w:rPr>
          <w:rFonts w:hint="eastAsia" w:ascii="宋体"/>
          <w:color w:val="auto"/>
          <w:sz w:val="28"/>
          <w:szCs w:val="28"/>
          <w:highlight w:val="none"/>
        </w:rPr>
      </w:pPr>
    </w:p>
    <w:p w14:paraId="745CC0BE">
      <w:pPr>
        <w:rPr>
          <w:rFonts w:hint="eastAsia" w:ascii="宋体"/>
          <w:color w:val="auto"/>
          <w:sz w:val="28"/>
          <w:szCs w:val="28"/>
          <w:highlight w:val="none"/>
        </w:rPr>
      </w:pPr>
    </w:p>
    <w:p w14:paraId="4B7F798A">
      <w:pPr>
        <w:rPr>
          <w:rFonts w:hint="eastAsia" w:ascii="宋体"/>
          <w:color w:val="auto"/>
          <w:sz w:val="28"/>
          <w:szCs w:val="28"/>
          <w:highlight w:val="none"/>
        </w:rPr>
      </w:pPr>
    </w:p>
    <w:p w14:paraId="3C3B3F94">
      <w:pPr>
        <w:rPr>
          <w:rFonts w:hint="eastAsia" w:ascii="宋体"/>
          <w:color w:val="auto"/>
          <w:sz w:val="28"/>
          <w:szCs w:val="28"/>
          <w:highlight w:val="none"/>
        </w:rPr>
      </w:pPr>
    </w:p>
    <w:p w14:paraId="638EE798">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17FB39B8">
      <w:pPr>
        <w:ind w:firstLine="700" w:firstLineChars="25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5818FEF8">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EFE05F1">
      <w:pPr>
        <w:spacing w:line="720" w:lineRule="auto"/>
        <w:jc w:val="center"/>
        <w:rPr>
          <w:rFonts w:hint="eastAsia" w:ascii="宋体"/>
          <w:b/>
          <w:color w:val="auto"/>
          <w:sz w:val="36"/>
          <w:szCs w:val="36"/>
          <w:highlight w:val="none"/>
        </w:rPr>
      </w:pPr>
    </w:p>
    <w:p w14:paraId="34D55D98">
      <w:pPr>
        <w:spacing w:line="400" w:lineRule="exact"/>
        <w:ind w:firstLine="562" w:firstLineChars="200"/>
        <w:rPr>
          <w:rFonts w:hint="eastAsia"/>
          <w:b/>
          <w:color w:val="auto"/>
          <w:sz w:val="28"/>
          <w:szCs w:val="28"/>
          <w:highlight w:val="none"/>
        </w:rPr>
      </w:pPr>
    </w:p>
    <w:p w14:paraId="3BBD8F45">
      <w:pPr>
        <w:spacing w:line="400" w:lineRule="exact"/>
        <w:jc w:val="center"/>
        <w:rPr>
          <w:rFonts w:hint="eastAsia"/>
          <w:b/>
          <w:color w:val="auto"/>
          <w:sz w:val="36"/>
          <w:szCs w:val="36"/>
          <w:highlight w:val="none"/>
        </w:rPr>
      </w:pPr>
      <w:r>
        <w:rPr>
          <w:b/>
          <w:color w:val="auto"/>
          <w:sz w:val="36"/>
          <w:szCs w:val="36"/>
          <w:highlight w:val="none"/>
        </w:rPr>
        <w:br w:type="page"/>
      </w:r>
      <w:r>
        <w:rPr>
          <w:rFonts w:hint="eastAsia"/>
          <w:b/>
          <w:color w:val="auto"/>
          <w:sz w:val="36"/>
          <w:szCs w:val="36"/>
          <w:highlight w:val="none"/>
        </w:rPr>
        <w:t>目   录</w:t>
      </w:r>
    </w:p>
    <w:p w14:paraId="7A0185AF">
      <w:pPr>
        <w:spacing w:line="400" w:lineRule="exact"/>
        <w:ind w:firstLine="4130" w:firstLineChars="935"/>
        <w:rPr>
          <w:rFonts w:hint="eastAsia"/>
          <w:b/>
          <w:color w:val="auto"/>
          <w:sz w:val="44"/>
          <w:szCs w:val="44"/>
          <w:highlight w:val="none"/>
        </w:rPr>
      </w:pPr>
    </w:p>
    <w:p w14:paraId="65A2A5D3">
      <w:pPr>
        <w:spacing w:line="440" w:lineRule="exact"/>
        <w:ind w:left="420"/>
        <w:jc w:val="left"/>
        <w:rPr>
          <w:rFonts w:hint="eastAsia" w:ascii="宋体"/>
          <w:color w:val="auto"/>
          <w:szCs w:val="21"/>
          <w:highlight w:val="none"/>
        </w:rPr>
      </w:pPr>
      <w:r>
        <w:rPr>
          <w:rFonts w:hint="eastAsia" w:ascii="宋体"/>
          <w:color w:val="auto"/>
          <w:szCs w:val="21"/>
          <w:highlight w:val="none"/>
        </w:rPr>
        <w:t>（1）开标一览表（格式见附件）；</w:t>
      </w:r>
    </w:p>
    <w:p w14:paraId="4C46A7C7">
      <w:pPr>
        <w:spacing w:line="440" w:lineRule="exact"/>
        <w:ind w:left="420"/>
        <w:jc w:val="left"/>
        <w:rPr>
          <w:rFonts w:hint="eastAsia" w:ascii="宋体"/>
          <w:color w:val="auto"/>
          <w:szCs w:val="21"/>
          <w:highlight w:val="none"/>
        </w:rPr>
      </w:pPr>
      <w:r>
        <w:rPr>
          <w:rFonts w:hint="eastAsia" w:ascii="宋体"/>
          <w:color w:val="auto"/>
          <w:szCs w:val="21"/>
          <w:highlight w:val="none"/>
        </w:rPr>
        <w:t>（2）投标函（格式见附件）；</w:t>
      </w:r>
    </w:p>
    <w:p w14:paraId="0C63573E">
      <w:pPr>
        <w:spacing w:line="440" w:lineRule="exact"/>
        <w:ind w:firstLine="424" w:firstLineChars="202"/>
        <w:jc w:val="left"/>
        <w:rPr>
          <w:rFonts w:hint="default"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3）分项报价清单（格式见附件）；</w:t>
      </w:r>
    </w:p>
    <w:p w14:paraId="5AE63DA1">
      <w:pPr>
        <w:spacing w:line="440" w:lineRule="exact"/>
        <w:ind w:firstLine="424" w:firstLineChars="202"/>
        <w:jc w:val="left"/>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）投标人认为需要提供的其他材料。</w:t>
      </w:r>
    </w:p>
    <w:p w14:paraId="4FA4B94E">
      <w:pPr>
        <w:jc w:val="center"/>
        <w:rPr>
          <w:rFonts w:hint="eastAsia" w:ascii="宋体"/>
          <w:b/>
          <w:color w:val="auto"/>
          <w:sz w:val="28"/>
          <w:szCs w:val="28"/>
          <w:highlight w:val="none"/>
        </w:rPr>
      </w:pPr>
    </w:p>
    <w:p w14:paraId="76025F14">
      <w:pPr>
        <w:snapToGrid w:val="0"/>
        <w:spacing w:line="460" w:lineRule="exact"/>
        <w:ind w:left="2940" w:leftChars="1400" w:firstLine="964" w:firstLineChars="300"/>
        <w:rPr>
          <w:rFonts w:hint="eastAsia" w:ascii="宋体"/>
          <w:b/>
          <w:color w:val="auto"/>
          <w:sz w:val="32"/>
          <w:szCs w:val="32"/>
          <w:highlight w:val="none"/>
        </w:rPr>
      </w:pPr>
    </w:p>
    <w:p w14:paraId="4182327B">
      <w:pPr>
        <w:snapToGrid w:val="0"/>
        <w:spacing w:line="460" w:lineRule="exact"/>
        <w:ind w:left="2940" w:leftChars="1400" w:firstLine="964" w:firstLineChars="300"/>
        <w:rPr>
          <w:rFonts w:hint="eastAsia" w:ascii="宋体"/>
          <w:b/>
          <w:color w:val="auto"/>
          <w:sz w:val="32"/>
          <w:szCs w:val="32"/>
          <w:highlight w:val="none"/>
        </w:rPr>
      </w:pPr>
    </w:p>
    <w:p w14:paraId="0C1EACAD">
      <w:pPr>
        <w:snapToGrid w:val="0"/>
        <w:spacing w:line="460" w:lineRule="exact"/>
        <w:ind w:left="2940" w:leftChars="1400" w:firstLine="964" w:firstLineChars="300"/>
        <w:rPr>
          <w:rFonts w:hint="eastAsia" w:ascii="宋体"/>
          <w:b/>
          <w:color w:val="auto"/>
          <w:sz w:val="32"/>
          <w:szCs w:val="32"/>
          <w:highlight w:val="none"/>
        </w:rPr>
      </w:pPr>
    </w:p>
    <w:p w14:paraId="43D6D47D">
      <w:pPr>
        <w:snapToGrid w:val="0"/>
        <w:spacing w:line="460" w:lineRule="exact"/>
        <w:ind w:left="2940" w:leftChars="1400" w:firstLine="964" w:firstLineChars="300"/>
        <w:rPr>
          <w:rFonts w:hint="eastAsia" w:ascii="宋体"/>
          <w:b/>
          <w:color w:val="auto"/>
          <w:sz w:val="32"/>
          <w:szCs w:val="32"/>
          <w:highlight w:val="none"/>
        </w:rPr>
      </w:pPr>
    </w:p>
    <w:p w14:paraId="04458797">
      <w:pPr>
        <w:snapToGrid w:val="0"/>
        <w:spacing w:line="460" w:lineRule="exact"/>
        <w:ind w:left="2940" w:leftChars="1400" w:firstLine="964" w:firstLineChars="300"/>
        <w:rPr>
          <w:rFonts w:hint="eastAsia" w:ascii="宋体"/>
          <w:b/>
          <w:color w:val="auto"/>
          <w:sz w:val="32"/>
          <w:szCs w:val="32"/>
          <w:highlight w:val="none"/>
        </w:rPr>
      </w:pPr>
    </w:p>
    <w:p w14:paraId="0639B628">
      <w:pPr>
        <w:snapToGrid w:val="0"/>
        <w:spacing w:line="460" w:lineRule="exact"/>
        <w:ind w:left="2940" w:leftChars="1400" w:firstLine="964" w:firstLineChars="300"/>
        <w:rPr>
          <w:rFonts w:hint="eastAsia" w:ascii="宋体"/>
          <w:b/>
          <w:color w:val="auto"/>
          <w:sz w:val="32"/>
          <w:szCs w:val="32"/>
          <w:highlight w:val="none"/>
        </w:rPr>
      </w:pPr>
    </w:p>
    <w:p w14:paraId="3EAC717C">
      <w:pPr>
        <w:spacing w:line="360" w:lineRule="exact"/>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附件1</w:t>
      </w:r>
    </w:p>
    <w:p w14:paraId="74B7C606">
      <w:pPr>
        <w:spacing w:line="360" w:lineRule="exact"/>
        <w:ind w:firstLine="472" w:firstLineChars="147"/>
        <w:jc w:val="center"/>
        <w:rPr>
          <w:rFonts w:hint="eastAsia" w:ascii="宋体"/>
          <w:b/>
          <w:color w:val="auto"/>
          <w:sz w:val="32"/>
          <w:szCs w:val="32"/>
          <w:highlight w:val="none"/>
        </w:rPr>
      </w:pPr>
    </w:p>
    <w:p w14:paraId="14BD48D7">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tbl>
      <w:tblPr>
        <w:tblStyle w:val="37"/>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22105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3" w:type="dxa"/>
            <w:tcBorders>
              <w:top w:val="single" w:color="auto" w:sz="12" w:space="0"/>
              <w:bottom w:val="single" w:color="auto" w:sz="12" w:space="0"/>
              <w:right w:val="single" w:color="auto" w:sz="12" w:space="0"/>
            </w:tcBorders>
            <w:noWrap w:val="0"/>
            <w:vAlign w:val="center"/>
          </w:tcPr>
          <w:p w14:paraId="4FCE162F">
            <w:pPr>
              <w:spacing w:line="70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46F1E010">
            <w:pPr>
              <w:spacing w:line="700" w:lineRule="exact"/>
              <w:jc w:val="left"/>
              <w:rPr>
                <w:rFonts w:hint="eastAsia"/>
                <w:color w:val="auto"/>
                <w:sz w:val="24"/>
                <w:highlight w:val="none"/>
              </w:rPr>
            </w:pPr>
            <w:r>
              <w:rPr>
                <w:rFonts w:hint="eastAsia"/>
                <w:color w:val="auto"/>
                <w:sz w:val="24"/>
                <w:highlight w:val="none"/>
              </w:rPr>
              <w:t xml:space="preserve">         </w:t>
            </w:r>
          </w:p>
        </w:tc>
      </w:tr>
      <w:tr w14:paraId="00DFD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37D8AD81">
            <w:pPr>
              <w:spacing w:line="70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7A5AD487">
            <w:pPr>
              <w:spacing w:line="700" w:lineRule="exact"/>
              <w:rPr>
                <w:rFonts w:hint="eastAsia" w:ascii="宋体"/>
                <w:color w:val="auto"/>
                <w:sz w:val="24"/>
                <w:highlight w:val="none"/>
              </w:rPr>
            </w:pPr>
          </w:p>
        </w:tc>
      </w:tr>
      <w:tr w14:paraId="71D5C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010CCA20">
            <w:pPr>
              <w:spacing w:line="70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3FECFDD0">
            <w:pPr>
              <w:pStyle w:val="21"/>
              <w:spacing w:line="700" w:lineRule="exact"/>
              <w:ind w:left="86" w:leftChars="41"/>
              <w:rPr>
                <w:rFonts w:hint="eastAsia" w:ascii="宋体" w:eastAsia="宋体"/>
                <w:color w:val="auto"/>
                <w:sz w:val="24"/>
                <w:szCs w:val="24"/>
                <w:highlight w:val="none"/>
              </w:rPr>
            </w:pPr>
          </w:p>
        </w:tc>
      </w:tr>
      <w:tr w14:paraId="00952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1" w:hRule="exact"/>
        </w:trPr>
        <w:tc>
          <w:tcPr>
            <w:tcW w:w="1803" w:type="dxa"/>
            <w:tcBorders>
              <w:right w:val="single" w:color="auto" w:sz="12" w:space="0"/>
            </w:tcBorders>
            <w:noWrap w:val="0"/>
            <w:vAlign w:val="center"/>
          </w:tcPr>
          <w:p w14:paraId="708A036B">
            <w:pPr>
              <w:spacing w:line="360" w:lineRule="auto"/>
              <w:jc w:val="center"/>
              <w:rPr>
                <w:rFonts w:ascii="宋体"/>
                <w:color w:val="auto"/>
                <w:sz w:val="24"/>
                <w:highlight w:val="none"/>
              </w:rPr>
            </w:pPr>
            <w:r>
              <w:rPr>
                <w:rFonts w:hint="eastAsia" w:ascii="宋体" w:hAnsi="宋体"/>
                <w:color w:val="auto"/>
                <w:sz w:val="24"/>
                <w:highlight w:val="none"/>
              </w:rPr>
              <w:t>投标报价\合同履行期限</w:t>
            </w:r>
          </w:p>
        </w:tc>
        <w:tc>
          <w:tcPr>
            <w:tcW w:w="6952" w:type="dxa"/>
            <w:tcBorders>
              <w:left w:val="single" w:color="auto" w:sz="12" w:space="0"/>
            </w:tcBorders>
            <w:noWrap w:val="0"/>
            <w:vAlign w:val="center"/>
          </w:tcPr>
          <w:p w14:paraId="18FA929E">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olor w:val="auto"/>
                <w:sz w:val="24"/>
                <w:highlight w:val="none"/>
              </w:rPr>
            </w:pPr>
            <w:r>
              <w:rPr>
                <w:rFonts w:hint="eastAsia" w:ascii="宋体" w:hAnsi="宋体"/>
                <w:color w:val="auto"/>
                <w:sz w:val="24"/>
                <w:highlight w:val="none"/>
              </w:rPr>
              <w:t>投标报价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三年）</w:t>
            </w:r>
            <w:r>
              <w:rPr>
                <w:rFonts w:hint="eastAsia" w:ascii="宋体" w:hAnsi="宋体"/>
                <w:color w:val="auto"/>
                <w:sz w:val="24"/>
                <w:highlight w:val="none"/>
              </w:rPr>
              <w:t>：</w:t>
            </w:r>
          </w:p>
          <w:p w14:paraId="12C20A8A">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元。  </w:t>
            </w:r>
          </w:p>
          <w:p w14:paraId="63C65A5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olor w:val="auto"/>
                <w:sz w:val="24"/>
                <w:highlight w:val="none"/>
              </w:rPr>
            </w:pPr>
            <w:r>
              <w:rPr>
                <w:rFonts w:hint="eastAsia" w:ascii="宋体" w:hAnsi="宋体"/>
                <w:color w:val="auto"/>
                <w:sz w:val="24"/>
                <w:highlight w:val="none"/>
              </w:rPr>
              <w:t>(小写) ：</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其中每年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olor w:val="auto"/>
                <w:sz w:val="24"/>
                <w:highlight w:val="none"/>
              </w:rPr>
              <w:t xml:space="preserve">。      </w:t>
            </w:r>
          </w:p>
          <w:p w14:paraId="5D024D8C">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宋体" w:hAnsi="宋体"/>
                <w:color w:val="auto"/>
                <w:sz w:val="24"/>
                <w:highlight w:val="none"/>
                <w:lang w:val="en-US" w:eastAsia="zh-CN"/>
              </w:rPr>
            </w:pPr>
            <w:r>
              <w:rPr>
                <w:rFonts w:hint="eastAsia" w:ascii="宋体" w:hAnsi="宋体" w:eastAsia="宋体" w:cs="Times New Roman"/>
                <w:color w:val="auto"/>
                <w:sz w:val="24"/>
                <w:highlight w:val="none"/>
                <w:lang w:val="en-US" w:eastAsia="zh-CN"/>
              </w:rPr>
              <w:t>合同履行期限：</w:t>
            </w:r>
            <w:r>
              <w:rPr>
                <w:rFonts w:hint="eastAsia" w:ascii="宋体" w:hAnsi="宋体" w:cs="Times New Roman"/>
                <w:color w:val="auto"/>
                <w:sz w:val="24"/>
                <w:highlight w:val="none"/>
                <w:lang w:val="en-US" w:eastAsia="zh-CN"/>
              </w:rPr>
              <w:t xml:space="preserve"> </w:t>
            </w:r>
          </w:p>
        </w:tc>
      </w:tr>
    </w:tbl>
    <w:p w14:paraId="304ECD85">
      <w:pPr>
        <w:snapToGrid w:val="0"/>
        <w:spacing w:line="460" w:lineRule="exact"/>
        <w:ind w:left="2940" w:leftChars="1400" w:firstLine="723" w:firstLineChars="300"/>
        <w:rPr>
          <w:rFonts w:hint="eastAsia" w:ascii="宋体"/>
          <w:b/>
          <w:color w:val="auto"/>
          <w:sz w:val="24"/>
          <w:highlight w:val="none"/>
        </w:rPr>
      </w:pPr>
    </w:p>
    <w:p w14:paraId="7F03D6A3">
      <w:pPr>
        <w:rPr>
          <w:rFonts w:hint="eastAsia" w:ascii="宋体"/>
          <w:color w:val="auto"/>
          <w:sz w:val="24"/>
          <w:highlight w:val="none"/>
        </w:rPr>
      </w:pPr>
      <w:r>
        <w:rPr>
          <w:rFonts w:hint="eastAsia" w:ascii="宋体"/>
          <w:color w:val="auto"/>
          <w:sz w:val="24"/>
          <w:highlight w:val="none"/>
        </w:rPr>
        <w:t>法定代表人（签章）：         投标人（盖单位章）：</w:t>
      </w:r>
    </w:p>
    <w:p w14:paraId="113C8D5C">
      <w:pPr>
        <w:snapToGrid w:val="0"/>
        <w:spacing w:before="312" w:beforeLines="100" w:after="312" w:afterLines="100" w:line="360" w:lineRule="auto"/>
        <w:jc w:val="center"/>
        <w:rPr>
          <w:rFonts w:cs="Arial"/>
          <w:b/>
          <w:bCs/>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6F65A41B">
      <w:pPr>
        <w:spacing w:line="360" w:lineRule="exact"/>
        <w:ind w:firstLine="443" w:firstLineChars="147"/>
        <w:rPr>
          <w:rFonts w:hint="eastAsia" w:ascii="宋体" w:hAnsi="宋体"/>
          <w:b/>
          <w:color w:val="auto"/>
          <w:sz w:val="30"/>
          <w:szCs w:val="30"/>
          <w:highlight w:val="none"/>
        </w:rPr>
      </w:pPr>
      <w:r>
        <w:rPr>
          <w:rFonts w:hint="eastAsia" w:ascii="宋体" w:hAnsi="宋体"/>
          <w:b/>
          <w:color w:val="auto"/>
          <w:sz w:val="30"/>
          <w:szCs w:val="30"/>
          <w:highlight w:val="none"/>
        </w:rPr>
        <w:t>附件2</w:t>
      </w:r>
    </w:p>
    <w:p w14:paraId="08B17923">
      <w:pPr>
        <w:spacing w:line="360" w:lineRule="exact"/>
        <w:ind w:firstLine="531" w:firstLineChars="147"/>
        <w:jc w:val="center"/>
        <w:rPr>
          <w:rFonts w:hint="eastAsia" w:ascii="宋体"/>
          <w:color w:val="auto"/>
          <w:sz w:val="24"/>
          <w:highlight w:val="none"/>
        </w:rPr>
      </w:pPr>
      <w:r>
        <w:rPr>
          <w:rFonts w:hint="eastAsia" w:ascii="宋体"/>
          <w:b/>
          <w:color w:val="auto"/>
          <w:sz w:val="36"/>
          <w:szCs w:val="36"/>
          <w:highlight w:val="none"/>
        </w:rPr>
        <w:t>投  标  函</w:t>
      </w:r>
    </w:p>
    <w:p w14:paraId="06F214DC">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(招标人)       </w:t>
      </w:r>
      <w:r>
        <w:rPr>
          <w:rFonts w:hint="eastAsia" w:ascii="宋体" w:hAnsi="宋体" w:cs="宋体"/>
          <w:color w:val="auto"/>
          <w:sz w:val="24"/>
          <w:highlight w:val="none"/>
        </w:rPr>
        <w:t xml:space="preserve"> </w:t>
      </w:r>
    </w:p>
    <w:p w14:paraId="51C8BB89">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73A6A938">
      <w:pPr>
        <w:spacing w:line="5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我方愿意按照招标文件规定的各项要求，向招标人提供“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（项目编号）”项目的服务，投标报价为</w:t>
      </w:r>
      <w:r>
        <w:rPr>
          <w:rFonts w:hint="eastAsia" w:ascii="宋体" w:hAnsi="宋体" w:cs="宋体"/>
          <w:color w:val="auto"/>
          <w:sz w:val="24"/>
          <w:highlight w:val="none"/>
          <w:u w:val="single"/>
        </w:rPr>
        <w:t>（大写）          （小写）       元</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其中每年       元）</w:t>
      </w:r>
      <w:r>
        <w:rPr>
          <w:rFonts w:hint="eastAsia" w:ascii="宋体" w:hAnsi="宋体" w:cs="宋体"/>
          <w:color w:val="auto"/>
          <w:sz w:val="24"/>
          <w:highlight w:val="none"/>
          <w:u w:val="single"/>
          <w:lang w:eastAsia="zh-CN"/>
        </w:rPr>
        <w:t>。</w:t>
      </w:r>
    </w:p>
    <w:p w14:paraId="4CEA80F3">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一旦我方成为合同签字人，我方将严格履行合同规定的责任和义务。</w:t>
      </w:r>
    </w:p>
    <w:p w14:paraId="3651A8A2">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若我方中标，愿意为本项目提交的纸质投标文件一式三份，其中正本一份、副本二份。</w:t>
      </w:r>
    </w:p>
    <w:p w14:paraId="77AA2197">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我方愿意提供可能另外要求的、与采购投标有关的文件资料，并保证我方已提供和将要提供的文件是真实的、准确的。</w:t>
      </w:r>
    </w:p>
    <w:p w14:paraId="4AC26D20">
      <w:pPr>
        <w:pStyle w:val="13"/>
        <w:spacing w:after="0" w:line="500" w:lineRule="exact"/>
        <w:ind w:left="0" w:leftChars="0" w:firstLine="480"/>
        <w:jc w:val="left"/>
        <w:outlineLvl w:val="2"/>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投标有效期为</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日历天（从投标截止之日算起）。</w:t>
      </w:r>
    </w:p>
    <w:p w14:paraId="28EB5E76">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我单位提供如下通讯地址：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电子邮箱（地址），确认本项目相关法律文书均通过提供的以上地址送达，相关文书只要发送至以上电子邮箱（地址）即视为送达，投标人愿意承担一切法律后果。</w:t>
      </w:r>
    </w:p>
    <w:p w14:paraId="7C9A3101">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 </w:t>
      </w:r>
    </w:p>
    <w:p w14:paraId="0B9BC09A">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D71A74C">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6B24DCA3">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5986B64A">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 xml:space="preserve">                 </w:t>
      </w:r>
    </w:p>
    <w:p w14:paraId="119BAE28">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0DB17948">
      <w:pPr>
        <w:spacing w:line="500" w:lineRule="exact"/>
        <w:ind w:right="-178" w:rightChars="-85" w:firstLine="3360" w:firstLineChars="1400"/>
        <w:jc w:val="left"/>
        <w:rPr>
          <w:rFonts w:hint="eastAsia" w:ascii="宋体" w:hAnsi="宋体"/>
          <w:b/>
          <w:color w:val="auto"/>
          <w:sz w:val="30"/>
          <w:szCs w:val="30"/>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color w:val="auto"/>
          <w:sz w:val="24"/>
          <w:highlight w:val="none"/>
          <w:u w:val="single"/>
        </w:rPr>
        <w:t xml:space="preserve">              </w:t>
      </w:r>
    </w:p>
    <w:p w14:paraId="33AFEEEB">
      <w:pPr>
        <w:rPr>
          <w:rFonts w:hint="eastAsia" w:ascii="宋体" w:hAnsi="宋体"/>
          <w:b/>
          <w:color w:val="auto"/>
          <w:sz w:val="30"/>
          <w:szCs w:val="30"/>
          <w:highlight w:val="none"/>
        </w:rPr>
      </w:pPr>
    </w:p>
    <w:p w14:paraId="18F5C16C">
      <w:pPr>
        <w:rPr>
          <w:rFonts w:hint="eastAsia" w:ascii="宋体" w:hAnsi="宋体"/>
          <w:b/>
          <w:color w:val="auto"/>
          <w:sz w:val="30"/>
          <w:szCs w:val="30"/>
          <w:highlight w:val="none"/>
        </w:rPr>
      </w:pPr>
    </w:p>
    <w:p w14:paraId="19141D3D">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6B340857">
      <w:pPr>
        <w:outlineLvl w:val="3"/>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3</w:t>
      </w:r>
    </w:p>
    <w:p w14:paraId="4A71F35F">
      <w:pPr>
        <w:spacing w:line="360" w:lineRule="exact"/>
        <w:ind w:firstLine="531" w:firstLineChars="147"/>
        <w:jc w:val="center"/>
        <w:rPr>
          <w:rFonts w:hint="default" w:ascii="宋体"/>
          <w:b/>
          <w:color w:val="auto"/>
          <w:sz w:val="36"/>
          <w:szCs w:val="36"/>
          <w:highlight w:val="none"/>
          <w:lang w:val="en-US" w:eastAsia="zh-CN"/>
        </w:rPr>
      </w:pPr>
      <w:r>
        <w:rPr>
          <w:rFonts w:hint="eastAsia" w:ascii="宋体"/>
          <w:b/>
          <w:color w:val="auto"/>
          <w:sz w:val="36"/>
          <w:szCs w:val="36"/>
          <w:highlight w:val="none"/>
          <w:lang w:val="en-US" w:eastAsia="zh-CN"/>
        </w:rPr>
        <w:t>分项报价清单</w:t>
      </w:r>
    </w:p>
    <w:tbl>
      <w:tblPr>
        <w:tblStyle w:val="37"/>
        <w:tblW w:w="9820" w:type="dxa"/>
        <w:jc w:val="center"/>
        <w:tblLayout w:type="fixed"/>
        <w:tblCellMar>
          <w:top w:w="0" w:type="dxa"/>
          <w:left w:w="0" w:type="dxa"/>
          <w:bottom w:w="0" w:type="dxa"/>
          <w:right w:w="0" w:type="dxa"/>
        </w:tblCellMar>
      </w:tblPr>
      <w:tblGrid>
        <w:gridCol w:w="509"/>
        <w:gridCol w:w="126"/>
        <w:gridCol w:w="1944"/>
        <w:gridCol w:w="303"/>
        <w:gridCol w:w="9"/>
        <w:gridCol w:w="312"/>
        <w:gridCol w:w="989"/>
        <w:gridCol w:w="1561"/>
        <w:gridCol w:w="1159"/>
        <w:gridCol w:w="1161"/>
        <w:gridCol w:w="509"/>
        <w:gridCol w:w="1238"/>
      </w:tblGrid>
      <w:tr w14:paraId="47C9EE37">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216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5244"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062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费用内容</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444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71D6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047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840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年合计</w:t>
            </w:r>
          </w:p>
        </w:tc>
      </w:tr>
      <w:tr w14:paraId="28FBA7AF">
        <w:tblPrEx>
          <w:tblCellMar>
            <w:top w:w="0" w:type="dxa"/>
            <w:left w:w="0" w:type="dxa"/>
            <w:bottom w:w="0" w:type="dxa"/>
            <w:right w:w="0" w:type="dxa"/>
          </w:tblCellMar>
        </w:tblPrEx>
        <w:trPr>
          <w:trHeight w:val="400" w:hRule="atLeast"/>
          <w:jc w:val="center"/>
        </w:trPr>
        <w:tc>
          <w:tcPr>
            <w:tcW w:w="5753" w:type="dxa"/>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566E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一、一年费用总计=人员费用+项目费用+利润+税费</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C235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79E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998F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12 </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972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p>
        </w:tc>
      </w:tr>
      <w:tr w14:paraId="53B6C3E5">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3968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spacing w:val="-11"/>
                <w:kern w:val="0"/>
                <w:sz w:val="21"/>
                <w:szCs w:val="21"/>
                <w:highlight w:val="none"/>
                <w:u w:val="none"/>
                <w:lang w:val="en-US" w:eastAsia="zh-CN" w:bidi="ar"/>
              </w:rPr>
              <w:t>（一）人员费用/27人</w:t>
            </w:r>
            <w:r>
              <w:rPr>
                <w:rFonts w:hint="eastAsia" w:ascii="宋体" w:hAnsi="宋体" w:eastAsia="宋体" w:cs="宋体"/>
                <w:b/>
                <w:bCs/>
                <w:color w:val="auto"/>
                <w:spacing w:val="-11"/>
                <w:kern w:val="2"/>
                <w:sz w:val="21"/>
                <w:szCs w:val="21"/>
                <w:highlight w:val="none"/>
                <w:vertAlign w:val="baseline"/>
                <w:lang w:val="en-US" w:eastAsia="zh-CN" w:bidi="ar-SA"/>
              </w:rPr>
              <w:t>（结算金额按全体人员实际总支出核实确定/缺员超半月以上直接按岗位费用总额扣除）</w:t>
            </w:r>
          </w:p>
        </w:tc>
      </w:tr>
      <w:tr w14:paraId="46CF3905">
        <w:tblPrEx>
          <w:tblCellMar>
            <w:top w:w="0" w:type="dxa"/>
            <w:left w:w="0" w:type="dxa"/>
            <w:bottom w:w="0" w:type="dxa"/>
            <w:right w:w="0" w:type="dxa"/>
          </w:tblCellMar>
        </w:tblPrEx>
        <w:trPr>
          <w:trHeight w:val="509"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B699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872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岗位</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196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人数</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DDA9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工资标准</w:t>
            </w:r>
          </w:p>
        </w:tc>
        <w:tc>
          <w:tcPr>
            <w:tcW w:w="1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122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五险绩效等其他（按工资的30%）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523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月单计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6203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5C78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91D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年合计</w:t>
            </w:r>
          </w:p>
        </w:tc>
      </w:tr>
      <w:tr w14:paraId="4570E084">
        <w:tblPrEx>
          <w:tblCellMar>
            <w:top w:w="0" w:type="dxa"/>
            <w:left w:w="0" w:type="dxa"/>
            <w:bottom w:w="0" w:type="dxa"/>
            <w:right w:w="0" w:type="dxa"/>
          </w:tblCellMar>
        </w:tblPrEx>
        <w:trPr>
          <w:trHeight w:val="400" w:hRule="atLeast"/>
          <w:jc w:val="center"/>
        </w:trPr>
        <w:tc>
          <w:tcPr>
            <w:tcW w:w="2579"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507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合计</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1BEC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27</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6ED85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1"/>
                <w:szCs w:val="21"/>
                <w:highlight w:val="none"/>
                <w:u w:val="none"/>
              </w:rPr>
            </w:pP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B872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F2A0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EE7C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131820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ACA30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4D4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1581840</w:t>
            </w:r>
          </w:p>
        </w:tc>
      </w:tr>
      <w:tr w14:paraId="29DF5DA0">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78D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045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项目经理</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1F0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2E4F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229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C5A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1980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C78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8580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34A4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8580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535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AF9D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102960</w:t>
            </w:r>
          </w:p>
        </w:tc>
      </w:tr>
      <w:tr w14:paraId="4ADA5FE5">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985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9E2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项目主管</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D6C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31BF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62F5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093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A034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7280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700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7280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7BF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FE1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87360</w:t>
            </w:r>
          </w:p>
        </w:tc>
      </w:tr>
      <w:tr w14:paraId="248A455F">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F01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5B83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客服兼管家</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516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3B29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374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5962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8D0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5590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B827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11180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1622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C29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134160</w:t>
            </w:r>
          </w:p>
        </w:tc>
      </w:tr>
      <w:tr w14:paraId="5990F786">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D2E2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118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文员兼人事</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524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3FA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611F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B7B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F50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5590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DFA8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5590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390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E7F8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67080</w:t>
            </w:r>
          </w:p>
        </w:tc>
      </w:tr>
      <w:tr w14:paraId="658AB070">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A5D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5AB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维修</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80D2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98A5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4CC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20B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586A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906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779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30F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156000</w:t>
            </w:r>
          </w:p>
        </w:tc>
      </w:tr>
      <w:tr w14:paraId="6A001171">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089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5547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安保队长</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A6CE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F05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FA0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82CF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1350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BA7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5850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449A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5850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5477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5F0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70200</w:t>
            </w:r>
          </w:p>
        </w:tc>
      </w:tr>
      <w:tr w14:paraId="3FBC34F4">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B269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8914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秩序维护/形象岗</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421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4331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D39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6AA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1140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3CD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4940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2DE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4940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F66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C199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59280</w:t>
            </w:r>
          </w:p>
        </w:tc>
      </w:tr>
      <w:tr w14:paraId="1AC0C310">
        <w:tblPrEx>
          <w:tblCellMar>
            <w:top w:w="0" w:type="dxa"/>
            <w:left w:w="0" w:type="dxa"/>
            <w:bottom w:w="0" w:type="dxa"/>
            <w:right w:w="0" w:type="dxa"/>
          </w:tblCellMar>
        </w:tblPrEx>
        <w:trPr>
          <w:trHeight w:val="501"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6A3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0526B2">
            <w:pPr>
              <w:pStyle w:val="13"/>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秩序维护/普通岗（监控岗2人/普通4人/巡逻岗1人）</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BA3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B3B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1E6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AB6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1050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2EA3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4550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48F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31850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E9E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AE1E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382200</w:t>
            </w:r>
          </w:p>
        </w:tc>
      </w:tr>
      <w:tr w14:paraId="256A9DBC">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A51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557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保洁班长</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942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43D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B0D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53D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1050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B50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4550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118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4550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EB01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373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54600</w:t>
            </w:r>
          </w:p>
        </w:tc>
      </w:tr>
      <w:tr w14:paraId="634FCD96">
        <w:tblPrEx>
          <w:tblCellMar>
            <w:top w:w="0" w:type="dxa"/>
            <w:left w:w="0" w:type="dxa"/>
            <w:bottom w:w="0" w:type="dxa"/>
            <w:right w:w="0" w:type="dxa"/>
          </w:tblCellMar>
        </w:tblPrEx>
        <w:trPr>
          <w:trHeight w:val="387"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D17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65F27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r>
              <w:rPr>
                <w:rFonts w:hint="eastAsia" w:ascii="宋体" w:hAnsi="宋体" w:eastAsia="宋体" w:cs="宋体"/>
                <w:sz w:val="21"/>
                <w:szCs w:val="21"/>
                <w:highlight w:val="none"/>
                <w:lang w:val="en-US" w:eastAsia="zh-CN"/>
              </w:rPr>
              <w:t>保洁（含绿化1人）（单身4人/白领3人/会所1人/路面2人）</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CB1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E437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3818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7A1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900</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FD0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3900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E7A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39000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F843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E70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468000</w:t>
            </w:r>
          </w:p>
        </w:tc>
      </w:tr>
      <w:tr w14:paraId="01D21D89">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C002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（二）项目费用/7项</w:t>
            </w:r>
          </w:p>
        </w:tc>
      </w:tr>
      <w:tr w14:paraId="2AA1E139">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0DF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653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项目内容</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8B5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月数量</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1EB8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月均费用</w:t>
            </w:r>
          </w:p>
        </w:tc>
        <w:tc>
          <w:tcPr>
            <w:tcW w:w="1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08B6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A26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月小计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5B2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A966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EAE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年合计</w:t>
            </w:r>
          </w:p>
        </w:tc>
      </w:tr>
      <w:tr w14:paraId="31F1B68B">
        <w:tblPrEx>
          <w:tblCellMar>
            <w:top w:w="0" w:type="dxa"/>
            <w:left w:w="0" w:type="dxa"/>
            <w:bottom w:w="0" w:type="dxa"/>
            <w:right w:w="0" w:type="dxa"/>
          </w:tblCellMar>
        </w:tblPrEx>
        <w:trPr>
          <w:trHeight w:val="400" w:hRule="atLeast"/>
          <w:jc w:val="center"/>
        </w:trPr>
        <w:tc>
          <w:tcPr>
            <w:tcW w:w="2579"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8B43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合计</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EE79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 xml:space="preserve"> </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64D4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rPr>
            </w:pP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0001D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238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5CFF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28400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8D0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71CE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340800</w:t>
            </w:r>
          </w:p>
        </w:tc>
      </w:tr>
      <w:tr w14:paraId="7A838063">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7EB2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CF83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电梯维保</w:t>
            </w:r>
          </w:p>
          <w:p w14:paraId="10C976D5">
            <w:pPr>
              <w:pStyle w:val="13"/>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i w:val="0"/>
                <w:color w:val="auto"/>
                <w:kern w:val="0"/>
                <w:sz w:val="21"/>
                <w:szCs w:val="21"/>
                <w:highlight w:val="none"/>
                <w:u w:val="none"/>
                <w:lang w:val="en-US" w:eastAsia="zh-CN" w:bidi="ar"/>
              </w:rPr>
              <w:t>（单身12/白领10）</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81B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22</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ED9D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部</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42C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21B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1DA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302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8800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3A2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C657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105600</w:t>
            </w:r>
          </w:p>
        </w:tc>
      </w:tr>
      <w:tr w14:paraId="0EEA77C4">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53A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3DA1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消防维保</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AC57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72E6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A87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857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CF4E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477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BC0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C512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36000</w:t>
            </w:r>
          </w:p>
        </w:tc>
      </w:tr>
      <w:tr w14:paraId="5F49A127">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84B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BDC1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绿化养护</w:t>
            </w:r>
          </w:p>
          <w:p w14:paraId="5296B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（约0.9万m²）</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FAD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428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6A14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7B72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AB1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738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0C4D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28A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30000</w:t>
            </w:r>
          </w:p>
        </w:tc>
      </w:tr>
      <w:tr w14:paraId="60B1C8E3">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080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B63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零星维修/智能维保</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2B6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27FE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527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EB8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3303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7DB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A9EB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7D2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96000</w:t>
            </w:r>
          </w:p>
        </w:tc>
      </w:tr>
      <w:tr w14:paraId="469D475E">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A546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AF5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垃圾清运</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FAB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531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E51F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7FB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219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7F3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523F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AEE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36000</w:t>
            </w:r>
          </w:p>
        </w:tc>
      </w:tr>
      <w:tr w14:paraId="6946586D">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C3EF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48D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公众责任保险</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DD30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8A3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次</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EEC3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5B24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A99B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CBAD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E0D8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9992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19200</w:t>
            </w:r>
          </w:p>
        </w:tc>
      </w:tr>
      <w:tr w14:paraId="25EA6282">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719E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5DA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行政办公</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C33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72D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次</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1DA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1500</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CB89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438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1500</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77B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1500</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7CF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DA3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18000</w:t>
            </w:r>
          </w:p>
        </w:tc>
      </w:tr>
      <w:tr w14:paraId="0383DA42">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4F58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w:t>
            </w:r>
            <w:r>
              <w:rPr>
                <w:rFonts w:hint="eastAsia" w:ascii="宋体" w:hAnsi="宋体" w:eastAsia="宋体" w:cs="宋体"/>
                <w:b/>
                <w:bCs/>
                <w:i w:val="0"/>
                <w:iCs w:val="0"/>
                <w:color w:val="000000"/>
                <w:kern w:val="0"/>
                <w:sz w:val="21"/>
                <w:szCs w:val="21"/>
                <w:highlight w:val="none"/>
                <w:u w:val="none"/>
                <w:lang w:val="en-US" w:eastAsia="zh-CN" w:bidi="ar"/>
              </w:rPr>
              <w:t>利润=（当季实际人员费用+当季实际项目费用）*占比8%（以投标费率为准）*考核分值比例</w:t>
            </w:r>
          </w:p>
        </w:tc>
      </w:tr>
      <w:tr w14:paraId="534D1E14">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8B4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7BA7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项目内容</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5325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月数量</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656A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月均费用</w:t>
            </w:r>
          </w:p>
        </w:tc>
        <w:tc>
          <w:tcPr>
            <w:tcW w:w="1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14E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占比(报价上限)</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763A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595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66E5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A8F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年合计</w:t>
            </w:r>
          </w:p>
        </w:tc>
      </w:tr>
      <w:tr w14:paraId="25D93C51">
        <w:tblPrEx>
          <w:tblCellMar>
            <w:top w:w="0" w:type="dxa"/>
            <w:left w:w="0" w:type="dxa"/>
            <w:bottom w:w="0" w:type="dxa"/>
            <w:right w:w="0" w:type="dxa"/>
          </w:tblCellMar>
        </w:tblPrEx>
        <w:trPr>
          <w:trHeight w:val="40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799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41F4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综合利润</w:t>
            </w:r>
          </w:p>
        </w:tc>
        <w:tc>
          <w:tcPr>
            <w:tcW w:w="3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934C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2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DB3A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434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628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BF2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D3E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 xml:space="preserve"> </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2FF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559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 </w:t>
            </w:r>
          </w:p>
        </w:tc>
      </w:tr>
      <w:tr w14:paraId="38413C8D">
        <w:tblPrEx>
          <w:tblCellMar>
            <w:top w:w="0" w:type="dxa"/>
            <w:left w:w="0" w:type="dxa"/>
            <w:bottom w:w="0" w:type="dxa"/>
            <w:right w:w="0" w:type="dxa"/>
          </w:tblCellMar>
        </w:tblPrEx>
        <w:trPr>
          <w:trHeight w:val="400" w:hRule="atLeast"/>
          <w:jc w:val="center"/>
        </w:trPr>
        <w:tc>
          <w:tcPr>
            <w:tcW w:w="9820"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16A8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（四）税费=（人员费用+项目费用+利润）*实际开票税率(暂定)</w:t>
            </w:r>
          </w:p>
        </w:tc>
      </w:tr>
      <w:tr w14:paraId="4ADC4241">
        <w:tblPrEx>
          <w:tblCellMar>
            <w:top w:w="0" w:type="dxa"/>
            <w:left w:w="0" w:type="dxa"/>
            <w:bottom w:w="0" w:type="dxa"/>
            <w:right w:w="0" w:type="dxa"/>
          </w:tblCellMar>
        </w:tblPrEx>
        <w:trPr>
          <w:trHeight w:val="400" w:hRule="atLeast"/>
          <w:jc w:val="center"/>
        </w:trPr>
        <w:tc>
          <w:tcPr>
            <w:tcW w:w="63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C05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F8EB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项目内容</w:t>
            </w:r>
          </w:p>
        </w:tc>
        <w:tc>
          <w:tcPr>
            <w:tcW w:w="62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083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月数量</w:t>
            </w:r>
          </w:p>
        </w:tc>
        <w:tc>
          <w:tcPr>
            <w:tcW w:w="9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E0FA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月均费用</w:t>
            </w: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B50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税率(暂定)</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E56E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月计</w:t>
            </w: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00DA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月合计</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955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月数</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636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年合计</w:t>
            </w:r>
          </w:p>
        </w:tc>
      </w:tr>
      <w:tr w14:paraId="0B8BA91A">
        <w:tblPrEx>
          <w:tblCellMar>
            <w:top w:w="0" w:type="dxa"/>
            <w:left w:w="0" w:type="dxa"/>
            <w:bottom w:w="0" w:type="dxa"/>
            <w:right w:w="0" w:type="dxa"/>
          </w:tblCellMar>
        </w:tblPrEx>
        <w:trPr>
          <w:trHeight w:val="400" w:hRule="atLeast"/>
          <w:jc w:val="center"/>
        </w:trPr>
        <w:tc>
          <w:tcPr>
            <w:tcW w:w="63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D251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2E44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开票税费</w:t>
            </w:r>
          </w:p>
        </w:tc>
        <w:tc>
          <w:tcPr>
            <w:tcW w:w="31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63AB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61B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098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highlight w:val="none"/>
                <w:lang w:val="en-US"/>
              </w:rPr>
            </w:pPr>
          </w:p>
        </w:tc>
        <w:tc>
          <w:tcPr>
            <w:tcW w:w="15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035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2337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lang w:val="en-US"/>
              </w:rPr>
            </w:pPr>
          </w:p>
        </w:tc>
        <w:tc>
          <w:tcPr>
            <w:tcW w:w="11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74D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618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E65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 xml:space="preserve"> </w:t>
            </w:r>
          </w:p>
        </w:tc>
      </w:tr>
    </w:tbl>
    <w:p w14:paraId="7C288AB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注：1.报价保留两位小数点，第三位四舍五入。</w:t>
      </w:r>
    </w:p>
    <w:p w14:paraId="192BD3F2">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2.所有投标只能选择一种方案，单价和合价的报价只能是唯一。</w:t>
      </w:r>
    </w:p>
    <w:p w14:paraId="218654E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3.本项目投标最高限价：2201038.30元/年，6603114.90元/三年；项目企业利润为153811.20元/年（461433.60元/三年）是按（人员费用+项目费用）*占比8%，利润属于可调整报价费用，按%占比进行调整报价；根据本项目服务需求表中人员费用、项目费用、税费为固定费用，属于报价部分但不作为可调整价格（中标人每月根据物业企业经营实际发生已支付后到招标人处进行报销，按照安徽省物业管理条例第67条相关规定要求除企业利润外其他费用独立建账，专项用于项目专项支出，根据招标人需求公布收支使用情况并接受招标人监督。）投标报价高于（不含等于）最高限价的，按无效投标处理。如投标人在分项报价中，将不可调整部分进行调整，则按无效标处理。</w:t>
      </w:r>
    </w:p>
    <w:p w14:paraId="1AD7EB0E">
      <w:pPr>
        <w:pStyle w:val="13"/>
        <w:rPr>
          <w:rFonts w:hint="eastAsia"/>
          <w:color w:val="auto"/>
          <w:highlight w:val="none"/>
        </w:rPr>
      </w:pPr>
    </w:p>
    <w:p w14:paraId="487B8E8E">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DF647D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1A6D63B8">
      <w:pPr>
        <w:pStyle w:val="13"/>
        <w:keepNext w:val="0"/>
        <w:keepLines w:val="0"/>
        <w:pageBreakBefore w:val="0"/>
        <w:widowControl w:val="0"/>
        <w:kinsoku/>
        <w:wordWrap/>
        <w:overflowPunct/>
        <w:topLinePunct w:val="0"/>
        <w:autoSpaceDE/>
        <w:autoSpaceDN/>
        <w:bidi w:val="0"/>
        <w:adjustRightInd/>
        <w:snapToGrid/>
        <w:spacing w:after="0" w:afterLines="0" w:line="500" w:lineRule="exact"/>
        <w:ind w:firstLine="2880" w:firstLineChars="1200"/>
        <w:jc w:val="both"/>
        <w:textAlignment w:val="auto"/>
        <w:rPr>
          <w:rFonts w:hint="eastAsia"/>
          <w:color w:val="auto"/>
          <w:highlight w:val="none"/>
          <w:u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 xml:space="preserve"> </w:t>
      </w:r>
    </w:p>
    <w:p w14:paraId="52DBC033">
      <w:pPr>
        <w:rPr>
          <w:rFonts w:hint="eastAsia"/>
          <w:color w:val="auto"/>
          <w:highlight w:val="none"/>
        </w:rPr>
      </w:pPr>
    </w:p>
    <w:p w14:paraId="001A1DF9">
      <w:pPr>
        <w:rPr>
          <w:rFonts w:hint="eastAsia" w:ascii="宋体" w:hAnsi="宋体"/>
          <w:b/>
          <w:color w:val="auto"/>
          <w:sz w:val="30"/>
          <w:szCs w:val="30"/>
          <w:highlight w:val="none"/>
        </w:rPr>
      </w:pPr>
    </w:p>
    <w:p w14:paraId="65E471B0">
      <w:pPr>
        <w:outlineLvl w:val="1"/>
        <w:rPr>
          <w:rFonts w:hint="eastAsia" w:eastAsia="宋体"/>
          <w:color w:val="auto"/>
          <w:sz w:val="24"/>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789F09E4">
      <w:pPr>
        <w:spacing w:line="380" w:lineRule="exact"/>
        <w:ind w:firstLine="424" w:firstLineChars="202"/>
        <w:rPr>
          <w:rFonts w:hint="eastAsia" w:ascii="宋体"/>
          <w:color w:val="auto"/>
          <w:szCs w:val="21"/>
          <w:highlight w:val="none"/>
        </w:rPr>
      </w:pPr>
      <w:r>
        <w:rPr>
          <w:rFonts w:hint="eastAsia" w:ascii="宋体"/>
          <w:color w:val="auto"/>
          <w:szCs w:val="21"/>
          <w:highlight w:val="none"/>
        </w:rPr>
        <w:t>投标人认为需要提供的其他材料（如有）</w:t>
      </w:r>
    </w:p>
    <w:p w14:paraId="4138237D">
      <w:pPr>
        <w:spacing w:line="440" w:lineRule="exact"/>
        <w:ind w:firstLine="615"/>
        <w:rPr>
          <w:rFonts w:hint="eastAsia" w:ascii="宋体" w:hAnsi="宋体" w:cs="宋体"/>
          <w:b/>
          <w:color w:val="auto"/>
          <w:szCs w:val="21"/>
          <w:highlight w:val="none"/>
        </w:rPr>
      </w:pPr>
      <w:r>
        <w:rPr>
          <w:rFonts w:hint="eastAsia"/>
          <w:color w:val="auto"/>
          <w:highlight w:val="none"/>
        </w:rPr>
        <w:br w:type="page"/>
      </w:r>
    </w:p>
    <w:p w14:paraId="1861F102">
      <w:pPr>
        <w:pStyle w:val="3"/>
        <w:spacing w:before="200" w:after="200" w:line="600" w:lineRule="exact"/>
        <w:jc w:val="center"/>
        <w:rPr>
          <w:rFonts w:hint="eastAsia" w:ascii="黑体" w:hAnsi="黑体" w:eastAsia="黑体"/>
          <w:color w:val="000000"/>
          <w:sz w:val="28"/>
          <w:szCs w:val="28"/>
          <w:highlight w:val="none"/>
        </w:rPr>
      </w:pPr>
      <w:bookmarkStart w:id="116" w:name="_Toc95223548"/>
      <w:r>
        <w:rPr>
          <w:rFonts w:hint="eastAsia" w:ascii="黑体" w:hAnsi="黑体" w:eastAsia="黑体"/>
          <w:color w:val="000000"/>
          <w:sz w:val="36"/>
          <w:szCs w:val="28"/>
          <w:highlight w:val="none"/>
        </w:rPr>
        <w:t>附件1 关于联合惩戒失信行为加强信用查询管理的通知</w:t>
      </w:r>
      <w:bookmarkEnd w:id="116"/>
    </w:p>
    <w:p w14:paraId="38447D94">
      <w:pPr>
        <w:adjustRightInd w:val="0"/>
        <w:snapToGrid w:val="0"/>
        <w:spacing w:line="560" w:lineRule="exact"/>
        <w:ind w:firstLine="562" w:firstLineChars="200"/>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一、失信行为联合惩戒的范围和查询渠道</w:t>
      </w:r>
    </w:p>
    <w:p w14:paraId="4B2B3AB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在我市公共资源交易活动中对存在下列失信行为的投标人、法定代表人及其项目经理（建造师）实施联合惩戒，禁止参与我市公共资源交易活动。</w:t>
      </w:r>
    </w:p>
    <w:p w14:paraId="54AF5B59">
      <w:pPr>
        <w:adjustRightInd w:val="0"/>
        <w:snapToGrid w:val="0"/>
        <w:spacing w:line="560" w:lineRule="exact"/>
        <w:ind w:firstLine="562" w:firstLineChars="200"/>
        <w:outlineLvl w:val="2"/>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（一）工程建设项目</w:t>
      </w:r>
    </w:p>
    <w:p w14:paraId="6E15E55F">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1、“信用中国”网站（www.creditchina.gov.cn）查询以下失信行为：</w:t>
      </w:r>
    </w:p>
    <w:p w14:paraId="5B6C776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①投标人被人民法院列入失信被执行人的；</w:t>
      </w:r>
    </w:p>
    <w:p w14:paraId="663E74D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②投标人被税务部门列入重大税收违法案件当事人的；</w:t>
      </w:r>
    </w:p>
    <w:p w14:paraId="779F362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③投标人被人力资源社会保障主管部门列入拖欠农民工工资“黑名单”的；</w:t>
      </w:r>
    </w:p>
    <w:p w14:paraId="5D90FCD1">
      <w:pPr>
        <w:adjustRightInd w:val="0"/>
        <w:snapToGrid w:val="0"/>
        <w:spacing w:line="560" w:lineRule="exact"/>
        <w:ind w:firstLine="560" w:firstLineChars="200"/>
        <w:outlineLvl w:val="3"/>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④在“信用中国”网站上披露的仍在公示期的严重失信行为的。</w:t>
      </w:r>
    </w:p>
    <w:p w14:paraId="14FEE40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HYPERLINK "http://www.gsxt.gov.cn）查询"</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www.gsxt.gov.cn）</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查询以下失信行为：</w:t>
      </w:r>
    </w:p>
    <w:p w14:paraId="4EDE4345">
      <w:pPr>
        <w:adjustRightInd w:val="0"/>
        <w:snapToGrid w:val="0"/>
        <w:spacing w:line="560" w:lineRule="exact"/>
        <w:ind w:firstLine="560" w:firstLineChars="200"/>
        <w:outlineLvl w:val="3"/>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①被市场监督管理部门列入经营异常名录或者严重违法企业名单的。</w:t>
      </w:r>
    </w:p>
    <w:p w14:paraId="7C0F39C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3、滁州市公共资源交易中心网站（http://ggzy.chuzhou.gov.cn/）查询以下失信行为：</w:t>
      </w:r>
    </w:p>
    <w:p w14:paraId="0714D71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被滁州市县两级公管部门取消在一定期限内的投标资格且在取消期限内的。</w:t>
      </w:r>
    </w:p>
    <w:p w14:paraId="037CBE74">
      <w:pPr>
        <w:adjustRightInd w:val="0"/>
        <w:snapToGrid w:val="0"/>
        <w:spacing w:line="560" w:lineRule="exact"/>
        <w:ind w:firstLine="560" w:firstLineChars="200"/>
        <w:outlineLvl w:val="4"/>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3E13CE2D">
      <w:pPr>
        <w:adjustRightInd w:val="0"/>
        <w:snapToGrid w:val="0"/>
        <w:spacing w:line="560" w:lineRule="exact"/>
        <w:ind w:firstLine="560" w:firstLineChars="200"/>
        <w:outlineLvl w:val="3"/>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p>
    <w:p w14:paraId="68C7F93E">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②被滁州市县两级各行业主管部门取消在一定期限内的投标资格且在取消期限内的；</w:t>
      </w:r>
    </w:p>
    <w:p w14:paraId="75E56B8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③因拖欠农民工工资被县级及以上有关行政主管部门限制投标资格且在限制期限内的；</w:t>
      </w:r>
    </w:p>
    <w:p w14:paraId="25E8AD18">
      <w:pPr>
        <w:adjustRightInd w:val="0"/>
        <w:snapToGrid w:val="0"/>
        <w:spacing w:line="560" w:lineRule="exact"/>
        <w:ind w:firstLine="560" w:firstLineChars="200"/>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sz w:val="28"/>
          <w:szCs w:val="28"/>
          <w:highlight w:val="none"/>
        </w:rPr>
        <w:t>④</w:t>
      </w:r>
      <w:r>
        <w:rPr>
          <w:rFonts w:hint="eastAsia" w:ascii="仿宋_GB2312" w:hAnsi="宋体" w:eastAsia="仿宋_GB2312"/>
          <w:color w:val="000000"/>
          <w:sz w:val="28"/>
          <w:szCs w:val="28"/>
          <w:highlight w:val="none"/>
          <w:lang w:eastAsia="zh-CN"/>
        </w:rPr>
        <w:t>被列入省级、市级农民工工资支付异常名录的施工企业，限制其参加全市范围内项目投标；列入县级异常名录的施工企业，限制其参加本行政区域内项目投标。</w:t>
      </w:r>
    </w:p>
    <w:p w14:paraId="2DED26B8">
      <w:pPr>
        <w:adjustRightInd w:val="0"/>
        <w:snapToGrid w:val="0"/>
        <w:spacing w:line="560" w:lineRule="exact"/>
        <w:ind w:firstLine="562" w:firstLineChars="200"/>
        <w:outlineLvl w:val="2"/>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（二）政府采购项目</w:t>
      </w:r>
    </w:p>
    <w:p w14:paraId="4690916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1、“信用中国”网站（www.creditchina.gov.cn）查询以下失信行为：</w:t>
      </w:r>
    </w:p>
    <w:p w14:paraId="3B67838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①投标人被人民法院列入失信被执行人的；</w:t>
      </w:r>
    </w:p>
    <w:p w14:paraId="14CDD64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②投标人被税务部门列入重大税收违法案件当事人的；</w:t>
      </w:r>
    </w:p>
    <w:p w14:paraId="453C6B1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③在“信用中国”网站上披露的仍在公示期的严重失信行为的。</w:t>
      </w:r>
    </w:p>
    <w:p w14:paraId="36E9FB04">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HYPERLINK "http://www.gsxt.gov.cn）查询"</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www.gsxt.gov.cn）</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查询以下失信行为：</w:t>
      </w:r>
    </w:p>
    <w:p w14:paraId="5F4B3619">
      <w:pPr>
        <w:adjustRightInd w:val="0"/>
        <w:snapToGrid w:val="0"/>
        <w:spacing w:line="560" w:lineRule="exact"/>
        <w:ind w:firstLine="560" w:firstLineChars="200"/>
        <w:outlineLvl w:val="3"/>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①被市场监督管理部门列入经营异常名录或者严重违法企业名单的。</w:t>
      </w:r>
    </w:p>
    <w:p w14:paraId="1F2D9FD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3、中国政府采购网站（</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"http://www.ccgp.gov.cn" </w:instrText>
      </w:r>
      <w:r>
        <w:rPr>
          <w:rFonts w:hint="eastAsia" w:ascii="仿宋_GB2312" w:hAnsi="宋体" w:eastAsia="仿宋_GB2312"/>
          <w:color w:val="000000"/>
          <w:sz w:val="28"/>
          <w:szCs w:val="28"/>
          <w:highlight w:val="none"/>
        </w:rPr>
        <w:fldChar w:fldCharType="separate"/>
      </w:r>
      <w:r>
        <w:rPr>
          <w:rStyle w:val="48"/>
          <w:rFonts w:hint="eastAsia" w:ascii="仿宋_GB2312" w:hAnsi="宋体" w:eastAsia="仿宋_GB2312"/>
          <w:color w:val="000000"/>
          <w:sz w:val="28"/>
          <w:szCs w:val="28"/>
          <w:highlight w:val="none"/>
        </w:rPr>
        <w:t>www.ccgp.gov.cn</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）查询以下失信行为：</w:t>
      </w:r>
    </w:p>
    <w:p w14:paraId="43D3A6E6">
      <w:pPr>
        <w:adjustRightInd w:val="0"/>
        <w:snapToGrid w:val="0"/>
        <w:spacing w:line="560" w:lineRule="exact"/>
        <w:ind w:firstLine="560" w:firstLineChars="200"/>
        <w:outlineLvl w:val="3"/>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政府采购严重违法失信行为</w:t>
      </w:r>
    </w:p>
    <w:p w14:paraId="70306ACF">
      <w:pPr>
        <w:adjustRightInd w:val="0"/>
        <w:snapToGrid w:val="0"/>
        <w:spacing w:line="560" w:lineRule="exact"/>
        <w:ind w:firstLine="560" w:firstLineChars="200"/>
        <w:outlineLvl w:val="4"/>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401240FC">
      <w:pPr>
        <w:adjustRightInd w:val="0"/>
        <w:snapToGrid w:val="0"/>
        <w:spacing w:line="560" w:lineRule="exact"/>
        <w:ind w:firstLine="560" w:firstLineChars="200"/>
        <w:outlineLvl w:val="3"/>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r>
        <w:rPr>
          <w:rFonts w:hint="eastAsia" w:ascii="仿宋_GB2312" w:hAnsi="宋体" w:eastAsia="仿宋_GB2312"/>
          <w:color w:val="000000"/>
          <w:sz w:val="28"/>
          <w:szCs w:val="28"/>
          <w:highlight w:val="none"/>
        </w:rPr>
        <w:t>。</w:t>
      </w:r>
    </w:p>
    <w:p w14:paraId="3838AC83">
      <w:pPr>
        <w:adjustRightInd w:val="0"/>
        <w:snapToGrid w:val="0"/>
        <w:spacing w:line="560" w:lineRule="exact"/>
        <w:ind w:firstLine="562" w:firstLineChars="200"/>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二、在开评标活动中的查询程序</w:t>
      </w:r>
    </w:p>
    <w:p w14:paraId="3D2E8A5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1277991E">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02BBC0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3、项目单位及其委托的代理机构应当做好信用查询结果截图和记录留存。</w:t>
      </w:r>
    </w:p>
    <w:p w14:paraId="724E9025">
      <w:pPr>
        <w:adjustRightInd w:val="0"/>
        <w:snapToGrid w:val="0"/>
        <w:spacing w:line="560" w:lineRule="exact"/>
        <w:ind w:firstLine="562" w:firstLineChars="200"/>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三、相关要求</w:t>
      </w:r>
    </w:p>
    <w:p w14:paraId="654D938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53510DE">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7DB1F14">
      <w:pPr>
        <w:wordWrap w:val="0"/>
        <w:adjustRightInd w:val="0"/>
        <w:snapToGrid w:val="0"/>
        <w:spacing w:line="560" w:lineRule="exact"/>
        <w:ind w:firstLine="560" w:firstLineChars="200"/>
        <w:rPr>
          <w:rFonts w:hint="eastAsia"/>
          <w:color w:val="000000"/>
          <w:highlight w:val="none"/>
        </w:rPr>
      </w:pPr>
      <w:r>
        <w:rPr>
          <w:rFonts w:hint="eastAsia" w:ascii="仿宋_GB2312" w:hAnsi="宋体" w:eastAsia="仿宋_GB2312"/>
          <w:color w:val="000000"/>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ascii="仿宋_GB2312" w:hAnsi="宋体" w:eastAsia="仿宋_GB2312"/>
          <w:color w:val="000000"/>
          <w:sz w:val="28"/>
          <w:szCs w:val="28"/>
          <w:highlight w:val="none"/>
        </w:rPr>
        <w:fldChar w:fldCharType="begin"/>
      </w:r>
      <w:r>
        <w:rPr>
          <w:rFonts w:ascii="仿宋_GB2312" w:hAnsi="宋体" w:eastAsia="仿宋_GB2312"/>
          <w:color w:val="000000"/>
          <w:sz w:val="28"/>
          <w:szCs w:val="28"/>
          <w:highlight w:val="none"/>
        </w:rPr>
        <w:instrText xml:space="preserve"> HYPERLINK "</w:instrText>
      </w:r>
      <w:r>
        <w:rPr>
          <w:rFonts w:hint="eastAsia" w:ascii="仿宋_GB2312" w:hAnsi="宋体" w:eastAsia="仿宋_GB2312"/>
          <w:color w:val="000000"/>
          <w:sz w:val="28"/>
          <w:szCs w:val="28"/>
          <w:highlight w:val="none"/>
        </w:rPr>
        <w:instrText xml:space="preserve">https://credit.ah.gov.cn/xinyong-fuwu/xvbahv/index.html</w:instrText>
      </w:r>
      <w:r>
        <w:rPr>
          <w:rFonts w:ascii="仿宋_GB2312" w:hAnsi="宋体" w:eastAsia="仿宋_GB2312"/>
          <w:color w:val="000000"/>
          <w:sz w:val="28"/>
          <w:szCs w:val="28"/>
          <w:highlight w:val="none"/>
        </w:rPr>
        <w:instrText xml:space="preserve">" </w:instrText>
      </w:r>
      <w:r>
        <w:rPr>
          <w:rFonts w:ascii="仿宋_GB2312" w:hAnsi="宋体" w:eastAsia="仿宋_GB2312"/>
          <w:color w:val="000000"/>
          <w:sz w:val="28"/>
          <w:szCs w:val="28"/>
          <w:highlight w:val="none"/>
        </w:rPr>
        <w:fldChar w:fldCharType="separate"/>
      </w:r>
      <w:r>
        <w:rPr>
          <w:rStyle w:val="48"/>
          <w:rFonts w:hint="eastAsia" w:ascii="仿宋_GB2312" w:hAnsi="宋体" w:eastAsia="仿宋_GB2312"/>
          <w:color w:val="000000"/>
          <w:sz w:val="28"/>
          <w:szCs w:val="28"/>
          <w:highlight w:val="none"/>
        </w:rPr>
        <w:t>https://credit.ah.gov.cn/xinyong-fuwu/xvbahv/index.html</w:t>
      </w:r>
      <w:r>
        <w:rPr>
          <w:rFonts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3DE5A23">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2、“信用中国”查询的严重失信行为判定依据为各行业主管部门下发的联合惩戒文件中规定的行为（按附件2执行）。</w:t>
      </w:r>
    </w:p>
    <w:p w14:paraId="2549271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3、资格预审的项目以递交资格预审申请文件截止时间查询为准；资格后审的项目以递交投标文件截止时间查询为准。</w:t>
      </w:r>
    </w:p>
    <w:p w14:paraId="204CBBEE">
      <w:pPr>
        <w:adjustRightInd w:val="0"/>
        <w:snapToGrid w:val="0"/>
        <w:spacing w:line="560" w:lineRule="exact"/>
        <w:rPr>
          <w:rFonts w:hint="eastAsia"/>
          <w:color w:val="000000"/>
          <w:highlight w:val="none"/>
        </w:rPr>
      </w:pPr>
    </w:p>
    <w:p w14:paraId="3F009509">
      <w:pPr>
        <w:pStyle w:val="13"/>
        <w:rPr>
          <w:rFonts w:hint="eastAsia"/>
          <w:color w:val="000000"/>
          <w:highlight w:val="none"/>
        </w:rPr>
      </w:pPr>
    </w:p>
    <w:p w14:paraId="7D38CBFC">
      <w:pPr>
        <w:rPr>
          <w:rFonts w:hint="eastAsia"/>
          <w:color w:val="000000"/>
          <w:highlight w:val="none"/>
        </w:rPr>
      </w:pPr>
    </w:p>
    <w:p w14:paraId="34D221F4">
      <w:pPr>
        <w:pStyle w:val="13"/>
        <w:ind w:left="0" w:leftChars="0" w:firstLine="0" w:firstLineChars="0"/>
        <w:rPr>
          <w:rFonts w:hint="eastAsia"/>
          <w:color w:val="000000"/>
          <w:highlight w:val="none"/>
        </w:rPr>
      </w:pPr>
    </w:p>
    <w:p w14:paraId="7978DE29">
      <w:pPr>
        <w:rPr>
          <w:rFonts w:hint="eastAsia"/>
          <w:color w:val="000000"/>
          <w:highlight w:val="none"/>
        </w:rPr>
      </w:pPr>
    </w:p>
    <w:p w14:paraId="58BADA69">
      <w:pPr>
        <w:pStyle w:val="13"/>
        <w:rPr>
          <w:rFonts w:hint="eastAsia"/>
          <w:color w:val="000000"/>
          <w:highlight w:val="none"/>
        </w:rPr>
      </w:pPr>
    </w:p>
    <w:p w14:paraId="17BD2A22">
      <w:pPr>
        <w:rPr>
          <w:rFonts w:hint="eastAsia"/>
          <w:color w:val="000000"/>
          <w:highlight w:val="none"/>
        </w:rPr>
      </w:pPr>
    </w:p>
    <w:p w14:paraId="7B640E25">
      <w:pPr>
        <w:pStyle w:val="13"/>
        <w:rPr>
          <w:rFonts w:hint="eastAsia"/>
          <w:color w:val="000000"/>
          <w:highlight w:val="none"/>
        </w:rPr>
      </w:pPr>
    </w:p>
    <w:p w14:paraId="1583F24B">
      <w:pPr>
        <w:rPr>
          <w:rFonts w:hint="eastAsia"/>
          <w:color w:val="000000"/>
          <w:highlight w:val="none"/>
        </w:rPr>
      </w:pPr>
    </w:p>
    <w:p w14:paraId="7B6C9D4D">
      <w:pPr>
        <w:pStyle w:val="13"/>
        <w:rPr>
          <w:rFonts w:hint="eastAsia"/>
          <w:color w:val="000000"/>
          <w:highlight w:val="none"/>
        </w:rPr>
      </w:pPr>
    </w:p>
    <w:p w14:paraId="335E9F4C">
      <w:pPr>
        <w:rPr>
          <w:rFonts w:hint="eastAsia"/>
          <w:color w:val="000000"/>
          <w:highlight w:val="none"/>
        </w:rPr>
      </w:pPr>
    </w:p>
    <w:p w14:paraId="7B1ACED1">
      <w:pPr>
        <w:pStyle w:val="13"/>
        <w:ind w:left="0" w:leftChars="0" w:firstLine="0" w:firstLineChars="0"/>
        <w:rPr>
          <w:rFonts w:hint="eastAsia"/>
          <w:color w:val="000000"/>
          <w:highlight w:val="none"/>
        </w:rPr>
      </w:pPr>
    </w:p>
    <w:p w14:paraId="717B3F44">
      <w:pPr>
        <w:rPr>
          <w:rFonts w:hint="eastAsia"/>
          <w:color w:val="000000"/>
          <w:highlight w:val="none"/>
        </w:rPr>
      </w:pPr>
    </w:p>
    <w:p w14:paraId="23CAC32F">
      <w:pPr>
        <w:pStyle w:val="13"/>
        <w:rPr>
          <w:rFonts w:hint="eastAsia"/>
          <w:color w:val="000000"/>
          <w:highlight w:val="none"/>
        </w:rPr>
      </w:pPr>
    </w:p>
    <w:p w14:paraId="0F5C81C4">
      <w:pPr>
        <w:rPr>
          <w:rFonts w:hint="eastAsia"/>
          <w:color w:val="000000"/>
          <w:highlight w:val="none"/>
        </w:rPr>
      </w:pPr>
    </w:p>
    <w:p w14:paraId="30649D9E">
      <w:pPr>
        <w:rPr>
          <w:rFonts w:hint="eastAsia" w:ascii="黑体" w:hAnsi="黑体" w:eastAsia="黑体"/>
          <w:color w:val="000000"/>
          <w:sz w:val="36"/>
          <w:szCs w:val="28"/>
          <w:highlight w:val="none"/>
        </w:rPr>
      </w:pPr>
      <w:bookmarkStart w:id="117" w:name="_Toc95223549"/>
      <w:r>
        <w:rPr>
          <w:rFonts w:hint="eastAsia" w:ascii="黑体" w:hAnsi="黑体" w:eastAsia="黑体"/>
          <w:color w:val="000000"/>
          <w:sz w:val="36"/>
          <w:szCs w:val="28"/>
          <w:highlight w:val="none"/>
        </w:rPr>
        <w:br w:type="page"/>
      </w:r>
    </w:p>
    <w:p w14:paraId="1F78B57C">
      <w:pPr>
        <w:pStyle w:val="3"/>
        <w:spacing w:before="200" w:after="200" w:line="600" w:lineRule="exact"/>
        <w:jc w:val="center"/>
        <w:outlineLvl w:val="2"/>
        <w:rPr>
          <w:rFonts w:hint="eastAsia" w:ascii="黑体" w:hAnsi="黑体" w:eastAsia="黑体"/>
          <w:color w:val="000000"/>
          <w:sz w:val="36"/>
          <w:szCs w:val="28"/>
          <w:highlight w:val="none"/>
        </w:rPr>
      </w:pPr>
      <w:r>
        <w:rPr>
          <w:rFonts w:hint="eastAsia" w:ascii="黑体" w:hAnsi="黑体" w:eastAsia="黑体"/>
          <w:color w:val="000000"/>
          <w:sz w:val="36"/>
          <w:szCs w:val="28"/>
          <w:highlight w:val="none"/>
        </w:rPr>
        <w:t>附件2 “信用中国”查询的严重失信行为类别及判定依据</w:t>
      </w:r>
      <w:bookmarkEnd w:id="117"/>
    </w:p>
    <w:p w14:paraId="3167D14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28"/>
          <w:szCs w:val="28"/>
          <w:highlight w:val="none"/>
        </w:rPr>
        <w:t>信用中国”查询的严重失信行为判定依据为各行业主管部门下发的联合惩戒文件中规定的行为。下面将部分类别的严重失信行为列举如下：</w:t>
      </w:r>
    </w:p>
    <w:p w14:paraId="65C6E74C">
      <w:pPr>
        <w:adjustRightInd w:val="0"/>
        <w:snapToGrid w:val="0"/>
        <w:spacing w:line="560" w:lineRule="exact"/>
        <w:ind w:firstLine="645"/>
        <w:jc w:val="left"/>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一、安全生产领域严重失信行为：</w:t>
      </w:r>
    </w:p>
    <w:p w14:paraId="7F7FC80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（一）发生较大及以上生产安全责任事故，或1年内累计发生3起及以上造成人员死亡的一般生产安全责任事故的；</w:t>
      </w:r>
    </w:p>
    <w:p w14:paraId="136132B4">
      <w:pPr>
        <w:adjustRightInd w:val="0"/>
        <w:snapToGrid w:val="0"/>
        <w:spacing w:line="560" w:lineRule="exact"/>
        <w:ind w:firstLine="645"/>
        <w:jc w:val="left"/>
        <w:outlineLvl w:val="2"/>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（二）未按规定取得安全生产许可，擅自开展生产经营建设活动的；</w:t>
      </w:r>
    </w:p>
    <w:p w14:paraId="7B48DFC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（三）发现重大生产安全事故隐患，或职业病危害严重超标，不及时整改，仍组织从业人员冒险作业的；</w:t>
      </w:r>
    </w:p>
    <w:p w14:paraId="57F2C87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（四）采取隐蔽、欺骗或阻碍等方式逃避、对抗安全监管监察的;</w:t>
      </w:r>
    </w:p>
    <w:p w14:paraId="391BA272">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（五）被责令停产停业整顿，仍然从事生产经营建设活动的；</w:t>
      </w:r>
    </w:p>
    <w:p w14:paraId="0AF3165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（六）瞒报、谎报、迟报生产安全事故的；</w:t>
      </w:r>
    </w:p>
    <w:p w14:paraId="539A7E6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（七）矿山、危险化学品、金属冶炼等高危行业建设项目安全设施未经验收合格即投入生产和使用的；</w:t>
      </w:r>
    </w:p>
    <w:p w14:paraId="483358A6">
      <w:pPr>
        <w:adjustRightInd w:val="0"/>
        <w:snapToGrid w:val="0"/>
        <w:spacing w:line="560" w:lineRule="exact"/>
        <w:ind w:firstLine="645"/>
        <w:jc w:val="left"/>
        <w:outlineLvl w:val="2"/>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（八）矿山生产经营单位存在超层越界开采、以探代采行为的；</w:t>
      </w:r>
    </w:p>
    <w:p w14:paraId="0FEF0A9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（九）发生事故后，故意破坏事故现场，伪造有关证据资料，妨碍、对抗事故调查，或主要负责人逃逸的；</w:t>
      </w:r>
    </w:p>
    <w:p w14:paraId="6086BC9F">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（十）安全生产和职业健康技术服务机构出具虚假报告或证明，违规转让或出借资质的。</w:t>
      </w:r>
    </w:p>
    <w:p w14:paraId="08C345C1">
      <w:pPr>
        <w:adjustRightInd w:val="0"/>
        <w:snapToGrid w:val="0"/>
        <w:spacing w:line="560" w:lineRule="exact"/>
        <w:ind w:firstLine="645"/>
        <w:jc w:val="left"/>
        <w:rPr>
          <w:rFonts w:hint="eastAsia" w:ascii="仿宋_GB2312" w:eastAsia="仿宋_GB2312"/>
          <w:b/>
          <w:color w:val="000000"/>
          <w:sz w:val="28"/>
          <w:szCs w:val="28"/>
          <w:highlight w:val="none"/>
        </w:rPr>
      </w:pPr>
      <w:r>
        <w:rPr>
          <w:rFonts w:hint="eastAsia" w:ascii="仿宋_GB2312" w:hAnsi="宋体" w:eastAsia="仿宋_GB2312"/>
          <w:b/>
          <w:color w:val="000000"/>
          <w:sz w:val="28"/>
          <w:szCs w:val="28"/>
          <w:highlight w:val="none"/>
        </w:rPr>
        <w:t>依据：《对安全生产领域失信行为开展联合惩戒的实施办法》</w:t>
      </w:r>
      <w:r>
        <w:rPr>
          <w:rFonts w:hint="eastAsia" w:ascii="仿宋_GB2312" w:eastAsia="仿宋_GB2312"/>
          <w:b/>
          <w:color w:val="000000"/>
          <w:sz w:val="28"/>
          <w:szCs w:val="28"/>
          <w:highlight w:val="none"/>
        </w:rPr>
        <w:t>（安监总办〔2017〕49号）第二条</w:t>
      </w:r>
    </w:p>
    <w:p w14:paraId="50B06B68">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65934C9D">
      <w:pPr>
        <w:adjustRightInd w:val="0"/>
        <w:snapToGrid w:val="0"/>
        <w:spacing w:line="560" w:lineRule="exact"/>
        <w:ind w:firstLine="645"/>
        <w:jc w:val="left"/>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二、环境保护领域严重失信行为：</w:t>
      </w:r>
    </w:p>
    <w:p w14:paraId="6DB34608">
      <w:pPr>
        <w:adjustRightInd w:val="0"/>
        <w:snapToGrid w:val="0"/>
        <w:spacing w:line="560" w:lineRule="exact"/>
        <w:ind w:firstLine="645"/>
        <w:jc w:val="left"/>
        <w:outlineLvl w:val="2"/>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（一）因为环境违法构成</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"https://baike.sogou.com/m/fullLemma?lid=10403954&amp;g_ut=3"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环境犯罪</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的；</w:t>
      </w:r>
    </w:p>
    <w:p w14:paraId="03EA157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"https://baike.sogou.com/m/fullLemma?lid=76033123&amp;g_ut=3"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建设项目环境影响评价</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文件未按规定通过审批，擅自开工建设的；</w:t>
      </w:r>
    </w:p>
    <w:p w14:paraId="0A3631B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（三）建设项目环保设施未建成、环保措施未落实、未通过</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"https://baike.sogou.com/m/fullLemma?lid=6470550&amp;g_ut=3"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竣工环保验收</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或者验收不合格，主体工程正式投入生产或者使用的；</w:t>
      </w:r>
    </w:p>
    <w:p w14:paraId="4A9E5DD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6A64D373">
      <w:pPr>
        <w:adjustRightInd w:val="0"/>
        <w:snapToGrid w:val="0"/>
        <w:spacing w:line="560" w:lineRule="exact"/>
        <w:ind w:firstLine="645"/>
        <w:jc w:val="left"/>
        <w:outlineLvl w:val="2"/>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（五）主要污染物排放总量超过控制指标的；</w:t>
      </w:r>
    </w:p>
    <w:p w14:paraId="6679E6A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（六）私设暗管或者利用</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"https://baike.sogou.com/m/fullLemma?lid=41657319&amp;g_ut=3"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渗井</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、渗坑、裂隙、溶洞等排放、倾倒、处置水污染物，或者通过私设旁路排放</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"https://baike.sogou.com/m/fullLemma?lid=7758328&amp;g_ut=3"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大气污染物</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的；</w:t>
      </w:r>
    </w:p>
    <w:p w14:paraId="1548B01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（七）非法排放、倾倒、处置危险废物，或者向无</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"https://baike.sogou.com/m/fullLemma?lid=5923292&amp;g_ut=3"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经营许可证</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或者超出经营许可范围的单位或个人提供或者委托其收集、贮存、利用、处置危险废物的；</w:t>
      </w:r>
    </w:p>
    <w:p w14:paraId="04C3496A">
      <w:pPr>
        <w:adjustRightInd w:val="0"/>
        <w:snapToGrid w:val="0"/>
        <w:spacing w:line="560" w:lineRule="exact"/>
        <w:ind w:firstLine="645"/>
        <w:jc w:val="left"/>
        <w:outlineLvl w:val="2"/>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"https://baike.sogou.com/m/fullLemma?lid=167759803&amp;g_ut=3"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环境违法行为</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造成集中式生活饮用水水源取水中断的；</w:t>
      </w:r>
    </w:p>
    <w:p w14:paraId="2E593CC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（九）环境违法行为对生活饮用水水源保护区、自然保护区、</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"https://baike.sogou.com/m/fullLemma?lid=155199213&amp;g_ut=3"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国家重点生态功能区</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、风景名胜区、居住功能区、</w:t>
      </w:r>
      <w:r>
        <w:rPr>
          <w:rFonts w:hint="eastAsia" w:ascii="仿宋_GB2312" w:hAnsi="宋体" w:eastAsia="仿宋_GB2312"/>
          <w:color w:val="000000"/>
          <w:sz w:val="28"/>
          <w:szCs w:val="28"/>
          <w:highlight w:val="none"/>
        </w:rPr>
        <w:fldChar w:fldCharType="begin"/>
      </w:r>
      <w:r>
        <w:rPr>
          <w:rFonts w:hint="eastAsia" w:ascii="仿宋_GB2312" w:hAnsi="宋体" w:eastAsia="仿宋_GB2312"/>
          <w:color w:val="000000"/>
          <w:sz w:val="28"/>
          <w:szCs w:val="28"/>
          <w:highlight w:val="none"/>
        </w:rPr>
        <w:instrText xml:space="preserve"> HYPERLINK "https://baike.sogou.com/m/fullLemma?lid=7757164&amp;g_ut=3" \t "https://baike.sogou.com/m/_blank" </w:instrText>
      </w:r>
      <w:r>
        <w:rPr>
          <w:rFonts w:hint="eastAsia" w:ascii="仿宋_GB2312" w:hAnsi="宋体" w:eastAsia="仿宋_GB2312"/>
          <w:color w:val="000000"/>
          <w:sz w:val="28"/>
          <w:szCs w:val="28"/>
          <w:highlight w:val="none"/>
        </w:rPr>
        <w:fldChar w:fldCharType="separate"/>
      </w:r>
      <w:r>
        <w:rPr>
          <w:rFonts w:hint="eastAsia" w:ascii="仿宋_GB2312" w:hAnsi="宋体" w:eastAsia="仿宋_GB2312"/>
          <w:color w:val="000000"/>
          <w:sz w:val="28"/>
          <w:szCs w:val="28"/>
          <w:highlight w:val="none"/>
        </w:rPr>
        <w:t>基本农田保护区</w:t>
      </w:r>
      <w:r>
        <w:rPr>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等环境敏感区造成重大不利影响的；</w:t>
      </w:r>
    </w:p>
    <w:p w14:paraId="0C0E2DD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（十）违法从事自然资源开发、交通基础设施建设，以及其他开发建设活动，造成严重生态破坏的；</w:t>
      </w:r>
    </w:p>
    <w:p w14:paraId="0441DB8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（十一）发生较大及以上突发环境事件的；</w:t>
      </w:r>
    </w:p>
    <w:p w14:paraId="0F98C9F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（十二）被环保部门挂牌督办，整改逾期未完成的；</w:t>
      </w:r>
    </w:p>
    <w:p w14:paraId="0DEBA27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（十三）以暴力、威胁等方式拒绝、阻挠环保部门工作人员现场检查的；</w:t>
      </w:r>
    </w:p>
    <w:p w14:paraId="27BE56F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（十四）违反重污染天气应急预案有关规定，对重污染天气响应不力的。</w:t>
      </w:r>
    </w:p>
    <w:p w14:paraId="47FA2D13">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依据：《关于对环境保护领域失信生产经营单位及其有关人员开展联合惩戒的合作备忘录》、《企业环境信用评价办法（试行）》（环发〔2013〕150号）</w:t>
      </w:r>
    </w:p>
    <w:p w14:paraId="30E59C90">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66AE9B01">
      <w:pPr>
        <w:adjustRightInd w:val="0"/>
        <w:snapToGrid w:val="0"/>
        <w:spacing w:line="560" w:lineRule="exact"/>
        <w:ind w:firstLine="645"/>
        <w:jc w:val="left"/>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w:t>
      </w:r>
      <w:r>
        <w:rPr>
          <w:rFonts w:hint="eastAsia" w:ascii="仿宋_GB2312" w:hAnsi="宋体" w:eastAsia="仿宋_GB2312"/>
          <w:b/>
          <w:bCs/>
          <w:color w:val="000000"/>
          <w:sz w:val="28"/>
          <w:szCs w:val="28"/>
          <w:highlight w:val="none"/>
        </w:rPr>
        <w:t>公共资源交易领域严重失信行为</w:t>
      </w:r>
    </w:p>
    <w:p w14:paraId="7FA385BE">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（一）违反法律规定，必须进行招标的项目而不招标的，将必须进行招标的项目化整为零或者以其他任何方式规避招标的； </w:t>
      </w:r>
    </w:p>
    <w:p w14:paraId="37DC4D91">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（二）招标代理机构违反法律规定，泄露应当保密的与招标投标活动有关的情况和资料的，或者与招标人、投标人串通损害 国家利益、社会公共利益或者他人合法权益的；</w:t>
      </w:r>
    </w:p>
    <w:p w14:paraId="1B5C5F7C">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（三）招标人以不合理的条件限制或者排斥潜在投标人的，对潜在投标人实行歧视待遇的，强制要求投标人组成联合体共同 投标的，或者限制投标人之间竞争的；</w:t>
      </w:r>
    </w:p>
    <w:p w14:paraId="504F4E5C">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55305C30">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（五）投标人相互串通投标或者与招标人串通投标的，投标人以向招标人或者评标委员会成员行贿的手段谋取中标的； </w:t>
      </w:r>
    </w:p>
    <w:p w14:paraId="42DBCD49">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（六）投标人以他人名义投标或者以其他方式弄虚作假，骗取中标的；</w:t>
      </w:r>
    </w:p>
    <w:p w14:paraId="13BB11C9">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（七）依法必须进行招标的项目，招标人违反法律规定，与投标人就投标价格、投标方案等实质性内容进行谈判的；</w:t>
      </w:r>
    </w:p>
    <w:p w14:paraId="51D70CBF">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A68DC12">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（九）招标人在评标委员会依法推荐的中标候选人以外确定中标人的，依法必须进行招标的项目在所有投标被评标委员会否 决后自行确定中标人的； </w:t>
      </w:r>
    </w:p>
    <w:p w14:paraId="2D0F9280">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1292E4F4">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（十一）招标人与中标人不按照招标文件和中标人的投标文件订立合同的，或者招标人、中标人订立背离合同实质性内容的 协议的； </w:t>
      </w:r>
    </w:p>
    <w:p w14:paraId="5877EFC6">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（十二）中标人不按照与招标人订立的合同履行义务，情节严重的； </w:t>
      </w:r>
    </w:p>
    <w:p w14:paraId="1BE33608">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F8E5967">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94C1BED">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（十五）采购人对应当实行集中采购的政府采购项目，不委托集中采购机构实行集中采购的； </w:t>
      </w:r>
    </w:p>
    <w:p w14:paraId="0D2DCBBB">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（十六）采购人、采购代理机构违反法律规定隐匿、销毁应当保存的采购文件或者伪造、变造采购文件的； </w:t>
      </w:r>
    </w:p>
    <w:p w14:paraId="06AA17CC">
      <w:pPr>
        <w:adjustRightInd w:val="0"/>
        <w:snapToGrid w:val="0"/>
        <w:spacing w:line="560" w:lineRule="exact"/>
        <w:ind w:firstLine="645"/>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0550DCF">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（十八）疫苗生产企业向县级疾病预防控制机构以外的单位或者个人销售第二类疫苗的； </w:t>
      </w:r>
    </w:p>
    <w:p w14:paraId="04EDCCCB">
      <w:pPr>
        <w:adjustRightInd w:val="0"/>
        <w:snapToGrid w:val="0"/>
        <w:spacing w:line="560" w:lineRule="exact"/>
        <w:ind w:left="141" w:leftChars="67" w:firstLine="420" w:firstLineChars="150"/>
        <w:jc w:val="left"/>
        <w:outlineLvl w:val="2"/>
        <w:rPr>
          <w:rFonts w:hint="eastAsia" w:ascii="仿宋_GB2312" w:hAnsi="宋体" w:eastAsia="仿宋_GB2312"/>
          <w:color w:val="000000"/>
          <w:sz w:val="28"/>
          <w:szCs w:val="28"/>
          <w:highlight w:val="none"/>
        </w:rPr>
      </w:pPr>
      <w:r>
        <w:rPr>
          <w:rFonts w:hint="eastAsia" w:ascii="仿宋_GB2312" w:eastAsia="仿宋_GB2312"/>
          <w:color w:val="000000"/>
          <w:sz w:val="28"/>
          <w:szCs w:val="28"/>
          <w:highlight w:val="none"/>
        </w:rPr>
        <w:t>（十九）存在其他违反公共资源交易法律法规行为的。</w:t>
      </w:r>
    </w:p>
    <w:p w14:paraId="62E841D0">
      <w:pPr>
        <w:adjustRightInd w:val="0"/>
        <w:snapToGrid w:val="0"/>
        <w:spacing w:line="560" w:lineRule="exact"/>
        <w:ind w:firstLine="894" w:firstLineChars="318"/>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依据：《关于对公共资源交易领域严重失信主体开展联合惩戒的备忘录》（发改法规〔2018〕457号）</w:t>
      </w:r>
    </w:p>
    <w:p w14:paraId="26ADED48">
      <w:pPr>
        <w:adjustRightInd w:val="0"/>
        <w:snapToGrid w:val="0"/>
        <w:spacing w:line="560" w:lineRule="exact"/>
        <w:ind w:firstLine="645"/>
        <w:jc w:val="left"/>
        <w:rPr>
          <w:rFonts w:hint="eastAsia" w:ascii="仿宋_GB2312" w:hAnsi="宋体" w:eastAsia="仿宋_GB2312"/>
          <w:color w:val="000000"/>
          <w:sz w:val="28"/>
          <w:szCs w:val="28"/>
          <w:highlight w:val="none"/>
        </w:rPr>
      </w:pPr>
    </w:p>
    <w:p w14:paraId="62B95C28">
      <w:pPr>
        <w:adjustRightInd w:val="0"/>
        <w:snapToGrid w:val="0"/>
        <w:spacing w:line="560" w:lineRule="exact"/>
        <w:ind w:firstLine="645"/>
        <w:jc w:val="left"/>
        <w:outlineLvl w:val="1"/>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四、</w:t>
      </w:r>
      <w:r>
        <w:rPr>
          <w:rFonts w:hint="eastAsia" w:ascii="仿宋_GB2312" w:hAnsi="宋体" w:eastAsia="仿宋_GB2312"/>
          <w:b/>
          <w:bCs/>
          <w:color w:val="000000"/>
          <w:sz w:val="28"/>
          <w:szCs w:val="28"/>
          <w:highlight w:val="none"/>
        </w:rPr>
        <w:t>社会保险领域严重失信行为</w:t>
      </w:r>
    </w:p>
    <w:p w14:paraId="5C803090">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（一）用人单位未按相关规定参加社会保险且拒不整改的； </w:t>
      </w:r>
    </w:p>
    <w:p w14:paraId="2A255A0F">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（二）用人单位未如实申报社会保险缴费基数且拒不整改的； </w:t>
      </w:r>
    </w:p>
    <w:p w14:paraId="7238DEF6">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（三）应缴纳社会保险费却拒不缴纳的； </w:t>
      </w:r>
    </w:p>
    <w:p w14:paraId="74331742">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（四）隐匿、转移、侵占、挪用社会保险费款、基金或者违规投资运营的；</w:t>
      </w:r>
    </w:p>
    <w:p w14:paraId="7483C473">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（五）以欺诈、伪造证明材料或者其他手段参加、申报社会保险和骗取社会保险基金支出或社会保险待遇的； </w:t>
      </w:r>
    </w:p>
    <w:p w14:paraId="3995ED7A">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（六）非法获取、出售或变相交易社会保险个人权益数据的； </w:t>
      </w:r>
    </w:p>
    <w:p w14:paraId="0E3BC9CA">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（七）社会保险服务机构违反服务协议或相关规定的； </w:t>
      </w:r>
    </w:p>
    <w:p w14:paraId="14CA5685">
      <w:pPr>
        <w:adjustRightInd w:val="0"/>
        <w:snapToGrid w:val="0"/>
        <w:spacing w:line="560" w:lineRule="exact"/>
        <w:ind w:left="141" w:leftChars="67" w:firstLine="420" w:firstLineChars="15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3A3E27DD">
      <w:pPr>
        <w:adjustRightInd w:val="0"/>
        <w:snapToGrid w:val="0"/>
        <w:spacing w:line="560" w:lineRule="exact"/>
        <w:ind w:left="141" w:leftChars="67" w:firstLine="420" w:firstLineChars="150"/>
        <w:jc w:val="left"/>
        <w:outlineLvl w:val="2"/>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（九）其他违反法律法规规定的。</w:t>
      </w:r>
    </w:p>
    <w:p w14:paraId="0B9C9CEA">
      <w:pPr>
        <w:adjustRightInd w:val="0"/>
        <w:snapToGrid w:val="0"/>
        <w:spacing w:line="560" w:lineRule="exact"/>
        <w:ind w:firstLine="551" w:firstLineChars="196"/>
        <w:jc w:val="left"/>
        <w:rPr>
          <w:rFonts w:hint="eastAsia" w:ascii="仿宋_GB2312" w:eastAsia="仿宋_GB2312"/>
          <w:color w:val="000000"/>
          <w:sz w:val="28"/>
          <w:szCs w:val="28"/>
          <w:highlight w:val="none"/>
        </w:rPr>
      </w:pPr>
      <w:r>
        <w:rPr>
          <w:rFonts w:hint="eastAsia" w:ascii="仿宋_GB2312" w:eastAsia="仿宋_GB2312"/>
          <w:b/>
          <w:color w:val="000000"/>
          <w:sz w:val="28"/>
          <w:szCs w:val="28"/>
          <w:highlight w:val="none"/>
        </w:rPr>
        <w:t>依据：《关于对社会保险领域严重失信企业及其有关人员实施联合惩戒的合作备忘录》（发改财金〔2018〕1704号）</w:t>
      </w:r>
    </w:p>
    <w:p w14:paraId="0787FCAC">
      <w:pPr>
        <w:adjustRightInd w:val="0"/>
        <w:snapToGrid w:val="0"/>
        <w:spacing w:line="56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490BB9B8">
      <w:pPr>
        <w:adjustRightInd w:val="0"/>
        <w:snapToGrid w:val="0"/>
        <w:spacing w:line="560" w:lineRule="exact"/>
        <w:ind w:firstLine="562" w:firstLineChars="200"/>
        <w:jc w:val="left"/>
        <w:outlineLvl w:val="1"/>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五、建筑市场领域</w:t>
      </w:r>
      <w:r>
        <w:rPr>
          <w:rFonts w:hint="eastAsia" w:ascii="仿宋_GB2312" w:hAnsi="宋体" w:eastAsia="仿宋_GB2312"/>
          <w:b/>
          <w:bCs/>
          <w:color w:val="000000"/>
          <w:sz w:val="28"/>
          <w:szCs w:val="28"/>
          <w:highlight w:val="none"/>
        </w:rPr>
        <w:t>严重失信行为</w:t>
      </w:r>
    </w:p>
    <w:p w14:paraId="5E9343D0">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（一）利用虚假材料、以欺骗手段取得企业资质的；</w:t>
      </w:r>
    </w:p>
    <w:p w14:paraId="28FCC8E8">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（二）发生转包、出借资质，受到行政处罚的；</w:t>
      </w:r>
    </w:p>
    <w:p w14:paraId="508AFD82">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3998DAB8">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（四）经法院判决或仲裁机构裁决，认定为拖欠工程款,且拒不履行生效法律文书确定的义务的。</w:t>
      </w:r>
    </w:p>
    <w:p w14:paraId="4A202291">
      <w:pPr>
        <w:adjustRightInd w:val="0"/>
        <w:snapToGrid w:val="0"/>
        <w:spacing w:line="560" w:lineRule="exact"/>
        <w:ind w:firstLine="560" w:firstLineChars="200"/>
        <w:jc w:val="lef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各级住房城乡建设主管部门应当参照建筑市场主体“黑名单”，对被人力资源社会保障行政部门列入拖欠农民工工资“黑名单”的建筑市场各方主体加强监管。</w:t>
      </w:r>
    </w:p>
    <w:p w14:paraId="344EFD46">
      <w:pPr>
        <w:ind w:firstLine="562" w:firstLineChars="200"/>
        <w:jc w:val="left"/>
        <w:rPr>
          <w:rFonts w:hint="eastAsia" w:ascii="宋体" w:hAnsi="宋体"/>
          <w:color w:val="000000"/>
          <w:sz w:val="28"/>
          <w:szCs w:val="28"/>
          <w:highlight w:val="none"/>
        </w:rPr>
      </w:pPr>
      <w:r>
        <w:rPr>
          <w:rFonts w:hint="eastAsia" w:ascii="仿宋_GB2312" w:eastAsia="仿宋_GB2312"/>
          <w:b/>
          <w:color w:val="000000"/>
          <w:sz w:val="28"/>
          <w:szCs w:val="28"/>
          <w:highlight w:val="none"/>
        </w:rPr>
        <w:t>依据：《建筑市场信用管理暂行办法》（建市〔2017〕241号）</w:t>
      </w:r>
    </w:p>
    <w:p w14:paraId="52044DFD">
      <w:pPr>
        <w:adjustRightInd w:val="0"/>
        <w:snapToGrid w:val="0"/>
        <w:spacing w:line="560" w:lineRule="exact"/>
        <w:rPr>
          <w:rFonts w:hint="eastAsia" w:ascii="仿宋_GB2312" w:hAnsi="宋体" w:eastAsia="仿宋_GB2312"/>
          <w:b/>
          <w:color w:val="000000"/>
          <w:sz w:val="28"/>
          <w:szCs w:val="28"/>
          <w:highlight w:val="none"/>
        </w:rPr>
      </w:pPr>
    </w:p>
    <w:p w14:paraId="455C04DC">
      <w:pPr>
        <w:adjustRightInd w:val="0"/>
        <w:snapToGrid w:val="0"/>
        <w:spacing w:line="560" w:lineRule="exact"/>
        <w:ind w:firstLine="562" w:firstLineChars="200"/>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六、政府采购严重失信行为</w:t>
      </w:r>
    </w:p>
    <w:p w14:paraId="6ECA03B3">
      <w:pPr>
        <w:adjustRightInd w:val="0"/>
        <w:snapToGrid w:val="0"/>
        <w:spacing w:line="560" w:lineRule="exact"/>
        <w:ind w:firstLine="615"/>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供应商、采购代理机构在三年内受到财政部门作出下列情形之一的行政处罚，列入政府采购严重违法失信行为记录名单。</w:t>
      </w:r>
      <w:r>
        <w:rPr>
          <w:rFonts w:hint="eastAsia" w:ascii="仿宋_GB2312" w:eastAsia="仿宋_GB2312"/>
          <w:color w:val="000000"/>
          <w:sz w:val="28"/>
          <w:szCs w:val="28"/>
          <w:highlight w:val="none"/>
        </w:rPr>
        <w:br w:type="textWrapping"/>
      </w:r>
      <w:r>
        <w:rPr>
          <w:rFonts w:hint="eastAsia" w:ascii="仿宋_GB2312" w:eastAsia="仿宋_GB2312"/>
          <w:color w:val="000000"/>
          <w:sz w:val="28"/>
          <w:szCs w:val="28"/>
          <w:highlight w:val="none"/>
        </w:rPr>
        <w:t>　　（一）三万元以上罚款；</w:t>
      </w:r>
      <w:r>
        <w:rPr>
          <w:rFonts w:hint="eastAsia" w:ascii="仿宋_GB2312" w:eastAsia="仿宋_GB2312"/>
          <w:color w:val="000000"/>
          <w:sz w:val="28"/>
          <w:szCs w:val="28"/>
          <w:highlight w:val="none"/>
        </w:rPr>
        <w:br w:type="textWrapping"/>
      </w:r>
      <w:r>
        <w:rPr>
          <w:rFonts w:hint="eastAsia" w:ascii="仿宋_GB2312" w:eastAsia="仿宋_GB2312"/>
          <w:color w:val="000000"/>
          <w:sz w:val="28"/>
          <w:szCs w:val="28"/>
          <w:highlight w:val="none"/>
        </w:rPr>
        <w:t>　　（二）在一至三年内禁止参加政府采购活动（处罚期限届满的除外）；</w:t>
      </w:r>
      <w:r>
        <w:rPr>
          <w:rFonts w:hint="eastAsia" w:ascii="仿宋_GB2312" w:eastAsia="仿宋_GB2312"/>
          <w:color w:val="000000"/>
          <w:sz w:val="28"/>
          <w:szCs w:val="28"/>
          <w:highlight w:val="none"/>
        </w:rPr>
        <w:br w:type="textWrapping"/>
      </w:r>
      <w:r>
        <w:rPr>
          <w:rFonts w:hint="eastAsia" w:ascii="仿宋_GB2312" w:eastAsia="仿宋_GB2312"/>
          <w:color w:val="000000"/>
          <w:sz w:val="28"/>
          <w:szCs w:val="28"/>
          <w:highlight w:val="none"/>
        </w:rPr>
        <w:t>　　（三）在一至三年内禁止代理政府采购业务（处罚期限届满的除外）；</w:t>
      </w:r>
      <w:r>
        <w:rPr>
          <w:rFonts w:hint="eastAsia" w:ascii="仿宋_GB2312" w:eastAsia="仿宋_GB2312"/>
          <w:color w:val="000000"/>
          <w:sz w:val="28"/>
          <w:szCs w:val="28"/>
          <w:highlight w:val="none"/>
        </w:rPr>
        <w:br w:type="textWrapping"/>
      </w:r>
      <w:r>
        <w:rPr>
          <w:rFonts w:hint="eastAsia" w:ascii="仿宋_GB2312" w:hAnsi="宋体" w:eastAsia="仿宋_GB2312"/>
          <w:color w:val="000000"/>
          <w:sz w:val="28"/>
          <w:szCs w:val="28"/>
          <w:highlight w:val="none"/>
        </w:rPr>
        <w:t xml:space="preserve">　 </w:t>
      </w:r>
      <w:r>
        <w:rPr>
          <w:rFonts w:hint="eastAsia" w:ascii="仿宋_GB2312" w:eastAsia="仿宋_GB2312"/>
          <w:color w:val="000000"/>
          <w:sz w:val="28"/>
          <w:szCs w:val="28"/>
          <w:highlight w:val="none"/>
        </w:rPr>
        <w:t>（四）撤销政府采购代理机构资格（仅针对《政府采购法》第78条修改前作出的处罚决定）。</w:t>
      </w:r>
    </w:p>
    <w:p w14:paraId="3D2C137B">
      <w:pPr>
        <w:adjustRightInd w:val="0"/>
        <w:snapToGrid w:val="0"/>
        <w:spacing w:line="560" w:lineRule="exact"/>
        <w:ind w:firstLine="562" w:firstLineChars="200"/>
        <w:jc w:val="left"/>
        <w:rPr>
          <w:rFonts w:hint="eastAsia" w:ascii="仿宋_GB2312" w:eastAsia="仿宋_GB2312"/>
          <w:b/>
          <w:color w:val="000000"/>
          <w:sz w:val="28"/>
          <w:szCs w:val="28"/>
          <w:highlight w:val="none"/>
        </w:rPr>
      </w:pPr>
      <w:r>
        <w:rPr>
          <w:rFonts w:hint="eastAsia" w:ascii="仿宋_GB2312" w:eastAsia="仿宋_GB2312"/>
          <w:b/>
          <w:color w:val="000000"/>
          <w:sz w:val="28"/>
          <w:szCs w:val="28"/>
          <w:highlight w:val="none"/>
        </w:rPr>
        <w:t>依据：《关于报送政府采购严重违法失信行为信息记录的通知》</w:t>
      </w:r>
      <w:r>
        <w:rPr>
          <w:b/>
          <w:color w:val="000000"/>
          <w:sz w:val="28"/>
          <w:szCs w:val="28"/>
          <w:highlight w:val="none"/>
        </w:rPr>
        <w:t>（</w:t>
      </w:r>
      <w:r>
        <w:rPr>
          <w:rFonts w:hint="eastAsia"/>
          <w:b/>
          <w:color w:val="000000"/>
          <w:sz w:val="28"/>
          <w:szCs w:val="28"/>
          <w:highlight w:val="none"/>
        </w:rPr>
        <w:t>财办库〔</w:t>
      </w:r>
      <w:r>
        <w:rPr>
          <w:b/>
          <w:color w:val="000000"/>
          <w:sz w:val="28"/>
          <w:szCs w:val="28"/>
          <w:highlight w:val="none"/>
        </w:rPr>
        <w:t>201</w:t>
      </w:r>
      <w:r>
        <w:rPr>
          <w:rFonts w:hint="eastAsia"/>
          <w:b/>
          <w:color w:val="000000"/>
          <w:sz w:val="28"/>
          <w:szCs w:val="28"/>
          <w:highlight w:val="none"/>
        </w:rPr>
        <w:t>4〕526</w:t>
      </w:r>
      <w:r>
        <w:rPr>
          <w:b/>
          <w:color w:val="000000"/>
          <w:sz w:val="28"/>
          <w:szCs w:val="28"/>
          <w:highlight w:val="none"/>
        </w:rPr>
        <w:t>号）</w:t>
      </w:r>
    </w:p>
    <w:p w14:paraId="3C9A2160">
      <w:pPr>
        <w:adjustRightInd w:val="0"/>
        <w:snapToGrid w:val="0"/>
        <w:spacing w:line="560" w:lineRule="exact"/>
        <w:ind w:firstLine="562" w:firstLineChars="200"/>
        <w:rPr>
          <w:rFonts w:hint="eastAsia" w:ascii="仿宋_GB2312" w:hAnsi="宋体" w:eastAsia="仿宋_GB2312"/>
          <w:b/>
          <w:color w:val="000000"/>
          <w:sz w:val="28"/>
          <w:szCs w:val="28"/>
          <w:highlight w:val="none"/>
        </w:rPr>
      </w:pPr>
    </w:p>
    <w:p w14:paraId="4BB9ED39">
      <w:pPr>
        <w:adjustRightInd w:val="0"/>
        <w:snapToGrid w:val="0"/>
        <w:spacing w:line="560" w:lineRule="exact"/>
        <w:ind w:firstLine="562" w:firstLineChars="200"/>
        <w:outlineLvl w:val="1"/>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七、水利建设领域严重失信行为</w:t>
      </w:r>
    </w:p>
    <w:p w14:paraId="61536477">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（一）1年内不良行为记录累计扣分达到20分的；</w:t>
      </w:r>
    </w:p>
    <w:p w14:paraId="71BC4F58">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（二）"重点关注名单"公开期满后仍不整改的；</w:t>
      </w:r>
    </w:p>
    <w:p w14:paraId="751A48C5">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（三）存在以下严重危害人民群众身体健康、生命安全和工程质量，以及特别严重违规行为之一的：</w:t>
      </w:r>
    </w:p>
    <w:p w14:paraId="35BE30C0">
      <w:pPr>
        <w:adjustRightInd w:val="0"/>
        <w:snapToGrid w:val="0"/>
        <w:spacing w:line="560" w:lineRule="exact"/>
        <w:ind w:firstLine="560" w:firstLineChars="200"/>
        <w:outlineLvl w:val="2"/>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1.发生重大、特大质量或安全事故，并负有直接责任的；</w:t>
      </w:r>
    </w:p>
    <w:p w14:paraId="5BC60F6D">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2.在单位公开信息、工程相关技术成果和工程建设过程中隐瞒真实情况、弄虚作假，提供虚假材料，谋取不正当利益的；</w:t>
      </w:r>
    </w:p>
    <w:p w14:paraId="45CF95D5">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3.违反有关法律、法规、规章、政策、技术标准、设计文件、合同等有关规定开展工作造成的工程质量问题，经处理后仍影响工程正常使用或减少工程使用寿命的；</w:t>
      </w:r>
    </w:p>
    <w:p w14:paraId="3A3C7DFD">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4.违反规定施工，造成生态环境严重破坏且拒不修复的；</w:t>
      </w:r>
    </w:p>
    <w:p w14:paraId="117FB16B">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5.被证实恶意制造工程质量缺陷或质量隐患的；</w:t>
      </w:r>
    </w:p>
    <w:p w14:paraId="301FCFDD">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6.其他违反法律法规，造成严重后果或社会危害较大的。</w:t>
      </w:r>
    </w:p>
    <w:p w14:paraId="2DE9A8F0">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（四）存在以下严重破坏市场公平竞争秩序和社会正常秩序行为之一的：</w:t>
      </w:r>
    </w:p>
    <w:p w14:paraId="33DB96A8">
      <w:pPr>
        <w:adjustRightInd w:val="0"/>
        <w:snapToGrid w:val="0"/>
        <w:spacing w:line="560" w:lineRule="exact"/>
        <w:ind w:firstLine="560" w:firstLineChars="200"/>
        <w:outlineLvl w:val="2"/>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1.不按合同约定，恶意拖欠承包人项目款的；</w:t>
      </w:r>
    </w:p>
    <w:p w14:paraId="76087F45">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2.隐瞒有关情况或者提供虚假材料申请资质的，在全国水利建设市场监管服务平台公开虚假信息的，以欺骗、贿赂等不正当手段取得资质等级证书的；</w:t>
      </w:r>
    </w:p>
    <w:p w14:paraId="5781ED00">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3.出借、借用资质证书,允许他人以本单位名义或借用他人名义等弄虚作假方式承揽业务的；</w:t>
      </w:r>
    </w:p>
    <w:p w14:paraId="16A932E8">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4.未取得相应资质或超越资质证书核定范围、营业范围承揽业务的；</w:t>
      </w:r>
    </w:p>
    <w:p w14:paraId="16412590">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5.操纵招标过程，谋取不正当利益的；</w:t>
      </w:r>
    </w:p>
    <w:p w14:paraId="2256A1D6">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6.与招标人或投标人串通投标的；</w:t>
      </w:r>
    </w:p>
    <w:p w14:paraId="3B4B6C74">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7.以向招标人或评标委员会成员行贿的手段谋取中标的；</w:t>
      </w:r>
    </w:p>
    <w:p w14:paraId="424FE7A8">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8.中标后，无正当理由不签订合同的；</w:t>
      </w:r>
    </w:p>
    <w:p w14:paraId="4D42CC45">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9.转包或违法分包所承揽业务的；</w:t>
      </w:r>
    </w:p>
    <w:p w14:paraId="312AFB50">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10.弄虚作假，以欺诈手段降低工程或设备质量的；</w:t>
      </w:r>
    </w:p>
    <w:p w14:paraId="58A4371E">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11.单位行贿、受贿，受到刑事处罚的；</w:t>
      </w:r>
    </w:p>
    <w:p w14:paraId="78F7A3D6">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12.逃税骗税、恶意逃废债务的；</w:t>
      </w:r>
    </w:p>
    <w:p w14:paraId="5F6ADDBC">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13.参与非法集资，受到刑事处罚的；</w:t>
      </w:r>
    </w:p>
    <w:p w14:paraId="72D9DD00">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14.在签订、履行合同过程中，存在合同欺诈行为，受到刑事处罚的；</w:t>
      </w:r>
    </w:p>
    <w:p w14:paraId="3BC61535">
      <w:pPr>
        <w:adjustRightInd w:val="0"/>
        <w:snapToGrid w:val="0"/>
        <w:spacing w:line="560" w:lineRule="exact"/>
        <w:ind w:firstLine="560" w:firstLineChars="200"/>
        <w:outlineLvl w:val="2"/>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15.虚构工程项目，套取资金的；</w:t>
      </w:r>
    </w:p>
    <w:p w14:paraId="4675FE1E">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16.克扣、无故拖欠农民工工资报酬，数额达到认定拒不支付劳动报酬罪数额标准的；</w:t>
      </w:r>
    </w:p>
    <w:p w14:paraId="62421AF3">
      <w:pPr>
        <w:adjustRightInd w:val="0"/>
        <w:snapToGrid w:val="0"/>
        <w:spacing w:line="560" w:lineRule="exact"/>
        <w:ind w:firstLine="560" w:firstLineChars="200"/>
        <w:outlineLvl w:val="2"/>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17.发生社会公共事件，影响较大，并负有直接责任的。</w:t>
      </w:r>
    </w:p>
    <w:p w14:paraId="0356BEF9">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（五）存在以下拒不履行法定义务，严重影响司法机关、行政机关公信力行为之一的：</w:t>
      </w:r>
    </w:p>
    <w:p w14:paraId="523F36DE">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1.发生事故拒绝接受调查或拒绝提供有关资料的；</w:t>
      </w:r>
    </w:p>
    <w:p w14:paraId="3AE93E4D">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2.拒不执行生效的行政处罚决定的；</w:t>
      </w:r>
    </w:p>
    <w:p w14:paraId="00E44792">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3.拒不执行仲裁、法院判决结果的。</w:t>
      </w:r>
    </w:p>
    <w:p w14:paraId="2F075C2E">
      <w:pPr>
        <w:adjustRightInd w:val="0"/>
        <w:snapToGrid w:val="0"/>
        <w:spacing w:line="560" w:lineRule="exact"/>
        <w:ind w:firstLine="560" w:firstLineChars="200"/>
        <w:outlineLvl w:val="3"/>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（六）被相关联合惩戒部门列入"黑名单"，符合联合惩戒措施的。</w:t>
      </w:r>
    </w:p>
    <w:p w14:paraId="27FFEF92">
      <w:pPr>
        <w:adjustRightInd w:val="0"/>
        <w:snapToGrid w:val="0"/>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生产建设项目水土保持市场主体"黑名单"列入标准见《水利建设市场主体信用信息管理办法》附件。</w:t>
      </w:r>
    </w:p>
    <w:p w14:paraId="54AF3C33">
      <w:pPr>
        <w:adjustRightInd w:val="0"/>
        <w:snapToGrid w:val="0"/>
        <w:spacing w:line="560" w:lineRule="exact"/>
        <w:ind w:firstLine="615"/>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依据：《水利建设市场主体信用评价管理办法》水建设〔2019〕307号、《水利建设市场主体信用信息管理办法》水建设〔2019〕306号</w:t>
      </w:r>
    </w:p>
    <w:p w14:paraId="639A4A06">
      <w:pPr>
        <w:adjustRightInd w:val="0"/>
        <w:snapToGrid w:val="0"/>
        <w:spacing w:line="560" w:lineRule="exact"/>
        <w:ind w:firstLine="615"/>
        <w:rPr>
          <w:rFonts w:hint="eastAsia" w:ascii="仿宋_GB2312" w:hAnsi="宋体" w:eastAsia="仿宋_GB2312"/>
          <w:b/>
          <w:color w:val="000000"/>
          <w:sz w:val="28"/>
          <w:szCs w:val="28"/>
          <w:highlight w:val="none"/>
        </w:rPr>
      </w:pPr>
    </w:p>
    <w:p w14:paraId="3CE8FC00">
      <w:pPr>
        <w:adjustRightInd w:val="0"/>
        <w:snapToGrid w:val="0"/>
        <w:spacing w:line="560" w:lineRule="exact"/>
        <w:ind w:firstLine="615"/>
        <w:rPr>
          <w:rFonts w:hint="eastAsia" w:ascii="FangSong_GB2312" w:eastAsia="FangSong_GB2312"/>
          <w:b/>
          <w:color w:val="000000"/>
          <w:sz w:val="32"/>
          <w:szCs w:val="32"/>
          <w:highlight w:val="none"/>
        </w:rPr>
      </w:pPr>
      <w:r>
        <w:rPr>
          <w:rFonts w:hint="eastAsia" w:ascii="仿宋_GB2312" w:hAnsi="宋体" w:eastAsia="仿宋_GB2312"/>
          <w:b/>
          <w:color w:val="000000"/>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highlight w:val="none"/>
        </w:rPr>
        <w:t>断。</w:t>
      </w:r>
    </w:p>
    <w:p w14:paraId="726A8D71">
      <w:pPr>
        <w:spacing w:line="380" w:lineRule="exact"/>
        <w:ind w:firstLine="568" w:firstLineChars="202"/>
        <w:rPr>
          <w:rFonts w:hint="eastAsia" w:ascii="宋体"/>
          <w:b/>
          <w:color w:val="auto"/>
          <w:sz w:val="28"/>
          <w:szCs w:val="28"/>
          <w:highlight w:val="none"/>
        </w:rPr>
      </w:pPr>
    </w:p>
    <w:p w14:paraId="551AC525">
      <w:pPr>
        <w:pStyle w:val="3"/>
        <w:tabs>
          <w:tab w:val="left" w:pos="0"/>
          <w:tab w:val="left" w:pos="3165"/>
          <w:tab w:val="center" w:pos="4153"/>
        </w:tabs>
        <w:autoSpaceDE w:val="0"/>
        <w:autoSpaceDN w:val="0"/>
        <w:adjustRightInd w:val="0"/>
        <w:spacing w:before="0" w:after="0" w:line="240" w:lineRule="auto"/>
        <w:rPr>
          <w:rFonts w:hint="eastAsia" w:ascii="宋体"/>
          <w:b w:val="0"/>
          <w:color w:val="auto"/>
          <w:szCs w:val="32"/>
          <w:highlight w:val="none"/>
        </w:rPr>
      </w:pPr>
      <w:bookmarkStart w:id="118" w:name="_Toc449028957"/>
      <w:r>
        <w:rPr>
          <w:rFonts w:hint="eastAsia" w:ascii="华文中宋" w:hAnsi="华文中宋" w:eastAsia="华文中宋"/>
          <w:color w:val="auto"/>
          <w:highlight w:val="none"/>
        </w:rPr>
        <w:br w:type="page"/>
      </w:r>
      <w:bookmarkStart w:id="119" w:name="_Toc25631"/>
      <w:bookmarkStart w:id="120" w:name="_Toc58430333"/>
      <w:r>
        <w:rPr>
          <w:rFonts w:hint="eastAsia" w:ascii="华文中宋" w:hAnsi="华文中宋" w:eastAsia="华文中宋"/>
          <w:color w:val="auto"/>
          <w:highlight w:val="none"/>
        </w:rPr>
        <w:t xml:space="preserve"> 第</w:t>
      </w:r>
      <w:r>
        <w:rPr>
          <w:rFonts w:hint="eastAsia" w:ascii="华文中宋" w:hAnsi="华文中宋" w:eastAsia="华文中宋"/>
          <w:color w:val="auto"/>
          <w:highlight w:val="none"/>
          <w:lang w:val="en-US" w:eastAsia="zh-CN"/>
        </w:rPr>
        <w:t>八</w:t>
      </w:r>
      <w:r>
        <w:rPr>
          <w:rFonts w:hint="eastAsia" w:ascii="华文中宋" w:hAnsi="华文中宋" w:eastAsia="华文中宋"/>
          <w:color w:val="auto"/>
          <w:highlight w:val="none"/>
        </w:rPr>
        <w:t>章 招标人、代理机构对本招标文件的确认</w:t>
      </w:r>
      <w:bookmarkEnd w:id="118"/>
      <w:bookmarkEnd w:id="119"/>
      <w:bookmarkEnd w:id="120"/>
    </w:p>
    <w:p w14:paraId="18F7CA7B">
      <w:pPr>
        <w:pStyle w:val="3"/>
        <w:tabs>
          <w:tab w:val="left" w:pos="0"/>
          <w:tab w:val="left" w:pos="3165"/>
          <w:tab w:val="center" w:pos="4153"/>
        </w:tabs>
        <w:autoSpaceDE w:val="0"/>
        <w:autoSpaceDN w:val="0"/>
        <w:adjustRightInd w:val="0"/>
        <w:spacing w:before="0" w:after="0" w:line="240" w:lineRule="auto"/>
        <w:outlineLvl w:val="9"/>
        <w:rPr>
          <w:rFonts w:hint="eastAsia" w:ascii="宋体"/>
          <w:color w:val="auto"/>
          <w:sz w:val="24"/>
          <w:highlight w:val="none"/>
          <w:u w:val="single"/>
        </w:rPr>
      </w:pPr>
    </w:p>
    <w:bookmarkEnd w:id="0"/>
    <w:tbl>
      <w:tblPr>
        <w:tblStyle w:val="37"/>
        <w:tblW w:w="0" w:type="auto"/>
        <w:jc w:val="center"/>
        <w:tblLayout w:type="fixed"/>
        <w:tblCellMar>
          <w:top w:w="0" w:type="dxa"/>
          <w:left w:w="108" w:type="dxa"/>
          <w:bottom w:w="0" w:type="dxa"/>
          <w:right w:w="108" w:type="dxa"/>
        </w:tblCellMar>
      </w:tblPr>
      <w:tblGrid>
        <w:gridCol w:w="9460"/>
      </w:tblGrid>
      <w:tr w14:paraId="662724C3">
        <w:tblPrEx>
          <w:tblCellMar>
            <w:top w:w="0" w:type="dxa"/>
            <w:left w:w="108" w:type="dxa"/>
            <w:bottom w:w="0" w:type="dxa"/>
            <w:right w:w="108" w:type="dxa"/>
          </w:tblCellMar>
        </w:tblPrEx>
        <w:trPr>
          <w:trHeight w:val="5962"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063FBF90">
            <w:pPr>
              <w:spacing w:line="440" w:lineRule="exact"/>
              <w:ind w:firstLine="560" w:firstLineChars="200"/>
              <w:rPr>
                <w:rFonts w:hint="eastAsia" w:ascii="宋体" w:cs="宋体"/>
                <w:color w:val="auto"/>
                <w:sz w:val="28"/>
                <w:szCs w:val="28"/>
                <w:highlight w:val="none"/>
              </w:rPr>
            </w:pPr>
          </w:p>
          <w:p w14:paraId="75DB5F4E">
            <w:pPr>
              <w:spacing w:after="156" w:afterLines="50"/>
              <w:rPr>
                <w:rFonts w:hint="eastAsia" w:ascii="宋体" w:cs="宋体"/>
                <w:color w:val="auto"/>
                <w:sz w:val="28"/>
                <w:szCs w:val="28"/>
                <w:highlight w:val="none"/>
              </w:rPr>
            </w:pPr>
            <w:r>
              <w:rPr>
                <w:rFonts w:hint="eastAsia" w:ascii="宋体" w:cs="宋体"/>
                <w:color w:val="auto"/>
                <w:sz w:val="28"/>
                <w:szCs w:val="28"/>
                <w:highlight w:val="none"/>
              </w:rPr>
              <w:t xml:space="preserve">  我单位对</w:t>
            </w:r>
            <w:r>
              <w:rPr>
                <w:rFonts w:hint="eastAsia" w:ascii="宋体" w:cs="宋体"/>
                <w:color w:val="auto"/>
                <w:sz w:val="28"/>
                <w:szCs w:val="28"/>
                <w:highlight w:val="none"/>
                <w:u w:val="single"/>
              </w:rPr>
              <w:t xml:space="preserve"> </w:t>
            </w:r>
            <w:r>
              <w:rPr>
                <w:rFonts w:hint="eastAsia" w:ascii="宋体" w:cs="宋体"/>
                <w:color w:val="auto"/>
                <w:sz w:val="28"/>
                <w:szCs w:val="28"/>
                <w:highlight w:val="none"/>
                <w:u w:val="single"/>
                <w:lang w:eastAsia="zh-CN"/>
              </w:rPr>
              <w:t>后勤服务中心(公租房)物业管理服务项目</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的招标文件进行确认。</w:t>
            </w:r>
          </w:p>
          <w:p w14:paraId="72C54332">
            <w:pPr>
              <w:spacing w:line="54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招标单位：</w:t>
            </w:r>
            <w:r>
              <w:rPr>
                <w:rFonts w:hint="eastAsia" w:ascii="宋体" w:cs="宋体"/>
                <w:color w:val="auto"/>
                <w:sz w:val="28"/>
                <w:szCs w:val="28"/>
                <w:highlight w:val="none"/>
                <w:lang w:val="en-US" w:eastAsia="zh-CN"/>
              </w:rPr>
              <w:t>滁州同业投资发展有限公司</w:t>
            </w:r>
          </w:p>
          <w:p w14:paraId="7BC57F5B">
            <w:pPr>
              <w:spacing w:line="540" w:lineRule="exact"/>
              <w:ind w:firstLine="560" w:firstLineChars="200"/>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t>委托代理人：</w:t>
            </w:r>
            <w:r>
              <w:rPr>
                <w:rFonts w:hint="eastAsia" w:ascii="宋体" w:cs="宋体"/>
                <w:color w:val="auto"/>
                <w:sz w:val="28"/>
                <w:szCs w:val="28"/>
                <w:highlight w:val="none"/>
                <w:lang w:val="en-US" w:eastAsia="zh-CN"/>
              </w:rPr>
              <w:t>樊星</w:t>
            </w:r>
          </w:p>
          <w:p w14:paraId="606A31B6">
            <w:pPr>
              <w:spacing w:line="540" w:lineRule="exact"/>
              <w:ind w:firstLine="560" w:firstLineChars="200"/>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t>联系电话：</w:t>
            </w:r>
            <w:r>
              <w:rPr>
                <w:rFonts w:hint="eastAsia" w:ascii="宋体" w:cs="宋体"/>
                <w:color w:val="auto"/>
                <w:sz w:val="28"/>
                <w:szCs w:val="28"/>
                <w:highlight w:val="none"/>
                <w:lang w:eastAsia="zh-CN"/>
              </w:rPr>
              <w:t>0550-3830787</w:t>
            </w:r>
            <w:r>
              <w:rPr>
                <w:rFonts w:hint="eastAsia" w:ascii="宋体" w:cs="宋体"/>
                <w:color w:val="auto"/>
                <w:sz w:val="28"/>
                <w:szCs w:val="28"/>
                <w:highlight w:val="none"/>
                <w:lang w:val="en-US" w:eastAsia="zh-CN"/>
              </w:rPr>
              <w:t>/15955017606</w:t>
            </w:r>
          </w:p>
          <w:p w14:paraId="60C55527">
            <w:pPr>
              <w:spacing w:line="540" w:lineRule="exact"/>
              <w:ind w:firstLine="7140" w:firstLineChars="2550"/>
              <w:rPr>
                <w:rFonts w:hint="eastAsia" w:ascii="宋体" w:cs="宋体"/>
                <w:color w:val="auto"/>
                <w:sz w:val="28"/>
                <w:szCs w:val="28"/>
                <w:highlight w:val="none"/>
              </w:rPr>
            </w:pPr>
          </w:p>
          <w:p w14:paraId="5E439F97">
            <w:pPr>
              <w:spacing w:line="54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2F5B6522">
            <w:pPr>
              <w:spacing w:line="540" w:lineRule="exact"/>
              <w:jc w:val="right"/>
              <w:rPr>
                <w:rFonts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4</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11</w:t>
            </w:r>
            <w:r>
              <w:rPr>
                <w:rFonts w:hint="eastAsia" w:ascii="宋体" w:cs="宋体"/>
                <w:color w:val="auto"/>
                <w:sz w:val="28"/>
                <w:szCs w:val="28"/>
                <w:highlight w:val="none"/>
              </w:rPr>
              <w:t>月</w:t>
            </w:r>
          </w:p>
        </w:tc>
      </w:tr>
      <w:tr w14:paraId="4FE10660">
        <w:tblPrEx>
          <w:tblCellMar>
            <w:top w:w="0" w:type="dxa"/>
            <w:left w:w="108" w:type="dxa"/>
            <w:bottom w:w="0" w:type="dxa"/>
            <w:right w:w="108" w:type="dxa"/>
          </w:tblCellMar>
        </w:tblPrEx>
        <w:trPr>
          <w:trHeight w:val="5471"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4ED3AD23">
            <w:pPr>
              <w:spacing w:line="440" w:lineRule="exact"/>
              <w:rPr>
                <w:rFonts w:hint="eastAsia" w:ascii="宋体" w:cs="宋体"/>
                <w:color w:val="auto"/>
                <w:sz w:val="28"/>
                <w:szCs w:val="28"/>
                <w:highlight w:val="none"/>
              </w:rPr>
            </w:pPr>
          </w:p>
          <w:p w14:paraId="4C9B9028">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招标代理机构：滁州市城投工程咨询管理有限公司</w:t>
            </w:r>
          </w:p>
          <w:p w14:paraId="2F8A7176">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经办人：</w:t>
            </w:r>
            <w:r>
              <w:rPr>
                <w:rFonts w:hint="eastAsia" w:ascii="宋体" w:cs="宋体"/>
                <w:color w:val="auto"/>
                <w:sz w:val="28"/>
                <w:szCs w:val="28"/>
                <w:highlight w:val="none"/>
                <w:lang w:eastAsia="zh-CN"/>
              </w:rPr>
              <w:t>周蓓蕾</w:t>
            </w:r>
          </w:p>
          <w:p w14:paraId="06B3D729">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电  话：0550-</w:t>
            </w:r>
            <w:r>
              <w:rPr>
                <w:rFonts w:hint="eastAsia" w:ascii="宋体" w:cs="宋体"/>
                <w:color w:val="auto"/>
                <w:sz w:val="28"/>
                <w:szCs w:val="28"/>
                <w:highlight w:val="none"/>
                <w:lang w:eastAsia="zh-CN"/>
              </w:rPr>
              <w:t>3519519</w:t>
            </w:r>
            <w:r>
              <w:rPr>
                <w:rFonts w:hint="eastAsia" w:ascii="宋体" w:cs="宋体"/>
                <w:color w:val="auto"/>
                <w:sz w:val="28"/>
                <w:szCs w:val="28"/>
                <w:highlight w:val="none"/>
                <w:lang w:val="en-US" w:eastAsia="zh-CN"/>
              </w:rPr>
              <w:t>/</w:t>
            </w:r>
            <w:r>
              <w:rPr>
                <w:rFonts w:hint="eastAsia" w:ascii="宋体" w:cs="宋体"/>
                <w:color w:val="auto"/>
                <w:sz w:val="28"/>
                <w:szCs w:val="28"/>
                <w:highlight w:val="none"/>
                <w:lang w:eastAsia="zh-CN"/>
              </w:rPr>
              <w:t>18005505728</w:t>
            </w:r>
          </w:p>
          <w:p w14:paraId="4570CDD1">
            <w:pPr>
              <w:spacing w:line="520" w:lineRule="exact"/>
              <w:ind w:firstLine="6300" w:firstLineChars="2250"/>
              <w:rPr>
                <w:rFonts w:hint="eastAsia" w:ascii="宋体" w:cs="宋体"/>
                <w:color w:val="auto"/>
                <w:sz w:val="28"/>
                <w:szCs w:val="28"/>
                <w:highlight w:val="none"/>
              </w:rPr>
            </w:pPr>
          </w:p>
          <w:p w14:paraId="0D5535DC">
            <w:pPr>
              <w:pStyle w:val="13"/>
              <w:rPr>
                <w:rFonts w:hint="eastAsia"/>
                <w:color w:val="auto"/>
                <w:kern w:val="2"/>
                <w:sz w:val="21"/>
                <w:szCs w:val="24"/>
                <w:highlight w:val="none"/>
              </w:rPr>
            </w:pPr>
          </w:p>
          <w:p w14:paraId="4818AA3E">
            <w:pPr>
              <w:spacing w:line="520" w:lineRule="exact"/>
              <w:ind w:firstLine="6580" w:firstLineChars="2350"/>
              <w:rPr>
                <w:rFonts w:hint="eastAsia" w:ascii="宋体" w:cs="宋体"/>
                <w:color w:val="auto"/>
                <w:sz w:val="28"/>
                <w:szCs w:val="28"/>
                <w:highlight w:val="none"/>
              </w:rPr>
            </w:pPr>
          </w:p>
          <w:p w14:paraId="6CE0C137">
            <w:pPr>
              <w:spacing w:line="52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03EA5B09">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4</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11</w:t>
            </w:r>
            <w:r>
              <w:rPr>
                <w:rFonts w:hint="eastAsia" w:ascii="宋体" w:cs="宋体"/>
                <w:color w:val="auto"/>
                <w:sz w:val="28"/>
                <w:szCs w:val="28"/>
                <w:highlight w:val="none"/>
              </w:rPr>
              <w:t>月</w:t>
            </w:r>
          </w:p>
        </w:tc>
      </w:tr>
    </w:tbl>
    <w:p w14:paraId="0C9B9379">
      <w:pPr>
        <w:rPr>
          <w:color w:val="auto"/>
          <w:highlight w:val="none"/>
        </w:rPr>
      </w:pPr>
    </w:p>
    <w:sectPr>
      <w:pgSz w:w="11906" w:h="16838"/>
      <w:pgMar w:top="1440"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DokChampa">
    <w:altName w:val="Segoe Print"/>
    <w:panose1 w:val="020B0604020202020204"/>
    <w:charset w:val="00"/>
    <w:family w:val="swiss"/>
    <w:pitch w:val="default"/>
    <w:sig w:usb0="00000000" w:usb1="00000000" w:usb2="00000000" w:usb3="00000000" w:csb0="40010001" w:csb1="00000000"/>
  </w:font>
  <w:font w:name="MS Sans Serif">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F1FE">
    <w:pPr>
      <w:pStyle w:val="24"/>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D9C21">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DD9C21">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D822">
    <w:pPr>
      <w:pStyle w:val="25"/>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076D4"/>
    <w:multiLevelType w:val="singleLevel"/>
    <w:tmpl w:val="CAB076D4"/>
    <w:lvl w:ilvl="0" w:tentative="0">
      <w:start w:val="5"/>
      <w:numFmt w:val="chineseCounting"/>
      <w:suff w:val="space"/>
      <w:lvlText w:val="第%1章"/>
      <w:lvlJc w:val="left"/>
      <w:rPr>
        <w:rFonts w:hint="eastAsia"/>
      </w:rPr>
    </w:lvl>
  </w:abstractNum>
  <w:abstractNum w:abstractNumId="1">
    <w:nsid w:val="00000005"/>
    <w:multiLevelType w:val="multilevel"/>
    <w:tmpl w:val="00000005"/>
    <w:lvl w:ilvl="0" w:tentative="0">
      <w:start w:val="1"/>
      <w:numFmt w:val="chineseCountingThousand"/>
      <w:pStyle w:val="103"/>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00000007"/>
    <w:multiLevelType w:val="multilevel"/>
    <w:tmpl w:val="00000007"/>
    <w:lvl w:ilvl="0" w:tentative="0">
      <w:start w:val="1"/>
      <w:numFmt w:val="chineseCountingThousand"/>
      <w:pStyle w:val="34"/>
      <w:lvlText w:val="%1、"/>
      <w:lvlJc w:val="left"/>
      <w:pPr>
        <w:ind w:left="420" w:hanging="42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decimal"/>
      <w:pStyle w:val="96"/>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00000010"/>
    <w:multiLevelType w:val="multilevel"/>
    <w:tmpl w:val="00000010"/>
    <w:lvl w:ilvl="0" w:tentative="0">
      <w:start w:val="1"/>
      <w:numFmt w:val="decimal"/>
      <w:pStyle w:val="11"/>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12"/>
    <w:multiLevelType w:val="multilevel"/>
    <w:tmpl w:val="00000012"/>
    <w:lvl w:ilvl="0" w:tentative="0">
      <w:start w:val="1"/>
      <w:numFmt w:val="chineseCountingThousand"/>
      <w:pStyle w:val="118"/>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7">
    <w:nsid w:val="00000014"/>
    <w:multiLevelType w:val="multilevel"/>
    <w:tmpl w:val="00000014"/>
    <w:lvl w:ilvl="0" w:tentative="0">
      <w:start w:val="1"/>
      <w:numFmt w:val="decimal"/>
      <w:pStyle w:val="27"/>
      <w:lvlText w:val="%1."/>
      <w:lvlJc w:val="left"/>
      <w:pPr>
        <w:ind w:left="420" w:firstLine="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62E012"/>
    <w:multiLevelType w:val="singleLevel"/>
    <w:tmpl w:val="0962E012"/>
    <w:lvl w:ilvl="0" w:tentative="0">
      <w:start w:val="2"/>
      <w:numFmt w:val="decimal"/>
      <w:suff w:val="nothing"/>
      <w:lvlText w:val="（%1）"/>
      <w:lvlJc w:val="left"/>
    </w:lvl>
  </w:abstractNum>
  <w:abstractNum w:abstractNumId="9">
    <w:nsid w:val="6FBF3256"/>
    <w:multiLevelType w:val="multilevel"/>
    <w:tmpl w:val="6FBF3256"/>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 w:name="KSO_WPS_MARK_KEY" w:val="e5cd924d-ae79-4381-995b-bef1e63571aa"/>
  </w:docVars>
  <w:rsids>
    <w:rsidRoot w:val="00172A27"/>
    <w:rsid w:val="000126F2"/>
    <w:rsid w:val="000749E3"/>
    <w:rsid w:val="00086696"/>
    <w:rsid w:val="0009024D"/>
    <w:rsid w:val="0009075B"/>
    <w:rsid w:val="00115C78"/>
    <w:rsid w:val="00153AFF"/>
    <w:rsid w:val="00186C2B"/>
    <w:rsid w:val="00210D6B"/>
    <w:rsid w:val="00212728"/>
    <w:rsid w:val="00233C4E"/>
    <w:rsid w:val="00251036"/>
    <w:rsid w:val="002E50F8"/>
    <w:rsid w:val="003225FB"/>
    <w:rsid w:val="00330766"/>
    <w:rsid w:val="003419E5"/>
    <w:rsid w:val="003752C8"/>
    <w:rsid w:val="003955F9"/>
    <w:rsid w:val="00395E25"/>
    <w:rsid w:val="003E670B"/>
    <w:rsid w:val="00401F67"/>
    <w:rsid w:val="00403054"/>
    <w:rsid w:val="00466F77"/>
    <w:rsid w:val="004C4A9A"/>
    <w:rsid w:val="004F3A79"/>
    <w:rsid w:val="004F5165"/>
    <w:rsid w:val="00506947"/>
    <w:rsid w:val="00510AFB"/>
    <w:rsid w:val="00533663"/>
    <w:rsid w:val="00555935"/>
    <w:rsid w:val="005868F5"/>
    <w:rsid w:val="00587233"/>
    <w:rsid w:val="005931B7"/>
    <w:rsid w:val="005A3C00"/>
    <w:rsid w:val="005B5679"/>
    <w:rsid w:val="00620A2A"/>
    <w:rsid w:val="00677F31"/>
    <w:rsid w:val="0069368B"/>
    <w:rsid w:val="007678C6"/>
    <w:rsid w:val="007D541D"/>
    <w:rsid w:val="007F45BE"/>
    <w:rsid w:val="008005F7"/>
    <w:rsid w:val="008201B4"/>
    <w:rsid w:val="00833AB6"/>
    <w:rsid w:val="00853109"/>
    <w:rsid w:val="008766D7"/>
    <w:rsid w:val="008953F8"/>
    <w:rsid w:val="008C7661"/>
    <w:rsid w:val="008E0C60"/>
    <w:rsid w:val="009255FE"/>
    <w:rsid w:val="009269A2"/>
    <w:rsid w:val="009343AA"/>
    <w:rsid w:val="00937817"/>
    <w:rsid w:val="009B2C38"/>
    <w:rsid w:val="009D17C8"/>
    <w:rsid w:val="009E196C"/>
    <w:rsid w:val="009F2CCC"/>
    <w:rsid w:val="00A012AB"/>
    <w:rsid w:val="00A10993"/>
    <w:rsid w:val="00A54152"/>
    <w:rsid w:val="00A67D58"/>
    <w:rsid w:val="00A975DD"/>
    <w:rsid w:val="00AE30B0"/>
    <w:rsid w:val="00AF40A6"/>
    <w:rsid w:val="00AF43B5"/>
    <w:rsid w:val="00B2494E"/>
    <w:rsid w:val="00B41BDC"/>
    <w:rsid w:val="00B45701"/>
    <w:rsid w:val="00B502D3"/>
    <w:rsid w:val="00B627A9"/>
    <w:rsid w:val="00B77363"/>
    <w:rsid w:val="00B8500A"/>
    <w:rsid w:val="00BF0751"/>
    <w:rsid w:val="00BF52BD"/>
    <w:rsid w:val="00C069E8"/>
    <w:rsid w:val="00C24AE6"/>
    <w:rsid w:val="00CD391E"/>
    <w:rsid w:val="00CF1FFF"/>
    <w:rsid w:val="00D24FF0"/>
    <w:rsid w:val="00D25ACB"/>
    <w:rsid w:val="00D46C3D"/>
    <w:rsid w:val="00D50329"/>
    <w:rsid w:val="00D651BA"/>
    <w:rsid w:val="00DD6A62"/>
    <w:rsid w:val="00E4156B"/>
    <w:rsid w:val="00E700A9"/>
    <w:rsid w:val="00E70847"/>
    <w:rsid w:val="00E87AA3"/>
    <w:rsid w:val="00F13E63"/>
    <w:rsid w:val="00F768E1"/>
    <w:rsid w:val="00FC02BF"/>
    <w:rsid w:val="00FC3E1B"/>
    <w:rsid w:val="00FF16F3"/>
    <w:rsid w:val="011078C7"/>
    <w:rsid w:val="011C44BE"/>
    <w:rsid w:val="016947F9"/>
    <w:rsid w:val="01826A17"/>
    <w:rsid w:val="0187402D"/>
    <w:rsid w:val="019978BC"/>
    <w:rsid w:val="019B1886"/>
    <w:rsid w:val="01A22C15"/>
    <w:rsid w:val="01C81F50"/>
    <w:rsid w:val="01CB7DA6"/>
    <w:rsid w:val="01DA5E9C"/>
    <w:rsid w:val="01DB6127"/>
    <w:rsid w:val="01DE01EE"/>
    <w:rsid w:val="01E23011"/>
    <w:rsid w:val="0216715F"/>
    <w:rsid w:val="0219028B"/>
    <w:rsid w:val="022E6257"/>
    <w:rsid w:val="023850C1"/>
    <w:rsid w:val="023A4BFB"/>
    <w:rsid w:val="02477318"/>
    <w:rsid w:val="0255285E"/>
    <w:rsid w:val="026B1259"/>
    <w:rsid w:val="02783976"/>
    <w:rsid w:val="027B5E76"/>
    <w:rsid w:val="02827B99"/>
    <w:rsid w:val="029F2E1F"/>
    <w:rsid w:val="02BC3AEB"/>
    <w:rsid w:val="02D079EE"/>
    <w:rsid w:val="02E1227E"/>
    <w:rsid w:val="02E54D69"/>
    <w:rsid w:val="02F254D6"/>
    <w:rsid w:val="02F53218"/>
    <w:rsid w:val="031F2043"/>
    <w:rsid w:val="03261624"/>
    <w:rsid w:val="0341645D"/>
    <w:rsid w:val="03433F84"/>
    <w:rsid w:val="035241C7"/>
    <w:rsid w:val="03695E25"/>
    <w:rsid w:val="03766107"/>
    <w:rsid w:val="038A570F"/>
    <w:rsid w:val="038D71C9"/>
    <w:rsid w:val="039E11BA"/>
    <w:rsid w:val="03A2514E"/>
    <w:rsid w:val="03A569EC"/>
    <w:rsid w:val="03B409DD"/>
    <w:rsid w:val="03BB0FB2"/>
    <w:rsid w:val="03C03826"/>
    <w:rsid w:val="03C30C20"/>
    <w:rsid w:val="03D1158F"/>
    <w:rsid w:val="03D35307"/>
    <w:rsid w:val="03DB41BC"/>
    <w:rsid w:val="03DD29A1"/>
    <w:rsid w:val="03E56DE9"/>
    <w:rsid w:val="03EF7C67"/>
    <w:rsid w:val="03F434D0"/>
    <w:rsid w:val="03FE7EAB"/>
    <w:rsid w:val="040000C7"/>
    <w:rsid w:val="041C543C"/>
    <w:rsid w:val="04221DEB"/>
    <w:rsid w:val="042B5143"/>
    <w:rsid w:val="04435676"/>
    <w:rsid w:val="044E498E"/>
    <w:rsid w:val="04754611"/>
    <w:rsid w:val="047A1C27"/>
    <w:rsid w:val="048E56D2"/>
    <w:rsid w:val="04926B8C"/>
    <w:rsid w:val="049928A3"/>
    <w:rsid w:val="04A22F2C"/>
    <w:rsid w:val="04A66578"/>
    <w:rsid w:val="04A70542"/>
    <w:rsid w:val="04A942BA"/>
    <w:rsid w:val="04AB3862"/>
    <w:rsid w:val="04B2316F"/>
    <w:rsid w:val="04DE21B6"/>
    <w:rsid w:val="04EB042F"/>
    <w:rsid w:val="04F55751"/>
    <w:rsid w:val="04F96FF0"/>
    <w:rsid w:val="04FA4B16"/>
    <w:rsid w:val="05085485"/>
    <w:rsid w:val="050B6D23"/>
    <w:rsid w:val="051E61BB"/>
    <w:rsid w:val="05216546"/>
    <w:rsid w:val="05373674"/>
    <w:rsid w:val="053C0C8A"/>
    <w:rsid w:val="053E4A03"/>
    <w:rsid w:val="05455577"/>
    <w:rsid w:val="054B0F4A"/>
    <w:rsid w:val="054E09BE"/>
    <w:rsid w:val="05545FD4"/>
    <w:rsid w:val="057316FE"/>
    <w:rsid w:val="05740424"/>
    <w:rsid w:val="058F1702"/>
    <w:rsid w:val="059E7B97"/>
    <w:rsid w:val="05A23DEA"/>
    <w:rsid w:val="05A351AD"/>
    <w:rsid w:val="05A401A4"/>
    <w:rsid w:val="05B13426"/>
    <w:rsid w:val="05C649F8"/>
    <w:rsid w:val="05E82BC0"/>
    <w:rsid w:val="05F477B7"/>
    <w:rsid w:val="06021ED4"/>
    <w:rsid w:val="06112117"/>
    <w:rsid w:val="062278D0"/>
    <w:rsid w:val="06370ACC"/>
    <w:rsid w:val="06420131"/>
    <w:rsid w:val="065A2128"/>
    <w:rsid w:val="06632AA3"/>
    <w:rsid w:val="0671705A"/>
    <w:rsid w:val="06836B5F"/>
    <w:rsid w:val="06897EFF"/>
    <w:rsid w:val="06936FD0"/>
    <w:rsid w:val="069C1F62"/>
    <w:rsid w:val="069C6BC6"/>
    <w:rsid w:val="06A55ADF"/>
    <w:rsid w:val="06A64F55"/>
    <w:rsid w:val="06AE5BB8"/>
    <w:rsid w:val="06BA27AF"/>
    <w:rsid w:val="06BB70EE"/>
    <w:rsid w:val="06C453DB"/>
    <w:rsid w:val="06D82C35"/>
    <w:rsid w:val="06E6058C"/>
    <w:rsid w:val="06F224DF"/>
    <w:rsid w:val="06F9554A"/>
    <w:rsid w:val="07077E6C"/>
    <w:rsid w:val="0721282E"/>
    <w:rsid w:val="07371FAF"/>
    <w:rsid w:val="073E1390"/>
    <w:rsid w:val="074B78AB"/>
    <w:rsid w:val="075239E7"/>
    <w:rsid w:val="0765096C"/>
    <w:rsid w:val="07660241"/>
    <w:rsid w:val="07750484"/>
    <w:rsid w:val="07950B26"/>
    <w:rsid w:val="079E3E7E"/>
    <w:rsid w:val="07A1396F"/>
    <w:rsid w:val="07A174CB"/>
    <w:rsid w:val="07AD2313"/>
    <w:rsid w:val="07B76CEE"/>
    <w:rsid w:val="07CA07CF"/>
    <w:rsid w:val="07CB4548"/>
    <w:rsid w:val="07E0529D"/>
    <w:rsid w:val="07E13D6B"/>
    <w:rsid w:val="07EA0E72"/>
    <w:rsid w:val="07ED2710"/>
    <w:rsid w:val="07F613C5"/>
    <w:rsid w:val="07FB307F"/>
    <w:rsid w:val="08140B8B"/>
    <w:rsid w:val="08143A40"/>
    <w:rsid w:val="08293B60"/>
    <w:rsid w:val="082C4FE6"/>
    <w:rsid w:val="082E5BE5"/>
    <w:rsid w:val="08395955"/>
    <w:rsid w:val="08470072"/>
    <w:rsid w:val="084A1910"/>
    <w:rsid w:val="084F5934"/>
    <w:rsid w:val="085747DA"/>
    <w:rsid w:val="08653347"/>
    <w:rsid w:val="088A4403"/>
    <w:rsid w:val="088A5A8D"/>
    <w:rsid w:val="08A13C26"/>
    <w:rsid w:val="08BF40AC"/>
    <w:rsid w:val="08C07429"/>
    <w:rsid w:val="08D35DAA"/>
    <w:rsid w:val="08D51B22"/>
    <w:rsid w:val="08DA2C94"/>
    <w:rsid w:val="08E27D9B"/>
    <w:rsid w:val="08E92ED7"/>
    <w:rsid w:val="08EE00FD"/>
    <w:rsid w:val="08F63846"/>
    <w:rsid w:val="08FA50E4"/>
    <w:rsid w:val="09271C52"/>
    <w:rsid w:val="092B6141"/>
    <w:rsid w:val="0935241C"/>
    <w:rsid w:val="09524F20"/>
    <w:rsid w:val="097035F9"/>
    <w:rsid w:val="09835F85"/>
    <w:rsid w:val="09840E52"/>
    <w:rsid w:val="09963123"/>
    <w:rsid w:val="09981838"/>
    <w:rsid w:val="09B5283E"/>
    <w:rsid w:val="09C166B7"/>
    <w:rsid w:val="09CB469C"/>
    <w:rsid w:val="09CF3948"/>
    <w:rsid w:val="09DC0C8E"/>
    <w:rsid w:val="09DE67B4"/>
    <w:rsid w:val="09E3005A"/>
    <w:rsid w:val="09E71B0D"/>
    <w:rsid w:val="09F14739"/>
    <w:rsid w:val="0A2825E1"/>
    <w:rsid w:val="0A287A2F"/>
    <w:rsid w:val="0A2D3F49"/>
    <w:rsid w:val="0A8712AB"/>
    <w:rsid w:val="0A99092D"/>
    <w:rsid w:val="0AA04DDE"/>
    <w:rsid w:val="0AA3355A"/>
    <w:rsid w:val="0AB12DCE"/>
    <w:rsid w:val="0AB45767"/>
    <w:rsid w:val="0AC57974"/>
    <w:rsid w:val="0AC96303"/>
    <w:rsid w:val="0AD96F7B"/>
    <w:rsid w:val="0AE00732"/>
    <w:rsid w:val="0AEC4F01"/>
    <w:rsid w:val="0AF3628F"/>
    <w:rsid w:val="0B051624"/>
    <w:rsid w:val="0B106E41"/>
    <w:rsid w:val="0B2E28C9"/>
    <w:rsid w:val="0B343101"/>
    <w:rsid w:val="0B414AD3"/>
    <w:rsid w:val="0B48482D"/>
    <w:rsid w:val="0B4B60CB"/>
    <w:rsid w:val="0B5E5DFE"/>
    <w:rsid w:val="0B627EDA"/>
    <w:rsid w:val="0B704808"/>
    <w:rsid w:val="0B7C44D7"/>
    <w:rsid w:val="0B982B0E"/>
    <w:rsid w:val="0B9A0F05"/>
    <w:rsid w:val="0BA94BA0"/>
    <w:rsid w:val="0BAB31B1"/>
    <w:rsid w:val="0BAF62FB"/>
    <w:rsid w:val="0BB06DD2"/>
    <w:rsid w:val="0BBB6EA8"/>
    <w:rsid w:val="0BC66C7D"/>
    <w:rsid w:val="0BEC240A"/>
    <w:rsid w:val="0BED3778"/>
    <w:rsid w:val="0BFC1173"/>
    <w:rsid w:val="0C0544CC"/>
    <w:rsid w:val="0C232BA4"/>
    <w:rsid w:val="0C2A577B"/>
    <w:rsid w:val="0C2D26E3"/>
    <w:rsid w:val="0C373ADB"/>
    <w:rsid w:val="0C37733F"/>
    <w:rsid w:val="0C3856AB"/>
    <w:rsid w:val="0C3C5A14"/>
    <w:rsid w:val="0C405504"/>
    <w:rsid w:val="0C4274CE"/>
    <w:rsid w:val="0C523489"/>
    <w:rsid w:val="0C580AA0"/>
    <w:rsid w:val="0C5F125B"/>
    <w:rsid w:val="0C6952DD"/>
    <w:rsid w:val="0C6A3809"/>
    <w:rsid w:val="0C7451AE"/>
    <w:rsid w:val="0C801DA5"/>
    <w:rsid w:val="0C931AD8"/>
    <w:rsid w:val="0CAD06C0"/>
    <w:rsid w:val="0CB6782B"/>
    <w:rsid w:val="0CBF0B1F"/>
    <w:rsid w:val="0CC31C91"/>
    <w:rsid w:val="0CC53C5B"/>
    <w:rsid w:val="0CCE0D62"/>
    <w:rsid w:val="0CD77BFB"/>
    <w:rsid w:val="0CDB7B95"/>
    <w:rsid w:val="0CE95B9C"/>
    <w:rsid w:val="0CEA25F0"/>
    <w:rsid w:val="0CEA5470"/>
    <w:rsid w:val="0D077DD0"/>
    <w:rsid w:val="0D1519D3"/>
    <w:rsid w:val="0D2546FA"/>
    <w:rsid w:val="0D2B61B4"/>
    <w:rsid w:val="0D374B59"/>
    <w:rsid w:val="0D3E4B53"/>
    <w:rsid w:val="0D3F756A"/>
    <w:rsid w:val="0D650905"/>
    <w:rsid w:val="0D6B65B1"/>
    <w:rsid w:val="0D7075DE"/>
    <w:rsid w:val="0D8458C4"/>
    <w:rsid w:val="0D8544BC"/>
    <w:rsid w:val="0D93795E"/>
    <w:rsid w:val="0DB32638"/>
    <w:rsid w:val="0DCF134F"/>
    <w:rsid w:val="0DD405FA"/>
    <w:rsid w:val="0DD8176C"/>
    <w:rsid w:val="0DDC74AE"/>
    <w:rsid w:val="0DE01542"/>
    <w:rsid w:val="0DEB5944"/>
    <w:rsid w:val="0DF06AB6"/>
    <w:rsid w:val="0DF2282E"/>
    <w:rsid w:val="0DF5231E"/>
    <w:rsid w:val="0DFD3DA4"/>
    <w:rsid w:val="0E24538F"/>
    <w:rsid w:val="0E3037E0"/>
    <w:rsid w:val="0E46735F"/>
    <w:rsid w:val="0E4969BD"/>
    <w:rsid w:val="0E5928AD"/>
    <w:rsid w:val="0E5B4877"/>
    <w:rsid w:val="0E6354DA"/>
    <w:rsid w:val="0E707BF7"/>
    <w:rsid w:val="0E7D0D45"/>
    <w:rsid w:val="0E8536A2"/>
    <w:rsid w:val="0E8611C8"/>
    <w:rsid w:val="0E9E29B6"/>
    <w:rsid w:val="0EAD1661"/>
    <w:rsid w:val="0EBE21D3"/>
    <w:rsid w:val="0EBF7B36"/>
    <w:rsid w:val="0EC51CF1"/>
    <w:rsid w:val="0ECC307F"/>
    <w:rsid w:val="0EE06B2A"/>
    <w:rsid w:val="0EE228A3"/>
    <w:rsid w:val="0EEA5BFB"/>
    <w:rsid w:val="0EEC7FF8"/>
    <w:rsid w:val="0EF40828"/>
    <w:rsid w:val="0EFF16A6"/>
    <w:rsid w:val="0F0A1DF9"/>
    <w:rsid w:val="0F0C791F"/>
    <w:rsid w:val="0F312AB7"/>
    <w:rsid w:val="0F31382A"/>
    <w:rsid w:val="0F3779FA"/>
    <w:rsid w:val="0F441D54"/>
    <w:rsid w:val="0F4E7F38"/>
    <w:rsid w:val="0F56503F"/>
    <w:rsid w:val="0F616B1E"/>
    <w:rsid w:val="0F7B6853"/>
    <w:rsid w:val="0F891446"/>
    <w:rsid w:val="0F9A13CF"/>
    <w:rsid w:val="0F9B000F"/>
    <w:rsid w:val="0FA85B9A"/>
    <w:rsid w:val="0FB747DD"/>
    <w:rsid w:val="0FC63F72"/>
    <w:rsid w:val="0FC91CB4"/>
    <w:rsid w:val="0FC95811"/>
    <w:rsid w:val="0FD7007E"/>
    <w:rsid w:val="0FD710A5"/>
    <w:rsid w:val="0FD83CA6"/>
    <w:rsid w:val="0FDC19E8"/>
    <w:rsid w:val="0FE34B24"/>
    <w:rsid w:val="10131364"/>
    <w:rsid w:val="101822F4"/>
    <w:rsid w:val="10282537"/>
    <w:rsid w:val="102B2027"/>
    <w:rsid w:val="104D4694"/>
    <w:rsid w:val="105B218F"/>
    <w:rsid w:val="10616837"/>
    <w:rsid w:val="1065381B"/>
    <w:rsid w:val="106A2B50"/>
    <w:rsid w:val="107E794C"/>
    <w:rsid w:val="109220A6"/>
    <w:rsid w:val="10A5002C"/>
    <w:rsid w:val="10AC25CA"/>
    <w:rsid w:val="10B4201D"/>
    <w:rsid w:val="10B607C7"/>
    <w:rsid w:val="10B85FB1"/>
    <w:rsid w:val="10C1473A"/>
    <w:rsid w:val="10CA7A92"/>
    <w:rsid w:val="10E548CC"/>
    <w:rsid w:val="10EC17B7"/>
    <w:rsid w:val="10EF574B"/>
    <w:rsid w:val="10F845FF"/>
    <w:rsid w:val="10FB7C4C"/>
    <w:rsid w:val="10FD1C16"/>
    <w:rsid w:val="110A1D05"/>
    <w:rsid w:val="110C00AB"/>
    <w:rsid w:val="110C1E59"/>
    <w:rsid w:val="110D0173"/>
    <w:rsid w:val="11125CD9"/>
    <w:rsid w:val="11160F29"/>
    <w:rsid w:val="11254CC9"/>
    <w:rsid w:val="11292A0B"/>
    <w:rsid w:val="112951FE"/>
    <w:rsid w:val="112E7BB1"/>
    <w:rsid w:val="11317B11"/>
    <w:rsid w:val="11326BC9"/>
    <w:rsid w:val="11382C4E"/>
    <w:rsid w:val="11665A0D"/>
    <w:rsid w:val="116E6670"/>
    <w:rsid w:val="117A3C75"/>
    <w:rsid w:val="11826A7D"/>
    <w:rsid w:val="118616F9"/>
    <w:rsid w:val="11875983"/>
    <w:rsid w:val="11904838"/>
    <w:rsid w:val="11B83956"/>
    <w:rsid w:val="11C40985"/>
    <w:rsid w:val="11CC786A"/>
    <w:rsid w:val="11CE1BE3"/>
    <w:rsid w:val="11E132E5"/>
    <w:rsid w:val="11E93F48"/>
    <w:rsid w:val="11EC68FB"/>
    <w:rsid w:val="12046FD4"/>
    <w:rsid w:val="121420F8"/>
    <w:rsid w:val="12214445"/>
    <w:rsid w:val="12273D08"/>
    <w:rsid w:val="12324FEA"/>
    <w:rsid w:val="123553DF"/>
    <w:rsid w:val="123D2FB3"/>
    <w:rsid w:val="12425176"/>
    <w:rsid w:val="124538DB"/>
    <w:rsid w:val="12491784"/>
    <w:rsid w:val="125067AE"/>
    <w:rsid w:val="12637655"/>
    <w:rsid w:val="1279351E"/>
    <w:rsid w:val="127D08EB"/>
    <w:rsid w:val="12A12A75"/>
    <w:rsid w:val="12AC38F3"/>
    <w:rsid w:val="12C80001"/>
    <w:rsid w:val="12CF56B4"/>
    <w:rsid w:val="12E0359D"/>
    <w:rsid w:val="12EF558E"/>
    <w:rsid w:val="12F92791"/>
    <w:rsid w:val="13033659"/>
    <w:rsid w:val="130354DD"/>
    <w:rsid w:val="13066050"/>
    <w:rsid w:val="13132BFE"/>
    <w:rsid w:val="13135720"/>
    <w:rsid w:val="13280AA0"/>
    <w:rsid w:val="132A7687"/>
    <w:rsid w:val="133236CD"/>
    <w:rsid w:val="13331B2B"/>
    <w:rsid w:val="13426006"/>
    <w:rsid w:val="13491142"/>
    <w:rsid w:val="134F1DF4"/>
    <w:rsid w:val="13557827"/>
    <w:rsid w:val="135A0B4F"/>
    <w:rsid w:val="13631AD8"/>
    <w:rsid w:val="137837D5"/>
    <w:rsid w:val="137F4B64"/>
    <w:rsid w:val="138008DC"/>
    <w:rsid w:val="138B3117"/>
    <w:rsid w:val="138E7538"/>
    <w:rsid w:val="13904FC3"/>
    <w:rsid w:val="1392323A"/>
    <w:rsid w:val="13B74DE6"/>
    <w:rsid w:val="13BA5B9C"/>
    <w:rsid w:val="13C06B9F"/>
    <w:rsid w:val="13CD2CC1"/>
    <w:rsid w:val="140B464A"/>
    <w:rsid w:val="140D6614"/>
    <w:rsid w:val="142327DF"/>
    <w:rsid w:val="142B0848"/>
    <w:rsid w:val="14364B2C"/>
    <w:rsid w:val="1438503B"/>
    <w:rsid w:val="144025BE"/>
    <w:rsid w:val="14492F3E"/>
    <w:rsid w:val="144933C4"/>
    <w:rsid w:val="14524026"/>
    <w:rsid w:val="145F3F52"/>
    <w:rsid w:val="14694230"/>
    <w:rsid w:val="146B158C"/>
    <w:rsid w:val="146D0392"/>
    <w:rsid w:val="14720C0D"/>
    <w:rsid w:val="147D0BDA"/>
    <w:rsid w:val="148443FC"/>
    <w:rsid w:val="14860A3B"/>
    <w:rsid w:val="148703FF"/>
    <w:rsid w:val="148D505F"/>
    <w:rsid w:val="14903E04"/>
    <w:rsid w:val="14972381"/>
    <w:rsid w:val="14A20267"/>
    <w:rsid w:val="14B52807"/>
    <w:rsid w:val="14B940A6"/>
    <w:rsid w:val="14BA1BCC"/>
    <w:rsid w:val="14BE16BC"/>
    <w:rsid w:val="14C34D67"/>
    <w:rsid w:val="14C724CE"/>
    <w:rsid w:val="14CA5427"/>
    <w:rsid w:val="14E07884"/>
    <w:rsid w:val="14E32ED1"/>
    <w:rsid w:val="14FF53E6"/>
    <w:rsid w:val="150317C5"/>
    <w:rsid w:val="150572EB"/>
    <w:rsid w:val="150A448F"/>
    <w:rsid w:val="150C68CB"/>
    <w:rsid w:val="152F25BA"/>
    <w:rsid w:val="153E0735"/>
    <w:rsid w:val="15436065"/>
    <w:rsid w:val="154461CC"/>
    <w:rsid w:val="15597637"/>
    <w:rsid w:val="156C1118"/>
    <w:rsid w:val="156C2EC6"/>
    <w:rsid w:val="156D6C3E"/>
    <w:rsid w:val="157616C5"/>
    <w:rsid w:val="15804BC3"/>
    <w:rsid w:val="159643E7"/>
    <w:rsid w:val="15A9411A"/>
    <w:rsid w:val="15BD23EA"/>
    <w:rsid w:val="15C9430D"/>
    <w:rsid w:val="15D373E9"/>
    <w:rsid w:val="15E213DA"/>
    <w:rsid w:val="15E52C78"/>
    <w:rsid w:val="15F14CB0"/>
    <w:rsid w:val="15FA4976"/>
    <w:rsid w:val="16021A7C"/>
    <w:rsid w:val="16027CCE"/>
    <w:rsid w:val="161B48EC"/>
    <w:rsid w:val="162C7D6D"/>
    <w:rsid w:val="1633342F"/>
    <w:rsid w:val="1647748F"/>
    <w:rsid w:val="166149F5"/>
    <w:rsid w:val="16683008"/>
    <w:rsid w:val="166C5148"/>
    <w:rsid w:val="16877BED"/>
    <w:rsid w:val="168E3310"/>
    <w:rsid w:val="16A36DBB"/>
    <w:rsid w:val="16A50D85"/>
    <w:rsid w:val="16A6065A"/>
    <w:rsid w:val="16B81E85"/>
    <w:rsid w:val="16C136E5"/>
    <w:rsid w:val="16CF7F44"/>
    <w:rsid w:val="16D2144F"/>
    <w:rsid w:val="16FE3FF2"/>
    <w:rsid w:val="171323AA"/>
    <w:rsid w:val="172337D9"/>
    <w:rsid w:val="17400AAE"/>
    <w:rsid w:val="1740285C"/>
    <w:rsid w:val="17546308"/>
    <w:rsid w:val="17591B70"/>
    <w:rsid w:val="17681BB1"/>
    <w:rsid w:val="178F10EE"/>
    <w:rsid w:val="179B3F36"/>
    <w:rsid w:val="179E3336"/>
    <w:rsid w:val="17A86360"/>
    <w:rsid w:val="17B44FF8"/>
    <w:rsid w:val="17B63456"/>
    <w:rsid w:val="17E05DED"/>
    <w:rsid w:val="17E1714A"/>
    <w:rsid w:val="17E44EC0"/>
    <w:rsid w:val="17F2764F"/>
    <w:rsid w:val="17FF44C5"/>
    <w:rsid w:val="17FF46D1"/>
    <w:rsid w:val="18023E10"/>
    <w:rsid w:val="181F06C4"/>
    <w:rsid w:val="1833416F"/>
    <w:rsid w:val="18386D56"/>
    <w:rsid w:val="18524B4C"/>
    <w:rsid w:val="18585984"/>
    <w:rsid w:val="18641846"/>
    <w:rsid w:val="18716A45"/>
    <w:rsid w:val="18730A0F"/>
    <w:rsid w:val="18737F6A"/>
    <w:rsid w:val="187D1E98"/>
    <w:rsid w:val="187D53EA"/>
    <w:rsid w:val="18932E60"/>
    <w:rsid w:val="189C1D14"/>
    <w:rsid w:val="18A817AE"/>
    <w:rsid w:val="18B21538"/>
    <w:rsid w:val="18BB7749"/>
    <w:rsid w:val="18C44192"/>
    <w:rsid w:val="18C96881"/>
    <w:rsid w:val="18D9512F"/>
    <w:rsid w:val="18DD40DB"/>
    <w:rsid w:val="18DF176E"/>
    <w:rsid w:val="18E92A80"/>
    <w:rsid w:val="18ED431E"/>
    <w:rsid w:val="18EF453A"/>
    <w:rsid w:val="18F558C8"/>
    <w:rsid w:val="18F877F3"/>
    <w:rsid w:val="1901601B"/>
    <w:rsid w:val="19017DC9"/>
    <w:rsid w:val="19070275"/>
    <w:rsid w:val="19106B6F"/>
    <w:rsid w:val="19121FD6"/>
    <w:rsid w:val="19235F91"/>
    <w:rsid w:val="193C7053"/>
    <w:rsid w:val="193F7C64"/>
    <w:rsid w:val="19614D0C"/>
    <w:rsid w:val="196C36C2"/>
    <w:rsid w:val="196D1903"/>
    <w:rsid w:val="196D1EB9"/>
    <w:rsid w:val="19724162"/>
    <w:rsid w:val="199649B5"/>
    <w:rsid w:val="199B021E"/>
    <w:rsid w:val="199F19A9"/>
    <w:rsid w:val="19B47531"/>
    <w:rsid w:val="19C214C4"/>
    <w:rsid w:val="19DD0836"/>
    <w:rsid w:val="19EF056A"/>
    <w:rsid w:val="19F70AC5"/>
    <w:rsid w:val="19F94F44"/>
    <w:rsid w:val="19FD13BA"/>
    <w:rsid w:val="1A1324AA"/>
    <w:rsid w:val="1A2B77F4"/>
    <w:rsid w:val="1A2F16BB"/>
    <w:rsid w:val="1A2F6BB8"/>
    <w:rsid w:val="1A3448A7"/>
    <w:rsid w:val="1A766595"/>
    <w:rsid w:val="1A78230D"/>
    <w:rsid w:val="1A8213DE"/>
    <w:rsid w:val="1A8C400A"/>
    <w:rsid w:val="1AA2738A"/>
    <w:rsid w:val="1AA57FC0"/>
    <w:rsid w:val="1AAC1FB7"/>
    <w:rsid w:val="1AAE61FB"/>
    <w:rsid w:val="1AB23324"/>
    <w:rsid w:val="1AB64BE3"/>
    <w:rsid w:val="1ABA0B77"/>
    <w:rsid w:val="1ACE4623"/>
    <w:rsid w:val="1AD339E7"/>
    <w:rsid w:val="1ADC4B9E"/>
    <w:rsid w:val="1ADF34BC"/>
    <w:rsid w:val="1AE23C2A"/>
    <w:rsid w:val="1AED13C7"/>
    <w:rsid w:val="1AEF5FB9"/>
    <w:rsid w:val="1AFA71C6"/>
    <w:rsid w:val="1AFF47DC"/>
    <w:rsid w:val="1B0911B7"/>
    <w:rsid w:val="1B124510"/>
    <w:rsid w:val="1B193AF0"/>
    <w:rsid w:val="1B1D4C62"/>
    <w:rsid w:val="1B210BF7"/>
    <w:rsid w:val="1B2D30F7"/>
    <w:rsid w:val="1B351FAC"/>
    <w:rsid w:val="1B7747F3"/>
    <w:rsid w:val="1B7900EB"/>
    <w:rsid w:val="1B79254B"/>
    <w:rsid w:val="1B936430"/>
    <w:rsid w:val="1B943177"/>
    <w:rsid w:val="1B9969DF"/>
    <w:rsid w:val="1BA55384"/>
    <w:rsid w:val="1BA57132"/>
    <w:rsid w:val="1BAA299A"/>
    <w:rsid w:val="1BBC447B"/>
    <w:rsid w:val="1BDD4B1E"/>
    <w:rsid w:val="1BE76F28"/>
    <w:rsid w:val="1C0302FC"/>
    <w:rsid w:val="1C052EC8"/>
    <w:rsid w:val="1C072592"/>
    <w:rsid w:val="1C177904"/>
    <w:rsid w:val="1C5A26D3"/>
    <w:rsid w:val="1C5D0DA4"/>
    <w:rsid w:val="1C640D9B"/>
    <w:rsid w:val="1C6554F8"/>
    <w:rsid w:val="1C6E39C8"/>
    <w:rsid w:val="1C6F5742"/>
    <w:rsid w:val="1C7134B8"/>
    <w:rsid w:val="1C76287C"/>
    <w:rsid w:val="1C8036FB"/>
    <w:rsid w:val="1C872925"/>
    <w:rsid w:val="1C962F1E"/>
    <w:rsid w:val="1C9D24FF"/>
    <w:rsid w:val="1C9E0082"/>
    <w:rsid w:val="1C9F4B65"/>
    <w:rsid w:val="1CA0217C"/>
    <w:rsid w:val="1CA67605"/>
    <w:rsid w:val="1CAA693B"/>
    <w:rsid w:val="1CB14442"/>
    <w:rsid w:val="1CB33AD0"/>
    <w:rsid w:val="1CC66428"/>
    <w:rsid w:val="1CED6FE2"/>
    <w:rsid w:val="1CFE11EF"/>
    <w:rsid w:val="1D0113C9"/>
    <w:rsid w:val="1D0A2DA7"/>
    <w:rsid w:val="1D1140B4"/>
    <w:rsid w:val="1D126A49"/>
    <w:rsid w:val="1D2B18B9"/>
    <w:rsid w:val="1D3544E5"/>
    <w:rsid w:val="1D497F91"/>
    <w:rsid w:val="1D556936"/>
    <w:rsid w:val="1D630F86"/>
    <w:rsid w:val="1D752B34"/>
    <w:rsid w:val="1D7B2840"/>
    <w:rsid w:val="1D7E5E8C"/>
    <w:rsid w:val="1D802372"/>
    <w:rsid w:val="1D836591"/>
    <w:rsid w:val="1DB55626"/>
    <w:rsid w:val="1DC05121"/>
    <w:rsid w:val="1DC15D79"/>
    <w:rsid w:val="1DC85AE6"/>
    <w:rsid w:val="1DCB4E4A"/>
    <w:rsid w:val="1DDB503E"/>
    <w:rsid w:val="1DE33F41"/>
    <w:rsid w:val="1DE84D03"/>
    <w:rsid w:val="1DE85A9D"/>
    <w:rsid w:val="1DEC54EC"/>
    <w:rsid w:val="1DEC55F2"/>
    <w:rsid w:val="1DF13B3B"/>
    <w:rsid w:val="1DF4614E"/>
    <w:rsid w:val="1DFE6FCD"/>
    <w:rsid w:val="1E081BFA"/>
    <w:rsid w:val="1E0E2B0B"/>
    <w:rsid w:val="1E1660C5"/>
    <w:rsid w:val="1E171E3D"/>
    <w:rsid w:val="1E205195"/>
    <w:rsid w:val="1E262080"/>
    <w:rsid w:val="1E276322"/>
    <w:rsid w:val="1E2F0A09"/>
    <w:rsid w:val="1E37428D"/>
    <w:rsid w:val="1E4C0B08"/>
    <w:rsid w:val="1E537319"/>
    <w:rsid w:val="1E5F2F8D"/>
    <w:rsid w:val="1E650DFA"/>
    <w:rsid w:val="1E6757C2"/>
    <w:rsid w:val="1E8C282B"/>
    <w:rsid w:val="1E90231B"/>
    <w:rsid w:val="1E982F7E"/>
    <w:rsid w:val="1EAC45D3"/>
    <w:rsid w:val="1EC176A7"/>
    <w:rsid w:val="1EC71AB5"/>
    <w:rsid w:val="1ECF4FD3"/>
    <w:rsid w:val="1ED0096A"/>
    <w:rsid w:val="1ED8781E"/>
    <w:rsid w:val="1EDB6610"/>
    <w:rsid w:val="1EF4202D"/>
    <w:rsid w:val="1F02489B"/>
    <w:rsid w:val="1F095D51"/>
    <w:rsid w:val="1F114ADE"/>
    <w:rsid w:val="1F132604"/>
    <w:rsid w:val="1F242A63"/>
    <w:rsid w:val="1F2627EB"/>
    <w:rsid w:val="1F294332"/>
    <w:rsid w:val="1F2A62AD"/>
    <w:rsid w:val="1F3233D2"/>
    <w:rsid w:val="1F42113B"/>
    <w:rsid w:val="1F4804CC"/>
    <w:rsid w:val="1F7A2683"/>
    <w:rsid w:val="1F7E2174"/>
    <w:rsid w:val="1F846B7E"/>
    <w:rsid w:val="1FA6791C"/>
    <w:rsid w:val="1FAA11BB"/>
    <w:rsid w:val="1FB35D6F"/>
    <w:rsid w:val="1FC75246"/>
    <w:rsid w:val="1FD60202"/>
    <w:rsid w:val="1FE01FA9"/>
    <w:rsid w:val="1FEF6DB8"/>
    <w:rsid w:val="1FFF0DDD"/>
    <w:rsid w:val="200A3A07"/>
    <w:rsid w:val="200D799B"/>
    <w:rsid w:val="20162241"/>
    <w:rsid w:val="201A79C2"/>
    <w:rsid w:val="201E4F4F"/>
    <w:rsid w:val="20256A93"/>
    <w:rsid w:val="202645B9"/>
    <w:rsid w:val="20270A5D"/>
    <w:rsid w:val="20286583"/>
    <w:rsid w:val="20315438"/>
    <w:rsid w:val="20384A18"/>
    <w:rsid w:val="20390790"/>
    <w:rsid w:val="203C3DDD"/>
    <w:rsid w:val="2040240F"/>
    <w:rsid w:val="204F3B10"/>
    <w:rsid w:val="205055EF"/>
    <w:rsid w:val="206C46C2"/>
    <w:rsid w:val="207C10F2"/>
    <w:rsid w:val="208E4638"/>
    <w:rsid w:val="20976AB4"/>
    <w:rsid w:val="20A81514"/>
    <w:rsid w:val="20AB6760"/>
    <w:rsid w:val="20B00A53"/>
    <w:rsid w:val="20B16579"/>
    <w:rsid w:val="20C84600"/>
    <w:rsid w:val="20C95670"/>
    <w:rsid w:val="20D65FDF"/>
    <w:rsid w:val="20E85D1A"/>
    <w:rsid w:val="20EF0E4F"/>
    <w:rsid w:val="210055F8"/>
    <w:rsid w:val="21020B82"/>
    <w:rsid w:val="21052421"/>
    <w:rsid w:val="21090163"/>
    <w:rsid w:val="2126121F"/>
    <w:rsid w:val="212A7304"/>
    <w:rsid w:val="216604FC"/>
    <w:rsid w:val="21750BB9"/>
    <w:rsid w:val="217B0F40"/>
    <w:rsid w:val="218A192D"/>
    <w:rsid w:val="218E0668"/>
    <w:rsid w:val="21A972E1"/>
    <w:rsid w:val="21B47199"/>
    <w:rsid w:val="21E14C3C"/>
    <w:rsid w:val="21E5472C"/>
    <w:rsid w:val="21EE6EEB"/>
    <w:rsid w:val="21F816C1"/>
    <w:rsid w:val="221C5C74"/>
    <w:rsid w:val="222B0959"/>
    <w:rsid w:val="222F1E4B"/>
    <w:rsid w:val="22395DB5"/>
    <w:rsid w:val="2240564F"/>
    <w:rsid w:val="224F6049"/>
    <w:rsid w:val="22603DB2"/>
    <w:rsid w:val="2264741B"/>
    <w:rsid w:val="22675ACD"/>
    <w:rsid w:val="22743D02"/>
    <w:rsid w:val="22816594"/>
    <w:rsid w:val="229879F0"/>
    <w:rsid w:val="22A00653"/>
    <w:rsid w:val="22A52EFA"/>
    <w:rsid w:val="22A567AC"/>
    <w:rsid w:val="22AA3280"/>
    <w:rsid w:val="22BD2FB3"/>
    <w:rsid w:val="22C177D1"/>
    <w:rsid w:val="22C5455D"/>
    <w:rsid w:val="22CB1F7F"/>
    <w:rsid w:val="22CC31F6"/>
    <w:rsid w:val="22D43C96"/>
    <w:rsid w:val="22D7603D"/>
    <w:rsid w:val="22DB5B2F"/>
    <w:rsid w:val="22E37A07"/>
    <w:rsid w:val="22EC6903"/>
    <w:rsid w:val="22FB3ADB"/>
    <w:rsid w:val="23076924"/>
    <w:rsid w:val="23214B81"/>
    <w:rsid w:val="23250B58"/>
    <w:rsid w:val="23287A3B"/>
    <w:rsid w:val="234E0C74"/>
    <w:rsid w:val="235D595F"/>
    <w:rsid w:val="2366667A"/>
    <w:rsid w:val="236E24FF"/>
    <w:rsid w:val="23725A46"/>
    <w:rsid w:val="237A70F6"/>
    <w:rsid w:val="237C10C0"/>
    <w:rsid w:val="238D31A7"/>
    <w:rsid w:val="239F4DAE"/>
    <w:rsid w:val="23A67EEB"/>
    <w:rsid w:val="23A75A11"/>
    <w:rsid w:val="23AB5501"/>
    <w:rsid w:val="23C40371"/>
    <w:rsid w:val="23D5257E"/>
    <w:rsid w:val="23DD1433"/>
    <w:rsid w:val="23ED1676"/>
    <w:rsid w:val="23EF1892"/>
    <w:rsid w:val="23F37F14"/>
    <w:rsid w:val="23F956E8"/>
    <w:rsid w:val="23FC3FAF"/>
    <w:rsid w:val="23FE7D27"/>
    <w:rsid w:val="24015121"/>
    <w:rsid w:val="241E2177"/>
    <w:rsid w:val="24305A06"/>
    <w:rsid w:val="244400BF"/>
    <w:rsid w:val="2447702E"/>
    <w:rsid w:val="24765B0F"/>
    <w:rsid w:val="247C0C4C"/>
    <w:rsid w:val="247C50B5"/>
    <w:rsid w:val="248A5117"/>
    <w:rsid w:val="248F4E23"/>
    <w:rsid w:val="249A5961"/>
    <w:rsid w:val="249B0281"/>
    <w:rsid w:val="24A3267C"/>
    <w:rsid w:val="24AF2DCF"/>
    <w:rsid w:val="24C13735"/>
    <w:rsid w:val="24C22B02"/>
    <w:rsid w:val="24D570AE"/>
    <w:rsid w:val="24D6035C"/>
    <w:rsid w:val="24E01EF1"/>
    <w:rsid w:val="24E2777A"/>
    <w:rsid w:val="24E94533"/>
    <w:rsid w:val="24F51DFC"/>
    <w:rsid w:val="250C0222"/>
    <w:rsid w:val="250C30B2"/>
    <w:rsid w:val="25294B7D"/>
    <w:rsid w:val="253D662D"/>
    <w:rsid w:val="254706FC"/>
    <w:rsid w:val="255D282B"/>
    <w:rsid w:val="25643BBA"/>
    <w:rsid w:val="25675458"/>
    <w:rsid w:val="256B13EC"/>
    <w:rsid w:val="25924268"/>
    <w:rsid w:val="2593449F"/>
    <w:rsid w:val="25E67FEE"/>
    <w:rsid w:val="25E76599"/>
    <w:rsid w:val="25EB7E37"/>
    <w:rsid w:val="25F3318F"/>
    <w:rsid w:val="26220E5B"/>
    <w:rsid w:val="2629095F"/>
    <w:rsid w:val="262D2207"/>
    <w:rsid w:val="26355556"/>
    <w:rsid w:val="2637307C"/>
    <w:rsid w:val="263B1FA4"/>
    <w:rsid w:val="263B7010"/>
    <w:rsid w:val="263C7979"/>
    <w:rsid w:val="264B2FCC"/>
    <w:rsid w:val="264E5249"/>
    <w:rsid w:val="2650413E"/>
    <w:rsid w:val="265359DC"/>
    <w:rsid w:val="26551754"/>
    <w:rsid w:val="267918E7"/>
    <w:rsid w:val="267B7958"/>
    <w:rsid w:val="26834513"/>
    <w:rsid w:val="268E3818"/>
    <w:rsid w:val="268F110A"/>
    <w:rsid w:val="268F1DAB"/>
    <w:rsid w:val="2694227D"/>
    <w:rsid w:val="26A10E3D"/>
    <w:rsid w:val="26AB43A0"/>
    <w:rsid w:val="26AC3A6A"/>
    <w:rsid w:val="26AF5314"/>
    <w:rsid w:val="26BE763B"/>
    <w:rsid w:val="26D708E5"/>
    <w:rsid w:val="26DF4C1B"/>
    <w:rsid w:val="26E730BC"/>
    <w:rsid w:val="270135A4"/>
    <w:rsid w:val="271138CD"/>
    <w:rsid w:val="271635D9"/>
    <w:rsid w:val="272C6959"/>
    <w:rsid w:val="27334D4B"/>
    <w:rsid w:val="274517C9"/>
    <w:rsid w:val="274E4B21"/>
    <w:rsid w:val="2751016E"/>
    <w:rsid w:val="277B3BA7"/>
    <w:rsid w:val="27A43A41"/>
    <w:rsid w:val="27A97396"/>
    <w:rsid w:val="27B716B6"/>
    <w:rsid w:val="27B84691"/>
    <w:rsid w:val="27BD1CA7"/>
    <w:rsid w:val="27BD29B1"/>
    <w:rsid w:val="27C923FA"/>
    <w:rsid w:val="27CA464D"/>
    <w:rsid w:val="27CB7F20"/>
    <w:rsid w:val="27E56656"/>
    <w:rsid w:val="27E70AD2"/>
    <w:rsid w:val="27E91720"/>
    <w:rsid w:val="27F136A9"/>
    <w:rsid w:val="27F21934"/>
    <w:rsid w:val="27F6382B"/>
    <w:rsid w:val="27FA0805"/>
    <w:rsid w:val="27FD20A3"/>
    <w:rsid w:val="280F14ED"/>
    <w:rsid w:val="280F3776"/>
    <w:rsid w:val="281C4C20"/>
    <w:rsid w:val="28335AC5"/>
    <w:rsid w:val="28357A8F"/>
    <w:rsid w:val="2852419D"/>
    <w:rsid w:val="28527CD1"/>
    <w:rsid w:val="28697739"/>
    <w:rsid w:val="287C121A"/>
    <w:rsid w:val="287C7ABF"/>
    <w:rsid w:val="28844573"/>
    <w:rsid w:val="28885E11"/>
    <w:rsid w:val="289123ED"/>
    <w:rsid w:val="289A62B4"/>
    <w:rsid w:val="28A30E9D"/>
    <w:rsid w:val="28A4029C"/>
    <w:rsid w:val="28AA3FD9"/>
    <w:rsid w:val="28C52BC1"/>
    <w:rsid w:val="28D70B46"/>
    <w:rsid w:val="28E60D8A"/>
    <w:rsid w:val="28E9787B"/>
    <w:rsid w:val="28EA6E9E"/>
    <w:rsid w:val="28EF7AB7"/>
    <w:rsid w:val="28FE2577"/>
    <w:rsid w:val="29183639"/>
    <w:rsid w:val="29441132"/>
    <w:rsid w:val="296C18DD"/>
    <w:rsid w:val="296F0D7F"/>
    <w:rsid w:val="29763EBB"/>
    <w:rsid w:val="297E09A5"/>
    <w:rsid w:val="29890753"/>
    <w:rsid w:val="298962E5"/>
    <w:rsid w:val="29934A6D"/>
    <w:rsid w:val="29A44ECD"/>
    <w:rsid w:val="29B50E88"/>
    <w:rsid w:val="29B72649"/>
    <w:rsid w:val="29B90BAE"/>
    <w:rsid w:val="29C9048F"/>
    <w:rsid w:val="29CF7F37"/>
    <w:rsid w:val="29DD3F3B"/>
    <w:rsid w:val="2A064AA7"/>
    <w:rsid w:val="2A0753E5"/>
    <w:rsid w:val="2A0C29B8"/>
    <w:rsid w:val="2A0E5104"/>
    <w:rsid w:val="2A131C98"/>
    <w:rsid w:val="2A1536D4"/>
    <w:rsid w:val="2A500BB0"/>
    <w:rsid w:val="2A570E85"/>
    <w:rsid w:val="2A5C1303"/>
    <w:rsid w:val="2A6A337B"/>
    <w:rsid w:val="2A6B1546"/>
    <w:rsid w:val="2A76596A"/>
    <w:rsid w:val="2A7A79DB"/>
    <w:rsid w:val="2A830F86"/>
    <w:rsid w:val="2A8745B6"/>
    <w:rsid w:val="2A9860B3"/>
    <w:rsid w:val="2A9A1E2C"/>
    <w:rsid w:val="2A9F5694"/>
    <w:rsid w:val="2AA23A25"/>
    <w:rsid w:val="2AA23AE1"/>
    <w:rsid w:val="2AAA6513"/>
    <w:rsid w:val="2AC1560A"/>
    <w:rsid w:val="2AC60E73"/>
    <w:rsid w:val="2ACC53CC"/>
    <w:rsid w:val="2ACF41CB"/>
    <w:rsid w:val="2AD15C14"/>
    <w:rsid w:val="2ADC2444"/>
    <w:rsid w:val="2AF015CC"/>
    <w:rsid w:val="2B045837"/>
    <w:rsid w:val="2B07429B"/>
    <w:rsid w:val="2B152059"/>
    <w:rsid w:val="2B154372"/>
    <w:rsid w:val="2B1A0AB5"/>
    <w:rsid w:val="2B2116B0"/>
    <w:rsid w:val="2B230073"/>
    <w:rsid w:val="2B285689"/>
    <w:rsid w:val="2B323DA2"/>
    <w:rsid w:val="2B430715"/>
    <w:rsid w:val="2B520958"/>
    <w:rsid w:val="2B626DED"/>
    <w:rsid w:val="2B634913"/>
    <w:rsid w:val="2B85488A"/>
    <w:rsid w:val="2BA56CDA"/>
    <w:rsid w:val="2BBB02AC"/>
    <w:rsid w:val="2BC37160"/>
    <w:rsid w:val="2BE55328"/>
    <w:rsid w:val="2BEC2B5B"/>
    <w:rsid w:val="2BFF63EA"/>
    <w:rsid w:val="2C246995"/>
    <w:rsid w:val="2C3562B0"/>
    <w:rsid w:val="2C385DA0"/>
    <w:rsid w:val="2C444745"/>
    <w:rsid w:val="2C4944EB"/>
    <w:rsid w:val="2C4958B7"/>
    <w:rsid w:val="2C4B162F"/>
    <w:rsid w:val="2C54043B"/>
    <w:rsid w:val="2C5D1363"/>
    <w:rsid w:val="2C5F50DB"/>
    <w:rsid w:val="2C6203A4"/>
    <w:rsid w:val="2C792640"/>
    <w:rsid w:val="2C8132A3"/>
    <w:rsid w:val="2C9254B0"/>
    <w:rsid w:val="2C9C1E8B"/>
    <w:rsid w:val="2CA91FCE"/>
    <w:rsid w:val="2CAB0320"/>
    <w:rsid w:val="2CB847EB"/>
    <w:rsid w:val="2CC6515A"/>
    <w:rsid w:val="2CD23AFF"/>
    <w:rsid w:val="2CD72C54"/>
    <w:rsid w:val="2CE43832"/>
    <w:rsid w:val="2CEA709A"/>
    <w:rsid w:val="2CEB4BC0"/>
    <w:rsid w:val="2CF00429"/>
    <w:rsid w:val="2CF63C91"/>
    <w:rsid w:val="2D022235"/>
    <w:rsid w:val="2D031F0A"/>
    <w:rsid w:val="2D0F08AF"/>
    <w:rsid w:val="2D1A4D32"/>
    <w:rsid w:val="2D1C7470"/>
    <w:rsid w:val="2D2125B0"/>
    <w:rsid w:val="2D2F71A3"/>
    <w:rsid w:val="2D371BB4"/>
    <w:rsid w:val="2D3B78F6"/>
    <w:rsid w:val="2D3E2F42"/>
    <w:rsid w:val="2D7C1CBC"/>
    <w:rsid w:val="2D8017AD"/>
    <w:rsid w:val="2D8868B3"/>
    <w:rsid w:val="2DAC4350"/>
    <w:rsid w:val="2DBD7BEB"/>
    <w:rsid w:val="2DC511FA"/>
    <w:rsid w:val="2DE47F8D"/>
    <w:rsid w:val="2E141EF5"/>
    <w:rsid w:val="2E1755ED"/>
    <w:rsid w:val="2E19750B"/>
    <w:rsid w:val="2E2C6459"/>
    <w:rsid w:val="2E374561"/>
    <w:rsid w:val="2E494294"/>
    <w:rsid w:val="2E5073D1"/>
    <w:rsid w:val="2E56250D"/>
    <w:rsid w:val="2E5A1FFE"/>
    <w:rsid w:val="2E605E44"/>
    <w:rsid w:val="2E623354"/>
    <w:rsid w:val="2E6A4E27"/>
    <w:rsid w:val="2E7D7A9A"/>
    <w:rsid w:val="2E9B12B3"/>
    <w:rsid w:val="2EAB0AAB"/>
    <w:rsid w:val="2ED33B5E"/>
    <w:rsid w:val="2EDA313F"/>
    <w:rsid w:val="2EE53D89"/>
    <w:rsid w:val="2EEC10D1"/>
    <w:rsid w:val="2EF17E76"/>
    <w:rsid w:val="2F030EDA"/>
    <w:rsid w:val="2F0412C1"/>
    <w:rsid w:val="2F171C9D"/>
    <w:rsid w:val="2F1749E6"/>
    <w:rsid w:val="2F202F46"/>
    <w:rsid w:val="2F2E6FE6"/>
    <w:rsid w:val="2F397E65"/>
    <w:rsid w:val="2F436F36"/>
    <w:rsid w:val="2F47268D"/>
    <w:rsid w:val="2F484F80"/>
    <w:rsid w:val="2F57653D"/>
    <w:rsid w:val="2F8F5CD7"/>
    <w:rsid w:val="2F926074"/>
    <w:rsid w:val="2F963509"/>
    <w:rsid w:val="2F971630"/>
    <w:rsid w:val="2FA774C5"/>
    <w:rsid w:val="2FB44E46"/>
    <w:rsid w:val="2FCA005B"/>
    <w:rsid w:val="2FDC6A42"/>
    <w:rsid w:val="2FE204FD"/>
    <w:rsid w:val="2FEE6EA1"/>
    <w:rsid w:val="2FFF4CAE"/>
    <w:rsid w:val="30000983"/>
    <w:rsid w:val="30042C3B"/>
    <w:rsid w:val="301663F8"/>
    <w:rsid w:val="301F1BC4"/>
    <w:rsid w:val="302C1778"/>
    <w:rsid w:val="302E5110"/>
    <w:rsid w:val="303A5A64"/>
    <w:rsid w:val="30444D13"/>
    <w:rsid w:val="304E74D7"/>
    <w:rsid w:val="305111DE"/>
    <w:rsid w:val="3058256D"/>
    <w:rsid w:val="305B205D"/>
    <w:rsid w:val="307A6987"/>
    <w:rsid w:val="30823A8E"/>
    <w:rsid w:val="3086532C"/>
    <w:rsid w:val="3087341E"/>
    <w:rsid w:val="308C2216"/>
    <w:rsid w:val="309317F7"/>
    <w:rsid w:val="3095429A"/>
    <w:rsid w:val="30A91479"/>
    <w:rsid w:val="30B04157"/>
    <w:rsid w:val="30B14C3C"/>
    <w:rsid w:val="30CD2F5B"/>
    <w:rsid w:val="30CE5B13"/>
    <w:rsid w:val="30E12562"/>
    <w:rsid w:val="30E84AF7"/>
    <w:rsid w:val="31103BE8"/>
    <w:rsid w:val="31132938"/>
    <w:rsid w:val="313703D4"/>
    <w:rsid w:val="31490108"/>
    <w:rsid w:val="31523460"/>
    <w:rsid w:val="31557F85"/>
    <w:rsid w:val="315630DF"/>
    <w:rsid w:val="315736D8"/>
    <w:rsid w:val="3166515D"/>
    <w:rsid w:val="31684A32"/>
    <w:rsid w:val="316E7B6E"/>
    <w:rsid w:val="317403C7"/>
    <w:rsid w:val="3179559F"/>
    <w:rsid w:val="317E6003"/>
    <w:rsid w:val="3183186B"/>
    <w:rsid w:val="319B6BB5"/>
    <w:rsid w:val="31A1154D"/>
    <w:rsid w:val="31A17F44"/>
    <w:rsid w:val="31A31F0E"/>
    <w:rsid w:val="31AD053C"/>
    <w:rsid w:val="31B47C77"/>
    <w:rsid w:val="31BC4D7D"/>
    <w:rsid w:val="31D04385"/>
    <w:rsid w:val="31E340B8"/>
    <w:rsid w:val="31E513C0"/>
    <w:rsid w:val="31EE13DB"/>
    <w:rsid w:val="31F957C3"/>
    <w:rsid w:val="320433D9"/>
    <w:rsid w:val="320B1E88"/>
    <w:rsid w:val="322272D6"/>
    <w:rsid w:val="323D7C6C"/>
    <w:rsid w:val="324F79A0"/>
    <w:rsid w:val="32540C44"/>
    <w:rsid w:val="325B29A2"/>
    <w:rsid w:val="3268280F"/>
    <w:rsid w:val="32696CB3"/>
    <w:rsid w:val="326D226F"/>
    <w:rsid w:val="32755BEE"/>
    <w:rsid w:val="328533C1"/>
    <w:rsid w:val="32A4546A"/>
    <w:rsid w:val="32B31CDC"/>
    <w:rsid w:val="32C57C62"/>
    <w:rsid w:val="32DD31FD"/>
    <w:rsid w:val="32ED1980"/>
    <w:rsid w:val="32EE540A"/>
    <w:rsid w:val="32F00E54"/>
    <w:rsid w:val="32F1304C"/>
    <w:rsid w:val="33094881"/>
    <w:rsid w:val="33370B5F"/>
    <w:rsid w:val="333A0650"/>
    <w:rsid w:val="333F3794"/>
    <w:rsid w:val="33462335"/>
    <w:rsid w:val="33467502"/>
    <w:rsid w:val="334F40FB"/>
    <w:rsid w:val="33557238"/>
    <w:rsid w:val="335A57BD"/>
    <w:rsid w:val="3381627F"/>
    <w:rsid w:val="33953AD8"/>
    <w:rsid w:val="339A10EE"/>
    <w:rsid w:val="339E5D33"/>
    <w:rsid w:val="33B0446E"/>
    <w:rsid w:val="33B977C6"/>
    <w:rsid w:val="33C53AAF"/>
    <w:rsid w:val="33C87A09"/>
    <w:rsid w:val="33D52183"/>
    <w:rsid w:val="33E04D53"/>
    <w:rsid w:val="33EC17CD"/>
    <w:rsid w:val="33EF143A"/>
    <w:rsid w:val="33EF1C73"/>
    <w:rsid w:val="33FA6F1E"/>
    <w:rsid w:val="340661A5"/>
    <w:rsid w:val="340903E3"/>
    <w:rsid w:val="340E30B9"/>
    <w:rsid w:val="34106DFB"/>
    <w:rsid w:val="34126ED7"/>
    <w:rsid w:val="341E3ACD"/>
    <w:rsid w:val="34311A53"/>
    <w:rsid w:val="343678CD"/>
    <w:rsid w:val="343B642D"/>
    <w:rsid w:val="34467C72"/>
    <w:rsid w:val="34480B4A"/>
    <w:rsid w:val="345968B4"/>
    <w:rsid w:val="345A0C5F"/>
    <w:rsid w:val="345B087E"/>
    <w:rsid w:val="346040E6"/>
    <w:rsid w:val="34702AF7"/>
    <w:rsid w:val="347A2085"/>
    <w:rsid w:val="347F27BE"/>
    <w:rsid w:val="34897199"/>
    <w:rsid w:val="34945B3E"/>
    <w:rsid w:val="349873DC"/>
    <w:rsid w:val="34A51AF9"/>
    <w:rsid w:val="34AD7661"/>
    <w:rsid w:val="34B01E1E"/>
    <w:rsid w:val="34DE4124"/>
    <w:rsid w:val="34E16FD5"/>
    <w:rsid w:val="34E94961"/>
    <w:rsid w:val="34EA39B0"/>
    <w:rsid w:val="35026F4B"/>
    <w:rsid w:val="35171719"/>
    <w:rsid w:val="352E7D40"/>
    <w:rsid w:val="35411821"/>
    <w:rsid w:val="354B26A0"/>
    <w:rsid w:val="354E2190"/>
    <w:rsid w:val="355E512E"/>
    <w:rsid w:val="357243F8"/>
    <w:rsid w:val="35853917"/>
    <w:rsid w:val="35906305"/>
    <w:rsid w:val="359C73A0"/>
    <w:rsid w:val="35A26038"/>
    <w:rsid w:val="35AA3A3A"/>
    <w:rsid w:val="35AA4722"/>
    <w:rsid w:val="35C10BB4"/>
    <w:rsid w:val="35CF507F"/>
    <w:rsid w:val="35E16EBF"/>
    <w:rsid w:val="35F66AB0"/>
    <w:rsid w:val="35F86203"/>
    <w:rsid w:val="36030A2E"/>
    <w:rsid w:val="360B340E"/>
    <w:rsid w:val="360C7071"/>
    <w:rsid w:val="36116540"/>
    <w:rsid w:val="3659703F"/>
    <w:rsid w:val="365E28A7"/>
    <w:rsid w:val="366B14C0"/>
    <w:rsid w:val="368E1A09"/>
    <w:rsid w:val="369342FF"/>
    <w:rsid w:val="369D456C"/>
    <w:rsid w:val="36A06A1C"/>
    <w:rsid w:val="36A8455A"/>
    <w:rsid w:val="36C95F72"/>
    <w:rsid w:val="36D05553"/>
    <w:rsid w:val="36DF3C16"/>
    <w:rsid w:val="36E27034"/>
    <w:rsid w:val="36ED1FA3"/>
    <w:rsid w:val="36F36DEE"/>
    <w:rsid w:val="370E607B"/>
    <w:rsid w:val="37256F92"/>
    <w:rsid w:val="372E4027"/>
    <w:rsid w:val="373D070E"/>
    <w:rsid w:val="373F79B1"/>
    <w:rsid w:val="37441A9D"/>
    <w:rsid w:val="37537F32"/>
    <w:rsid w:val="376C4F8C"/>
    <w:rsid w:val="376F2F1F"/>
    <w:rsid w:val="378400EB"/>
    <w:rsid w:val="378620B5"/>
    <w:rsid w:val="37904CE2"/>
    <w:rsid w:val="379522F8"/>
    <w:rsid w:val="379540A7"/>
    <w:rsid w:val="379D00C8"/>
    <w:rsid w:val="379F0A81"/>
    <w:rsid w:val="379F2985"/>
    <w:rsid w:val="37B00EE0"/>
    <w:rsid w:val="37C03BF9"/>
    <w:rsid w:val="37CB498A"/>
    <w:rsid w:val="37D20E57"/>
    <w:rsid w:val="37E1109A"/>
    <w:rsid w:val="37E97122"/>
    <w:rsid w:val="37EE37B7"/>
    <w:rsid w:val="381551E7"/>
    <w:rsid w:val="381F7AD5"/>
    <w:rsid w:val="382611A3"/>
    <w:rsid w:val="382C4A0B"/>
    <w:rsid w:val="382D2531"/>
    <w:rsid w:val="3837515E"/>
    <w:rsid w:val="383A697D"/>
    <w:rsid w:val="384F4255"/>
    <w:rsid w:val="385633E2"/>
    <w:rsid w:val="38635F53"/>
    <w:rsid w:val="38653A79"/>
    <w:rsid w:val="386F79F1"/>
    <w:rsid w:val="38767A34"/>
    <w:rsid w:val="388D2FD0"/>
    <w:rsid w:val="38983E4E"/>
    <w:rsid w:val="38A84A79"/>
    <w:rsid w:val="38B16CBE"/>
    <w:rsid w:val="38B36EDA"/>
    <w:rsid w:val="38E2156D"/>
    <w:rsid w:val="38FD0155"/>
    <w:rsid w:val="390C65EA"/>
    <w:rsid w:val="390E2362"/>
    <w:rsid w:val="391060DB"/>
    <w:rsid w:val="39253208"/>
    <w:rsid w:val="39400042"/>
    <w:rsid w:val="39403254"/>
    <w:rsid w:val="39490357"/>
    <w:rsid w:val="396C6330"/>
    <w:rsid w:val="397877DC"/>
    <w:rsid w:val="3999678C"/>
    <w:rsid w:val="39A6259B"/>
    <w:rsid w:val="39C40C73"/>
    <w:rsid w:val="39D377DB"/>
    <w:rsid w:val="39D569DC"/>
    <w:rsid w:val="39E5331E"/>
    <w:rsid w:val="39F9503D"/>
    <w:rsid w:val="3A080BE1"/>
    <w:rsid w:val="3A105C66"/>
    <w:rsid w:val="3A152045"/>
    <w:rsid w:val="3A223DCB"/>
    <w:rsid w:val="3A2D05C6"/>
    <w:rsid w:val="3A3462BA"/>
    <w:rsid w:val="3A35391F"/>
    <w:rsid w:val="3A3A2CE3"/>
    <w:rsid w:val="3A4A561C"/>
    <w:rsid w:val="3A5169AB"/>
    <w:rsid w:val="3A58475F"/>
    <w:rsid w:val="3A5D7C28"/>
    <w:rsid w:val="3A5E7E93"/>
    <w:rsid w:val="3A6E6C87"/>
    <w:rsid w:val="3A77515E"/>
    <w:rsid w:val="3A775CE5"/>
    <w:rsid w:val="3A791A5E"/>
    <w:rsid w:val="3A802DEC"/>
    <w:rsid w:val="3A8427E0"/>
    <w:rsid w:val="3A86417A"/>
    <w:rsid w:val="3A8B0C83"/>
    <w:rsid w:val="3A940645"/>
    <w:rsid w:val="3A970136"/>
    <w:rsid w:val="3A995420"/>
    <w:rsid w:val="3AA12D62"/>
    <w:rsid w:val="3AA57114"/>
    <w:rsid w:val="3AAB72AF"/>
    <w:rsid w:val="3AD13648"/>
    <w:rsid w:val="3AEE22E7"/>
    <w:rsid w:val="3AFD213A"/>
    <w:rsid w:val="3B0427CC"/>
    <w:rsid w:val="3B1C0596"/>
    <w:rsid w:val="3B2319C9"/>
    <w:rsid w:val="3B2C6AD0"/>
    <w:rsid w:val="3B455D7F"/>
    <w:rsid w:val="3B567FF1"/>
    <w:rsid w:val="3B5B1163"/>
    <w:rsid w:val="3B716BD9"/>
    <w:rsid w:val="3B84063D"/>
    <w:rsid w:val="3B862684"/>
    <w:rsid w:val="3B8875E3"/>
    <w:rsid w:val="3B955700"/>
    <w:rsid w:val="3BC27434"/>
    <w:rsid w:val="3BC62A80"/>
    <w:rsid w:val="3BC95C98"/>
    <w:rsid w:val="3BD75940"/>
    <w:rsid w:val="3BDA29D0"/>
    <w:rsid w:val="3BDD7DCA"/>
    <w:rsid w:val="3BE8091F"/>
    <w:rsid w:val="3BE949C1"/>
    <w:rsid w:val="3BF42260"/>
    <w:rsid w:val="3C033CD5"/>
    <w:rsid w:val="3C265C15"/>
    <w:rsid w:val="3C284C49"/>
    <w:rsid w:val="3C4D13F4"/>
    <w:rsid w:val="3C4E5079"/>
    <w:rsid w:val="3C541BC5"/>
    <w:rsid w:val="3C5E2AB3"/>
    <w:rsid w:val="3C5F6A31"/>
    <w:rsid w:val="3C65673D"/>
    <w:rsid w:val="3C722C08"/>
    <w:rsid w:val="3C7C5F7D"/>
    <w:rsid w:val="3C8F37BA"/>
    <w:rsid w:val="3C9506A5"/>
    <w:rsid w:val="3C9C7C85"/>
    <w:rsid w:val="3C9E3DCB"/>
    <w:rsid w:val="3CB44FCF"/>
    <w:rsid w:val="3CCD6091"/>
    <w:rsid w:val="3CDB6174"/>
    <w:rsid w:val="3CE74BDC"/>
    <w:rsid w:val="3CF11D7F"/>
    <w:rsid w:val="3CFB49AC"/>
    <w:rsid w:val="3D015D3A"/>
    <w:rsid w:val="3D050477"/>
    <w:rsid w:val="3D0F0457"/>
    <w:rsid w:val="3D14341C"/>
    <w:rsid w:val="3D167A38"/>
    <w:rsid w:val="3D404852"/>
    <w:rsid w:val="3D477BF1"/>
    <w:rsid w:val="3D4A76E1"/>
    <w:rsid w:val="3D516CC2"/>
    <w:rsid w:val="3D5567B2"/>
    <w:rsid w:val="3D785FFC"/>
    <w:rsid w:val="3D7C7242"/>
    <w:rsid w:val="3DB668C6"/>
    <w:rsid w:val="3DB83232"/>
    <w:rsid w:val="3DBF3C2B"/>
    <w:rsid w:val="3DD87CDC"/>
    <w:rsid w:val="3DDB658B"/>
    <w:rsid w:val="3DE70D2F"/>
    <w:rsid w:val="3DEB4A20"/>
    <w:rsid w:val="3DF007AE"/>
    <w:rsid w:val="3DF062BF"/>
    <w:rsid w:val="3E0420ED"/>
    <w:rsid w:val="3E0618F6"/>
    <w:rsid w:val="3E0869AC"/>
    <w:rsid w:val="3E1C32D8"/>
    <w:rsid w:val="3E2C6DE7"/>
    <w:rsid w:val="3E32264F"/>
    <w:rsid w:val="3E342474"/>
    <w:rsid w:val="3E3A59A8"/>
    <w:rsid w:val="3E3E1A04"/>
    <w:rsid w:val="3E4B1963"/>
    <w:rsid w:val="3E53454B"/>
    <w:rsid w:val="3E622809"/>
    <w:rsid w:val="3E6F204E"/>
    <w:rsid w:val="3E7569E0"/>
    <w:rsid w:val="3E7C38CA"/>
    <w:rsid w:val="3E832EAB"/>
    <w:rsid w:val="3E88151A"/>
    <w:rsid w:val="3E894239"/>
    <w:rsid w:val="3E8D3D29"/>
    <w:rsid w:val="3EA71E71"/>
    <w:rsid w:val="3EA82911"/>
    <w:rsid w:val="3EC62D97"/>
    <w:rsid w:val="3ECF60F0"/>
    <w:rsid w:val="3ED100BA"/>
    <w:rsid w:val="3EE020AB"/>
    <w:rsid w:val="3EF836B7"/>
    <w:rsid w:val="3EF913BF"/>
    <w:rsid w:val="3F0D6C18"/>
    <w:rsid w:val="3F1735F3"/>
    <w:rsid w:val="3F364D39"/>
    <w:rsid w:val="3F4D34B9"/>
    <w:rsid w:val="3F505A98"/>
    <w:rsid w:val="3F524B18"/>
    <w:rsid w:val="3F5922C0"/>
    <w:rsid w:val="3F6207BA"/>
    <w:rsid w:val="3F626F64"/>
    <w:rsid w:val="3F672E55"/>
    <w:rsid w:val="3F7B1DD4"/>
    <w:rsid w:val="3F810615"/>
    <w:rsid w:val="3F836EDA"/>
    <w:rsid w:val="3F843560"/>
    <w:rsid w:val="3F8B767F"/>
    <w:rsid w:val="3F8C1CD0"/>
    <w:rsid w:val="3F8C3FE1"/>
    <w:rsid w:val="3F8C5D8F"/>
    <w:rsid w:val="3F8E51D3"/>
    <w:rsid w:val="3F8E7D59"/>
    <w:rsid w:val="3F984C13"/>
    <w:rsid w:val="3FA72BC9"/>
    <w:rsid w:val="3FB3559B"/>
    <w:rsid w:val="3FB5786C"/>
    <w:rsid w:val="3FC90D91"/>
    <w:rsid w:val="3FCF3ECE"/>
    <w:rsid w:val="3FD84260"/>
    <w:rsid w:val="3FD919BA"/>
    <w:rsid w:val="3FDC2B4A"/>
    <w:rsid w:val="3FF04570"/>
    <w:rsid w:val="3FFC7B8D"/>
    <w:rsid w:val="3FFD010D"/>
    <w:rsid w:val="400446DB"/>
    <w:rsid w:val="400718BA"/>
    <w:rsid w:val="400973E0"/>
    <w:rsid w:val="400A40D9"/>
    <w:rsid w:val="400B75FC"/>
    <w:rsid w:val="401F452F"/>
    <w:rsid w:val="402C53E6"/>
    <w:rsid w:val="40460634"/>
    <w:rsid w:val="40515724"/>
    <w:rsid w:val="40582115"/>
    <w:rsid w:val="4065700E"/>
    <w:rsid w:val="40703903"/>
    <w:rsid w:val="407927B7"/>
    <w:rsid w:val="407D7E74"/>
    <w:rsid w:val="408B38B3"/>
    <w:rsid w:val="40953369"/>
    <w:rsid w:val="40AB0497"/>
    <w:rsid w:val="40B63C8D"/>
    <w:rsid w:val="40B7508E"/>
    <w:rsid w:val="40D40AAB"/>
    <w:rsid w:val="40D77011"/>
    <w:rsid w:val="40E90FBF"/>
    <w:rsid w:val="40F40090"/>
    <w:rsid w:val="40F57964"/>
    <w:rsid w:val="40FB76BC"/>
    <w:rsid w:val="41036525"/>
    <w:rsid w:val="41072D28"/>
    <w:rsid w:val="41126768"/>
    <w:rsid w:val="412344D1"/>
    <w:rsid w:val="4125450E"/>
    <w:rsid w:val="412973EA"/>
    <w:rsid w:val="41316FA8"/>
    <w:rsid w:val="41456B3D"/>
    <w:rsid w:val="414C3A28"/>
    <w:rsid w:val="416845DA"/>
    <w:rsid w:val="418861C8"/>
    <w:rsid w:val="41AA69A0"/>
    <w:rsid w:val="41B45A71"/>
    <w:rsid w:val="41C9151C"/>
    <w:rsid w:val="41DB3A91"/>
    <w:rsid w:val="41DC41E8"/>
    <w:rsid w:val="41F71B81"/>
    <w:rsid w:val="42010DBE"/>
    <w:rsid w:val="42075BA1"/>
    <w:rsid w:val="4214206C"/>
    <w:rsid w:val="42241720"/>
    <w:rsid w:val="422C1AAB"/>
    <w:rsid w:val="42470693"/>
    <w:rsid w:val="424E37D0"/>
    <w:rsid w:val="426B25D4"/>
    <w:rsid w:val="4278084D"/>
    <w:rsid w:val="427E247B"/>
    <w:rsid w:val="428611BC"/>
    <w:rsid w:val="42BD2703"/>
    <w:rsid w:val="42C65A5C"/>
    <w:rsid w:val="42CD6DEA"/>
    <w:rsid w:val="42E04834"/>
    <w:rsid w:val="430B346F"/>
    <w:rsid w:val="43140A2D"/>
    <w:rsid w:val="431542ED"/>
    <w:rsid w:val="43160791"/>
    <w:rsid w:val="432671FE"/>
    <w:rsid w:val="432B58BF"/>
    <w:rsid w:val="43301127"/>
    <w:rsid w:val="434150E2"/>
    <w:rsid w:val="43417739"/>
    <w:rsid w:val="4355293C"/>
    <w:rsid w:val="436117D4"/>
    <w:rsid w:val="43617533"/>
    <w:rsid w:val="437049F2"/>
    <w:rsid w:val="43707776"/>
    <w:rsid w:val="43842246"/>
    <w:rsid w:val="43853221"/>
    <w:rsid w:val="43A7763B"/>
    <w:rsid w:val="43B14016"/>
    <w:rsid w:val="43B92ECB"/>
    <w:rsid w:val="43BE0166"/>
    <w:rsid w:val="43E048FB"/>
    <w:rsid w:val="440E3217"/>
    <w:rsid w:val="440F0504"/>
    <w:rsid w:val="44103433"/>
    <w:rsid w:val="4421185F"/>
    <w:rsid w:val="4437557C"/>
    <w:rsid w:val="443B7D84"/>
    <w:rsid w:val="444C2BC0"/>
    <w:rsid w:val="445361E5"/>
    <w:rsid w:val="44676DCB"/>
    <w:rsid w:val="447C0AC8"/>
    <w:rsid w:val="4482717F"/>
    <w:rsid w:val="448B4867"/>
    <w:rsid w:val="448E6105"/>
    <w:rsid w:val="44A21BB1"/>
    <w:rsid w:val="44A21CDC"/>
    <w:rsid w:val="44B57B36"/>
    <w:rsid w:val="44D05FB9"/>
    <w:rsid w:val="44D75CFE"/>
    <w:rsid w:val="44D9323B"/>
    <w:rsid w:val="44F248E6"/>
    <w:rsid w:val="452B1E36"/>
    <w:rsid w:val="452B6B92"/>
    <w:rsid w:val="45336CAD"/>
    <w:rsid w:val="453B44DF"/>
    <w:rsid w:val="453C0257"/>
    <w:rsid w:val="453C7EA3"/>
    <w:rsid w:val="454B3FF6"/>
    <w:rsid w:val="45682DFA"/>
    <w:rsid w:val="456C5AB9"/>
    <w:rsid w:val="45952817"/>
    <w:rsid w:val="45A863B8"/>
    <w:rsid w:val="45BB6D3C"/>
    <w:rsid w:val="45C24FE8"/>
    <w:rsid w:val="45CC3389"/>
    <w:rsid w:val="45CD7101"/>
    <w:rsid w:val="45D67D64"/>
    <w:rsid w:val="45E436D4"/>
    <w:rsid w:val="45F91CA4"/>
    <w:rsid w:val="46017508"/>
    <w:rsid w:val="460C7C2A"/>
    <w:rsid w:val="460F14C8"/>
    <w:rsid w:val="46130FB8"/>
    <w:rsid w:val="46132D66"/>
    <w:rsid w:val="46184820"/>
    <w:rsid w:val="46386C71"/>
    <w:rsid w:val="463A4797"/>
    <w:rsid w:val="46431B1A"/>
    <w:rsid w:val="464E1FF0"/>
    <w:rsid w:val="466366B9"/>
    <w:rsid w:val="4665558C"/>
    <w:rsid w:val="466B0DF4"/>
    <w:rsid w:val="4670640B"/>
    <w:rsid w:val="46790780"/>
    <w:rsid w:val="46794B93"/>
    <w:rsid w:val="46800253"/>
    <w:rsid w:val="46845A12"/>
    <w:rsid w:val="468C64C8"/>
    <w:rsid w:val="469320F9"/>
    <w:rsid w:val="46955E71"/>
    <w:rsid w:val="469C7200"/>
    <w:rsid w:val="46C96ACD"/>
    <w:rsid w:val="46CE1383"/>
    <w:rsid w:val="46D52711"/>
    <w:rsid w:val="46D67F86"/>
    <w:rsid w:val="46E14C12"/>
    <w:rsid w:val="46E6047B"/>
    <w:rsid w:val="46F448C2"/>
    <w:rsid w:val="47044DA5"/>
    <w:rsid w:val="47060D7D"/>
    <w:rsid w:val="47075225"/>
    <w:rsid w:val="470D5A07"/>
    <w:rsid w:val="471843AC"/>
    <w:rsid w:val="471E5E67"/>
    <w:rsid w:val="472D60AA"/>
    <w:rsid w:val="473F67A2"/>
    <w:rsid w:val="474536E0"/>
    <w:rsid w:val="47463365"/>
    <w:rsid w:val="47596E9F"/>
    <w:rsid w:val="47680E90"/>
    <w:rsid w:val="476B55F6"/>
    <w:rsid w:val="47777325"/>
    <w:rsid w:val="47925F0D"/>
    <w:rsid w:val="47A10846"/>
    <w:rsid w:val="47A876DF"/>
    <w:rsid w:val="47AA594C"/>
    <w:rsid w:val="47AF4D11"/>
    <w:rsid w:val="47B370C9"/>
    <w:rsid w:val="47BE6DA0"/>
    <w:rsid w:val="47C3256A"/>
    <w:rsid w:val="47E744AA"/>
    <w:rsid w:val="47F46BC7"/>
    <w:rsid w:val="48027536"/>
    <w:rsid w:val="48042FA6"/>
    <w:rsid w:val="481C57BF"/>
    <w:rsid w:val="481E59F2"/>
    <w:rsid w:val="48286871"/>
    <w:rsid w:val="482E032B"/>
    <w:rsid w:val="48343468"/>
    <w:rsid w:val="485578E8"/>
    <w:rsid w:val="485B78C5"/>
    <w:rsid w:val="48680CE3"/>
    <w:rsid w:val="487516C9"/>
    <w:rsid w:val="488C5052"/>
    <w:rsid w:val="48967C7F"/>
    <w:rsid w:val="489F4D85"/>
    <w:rsid w:val="48A147B6"/>
    <w:rsid w:val="48A73C3A"/>
    <w:rsid w:val="48B9571B"/>
    <w:rsid w:val="48D367DD"/>
    <w:rsid w:val="48D82045"/>
    <w:rsid w:val="48DA7B6B"/>
    <w:rsid w:val="48E82D4D"/>
    <w:rsid w:val="48F007F6"/>
    <w:rsid w:val="48F549A5"/>
    <w:rsid w:val="490C7F41"/>
    <w:rsid w:val="49115557"/>
    <w:rsid w:val="491D5CAA"/>
    <w:rsid w:val="49431BB4"/>
    <w:rsid w:val="494C4342"/>
    <w:rsid w:val="49537DE0"/>
    <w:rsid w:val="495518E8"/>
    <w:rsid w:val="495913D8"/>
    <w:rsid w:val="4977360C"/>
    <w:rsid w:val="498703ED"/>
    <w:rsid w:val="49870E8A"/>
    <w:rsid w:val="499248EA"/>
    <w:rsid w:val="49AF3B93"/>
    <w:rsid w:val="49C72B69"/>
    <w:rsid w:val="49E07403"/>
    <w:rsid w:val="49F11610"/>
    <w:rsid w:val="4A02381D"/>
    <w:rsid w:val="4A0E6954"/>
    <w:rsid w:val="4A1A47F4"/>
    <w:rsid w:val="4A275032"/>
    <w:rsid w:val="4A275F90"/>
    <w:rsid w:val="4A280DAA"/>
    <w:rsid w:val="4A29760D"/>
    <w:rsid w:val="4A2D4613"/>
    <w:rsid w:val="4A3459A1"/>
    <w:rsid w:val="4A3B288C"/>
    <w:rsid w:val="4A3B526E"/>
    <w:rsid w:val="4A3B69AF"/>
    <w:rsid w:val="4A624814"/>
    <w:rsid w:val="4A64191B"/>
    <w:rsid w:val="4A6A4F1F"/>
    <w:rsid w:val="4A722025"/>
    <w:rsid w:val="4A745F18"/>
    <w:rsid w:val="4A8204BA"/>
    <w:rsid w:val="4A8B3EC0"/>
    <w:rsid w:val="4AA2290B"/>
    <w:rsid w:val="4AAC4A05"/>
    <w:rsid w:val="4AB112AD"/>
    <w:rsid w:val="4AB918F6"/>
    <w:rsid w:val="4AD14F9E"/>
    <w:rsid w:val="4AEB42B2"/>
    <w:rsid w:val="4AF403AA"/>
    <w:rsid w:val="4AFD616C"/>
    <w:rsid w:val="4B09298A"/>
    <w:rsid w:val="4B0B04B0"/>
    <w:rsid w:val="4B105AC6"/>
    <w:rsid w:val="4B447AD4"/>
    <w:rsid w:val="4B4D32E0"/>
    <w:rsid w:val="4B5D4A84"/>
    <w:rsid w:val="4B7050AD"/>
    <w:rsid w:val="4B717B63"/>
    <w:rsid w:val="4B75001F"/>
    <w:rsid w:val="4B7A3887"/>
    <w:rsid w:val="4B7C629E"/>
    <w:rsid w:val="4BA30828"/>
    <w:rsid w:val="4BA93D64"/>
    <w:rsid w:val="4BB072A9"/>
    <w:rsid w:val="4BBE0554"/>
    <w:rsid w:val="4BBE22D0"/>
    <w:rsid w:val="4BBF20A9"/>
    <w:rsid w:val="4BCB40E3"/>
    <w:rsid w:val="4BCD170C"/>
    <w:rsid w:val="4BD20FCE"/>
    <w:rsid w:val="4BD74836"/>
    <w:rsid w:val="4BDF36EB"/>
    <w:rsid w:val="4BED5E07"/>
    <w:rsid w:val="4BF47196"/>
    <w:rsid w:val="4BF54CBC"/>
    <w:rsid w:val="4BF70A34"/>
    <w:rsid w:val="4BFD1393"/>
    <w:rsid w:val="4C0A69B9"/>
    <w:rsid w:val="4C1635B0"/>
    <w:rsid w:val="4C1C26CD"/>
    <w:rsid w:val="4C215AB1"/>
    <w:rsid w:val="4C2555A1"/>
    <w:rsid w:val="4C2832E3"/>
    <w:rsid w:val="4C2D08FA"/>
    <w:rsid w:val="4C387642"/>
    <w:rsid w:val="4C39104D"/>
    <w:rsid w:val="4C3F1BAE"/>
    <w:rsid w:val="4C4105CA"/>
    <w:rsid w:val="4C5C4D3B"/>
    <w:rsid w:val="4C5D5CA7"/>
    <w:rsid w:val="4C612351"/>
    <w:rsid w:val="4C667968"/>
    <w:rsid w:val="4C76404F"/>
    <w:rsid w:val="4C786019"/>
    <w:rsid w:val="4C991AEB"/>
    <w:rsid w:val="4CB26A62"/>
    <w:rsid w:val="4CCA7AE1"/>
    <w:rsid w:val="4CDB65A8"/>
    <w:rsid w:val="4CE216E4"/>
    <w:rsid w:val="4CEE0366"/>
    <w:rsid w:val="4CF569B5"/>
    <w:rsid w:val="4CFB4947"/>
    <w:rsid w:val="4D04165B"/>
    <w:rsid w:val="4D11448E"/>
    <w:rsid w:val="4D1D2091"/>
    <w:rsid w:val="4D243AAB"/>
    <w:rsid w:val="4D275D07"/>
    <w:rsid w:val="4D2770F7"/>
    <w:rsid w:val="4D3A507C"/>
    <w:rsid w:val="4D466E92"/>
    <w:rsid w:val="4D4844BB"/>
    <w:rsid w:val="4D5325E2"/>
    <w:rsid w:val="4D6614CB"/>
    <w:rsid w:val="4D6848C0"/>
    <w:rsid w:val="4D762204"/>
    <w:rsid w:val="4D7F0CE1"/>
    <w:rsid w:val="4D9E1AAF"/>
    <w:rsid w:val="4D9E5143"/>
    <w:rsid w:val="4D9F75D5"/>
    <w:rsid w:val="4DAE03C1"/>
    <w:rsid w:val="4DC97603"/>
    <w:rsid w:val="4DE163BF"/>
    <w:rsid w:val="4DF54342"/>
    <w:rsid w:val="4DF571F5"/>
    <w:rsid w:val="4DFD3F6E"/>
    <w:rsid w:val="4DFE10C7"/>
    <w:rsid w:val="4E015B9A"/>
    <w:rsid w:val="4E086F29"/>
    <w:rsid w:val="4E140B6A"/>
    <w:rsid w:val="4E1B739A"/>
    <w:rsid w:val="4E1C0C26"/>
    <w:rsid w:val="4E233D62"/>
    <w:rsid w:val="4E407F3C"/>
    <w:rsid w:val="4E41243B"/>
    <w:rsid w:val="4E4C1468"/>
    <w:rsid w:val="4E5A52AA"/>
    <w:rsid w:val="4E676345"/>
    <w:rsid w:val="4E8567CB"/>
    <w:rsid w:val="4E8B5D8F"/>
    <w:rsid w:val="4E943545"/>
    <w:rsid w:val="4E944C60"/>
    <w:rsid w:val="4E964534"/>
    <w:rsid w:val="4EA74993"/>
    <w:rsid w:val="4EB86BA1"/>
    <w:rsid w:val="4EC72940"/>
    <w:rsid w:val="4ECC43FA"/>
    <w:rsid w:val="4EDF2886"/>
    <w:rsid w:val="4EE94FAC"/>
    <w:rsid w:val="4EEA4880"/>
    <w:rsid w:val="4EFC3606"/>
    <w:rsid w:val="4F107345"/>
    <w:rsid w:val="4F155DA1"/>
    <w:rsid w:val="4F1847B3"/>
    <w:rsid w:val="4F2314B3"/>
    <w:rsid w:val="4F397493"/>
    <w:rsid w:val="4F3B50DC"/>
    <w:rsid w:val="4F4246BC"/>
    <w:rsid w:val="4F813436"/>
    <w:rsid w:val="4F980780"/>
    <w:rsid w:val="4FAE3B00"/>
    <w:rsid w:val="4FB619EF"/>
    <w:rsid w:val="4FBD3D43"/>
    <w:rsid w:val="4FC861DA"/>
    <w:rsid w:val="4FD55530"/>
    <w:rsid w:val="4FE70DC0"/>
    <w:rsid w:val="4FFB544B"/>
    <w:rsid w:val="500D6A78"/>
    <w:rsid w:val="500F69BB"/>
    <w:rsid w:val="501F67AB"/>
    <w:rsid w:val="503A0F5B"/>
    <w:rsid w:val="503F29AA"/>
    <w:rsid w:val="50406E4E"/>
    <w:rsid w:val="5051105B"/>
    <w:rsid w:val="505B77CA"/>
    <w:rsid w:val="507B7E86"/>
    <w:rsid w:val="507F7220"/>
    <w:rsid w:val="508F56DF"/>
    <w:rsid w:val="50970A38"/>
    <w:rsid w:val="509B22D6"/>
    <w:rsid w:val="50A126B7"/>
    <w:rsid w:val="50A82C45"/>
    <w:rsid w:val="50AE094F"/>
    <w:rsid w:val="50B27620"/>
    <w:rsid w:val="50BC224C"/>
    <w:rsid w:val="50BF6F9A"/>
    <w:rsid w:val="50C57AB0"/>
    <w:rsid w:val="50D650BC"/>
    <w:rsid w:val="50D723A3"/>
    <w:rsid w:val="50DB294E"/>
    <w:rsid w:val="50DC3D6E"/>
    <w:rsid w:val="50E377D9"/>
    <w:rsid w:val="50F87728"/>
    <w:rsid w:val="510936E3"/>
    <w:rsid w:val="510F485C"/>
    <w:rsid w:val="511856D5"/>
    <w:rsid w:val="511B6F73"/>
    <w:rsid w:val="512C73D2"/>
    <w:rsid w:val="51321C80"/>
    <w:rsid w:val="514F4E6E"/>
    <w:rsid w:val="515661FD"/>
    <w:rsid w:val="51600E2A"/>
    <w:rsid w:val="51621046"/>
    <w:rsid w:val="516A3A56"/>
    <w:rsid w:val="517255BD"/>
    <w:rsid w:val="517B5C63"/>
    <w:rsid w:val="51840FBC"/>
    <w:rsid w:val="51856AE2"/>
    <w:rsid w:val="518C4D4D"/>
    <w:rsid w:val="51B13335"/>
    <w:rsid w:val="51F24178"/>
    <w:rsid w:val="52187956"/>
    <w:rsid w:val="521D3CB5"/>
    <w:rsid w:val="522462FB"/>
    <w:rsid w:val="52262073"/>
    <w:rsid w:val="523302EC"/>
    <w:rsid w:val="523654BB"/>
    <w:rsid w:val="52426781"/>
    <w:rsid w:val="5244074B"/>
    <w:rsid w:val="52454FAD"/>
    <w:rsid w:val="524B1ADA"/>
    <w:rsid w:val="526B217C"/>
    <w:rsid w:val="528374C6"/>
    <w:rsid w:val="528B1ED6"/>
    <w:rsid w:val="52A15B9E"/>
    <w:rsid w:val="52A70D2C"/>
    <w:rsid w:val="52B07B8F"/>
    <w:rsid w:val="52B94C95"/>
    <w:rsid w:val="52C213BF"/>
    <w:rsid w:val="52D94528"/>
    <w:rsid w:val="52E361B6"/>
    <w:rsid w:val="52EF6909"/>
    <w:rsid w:val="52F932E4"/>
    <w:rsid w:val="530A35D5"/>
    <w:rsid w:val="531210C9"/>
    <w:rsid w:val="531B76FE"/>
    <w:rsid w:val="532742F5"/>
    <w:rsid w:val="53277E51"/>
    <w:rsid w:val="532F31A9"/>
    <w:rsid w:val="53395DD6"/>
    <w:rsid w:val="535E583D"/>
    <w:rsid w:val="53607807"/>
    <w:rsid w:val="536C018C"/>
    <w:rsid w:val="53733096"/>
    <w:rsid w:val="5376727D"/>
    <w:rsid w:val="538434F5"/>
    <w:rsid w:val="538A03E0"/>
    <w:rsid w:val="539835FD"/>
    <w:rsid w:val="539F032F"/>
    <w:rsid w:val="53B06098"/>
    <w:rsid w:val="53B86CFB"/>
    <w:rsid w:val="53B92A73"/>
    <w:rsid w:val="53BB67EB"/>
    <w:rsid w:val="53C71634"/>
    <w:rsid w:val="53D224B3"/>
    <w:rsid w:val="53E70484"/>
    <w:rsid w:val="53EB1FF8"/>
    <w:rsid w:val="53F45760"/>
    <w:rsid w:val="5406215C"/>
    <w:rsid w:val="54161C73"/>
    <w:rsid w:val="541A79B6"/>
    <w:rsid w:val="54212AF2"/>
    <w:rsid w:val="54330A77"/>
    <w:rsid w:val="54370568"/>
    <w:rsid w:val="5457415A"/>
    <w:rsid w:val="54705828"/>
    <w:rsid w:val="5472334E"/>
    <w:rsid w:val="549239F0"/>
    <w:rsid w:val="54A379AB"/>
    <w:rsid w:val="54B27BEE"/>
    <w:rsid w:val="54BD0C40"/>
    <w:rsid w:val="54CB4416"/>
    <w:rsid w:val="54D97871"/>
    <w:rsid w:val="54F75F49"/>
    <w:rsid w:val="55012924"/>
    <w:rsid w:val="55254DBB"/>
    <w:rsid w:val="55284354"/>
    <w:rsid w:val="55344AA7"/>
    <w:rsid w:val="554051FA"/>
    <w:rsid w:val="55432F3C"/>
    <w:rsid w:val="55562C6F"/>
    <w:rsid w:val="5560589C"/>
    <w:rsid w:val="556C4241"/>
    <w:rsid w:val="5579695E"/>
    <w:rsid w:val="558C043F"/>
    <w:rsid w:val="559807C9"/>
    <w:rsid w:val="55A133E3"/>
    <w:rsid w:val="55AE6607"/>
    <w:rsid w:val="55B87486"/>
    <w:rsid w:val="55C0458D"/>
    <w:rsid w:val="55C404FA"/>
    <w:rsid w:val="55C45E2B"/>
    <w:rsid w:val="55F726D8"/>
    <w:rsid w:val="56075D18"/>
    <w:rsid w:val="56203207"/>
    <w:rsid w:val="56206DD9"/>
    <w:rsid w:val="562A2C28"/>
    <w:rsid w:val="56610227"/>
    <w:rsid w:val="56682C5A"/>
    <w:rsid w:val="566C201F"/>
    <w:rsid w:val="566E223B"/>
    <w:rsid w:val="56705FB3"/>
    <w:rsid w:val="567B54EE"/>
    <w:rsid w:val="567F61F6"/>
    <w:rsid w:val="56846C29"/>
    <w:rsid w:val="5689497F"/>
    <w:rsid w:val="56A106AF"/>
    <w:rsid w:val="56A45C5C"/>
    <w:rsid w:val="56A703F5"/>
    <w:rsid w:val="56B51C18"/>
    <w:rsid w:val="56BA0FDC"/>
    <w:rsid w:val="56C40E44"/>
    <w:rsid w:val="56D64EB7"/>
    <w:rsid w:val="56E314E0"/>
    <w:rsid w:val="56F50266"/>
    <w:rsid w:val="57282705"/>
    <w:rsid w:val="572F3778"/>
    <w:rsid w:val="572F5526"/>
    <w:rsid w:val="574C75A3"/>
    <w:rsid w:val="574D2F08"/>
    <w:rsid w:val="57664CC0"/>
    <w:rsid w:val="57754BF2"/>
    <w:rsid w:val="57825F9E"/>
    <w:rsid w:val="578B785A"/>
    <w:rsid w:val="578F03F8"/>
    <w:rsid w:val="57946A2F"/>
    <w:rsid w:val="57B15648"/>
    <w:rsid w:val="57BD6FD6"/>
    <w:rsid w:val="57CA16F3"/>
    <w:rsid w:val="57CA3880"/>
    <w:rsid w:val="57DD4150"/>
    <w:rsid w:val="57E43CCB"/>
    <w:rsid w:val="57E75E01"/>
    <w:rsid w:val="57F32A52"/>
    <w:rsid w:val="57F43BCE"/>
    <w:rsid w:val="57FE50EE"/>
    <w:rsid w:val="58022C3B"/>
    <w:rsid w:val="580544D9"/>
    <w:rsid w:val="58073B8C"/>
    <w:rsid w:val="580B5A97"/>
    <w:rsid w:val="58162D23"/>
    <w:rsid w:val="581B3CFC"/>
    <w:rsid w:val="58256929"/>
    <w:rsid w:val="583E1858"/>
    <w:rsid w:val="583F3E8F"/>
    <w:rsid w:val="584F48CF"/>
    <w:rsid w:val="586438F5"/>
    <w:rsid w:val="586D009D"/>
    <w:rsid w:val="587578B0"/>
    <w:rsid w:val="587D6765"/>
    <w:rsid w:val="58A21933"/>
    <w:rsid w:val="58A77915"/>
    <w:rsid w:val="58AB7FDD"/>
    <w:rsid w:val="58B008E9"/>
    <w:rsid w:val="58BF0B2C"/>
    <w:rsid w:val="58E74233"/>
    <w:rsid w:val="58EF7663"/>
    <w:rsid w:val="591946E0"/>
    <w:rsid w:val="591A2206"/>
    <w:rsid w:val="591E525B"/>
    <w:rsid w:val="593313C9"/>
    <w:rsid w:val="593E026C"/>
    <w:rsid w:val="593E5EF4"/>
    <w:rsid w:val="59457283"/>
    <w:rsid w:val="594D6137"/>
    <w:rsid w:val="595C45CC"/>
    <w:rsid w:val="59710078"/>
    <w:rsid w:val="5989503C"/>
    <w:rsid w:val="59977C6E"/>
    <w:rsid w:val="599E69E5"/>
    <w:rsid w:val="59A25D4A"/>
    <w:rsid w:val="59A3044D"/>
    <w:rsid w:val="59B14918"/>
    <w:rsid w:val="59B15C2B"/>
    <w:rsid w:val="59B25F2D"/>
    <w:rsid w:val="59D86349"/>
    <w:rsid w:val="59DD0C04"/>
    <w:rsid w:val="59EC76FE"/>
    <w:rsid w:val="5A034978"/>
    <w:rsid w:val="5A040EEC"/>
    <w:rsid w:val="5A0E3B19"/>
    <w:rsid w:val="5A16280E"/>
    <w:rsid w:val="5A1B5A10"/>
    <w:rsid w:val="5A266807"/>
    <w:rsid w:val="5A2C21F1"/>
    <w:rsid w:val="5A3572F7"/>
    <w:rsid w:val="5A494B51"/>
    <w:rsid w:val="5A5359CF"/>
    <w:rsid w:val="5A6776CD"/>
    <w:rsid w:val="5A6977D7"/>
    <w:rsid w:val="5A6E45B7"/>
    <w:rsid w:val="5A843DDB"/>
    <w:rsid w:val="5A89319F"/>
    <w:rsid w:val="5A8E4C59"/>
    <w:rsid w:val="5A963B0E"/>
    <w:rsid w:val="5AA955EF"/>
    <w:rsid w:val="5AC42B67"/>
    <w:rsid w:val="5ADF1011"/>
    <w:rsid w:val="5AFE3B8D"/>
    <w:rsid w:val="5B044F1C"/>
    <w:rsid w:val="5B070568"/>
    <w:rsid w:val="5B1C2265"/>
    <w:rsid w:val="5B2353A2"/>
    <w:rsid w:val="5B2E3D47"/>
    <w:rsid w:val="5B33135D"/>
    <w:rsid w:val="5B372BFB"/>
    <w:rsid w:val="5B386973"/>
    <w:rsid w:val="5B4672E2"/>
    <w:rsid w:val="5B4A6DD2"/>
    <w:rsid w:val="5B572513"/>
    <w:rsid w:val="5B773CF2"/>
    <w:rsid w:val="5B953DC6"/>
    <w:rsid w:val="5B9B5880"/>
    <w:rsid w:val="5BA67D81"/>
    <w:rsid w:val="5BB7600F"/>
    <w:rsid w:val="5BCD355F"/>
    <w:rsid w:val="5BD448EE"/>
    <w:rsid w:val="5BD82630"/>
    <w:rsid w:val="5BF037E6"/>
    <w:rsid w:val="5BF62AB6"/>
    <w:rsid w:val="5BFD3E45"/>
    <w:rsid w:val="5C0F2714"/>
    <w:rsid w:val="5C14118E"/>
    <w:rsid w:val="5C2D3FFE"/>
    <w:rsid w:val="5C341831"/>
    <w:rsid w:val="5C3A263A"/>
    <w:rsid w:val="5C814A76"/>
    <w:rsid w:val="5C9A5B38"/>
    <w:rsid w:val="5CAE513F"/>
    <w:rsid w:val="5CAF7F16"/>
    <w:rsid w:val="5CBE74EA"/>
    <w:rsid w:val="5CC56713"/>
    <w:rsid w:val="5CC71DD8"/>
    <w:rsid w:val="5CCE3A33"/>
    <w:rsid w:val="5CD66444"/>
    <w:rsid w:val="5CD728E8"/>
    <w:rsid w:val="5CF82EF2"/>
    <w:rsid w:val="5CF9414D"/>
    <w:rsid w:val="5CF9552F"/>
    <w:rsid w:val="5CFB0C71"/>
    <w:rsid w:val="5CFC40FC"/>
    <w:rsid w:val="5D05501E"/>
    <w:rsid w:val="5D0B07E3"/>
    <w:rsid w:val="5D0B433F"/>
    <w:rsid w:val="5D0C552C"/>
    <w:rsid w:val="5D17501F"/>
    <w:rsid w:val="5D1A0A26"/>
    <w:rsid w:val="5D213B63"/>
    <w:rsid w:val="5D221689"/>
    <w:rsid w:val="5D2E002E"/>
    <w:rsid w:val="5D2E44D2"/>
    <w:rsid w:val="5D3C6BEF"/>
    <w:rsid w:val="5D431D2B"/>
    <w:rsid w:val="5D4569AE"/>
    <w:rsid w:val="5D494E68"/>
    <w:rsid w:val="5D50269A"/>
    <w:rsid w:val="5D55380D"/>
    <w:rsid w:val="5D7243BE"/>
    <w:rsid w:val="5D7C6FEB"/>
    <w:rsid w:val="5D835622"/>
    <w:rsid w:val="5D883BE2"/>
    <w:rsid w:val="5D9B1B67"/>
    <w:rsid w:val="5D9B5E1F"/>
    <w:rsid w:val="5DA36C6E"/>
    <w:rsid w:val="5DA56542"/>
    <w:rsid w:val="5DAF116F"/>
    <w:rsid w:val="5DB426F2"/>
    <w:rsid w:val="5DBB62FD"/>
    <w:rsid w:val="5DC70453"/>
    <w:rsid w:val="5DF11787"/>
    <w:rsid w:val="5E092699"/>
    <w:rsid w:val="5E2733FB"/>
    <w:rsid w:val="5E2A2EEB"/>
    <w:rsid w:val="5E3D49CC"/>
    <w:rsid w:val="5E422AAA"/>
    <w:rsid w:val="5E5166CA"/>
    <w:rsid w:val="5E604B5F"/>
    <w:rsid w:val="5E6F6B70"/>
    <w:rsid w:val="5E7128C8"/>
    <w:rsid w:val="5E785A05"/>
    <w:rsid w:val="5E7E5BC7"/>
    <w:rsid w:val="5E8C7702"/>
    <w:rsid w:val="5EA467FA"/>
    <w:rsid w:val="5EAB6551"/>
    <w:rsid w:val="5EAC5CC5"/>
    <w:rsid w:val="5EBB3B43"/>
    <w:rsid w:val="5EC24ED2"/>
    <w:rsid w:val="5ECA3D86"/>
    <w:rsid w:val="5ED70BB3"/>
    <w:rsid w:val="5EF3152F"/>
    <w:rsid w:val="5EF64B7B"/>
    <w:rsid w:val="5F117C07"/>
    <w:rsid w:val="5F131BD1"/>
    <w:rsid w:val="5F1C68EB"/>
    <w:rsid w:val="5F250216"/>
    <w:rsid w:val="5F3A18E5"/>
    <w:rsid w:val="5F3A658F"/>
    <w:rsid w:val="5F3C1128"/>
    <w:rsid w:val="5F4B6DF9"/>
    <w:rsid w:val="5F4D50E3"/>
    <w:rsid w:val="5F531FCE"/>
    <w:rsid w:val="5F5E109E"/>
    <w:rsid w:val="5F675CE8"/>
    <w:rsid w:val="5F6D7533"/>
    <w:rsid w:val="5F787BD2"/>
    <w:rsid w:val="5F797C86"/>
    <w:rsid w:val="5F904FD0"/>
    <w:rsid w:val="5F922AF6"/>
    <w:rsid w:val="5F9E101E"/>
    <w:rsid w:val="5FC1162D"/>
    <w:rsid w:val="5FC92290"/>
    <w:rsid w:val="5FD749AD"/>
    <w:rsid w:val="5FD80582"/>
    <w:rsid w:val="5FE07D05"/>
    <w:rsid w:val="5FE377F5"/>
    <w:rsid w:val="600357A2"/>
    <w:rsid w:val="60194FC5"/>
    <w:rsid w:val="60326087"/>
    <w:rsid w:val="603E7754"/>
    <w:rsid w:val="6045400C"/>
    <w:rsid w:val="604D407A"/>
    <w:rsid w:val="605E0C2A"/>
    <w:rsid w:val="6061582C"/>
    <w:rsid w:val="6071095D"/>
    <w:rsid w:val="60787F3E"/>
    <w:rsid w:val="60870181"/>
    <w:rsid w:val="60940AF0"/>
    <w:rsid w:val="609D64AA"/>
    <w:rsid w:val="60A27B32"/>
    <w:rsid w:val="60A527D8"/>
    <w:rsid w:val="60B01F30"/>
    <w:rsid w:val="60BE5D83"/>
    <w:rsid w:val="60D31618"/>
    <w:rsid w:val="60D37AAA"/>
    <w:rsid w:val="60E51508"/>
    <w:rsid w:val="60F82E2D"/>
    <w:rsid w:val="60FC0223"/>
    <w:rsid w:val="610C68D8"/>
    <w:rsid w:val="614A3DAA"/>
    <w:rsid w:val="6155027F"/>
    <w:rsid w:val="61730B8F"/>
    <w:rsid w:val="617C580C"/>
    <w:rsid w:val="618463A2"/>
    <w:rsid w:val="618741B1"/>
    <w:rsid w:val="619C7C5C"/>
    <w:rsid w:val="61AA28BC"/>
    <w:rsid w:val="61AB60F1"/>
    <w:rsid w:val="61B2747F"/>
    <w:rsid w:val="61B90451"/>
    <w:rsid w:val="61BF394A"/>
    <w:rsid w:val="61E73B15"/>
    <w:rsid w:val="61EA259B"/>
    <w:rsid w:val="61EB473F"/>
    <w:rsid w:val="6200468F"/>
    <w:rsid w:val="62173786"/>
    <w:rsid w:val="622540F5"/>
    <w:rsid w:val="623B7475"/>
    <w:rsid w:val="62405FC3"/>
    <w:rsid w:val="62482F7C"/>
    <w:rsid w:val="624C6FD5"/>
    <w:rsid w:val="62677DAD"/>
    <w:rsid w:val="6281113E"/>
    <w:rsid w:val="62875998"/>
    <w:rsid w:val="62935219"/>
    <w:rsid w:val="62942C89"/>
    <w:rsid w:val="62C76F5B"/>
    <w:rsid w:val="62CD6AEC"/>
    <w:rsid w:val="62D94595"/>
    <w:rsid w:val="62EF64B1"/>
    <w:rsid w:val="63103C43"/>
    <w:rsid w:val="631E6C0A"/>
    <w:rsid w:val="632C14B3"/>
    <w:rsid w:val="633B5253"/>
    <w:rsid w:val="63566066"/>
    <w:rsid w:val="635B76A3"/>
    <w:rsid w:val="635D78BF"/>
    <w:rsid w:val="63901A42"/>
    <w:rsid w:val="63AE1EC8"/>
    <w:rsid w:val="63B84AF5"/>
    <w:rsid w:val="63C27722"/>
    <w:rsid w:val="63C60FC0"/>
    <w:rsid w:val="63CB65D6"/>
    <w:rsid w:val="63D062E3"/>
    <w:rsid w:val="63D41366"/>
    <w:rsid w:val="63E1404C"/>
    <w:rsid w:val="63EE0517"/>
    <w:rsid w:val="640E2967"/>
    <w:rsid w:val="641461CF"/>
    <w:rsid w:val="64151F48"/>
    <w:rsid w:val="64153CF6"/>
    <w:rsid w:val="64236413"/>
    <w:rsid w:val="64264155"/>
    <w:rsid w:val="642F4DB7"/>
    <w:rsid w:val="643C74D4"/>
    <w:rsid w:val="64406FC4"/>
    <w:rsid w:val="644C769A"/>
    <w:rsid w:val="64520AA6"/>
    <w:rsid w:val="64664551"/>
    <w:rsid w:val="647A3F6A"/>
    <w:rsid w:val="64805613"/>
    <w:rsid w:val="64850E7B"/>
    <w:rsid w:val="64CB26DD"/>
    <w:rsid w:val="64D35ED3"/>
    <w:rsid w:val="64FF5D4E"/>
    <w:rsid w:val="650171EE"/>
    <w:rsid w:val="65055B18"/>
    <w:rsid w:val="651346D9"/>
    <w:rsid w:val="651F307E"/>
    <w:rsid w:val="65433804"/>
    <w:rsid w:val="65444892"/>
    <w:rsid w:val="65532D27"/>
    <w:rsid w:val="6558033E"/>
    <w:rsid w:val="65605444"/>
    <w:rsid w:val="65660CAD"/>
    <w:rsid w:val="65684D07"/>
    <w:rsid w:val="657D2B36"/>
    <w:rsid w:val="657D2B9C"/>
    <w:rsid w:val="6590635A"/>
    <w:rsid w:val="65907AD8"/>
    <w:rsid w:val="6593581A"/>
    <w:rsid w:val="659375C8"/>
    <w:rsid w:val="65956E9C"/>
    <w:rsid w:val="65A215B9"/>
    <w:rsid w:val="65BD63F3"/>
    <w:rsid w:val="65C854C3"/>
    <w:rsid w:val="65D406EA"/>
    <w:rsid w:val="65DC4ACB"/>
    <w:rsid w:val="65E46075"/>
    <w:rsid w:val="65E9368C"/>
    <w:rsid w:val="65EE47FE"/>
    <w:rsid w:val="65FE0EE5"/>
    <w:rsid w:val="66377D74"/>
    <w:rsid w:val="66540B05"/>
    <w:rsid w:val="66542B2C"/>
    <w:rsid w:val="665723A3"/>
    <w:rsid w:val="66707909"/>
    <w:rsid w:val="667421D9"/>
    <w:rsid w:val="66742F55"/>
    <w:rsid w:val="667967BE"/>
    <w:rsid w:val="667B400E"/>
    <w:rsid w:val="668F7D8F"/>
    <w:rsid w:val="66911D59"/>
    <w:rsid w:val="66AF21DF"/>
    <w:rsid w:val="66BC66AA"/>
    <w:rsid w:val="66C939FF"/>
    <w:rsid w:val="66D460EA"/>
    <w:rsid w:val="66D71736"/>
    <w:rsid w:val="66E005EB"/>
    <w:rsid w:val="66E53E53"/>
    <w:rsid w:val="66E55C01"/>
    <w:rsid w:val="66EA7812"/>
    <w:rsid w:val="66F127F8"/>
    <w:rsid w:val="66F773C4"/>
    <w:rsid w:val="66F83B86"/>
    <w:rsid w:val="66FB71D3"/>
    <w:rsid w:val="6703252B"/>
    <w:rsid w:val="6704527C"/>
    <w:rsid w:val="671F55B7"/>
    <w:rsid w:val="673F1F3F"/>
    <w:rsid w:val="67442824"/>
    <w:rsid w:val="674A1F08"/>
    <w:rsid w:val="674A6AF9"/>
    <w:rsid w:val="676F196F"/>
    <w:rsid w:val="677A0A3F"/>
    <w:rsid w:val="67987117"/>
    <w:rsid w:val="67A43BE0"/>
    <w:rsid w:val="67AB6E4B"/>
    <w:rsid w:val="67B37F71"/>
    <w:rsid w:val="67BB4F53"/>
    <w:rsid w:val="67CE6C86"/>
    <w:rsid w:val="67D0065F"/>
    <w:rsid w:val="67D31319"/>
    <w:rsid w:val="67D5211A"/>
    <w:rsid w:val="67D6379C"/>
    <w:rsid w:val="67D72D6F"/>
    <w:rsid w:val="67DB2545"/>
    <w:rsid w:val="67DC6D5A"/>
    <w:rsid w:val="67E206D5"/>
    <w:rsid w:val="67E4410B"/>
    <w:rsid w:val="68232E85"/>
    <w:rsid w:val="685502EE"/>
    <w:rsid w:val="685968A7"/>
    <w:rsid w:val="685A261F"/>
    <w:rsid w:val="6865349E"/>
    <w:rsid w:val="68655F18"/>
    <w:rsid w:val="686E1C26"/>
    <w:rsid w:val="68701E42"/>
    <w:rsid w:val="68833924"/>
    <w:rsid w:val="68AA0EB0"/>
    <w:rsid w:val="68B00491"/>
    <w:rsid w:val="68C14BF3"/>
    <w:rsid w:val="68D26659"/>
    <w:rsid w:val="68DC28D0"/>
    <w:rsid w:val="68E51EE8"/>
    <w:rsid w:val="68ED5329"/>
    <w:rsid w:val="68F31EBE"/>
    <w:rsid w:val="68FA309F"/>
    <w:rsid w:val="68FB170C"/>
    <w:rsid w:val="68FE0507"/>
    <w:rsid w:val="69086715"/>
    <w:rsid w:val="690F3409"/>
    <w:rsid w:val="69272501"/>
    <w:rsid w:val="692C5D69"/>
    <w:rsid w:val="692E7D33"/>
    <w:rsid w:val="692F7608"/>
    <w:rsid w:val="693966D8"/>
    <w:rsid w:val="69401815"/>
    <w:rsid w:val="694A487B"/>
    <w:rsid w:val="694D6631"/>
    <w:rsid w:val="695025CA"/>
    <w:rsid w:val="69690D6B"/>
    <w:rsid w:val="69695C61"/>
    <w:rsid w:val="696B65E2"/>
    <w:rsid w:val="69765236"/>
    <w:rsid w:val="697B284D"/>
    <w:rsid w:val="697B4FDF"/>
    <w:rsid w:val="6986055E"/>
    <w:rsid w:val="698C4A5A"/>
    <w:rsid w:val="699B2EEF"/>
    <w:rsid w:val="69A47FF6"/>
    <w:rsid w:val="69AB0D0D"/>
    <w:rsid w:val="69B27B43"/>
    <w:rsid w:val="69BE0005"/>
    <w:rsid w:val="69CB5582"/>
    <w:rsid w:val="69CE2512"/>
    <w:rsid w:val="69DF2DDC"/>
    <w:rsid w:val="69E46644"/>
    <w:rsid w:val="69EA352F"/>
    <w:rsid w:val="69EB2192"/>
    <w:rsid w:val="6A4315BC"/>
    <w:rsid w:val="6A570136"/>
    <w:rsid w:val="6A611A43"/>
    <w:rsid w:val="6A695DCD"/>
    <w:rsid w:val="6A731776"/>
    <w:rsid w:val="6A753740"/>
    <w:rsid w:val="6A7A6FA8"/>
    <w:rsid w:val="6A7E2C0A"/>
    <w:rsid w:val="6A802F8E"/>
    <w:rsid w:val="6A9156CE"/>
    <w:rsid w:val="6AA8390D"/>
    <w:rsid w:val="6AAD4C88"/>
    <w:rsid w:val="6AB06526"/>
    <w:rsid w:val="6AC06CA1"/>
    <w:rsid w:val="6AC10733"/>
    <w:rsid w:val="6AC81AC2"/>
    <w:rsid w:val="6AD2649C"/>
    <w:rsid w:val="6AE17565"/>
    <w:rsid w:val="6AFE3735"/>
    <w:rsid w:val="6AFF300A"/>
    <w:rsid w:val="6B00125C"/>
    <w:rsid w:val="6B2111D2"/>
    <w:rsid w:val="6B340AA5"/>
    <w:rsid w:val="6B361E7E"/>
    <w:rsid w:val="6B3C7DBA"/>
    <w:rsid w:val="6B3D4EC2"/>
    <w:rsid w:val="6B3E7FD6"/>
    <w:rsid w:val="6B43383E"/>
    <w:rsid w:val="6B543355"/>
    <w:rsid w:val="6B560E7C"/>
    <w:rsid w:val="6B570CC1"/>
    <w:rsid w:val="6B5E5F82"/>
    <w:rsid w:val="6B6F63E1"/>
    <w:rsid w:val="6B7B2FD8"/>
    <w:rsid w:val="6B8359E9"/>
    <w:rsid w:val="6B930322"/>
    <w:rsid w:val="6B985938"/>
    <w:rsid w:val="6BA918F3"/>
    <w:rsid w:val="6BB16221"/>
    <w:rsid w:val="6BE40B7D"/>
    <w:rsid w:val="6BE45953"/>
    <w:rsid w:val="6BE94F3A"/>
    <w:rsid w:val="6BF40694"/>
    <w:rsid w:val="6C061F17"/>
    <w:rsid w:val="6C0E79A8"/>
    <w:rsid w:val="6C150D37"/>
    <w:rsid w:val="6C2F1E55"/>
    <w:rsid w:val="6C3804E4"/>
    <w:rsid w:val="6C4B29AA"/>
    <w:rsid w:val="6C580C23"/>
    <w:rsid w:val="6C661592"/>
    <w:rsid w:val="6C6D2921"/>
    <w:rsid w:val="6C741E4F"/>
    <w:rsid w:val="6C787517"/>
    <w:rsid w:val="6C7C13FA"/>
    <w:rsid w:val="6C892109"/>
    <w:rsid w:val="6C914D27"/>
    <w:rsid w:val="6CAA6CFE"/>
    <w:rsid w:val="6CC369E5"/>
    <w:rsid w:val="6CCB5899"/>
    <w:rsid w:val="6CD81D64"/>
    <w:rsid w:val="6CED2087"/>
    <w:rsid w:val="6CED5810"/>
    <w:rsid w:val="6CF748E0"/>
    <w:rsid w:val="6CFE7A1D"/>
    <w:rsid w:val="6D013FEB"/>
    <w:rsid w:val="6D042B59"/>
    <w:rsid w:val="6D0F39D8"/>
    <w:rsid w:val="6D0F7711"/>
    <w:rsid w:val="6D1930EC"/>
    <w:rsid w:val="6D2F407A"/>
    <w:rsid w:val="6D395B76"/>
    <w:rsid w:val="6D594C53"/>
    <w:rsid w:val="6D866288"/>
    <w:rsid w:val="6DA71186"/>
    <w:rsid w:val="6DA71E62"/>
    <w:rsid w:val="6DB30918"/>
    <w:rsid w:val="6DB602F7"/>
    <w:rsid w:val="6DB620A5"/>
    <w:rsid w:val="6DC42A14"/>
    <w:rsid w:val="6DCF3167"/>
    <w:rsid w:val="6DCF4F15"/>
    <w:rsid w:val="6DD036A3"/>
    <w:rsid w:val="6DD150E5"/>
    <w:rsid w:val="6DDB57DD"/>
    <w:rsid w:val="6DDD5884"/>
    <w:rsid w:val="6DE22E9A"/>
    <w:rsid w:val="6DE76703"/>
    <w:rsid w:val="6DE81D0F"/>
    <w:rsid w:val="6DE85FD7"/>
    <w:rsid w:val="6DF36E56"/>
    <w:rsid w:val="6DF76B0A"/>
    <w:rsid w:val="6DFB5D0A"/>
    <w:rsid w:val="6E054DB3"/>
    <w:rsid w:val="6E0D5EB7"/>
    <w:rsid w:val="6E105C5A"/>
    <w:rsid w:val="6E330C7F"/>
    <w:rsid w:val="6E3B6A4F"/>
    <w:rsid w:val="6E470F4F"/>
    <w:rsid w:val="6E62222D"/>
    <w:rsid w:val="6E6E472E"/>
    <w:rsid w:val="6E7004A6"/>
    <w:rsid w:val="6EBD700A"/>
    <w:rsid w:val="6EC627BC"/>
    <w:rsid w:val="6EC72090"/>
    <w:rsid w:val="6EC922AC"/>
    <w:rsid w:val="6ECB392F"/>
    <w:rsid w:val="6ED44ED9"/>
    <w:rsid w:val="6ED53771"/>
    <w:rsid w:val="6EFD2502"/>
    <w:rsid w:val="6F082DD5"/>
    <w:rsid w:val="6F0E7CBF"/>
    <w:rsid w:val="6F1352D6"/>
    <w:rsid w:val="6F3F60CB"/>
    <w:rsid w:val="6F593630"/>
    <w:rsid w:val="6F5E1724"/>
    <w:rsid w:val="6F6618A9"/>
    <w:rsid w:val="6F743FC6"/>
    <w:rsid w:val="6F783707"/>
    <w:rsid w:val="6F7D7049"/>
    <w:rsid w:val="6F800BBD"/>
    <w:rsid w:val="6F8561D3"/>
    <w:rsid w:val="6F963F3C"/>
    <w:rsid w:val="6F993A2D"/>
    <w:rsid w:val="6FA36659"/>
    <w:rsid w:val="6FD341E3"/>
    <w:rsid w:val="6FDA4B8E"/>
    <w:rsid w:val="6FE1043B"/>
    <w:rsid w:val="6FF670D1"/>
    <w:rsid w:val="6FFD4A92"/>
    <w:rsid w:val="700B760E"/>
    <w:rsid w:val="700D7F77"/>
    <w:rsid w:val="70117A67"/>
    <w:rsid w:val="703027C9"/>
    <w:rsid w:val="703B4AE4"/>
    <w:rsid w:val="70671D7D"/>
    <w:rsid w:val="706E310B"/>
    <w:rsid w:val="70794B97"/>
    <w:rsid w:val="70860455"/>
    <w:rsid w:val="70860D62"/>
    <w:rsid w:val="70877D29"/>
    <w:rsid w:val="70891C83"/>
    <w:rsid w:val="70903082"/>
    <w:rsid w:val="70981F36"/>
    <w:rsid w:val="70C13D2D"/>
    <w:rsid w:val="70C20D61"/>
    <w:rsid w:val="70CD6084"/>
    <w:rsid w:val="70D016D0"/>
    <w:rsid w:val="70F35BF8"/>
    <w:rsid w:val="70F748FF"/>
    <w:rsid w:val="71015D2D"/>
    <w:rsid w:val="71121CE9"/>
    <w:rsid w:val="71160F53"/>
    <w:rsid w:val="7120731A"/>
    <w:rsid w:val="712244BF"/>
    <w:rsid w:val="71290DE0"/>
    <w:rsid w:val="713C4FB8"/>
    <w:rsid w:val="713E54AE"/>
    <w:rsid w:val="71424D45"/>
    <w:rsid w:val="71453E6C"/>
    <w:rsid w:val="71491244"/>
    <w:rsid w:val="71582A07"/>
    <w:rsid w:val="715866DF"/>
    <w:rsid w:val="717943B6"/>
    <w:rsid w:val="71866233"/>
    <w:rsid w:val="718A5D23"/>
    <w:rsid w:val="71916F49"/>
    <w:rsid w:val="71A14E1B"/>
    <w:rsid w:val="71A33B87"/>
    <w:rsid w:val="71AB63BC"/>
    <w:rsid w:val="71AD37BF"/>
    <w:rsid w:val="71AE4713"/>
    <w:rsid w:val="71B27028"/>
    <w:rsid w:val="71B903B6"/>
    <w:rsid w:val="71CD6690"/>
    <w:rsid w:val="71D25565"/>
    <w:rsid w:val="71D945B4"/>
    <w:rsid w:val="71F11C1F"/>
    <w:rsid w:val="71FC3878"/>
    <w:rsid w:val="71FE04BF"/>
    <w:rsid w:val="720158B9"/>
    <w:rsid w:val="720F6228"/>
    <w:rsid w:val="7224132C"/>
    <w:rsid w:val="722A12B4"/>
    <w:rsid w:val="722D0338"/>
    <w:rsid w:val="723314F1"/>
    <w:rsid w:val="723E08BB"/>
    <w:rsid w:val="7240429C"/>
    <w:rsid w:val="72563E57"/>
    <w:rsid w:val="725D3437"/>
    <w:rsid w:val="72604CD6"/>
    <w:rsid w:val="72683487"/>
    <w:rsid w:val="72712A3F"/>
    <w:rsid w:val="72786636"/>
    <w:rsid w:val="727F33AE"/>
    <w:rsid w:val="72802C82"/>
    <w:rsid w:val="72850298"/>
    <w:rsid w:val="72A8433C"/>
    <w:rsid w:val="72AA7CFF"/>
    <w:rsid w:val="72BD1CA1"/>
    <w:rsid w:val="72C07522"/>
    <w:rsid w:val="72D468CD"/>
    <w:rsid w:val="72DD00D4"/>
    <w:rsid w:val="72E31549"/>
    <w:rsid w:val="72FA0C86"/>
    <w:rsid w:val="72FA6ED8"/>
    <w:rsid w:val="72FB261A"/>
    <w:rsid w:val="73061F81"/>
    <w:rsid w:val="73156124"/>
    <w:rsid w:val="731A30D6"/>
    <w:rsid w:val="7320374B"/>
    <w:rsid w:val="73216213"/>
    <w:rsid w:val="73412411"/>
    <w:rsid w:val="73426189"/>
    <w:rsid w:val="734C0DB6"/>
    <w:rsid w:val="735A3B0C"/>
    <w:rsid w:val="7361796E"/>
    <w:rsid w:val="73662278"/>
    <w:rsid w:val="737427E7"/>
    <w:rsid w:val="737C78ED"/>
    <w:rsid w:val="737E5413"/>
    <w:rsid w:val="738D38A8"/>
    <w:rsid w:val="73934681"/>
    <w:rsid w:val="739369E5"/>
    <w:rsid w:val="73AB01D2"/>
    <w:rsid w:val="73AB7D8F"/>
    <w:rsid w:val="73AD5CF9"/>
    <w:rsid w:val="73BB6668"/>
    <w:rsid w:val="73D94D40"/>
    <w:rsid w:val="740F0761"/>
    <w:rsid w:val="741144D9"/>
    <w:rsid w:val="74122000"/>
    <w:rsid w:val="74273CFD"/>
    <w:rsid w:val="742E508B"/>
    <w:rsid w:val="744877CF"/>
    <w:rsid w:val="74561EEC"/>
    <w:rsid w:val="74692D8A"/>
    <w:rsid w:val="74820346"/>
    <w:rsid w:val="74933140"/>
    <w:rsid w:val="74962C31"/>
    <w:rsid w:val="74A94712"/>
    <w:rsid w:val="74B135C7"/>
    <w:rsid w:val="74B81FE2"/>
    <w:rsid w:val="74B86703"/>
    <w:rsid w:val="74C652C4"/>
    <w:rsid w:val="74CE23CA"/>
    <w:rsid w:val="74D13C69"/>
    <w:rsid w:val="74E813D5"/>
    <w:rsid w:val="74FF4332"/>
    <w:rsid w:val="750D68EF"/>
    <w:rsid w:val="751C1388"/>
    <w:rsid w:val="754206C3"/>
    <w:rsid w:val="754E7067"/>
    <w:rsid w:val="755F3023"/>
    <w:rsid w:val="757D16FB"/>
    <w:rsid w:val="758E3908"/>
    <w:rsid w:val="758E4F8E"/>
    <w:rsid w:val="75995FB8"/>
    <w:rsid w:val="759A22AD"/>
    <w:rsid w:val="75A1188D"/>
    <w:rsid w:val="75B50E95"/>
    <w:rsid w:val="75CA0DE4"/>
    <w:rsid w:val="75CD4430"/>
    <w:rsid w:val="75D25EEA"/>
    <w:rsid w:val="75F75951"/>
    <w:rsid w:val="75FC4D15"/>
    <w:rsid w:val="75FE0A8D"/>
    <w:rsid w:val="75FF0362"/>
    <w:rsid w:val="76097029"/>
    <w:rsid w:val="7610256F"/>
    <w:rsid w:val="76133C04"/>
    <w:rsid w:val="763612C0"/>
    <w:rsid w:val="763B583E"/>
    <w:rsid w:val="763C15B6"/>
    <w:rsid w:val="764676CD"/>
    <w:rsid w:val="764A4CEF"/>
    <w:rsid w:val="76674885"/>
    <w:rsid w:val="76880357"/>
    <w:rsid w:val="769A0FC0"/>
    <w:rsid w:val="769D2054"/>
    <w:rsid w:val="76AA4771"/>
    <w:rsid w:val="76B33626"/>
    <w:rsid w:val="76C26322"/>
    <w:rsid w:val="76CC0B8C"/>
    <w:rsid w:val="76D0242A"/>
    <w:rsid w:val="76E13170"/>
    <w:rsid w:val="76E311A3"/>
    <w:rsid w:val="76FB0C8A"/>
    <w:rsid w:val="770B1FE4"/>
    <w:rsid w:val="771B11CB"/>
    <w:rsid w:val="772938E8"/>
    <w:rsid w:val="77304C77"/>
    <w:rsid w:val="774424D0"/>
    <w:rsid w:val="7769139F"/>
    <w:rsid w:val="777032C5"/>
    <w:rsid w:val="77770AF7"/>
    <w:rsid w:val="777C4360"/>
    <w:rsid w:val="77860D3A"/>
    <w:rsid w:val="77972F48"/>
    <w:rsid w:val="77A2369A"/>
    <w:rsid w:val="77B37656"/>
    <w:rsid w:val="77B561D9"/>
    <w:rsid w:val="77CD6969"/>
    <w:rsid w:val="77DD23C3"/>
    <w:rsid w:val="77E141C3"/>
    <w:rsid w:val="77EF68E0"/>
    <w:rsid w:val="78054355"/>
    <w:rsid w:val="780B7492"/>
    <w:rsid w:val="78202F3D"/>
    <w:rsid w:val="78281DF2"/>
    <w:rsid w:val="78300CA6"/>
    <w:rsid w:val="783267CC"/>
    <w:rsid w:val="783951EC"/>
    <w:rsid w:val="783C3AEF"/>
    <w:rsid w:val="783E1615"/>
    <w:rsid w:val="78484242"/>
    <w:rsid w:val="78485FF0"/>
    <w:rsid w:val="784A1D68"/>
    <w:rsid w:val="786646C8"/>
    <w:rsid w:val="786A240A"/>
    <w:rsid w:val="786C4C30"/>
    <w:rsid w:val="786D2D6A"/>
    <w:rsid w:val="7874661E"/>
    <w:rsid w:val="78787121"/>
    <w:rsid w:val="78827754"/>
    <w:rsid w:val="78B91B03"/>
    <w:rsid w:val="78D12489"/>
    <w:rsid w:val="78E201F2"/>
    <w:rsid w:val="78E26444"/>
    <w:rsid w:val="78E75809"/>
    <w:rsid w:val="790A7749"/>
    <w:rsid w:val="79134850"/>
    <w:rsid w:val="79170223"/>
    <w:rsid w:val="794744F9"/>
    <w:rsid w:val="794C5FB4"/>
    <w:rsid w:val="794C7B60"/>
    <w:rsid w:val="794E3859"/>
    <w:rsid w:val="795A247F"/>
    <w:rsid w:val="795A792C"/>
    <w:rsid w:val="79711576"/>
    <w:rsid w:val="7973634F"/>
    <w:rsid w:val="797F0066"/>
    <w:rsid w:val="79815C5D"/>
    <w:rsid w:val="79862855"/>
    <w:rsid w:val="799F4335"/>
    <w:rsid w:val="79AB7B9C"/>
    <w:rsid w:val="79B80F53"/>
    <w:rsid w:val="79D33BD7"/>
    <w:rsid w:val="79D52F41"/>
    <w:rsid w:val="79E65AC0"/>
    <w:rsid w:val="79EB1329"/>
    <w:rsid w:val="7A0128FA"/>
    <w:rsid w:val="7A0712A8"/>
    <w:rsid w:val="7A1A5F3C"/>
    <w:rsid w:val="7A293BFF"/>
    <w:rsid w:val="7A2E3F8E"/>
    <w:rsid w:val="7A3C1B84"/>
    <w:rsid w:val="7A486B67"/>
    <w:rsid w:val="7A546ECE"/>
    <w:rsid w:val="7A5C5D83"/>
    <w:rsid w:val="7A63380E"/>
    <w:rsid w:val="7A6D61E2"/>
    <w:rsid w:val="7A756E44"/>
    <w:rsid w:val="7A794B87"/>
    <w:rsid w:val="7A7C01D3"/>
    <w:rsid w:val="7A7E002C"/>
    <w:rsid w:val="7A8734B8"/>
    <w:rsid w:val="7A8A6D94"/>
    <w:rsid w:val="7AA93B38"/>
    <w:rsid w:val="7AAD4830"/>
    <w:rsid w:val="7AB64546"/>
    <w:rsid w:val="7AB91427"/>
    <w:rsid w:val="7ACB4729"/>
    <w:rsid w:val="7AE70BAE"/>
    <w:rsid w:val="7AEA7832"/>
    <w:rsid w:val="7AEC455F"/>
    <w:rsid w:val="7AF1296F"/>
    <w:rsid w:val="7AF406B1"/>
    <w:rsid w:val="7B05466C"/>
    <w:rsid w:val="7B0A3A31"/>
    <w:rsid w:val="7B1B7885"/>
    <w:rsid w:val="7B2F3497"/>
    <w:rsid w:val="7B3B62E0"/>
    <w:rsid w:val="7B4D1357"/>
    <w:rsid w:val="7B641393"/>
    <w:rsid w:val="7B6E2F9B"/>
    <w:rsid w:val="7B89704B"/>
    <w:rsid w:val="7B8A691F"/>
    <w:rsid w:val="7B98702C"/>
    <w:rsid w:val="7BA479E1"/>
    <w:rsid w:val="7BB045D8"/>
    <w:rsid w:val="7BC71922"/>
    <w:rsid w:val="7BD57CCF"/>
    <w:rsid w:val="7BDE0C48"/>
    <w:rsid w:val="7BFD3595"/>
    <w:rsid w:val="7C022E76"/>
    <w:rsid w:val="7C0D1A2A"/>
    <w:rsid w:val="7C0E7550"/>
    <w:rsid w:val="7C213B75"/>
    <w:rsid w:val="7C266648"/>
    <w:rsid w:val="7C3163FF"/>
    <w:rsid w:val="7C365D86"/>
    <w:rsid w:val="7C3B26D9"/>
    <w:rsid w:val="7C541407"/>
    <w:rsid w:val="7C5E4034"/>
    <w:rsid w:val="7C725D31"/>
    <w:rsid w:val="7C896BD7"/>
    <w:rsid w:val="7C8B6DF3"/>
    <w:rsid w:val="7C8D6749"/>
    <w:rsid w:val="7CA12173"/>
    <w:rsid w:val="7CA3413D"/>
    <w:rsid w:val="7CA61385"/>
    <w:rsid w:val="7CB718F6"/>
    <w:rsid w:val="7CCC0C02"/>
    <w:rsid w:val="7CD673E6"/>
    <w:rsid w:val="7CE64C01"/>
    <w:rsid w:val="7CEB2A4A"/>
    <w:rsid w:val="7CFB1883"/>
    <w:rsid w:val="7CFB7AD5"/>
    <w:rsid w:val="7CFE5817"/>
    <w:rsid w:val="7D123C1F"/>
    <w:rsid w:val="7D135677"/>
    <w:rsid w:val="7D1467DB"/>
    <w:rsid w:val="7D2863F0"/>
    <w:rsid w:val="7D295F33"/>
    <w:rsid w:val="7D2C7C8E"/>
    <w:rsid w:val="7D4B3316"/>
    <w:rsid w:val="7D6E1C31"/>
    <w:rsid w:val="7D6E64F9"/>
    <w:rsid w:val="7D847ACA"/>
    <w:rsid w:val="7D871368"/>
    <w:rsid w:val="7D8C2E23"/>
    <w:rsid w:val="7D931348"/>
    <w:rsid w:val="7DA35B52"/>
    <w:rsid w:val="7DBB54B6"/>
    <w:rsid w:val="7DD10836"/>
    <w:rsid w:val="7DD32800"/>
    <w:rsid w:val="7DED1B13"/>
    <w:rsid w:val="7DF14781"/>
    <w:rsid w:val="7E0D3978"/>
    <w:rsid w:val="7E1B4E79"/>
    <w:rsid w:val="7E266DD3"/>
    <w:rsid w:val="7E3A287F"/>
    <w:rsid w:val="7E492AC2"/>
    <w:rsid w:val="7E5A082B"/>
    <w:rsid w:val="7E5B163B"/>
    <w:rsid w:val="7E6873EC"/>
    <w:rsid w:val="7E95448B"/>
    <w:rsid w:val="7E9B156F"/>
    <w:rsid w:val="7EA61CC2"/>
    <w:rsid w:val="7EB10D93"/>
    <w:rsid w:val="7EB459DD"/>
    <w:rsid w:val="7EB776E6"/>
    <w:rsid w:val="7EBC14E6"/>
    <w:rsid w:val="7EC00FD6"/>
    <w:rsid w:val="7ECD724F"/>
    <w:rsid w:val="7ED24865"/>
    <w:rsid w:val="7EE10F4C"/>
    <w:rsid w:val="7EE22D5E"/>
    <w:rsid w:val="7EF02C27"/>
    <w:rsid w:val="7EF7251E"/>
    <w:rsid w:val="7EF91AB2"/>
    <w:rsid w:val="7EFA5574"/>
    <w:rsid w:val="7EFB3E85"/>
    <w:rsid w:val="7F005876"/>
    <w:rsid w:val="7F016EF9"/>
    <w:rsid w:val="7F076C05"/>
    <w:rsid w:val="7F0D7F93"/>
    <w:rsid w:val="7F0E20E8"/>
    <w:rsid w:val="7F177E9D"/>
    <w:rsid w:val="7F1B5744"/>
    <w:rsid w:val="7F2729DE"/>
    <w:rsid w:val="7F390D88"/>
    <w:rsid w:val="7F3E1EFB"/>
    <w:rsid w:val="7F7D0C75"/>
    <w:rsid w:val="7F841BB1"/>
    <w:rsid w:val="7F89761A"/>
    <w:rsid w:val="7F8C2C66"/>
    <w:rsid w:val="7F9D2340"/>
    <w:rsid w:val="7FAA7590"/>
    <w:rsid w:val="7FAB3A34"/>
    <w:rsid w:val="7FC468A4"/>
    <w:rsid w:val="7FCF1996"/>
    <w:rsid w:val="7FD17D13"/>
    <w:rsid w:val="7FD7406F"/>
    <w:rsid w:val="7FDB621D"/>
    <w:rsid w:val="7FDF106F"/>
    <w:rsid w:val="7FF10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beforeLines="0" w:after="330" w:afterLines="0" w:line="578" w:lineRule="auto"/>
      <w:jc w:val="center"/>
      <w:outlineLvl w:val="0"/>
    </w:pPr>
    <w:rPr>
      <w:b/>
      <w:bCs/>
      <w:kern w:val="44"/>
      <w:sz w:val="32"/>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paragraph" w:styleId="5">
    <w:name w:val="heading 3"/>
    <w:basedOn w:val="1"/>
    <w:next w:val="1"/>
    <w:qFormat/>
    <w:uiPriority w:val="0"/>
    <w:pPr>
      <w:keepNext/>
      <w:keepLines/>
      <w:spacing w:before="260" w:beforeLines="0" w:after="260" w:afterLines="0" w:line="416" w:lineRule="atLeast"/>
      <w:jc w:val="both"/>
      <w:textAlignment w:val="baseline"/>
      <w:outlineLvl w:val="2"/>
    </w:pPr>
    <w:rPr>
      <w:rFonts w:ascii="Times New Roman" w:hAnsi="Times New Roman" w:eastAsia="宋体" w:cs="Times New Roman"/>
      <w:b/>
      <w:bCs/>
      <w:color w:val="000000"/>
      <w:sz w:val="32"/>
      <w:szCs w:val="32"/>
      <w:u w:val="none" w:color="000000"/>
      <w:lang w:val="en-US" w:eastAsia="zh-CN" w:bidi="ar-SA"/>
    </w:rPr>
  </w:style>
  <w:style w:type="paragraph" w:styleId="6">
    <w:name w:val="heading 4"/>
    <w:basedOn w:val="1"/>
    <w:next w:val="1"/>
    <w:link w:val="58"/>
    <w:qFormat/>
    <w:uiPriority w:val="0"/>
    <w:pPr>
      <w:keepNext/>
      <w:keepLines/>
      <w:widowControl/>
      <w:spacing w:before="280" w:beforeLines="0" w:after="290" w:afterLines="0" w:line="376" w:lineRule="atLeast"/>
      <w:textAlignment w:val="baseline"/>
      <w:outlineLvl w:val="3"/>
    </w:pPr>
    <w:rPr>
      <w:rFonts w:ascii="Arial" w:hAnsi="Arial" w:eastAsia="黑体"/>
      <w:b/>
      <w:bCs/>
      <w:color w:val="000000"/>
      <w:kern w:val="0"/>
      <w:sz w:val="28"/>
      <w:szCs w:val="28"/>
      <w:u w:val="none" w:color="000000"/>
    </w:rPr>
  </w:style>
  <w:style w:type="paragraph" w:styleId="7">
    <w:name w:val="heading 5"/>
    <w:basedOn w:val="1"/>
    <w:next w:val="1"/>
    <w:link w:val="59"/>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link w:val="60"/>
    <w:qFormat/>
    <w:uiPriority w:val="0"/>
    <w:pPr>
      <w:keepNext/>
      <w:keepLines/>
      <w:spacing w:before="240" w:beforeLines="0" w:after="64" w:afterLines="0" w:line="320" w:lineRule="auto"/>
      <w:outlineLvl w:val="5"/>
    </w:pPr>
    <w:rPr>
      <w:rFonts w:ascii="Cambria" w:hAnsi="Cambria"/>
      <w:b/>
      <w:bCs/>
      <w:sz w:val="24"/>
    </w:rPr>
  </w:style>
  <w:style w:type="paragraph" w:styleId="9">
    <w:name w:val="heading 7"/>
    <w:basedOn w:val="1"/>
    <w:next w:val="1"/>
    <w:link w:val="61"/>
    <w:qFormat/>
    <w:uiPriority w:val="0"/>
    <w:pPr>
      <w:keepNext/>
      <w:keepLines/>
      <w:spacing w:before="240" w:beforeLines="0" w:after="64" w:afterLines="0" w:line="320" w:lineRule="auto"/>
      <w:outlineLvl w:val="6"/>
    </w:pPr>
    <w:rPr>
      <w:b/>
      <w:bCs/>
      <w:sz w:val="24"/>
    </w:rPr>
  </w:style>
  <w:style w:type="character" w:default="1" w:styleId="39">
    <w:name w:val="Default Paragraph Font"/>
    <w:qFormat/>
    <w:uiPriority w:val="0"/>
    <w:rPr>
      <w:rFonts w:ascii="Times New Roman" w:hAnsi="Times New Roman" w:eastAsia="宋体" w:cs="Times New Roman"/>
    </w:rPr>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styleId="10">
    <w:name w:val="toc 7"/>
    <w:basedOn w:val="1"/>
    <w:next w:val="1"/>
    <w:qFormat/>
    <w:uiPriority w:val="39"/>
    <w:pPr>
      <w:ind w:left="1260"/>
      <w:jc w:val="left"/>
    </w:pPr>
    <w:rPr>
      <w:sz w:val="18"/>
      <w:szCs w:val="18"/>
    </w:rPr>
  </w:style>
  <w:style w:type="paragraph" w:styleId="11">
    <w:name w:val="List Number 2"/>
    <w:basedOn w:val="1"/>
    <w:qFormat/>
    <w:uiPriority w:val="0"/>
    <w:pPr>
      <w:numPr>
        <w:ilvl w:val="0"/>
        <w:numId w:val="2"/>
      </w:numPr>
      <w:tabs>
        <w:tab w:val="left" w:pos="567"/>
        <w:tab w:val="clear" w:pos="425"/>
      </w:tabs>
      <w:adjustRightInd w:val="0"/>
      <w:spacing w:line="300" w:lineRule="auto"/>
      <w:textAlignment w:val="baseline"/>
    </w:pPr>
    <w:rPr>
      <w:rFonts w:ascii="Times New Roman" w:hAnsi="Times New Roman" w:eastAsia="宋体" w:cs="Times New Roman"/>
      <w:kern w:val="0"/>
      <w:sz w:val="28"/>
      <w:szCs w:val="20"/>
    </w:rPr>
  </w:style>
  <w:style w:type="paragraph" w:styleId="12">
    <w:name w:val="Normal Indent"/>
    <w:basedOn w:val="1"/>
    <w:next w:val="13"/>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3">
    <w:name w:val="Body Text First Indent 2"/>
    <w:basedOn w:val="14"/>
    <w:next w:val="1"/>
    <w:link w:val="56"/>
    <w:qFormat/>
    <w:uiPriority w:val="0"/>
    <w:pPr>
      <w:ind w:left="420" w:firstLine="420" w:firstLineChars="200"/>
    </w:pPr>
    <w:rPr>
      <w:kern w:val="0"/>
      <w:sz w:val="20"/>
      <w:szCs w:val="20"/>
    </w:rPr>
  </w:style>
  <w:style w:type="paragraph" w:styleId="14">
    <w:name w:val="Body Text Indent"/>
    <w:basedOn w:val="1"/>
    <w:next w:val="15"/>
    <w:link w:val="55"/>
    <w:qFormat/>
    <w:uiPriority w:val="0"/>
    <w:pPr>
      <w:spacing w:after="120" w:afterLines="0"/>
      <w:ind w:left="200" w:leftChars="200"/>
    </w:pPr>
  </w:style>
  <w:style w:type="paragraph" w:styleId="15">
    <w:name w:val="envelope return"/>
    <w:basedOn w:val="1"/>
    <w:next w:val="10"/>
    <w:qFormat/>
    <w:uiPriority w:val="0"/>
    <w:pPr>
      <w:snapToGrid w:val="0"/>
    </w:pPr>
    <w:rPr>
      <w:rFonts w:ascii="Arial" w:hAnsi="Arial" w:eastAsia="宋体" w:cs="Times New Roman"/>
    </w:rPr>
  </w:style>
  <w:style w:type="paragraph" w:styleId="16">
    <w:name w:val="Document Map"/>
    <w:basedOn w:val="1"/>
    <w:next w:val="1"/>
    <w:qFormat/>
    <w:uiPriority w:val="0"/>
    <w:pPr>
      <w:widowControl/>
      <w:shd w:val="clear" w:color="000000" w:fill="000080"/>
      <w:autoSpaceDE/>
      <w:autoSpaceDN/>
      <w:spacing w:before="0" w:beforeLines="0" w:after="0" w:afterLines="0" w:line="357" w:lineRule="atLeast"/>
      <w:ind w:left="0" w:firstLine="0"/>
      <w:jc w:val="both"/>
    </w:pPr>
    <w:rPr>
      <w:rFonts w:ascii="Times New Roman" w:hAnsi="Times New Roman" w:eastAsia="宋体" w:cs="Times New Roman"/>
      <w:color w:val="000000"/>
      <w:sz w:val="21"/>
    </w:rPr>
  </w:style>
  <w:style w:type="paragraph" w:styleId="17">
    <w:name w:val="annotation text"/>
    <w:basedOn w:val="1"/>
    <w:link w:val="62"/>
    <w:qFormat/>
    <w:uiPriority w:val="0"/>
    <w:pPr>
      <w:jc w:val="left"/>
    </w:pPr>
  </w:style>
  <w:style w:type="paragraph" w:styleId="18">
    <w:name w:val="Body Text"/>
    <w:basedOn w:val="1"/>
    <w:next w:val="1"/>
    <w:qFormat/>
    <w:uiPriority w:val="0"/>
    <w:pPr>
      <w:spacing w:after="120" w:afterLines="0"/>
    </w:pPr>
    <w:rPr>
      <w:rFonts w:ascii="Times New Roman" w:hAnsi="Times New Roman" w:eastAsia="宋体" w:cs="Times New Roman"/>
    </w:rPr>
  </w:style>
  <w:style w:type="paragraph" w:styleId="19">
    <w:name w:val="toc 3"/>
    <w:basedOn w:val="1"/>
    <w:next w:val="1"/>
    <w:qFormat/>
    <w:uiPriority w:val="0"/>
    <w:pPr>
      <w:tabs>
        <w:tab w:val="right" w:leader="dot" w:pos="9288"/>
      </w:tabs>
      <w:ind w:left="400" w:leftChars="400"/>
    </w:pPr>
    <w:rPr>
      <w:rFonts w:ascii="宋体" w:hAnsi="Times New Roman" w:eastAsia="宋体" w:cs="Times New Roman"/>
    </w:rPr>
  </w:style>
  <w:style w:type="paragraph" w:styleId="20">
    <w:name w:val="Plain Text"/>
    <w:basedOn w:val="1"/>
    <w:link w:val="63"/>
    <w:qFormat/>
    <w:uiPriority w:val="0"/>
    <w:rPr>
      <w:rFonts w:ascii="宋体"/>
      <w:color w:val="000000"/>
      <w:szCs w:val="20"/>
      <w:u w:val="none" w:color="000000"/>
    </w:rPr>
  </w:style>
  <w:style w:type="paragraph" w:styleId="21">
    <w:name w:val="Date"/>
    <w:basedOn w:val="1"/>
    <w:next w:val="1"/>
    <w:link w:val="64"/>
    <w:qFormat/>
    <w:uiPriority w:val="0"/>
    <w:rPr>
      <w:rFonts w:ascii="Arial" w:hAnsi="Arial" w:eastAsia="仿宋_GB2312"/>
      <w:color w:val="000000"/>
      <w:sz w:val="32"/>
      <w:szCs w:val="20"/>
      <w:u w:val="none" w:color="000000"/>
    </w:rPr>
  </w:style>
  <w:style w:type="paragraph" w:styleId="22">
    <w:name w:val="Body Text Indent 2"/>
    <w:basedOn w:val="1"/>
    <w:link w:val="65"/>
    <w:qFormat/>
    <w:uiPriority w:val="0"/>
    <w:pPr>
      <w:spacing w:after="120" w:afterLines="0" w:line="480" w:lineRule="auto"/>
      <w:ind w:left="420" w:leftChars="200"/>
    </w:pPr>
  </w:style>
  <w:style w:type="paragraph" w:styleId="23">
    <w:name w:val="Balloon Text"/>
    <w:basedOn w:val="1"/>
    <w:link w:val="66"/>
    <w:qFormat/>
    <w:uiPriority w:val="0"/>
    <w:rPr>
      <w:sz w:val="18"/>
      <w:szCs w:val="18"/>
    </w:rPr>
  </w:style>
  <w:style w:type="paragraph" w:styleId="24">
    <w:name w:val="footer"/>
    <w:basedOn w:val="1"/>
    <w:link w:val="67"/>
    <w:qFormat/>
    <w:uiPriority w:val="0"/>
    <w:pPr>
      <w:tabs>
        <w:tab w:val="center" w:pos="4153"/>
        <w:tab w:val="right" w:pos="8306"/>
      </w:tabs>
      <w:snapToGrid w:val="0"/>
      <w:jc w:val="left"/>
    </w:pPr>
    <w:rPr>
      <w:sz w:val="18"/>
      <w:szCs w:val="18"/>
    </w:rPr>
  </w:style>
  <w:style w:type="paragraph" w:styleId="25">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rFonts w:ascii="Times New Roman" w:hAnsi="Times New Roman" w:eastAsia="宋体" w:cs="Times New Roman"/>
    </w:rPr>
  </w:style>
  <w:style w:type="paragraph" w:styleId="27">
    <w:name w:val="Subtitle"/>
    <w:basedOn w:val="1"/>
    <w:next w:val="1"/>
    <w:qFormat/>
    <w:uiPriority w:val="0"/>
    <w:pPr>
      <w:numPr>
        <w:ilvl w:val="0"/>
        <w:numId w:val="3"/>
      </w:numPr>
      <w:spacing w:line="360" w:lineRule="auto"/>
      <w:jc w:val="left"/>
      <w:outlineLvl w:val="1"/>
    </w:pPr>
    <w:rPr>
      <w:rFonts w:ascii="Calibri Light" w:hAnsi="Calibri Light" w:eastAsia="宋体" w:cs="Times New Roman"/>
      <w:bCs/>
      <w:kern w:val="28"/>
      <w:szCs w:val="32"/>
    </w:rPr>
  </w:style>
  <w:style w:type="paragraph" w:styleId="28">
    <w:name w:val="List"/>
    <w:basedOn w:val="1"/>
    <w:next w:val="1"/>
    <w:qFormat/>
    <w:uiPriority w:val="0"/>
    <w:pPr>
      <w:widowControl w:val="0"/>
      <w:spacing w:line="240" w:lineRule="auto"/>
      <w:ind w:left="420" w:hanging="420"/>
      <w:textAlignment w:val="auto"/>
    </w:pPr>
    <w:rPr>
      <w:rFonts w:ascii="Arial" w:hAnsi="Arial" w:eastAsia="楷体_GB2312" w:cs="Times New Roman"/>
      <w:color w:val="auto"/>
      <w:kern w:val="2"/>
      <w:sz w:val="28"/>
      <w:u w:val="none" w:color="auto"/>
    </w:rPr>
  </w:style>
  <w:style w:type="paragraph" w:styleId="29">
    <w:name w:val="footnote text"/>
    <w:basedOn w:val="1"/>
    <w:qFormat/>
    <w:uiPriority w:val="0"/>
    <w:rPr>
      <w:sz w:val="20"/>
      <w:szCs w:val="20"/>
    </w:rPr>
  </w:style>
  <w:style w:type="paragraph" w:styleId="30">
    <w:name w:val="toc 2"/>
    <w:basedOn w:val="1"/>
    <w:next w:val="1"/>
    <w:qFormat/>
    <w:uiPriority w:val="0"/>
    <w:pPr>
      <w:ind w:left="200" w:leftChars="200"/>
    </w:pPr>
    <w:rPr>
      <w:rFonts w:ascii="Times New Roman" w:hAnsi="Times New Roman" w:eastAsia="宋体" w:cs="Times New Roman"/>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rPr>
  </w:style>
  <w:style w:type="paragraph" w:styleId="32">
    <w:name w:val="Normal (Web)"/>
    <w:basedOn w:val="1"/>
    <w:next w:val="33"/>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33">
    <w:name w:val="正文文字 8"/>
    <w:basedOn w:val="1"/>
    <w:next w:val="1"/>
    <w:qFormat/>
    <w:uiPriority w:val="0"/>
    <w:pPr>
      <w:ind w:left="240"/>
    </w:pPr>
    <w:rPr>
      <w:sz w:val="16"/>
    </w:rPr>
  </w:style>
  <w:style w:type="paragraph" w:styleId="34">
    <w:name w:val="Title"/>
    <w:basedOn w:val="1"/>
    <w:next w:val="1"/>
    <w:qFormat/>
    <w:uiPriority w:val="0"/>
    <w:pPr>
      <w:numPr>
        <w:ilvl w:val="0"/>
        <w:numId w:val="4"/>
      </w:numPr>
      <w:spacing w:line="360" w:lineRule="auto"/>
      <w:jc w:val="left"/>
      <w:outlineLvl w:val="0"/>
    </w:pPr>
    <w:rPr>
      <w:rFonts w:ascii="Cambria" w:hAnsi="Cambria" w:eastAsia="宋体" w:cs="Times New Roman"/>
      <w:b/>
      <w:bCs/>
      <w:sz w:val="28"/>
      <w:szCs w:val="32"/>
    </w:rPr>
  </w:style>
  <w:style w:type="paragraph" w:styleId="35">
    <w:name w:val="annotation subject"/>
    <w:basedOn w:val="17"/>
    <w:next w:val="17"/>
    <w:link w:val="69"/>
    <w:qFormat/>
    <w:uiPriority w:val="0"/>
    <w:rPr>
      <w:b/>
      <w:bCs/>
    </w:rPr>
  </w:style>
  <w:style w:type="paragraph" w:styleId="36">
    <w:name w:val="Body Text First Indent"/>
    <w:basedOn w:val="18"/>
    <w:qFormat/>
    <w:uiPriority w:val="0"/>
    <w:pPr>
      <w:ind w:firstLine="420" w:firstLineChars="100"/>
    </w:pPr>
    <w:rPr>
      <w:rFonts w:ascii="Times New Roman" w:hAnsi="Times New Roman" w:eastAsia="宋体" w:cs="Times New Roman"/>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rFonts w:ascii="Times New Roman" w:hAnsi="Times New Roman" w:eastAsia="宋体" w:cs="Times New Roman"/>
      <w:b/>
    </w:rPr>
  </w:style>
  <w:style w:type="character" w:styleId="41">
    <w:name w:val="page number"/>
    <w:qFormat/>
    <w:uiPriority w:val="0"/>
    <w:rPr>
      <w:rFonts w:ascii="Times New Roman" w:hAnsi="Times New Roman" w:eastAsia="宋体" w:cs="Times New Roman"/>
    </w:rPr>
  </w:style>
  <w:style w:type="character" w:styleId="42">
    <w:name w:val="FollowedHyperlink"/>
    <w:qFormat/>
    <w:uiPriority w:val="0"/>
    <w:rPr>
      <w:rFonts w:ascii="Times New Roman" w:hAnsi="Times New Roman" w:eastAsia="宋体" w:cs="Times New Roman"/>
      <w:color w:val="333333"/>
      <w:u w:val="none"/>
    </w:rPr>
  </w:style>
  <w:style w:type="character" w:styleId="43">
    <w:name w:val="Emphasis"/>
    <w:qFormat/>
    <w:uiPriority w:val="0"/>
    <w:rPr>
      <w:rFonts w:ascii="Times New Roman" w:hAnsi="Times New Roman" w:eastAsia="宋体" w:cs="Times New Roman"/>
      <w:i/>
      <w:iCs/>
    </w:rPr>
  </w:style>
  <w:style w:type="character" w:styleId="44">
    <w:name w:val="HTML Definition"/>
    <w:qFormat/>
    <w:uiPriority w:val="0"/>
    <w:rPr>
      <w:rFonts w:ascii="Times New Roman" w:hAnsi="Times New Roman" w:eastAsia="宋体" w:cs="Times New Roman"/>
    </w:rPr>
  </w:style>
  <w:style w:type="character" w:styleId="45">
    <w:name w:val="HTML Typewriter"/>
    <w:qFormat/>
    <w:uiPriority w:val="0"/>
    <w:rPr>
      <w:rFonts w:hint="default" w:ascii="monospace" w:hAnsi="monospace" w:eastAsia="monospace" w:cs="monospace"/>
      <w:sz w:val="20"/>
    </w:rPr>
  </w:style>
  <w:style w:type="character" w:styleId="46">
    <w:name w:val="HTML Acronym"/>
    <w:qFormat/>
    <w:uiPriority w:val="0"/>
    <w:rPr>
      <w:rFonts w:ascii="Times New Roman" w:hAnsi="Times New Roman" w:eastAsia="宋体" w:cs="Times New Roman"/>
    </w:rPr>
  </w:style>
  <w:style w:type="character" w:styleId="47">
    <w:name w:val="HTML Variable"/>
    <w:qFormat/>
    <w:uiPriority w:val="0"/>
    <w:rPr>
      <w:rFonts w:ascii="Times New Roman" w:hAnsi="Times New Roman" w:eastAsia="宋体" w:cs="Times New Roman"/>
    </w:rPr>
  </w:style>
  <w:style w:type="character" w:styleId="48">
    <w:name w:val="Hyperlink"/>
    <w:qFormat/>
    <w:uiPriority w:val="0"/>
    <w:rPr>
      <w:rFonts w:ascii="Times New Roman" w:hAnsi="Times New Roman" w:eastAsia="宋体" w:cs="Times New Roman"/>
      <w:color w:val="333333"/>
      <w:u w:val="none"/>
    </w:rPr>
  </w:style>
  <w:style w:type="character" w:styleId="49">
    <w:name w:val="HTML Code"/>
    <w:qFormat/>
    <w:uiPriority w:val="0"/>
    <w:rPr>
      <w:rFonts w:hint="default" w:ascii="monospace" w:hAnsi="monospace" w:eastAsia="monospace" w:cs="monospace"/>
      <w:sz w:val="20"/>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Cite"/>
    <w:qFormat/>
    <w:uiPriority w:val="0"/>
    <w:rPr>
      <w:rFonts w:ascii="Times New Roman" w:hAnsi="Times New Roman" w:eastAsia="宋体" w:cs="Times New Roman"/>
    </w:rPr>
  </w:style>
  <w:style w:type="character" w:styleId="52">
    <w:name w:val="footnote reference"/>
    <w:qFormat/>
    <w:uiPriority w:val="0"/>
    <w:rPr>
      <w:vertAlign w:val="superscript"/>
    </w:rPr>
  </w:style>
  <w:style w:type="character" w:styleId="53">
    <w:name w:val="HTML Keyboard"/>
    <w:qFormat/>
    <w:uiPriority w:val="0"/>
    <w:rPr>
      <w:rFonts w:hint="default" w:ascii="monospace" w:hAnsi="monospace" w:eastAsia="monospace" w:cs="monospace"/>
      <w:sz w:val="20"/>
    </w:rPr>
  </w:style>
  <w:style w:type="character" w:styleId="54">
    <w:name w:val="HTML Sample"/>
    <w:qFormat/>
    <w:uiPriority w:val="0"/>
    <w:rPr>
      <w:rFonts w:ascii="monospace" w:hAnsi="monospace" w:eastAsia="monospace" w:cs="monospace"/>
    </w:rPr>
  </w:style>
  <w:style w:type="character" w:customStyle="1" w:styleId="55">
    <w:name w:val="正文文本缩进 Char"/>
    <w:link w:val="14"/>
    <w:qFormat/>
    <w:uiPriority w:val="0"/>
    <w:rPr>
      <w:rFonts w:ascii="Times New Roman" w:hAnsi="Times New Roman" w:eastAsia="宋体" w:cs="Times New Roman"/>
      <w:kern w:val="2"/>
      <w:sz w:val="21"/>
      <w:szCs w:val="24"/>
    </w:rPr>
  </w:style>
  <w:style w:type="character" w:customStyle="1" w:styleId="56">
    <w:name w:val="正文首行缩进 2 Char"/>
    <w:link w:val="13"/>
    <w:qFormat/>
    <w:uiPriority w:val="0"/>
    <w:rPr>
      <w:rFonts w:ascii="Times New Roman" w:hAnsi="Times New Roman" w:eastAsia="宋体" w:cs="Times New Roman"/>
    </w:rPr>
  </w:style>
  <w:style w:type="character" w:customStyle="1" w:styleId="57">
    <w:name w:val="标题 1 Char"/>
    <w:link w:val="3"/>
    <w:qFormat/>
    <w:uiPriority w:val="0"/>
    <w:rPr>
      <w:rFonts w:ascii="Times New Roman" w:hAnsi="Times New Roman" w:eastAsia="宋体" w:cs="Times New Roman"/>
      <w:b/>
      <w:bCs/>
      <w:kern w:val="44"/>
      <w:sz w:val="32"/>
      <w:szCs w:val="44"/>
    </w:rPr>
  </w:style>
  <w:style w:type="character" w:customStyle="1" w:styleId="58">
    <w:name w:val="标题 4 Char"/>
    <w:link w:val="6"/>
    <w:qFormat/>
    <w:uiPriority w:val="0"/>
    <w:rPr>
      <w:rFonts w:ascii="Arial" w:hAnsi="Arial" w:eastAsia="黑体" w:cs="Times New Roman"/>
      <w:b/>
      <w:bCs/>
      <w:color w:val="000000"/>
      <w:sz w:val="28"/>
      <w:szCs w:val="28"/>
      <w:u w:val="none" w:color="000000"/>
      <w:lang w:val="en-US" w:eastAsia="zh-CN" w:bidi="ar-SA"/>
    </w:rPr>
  </w:style>
  <w:style w:type="character" w:customStyle="1" w:styleId="59">
    <w:name w:val="标题 5 Char"/>
    <w:link w:val="7"/>
    <w:qFormat/>
    <w:uiPriority w:val="0"/>
    <w:rPr>
      <w:rFonts w:ascii="Times New Roman" w:hAnsi="Times New Roman" w:eastAsia="宋体" w:cs="Times New Roman"/>
      <w:b/>
      <w:bCs/>
      <w:kern w:val="2"/>
      <w:sz w:val="28"/>
      <w:szCs w:val="28"/>
    </w:rPr>
  </w:style>
  <w:style w:type="character" w:customStyle="1" w:styleId="60">
    <w:name w:val="标题 6 Char"/>
    <w:link w:val="8"/>
    <w:qFormat/>
    <w:uiPriority w:val="0"/>
    <w:rPr>
      <w:rFonts w:ascii="Cambria" w:hAnsi="Cambria" w:eastAsia="宋体" w:cs="Times New Roman"/>
      <w:b/>
      <w:bCs/>
      <w:kern w:val="2"/>
      <w:sz w:val="24"/>
      <w:szCs w:val="24"/>
    </w:rPr>
  </w:style>
  <w:style w:type="character" w:customStyle="1" w:styleId="61">
    <w:name w:val="标题 7 Char"/>
    <w:link w:val="9"/>
    <w:qFormat/>
    <w:uiPriority w:val="0"/>
    <w:rPr>
      <w:rFonts w:ascii="Times New Roman" w:hAnsi="Times New Roman" w:eastAsia="宋体" w:cs="Times New Roman"/>
      <w:b/>
      <w:bCs/>
      <w:kern w:val="2"/>
      <w:sz w:val="24"/>
      <w:szCs w:val="24"/>
    </w:rPr>
  </w:style>
  <w:style w:type="character" w:customStyle="1" w:styleId="62">
    <w:name w:val="批注文字 Char"/>
    <w:link w:val="17"/>
    <w:qFormat/>
    <w:uiPriority w:val="0"/>
    <w:rPr>
      <w:rFonts w:ascii="Times New Roman" w:hAnsi="Times New Roman" w:eastAsia="宋体" w:cs="Times New Roman"/>
      <w:kern w:val="2"/>
      <w:sz w:val="21"/>
      <w:szCs w:val="24"/>
    </w:rPr>
  </w:style>
  <w:style w:type="character" w:customStyle="1" w:styleId="63">
    <w:name w:val="纯文本 Char"/>
    <w:link w:val="20"/>
    <w:qFormat/>
    <w:uiPriority w:val="0"/>
    <w:rPr>
      <w:rFonts w:ascii="宋体" w:hAnsi="Times New Roman" w:eastAsia="宋体" w:cs="Times New Roman"/>
      <w:color w:val="000000"/>
      <w:kern w:val="2"/>
      <w:sz w:val="21"/>
      <w:u w:val="none" w:color="000000"/>
      <w:lang w:val="en-US" w:eastAsia="zh-CN" w:bidi="ar-SA"/>
    </w:rPr>
  </w:style>
  <w:style w:type="character" w:customStyle="1" w:styleId="64">
    <w:name w:val="日期 Char"/>
    <w:link w:val="21"/>
    <w:qFormat/>
    <w:uiPriority w:val="0"/>
    <w:rPr>
      <w:rFonts w:ascii="Arial" w:hAnsi="Arial" w:eastAsia="仿宋_GB2312" w:cs="Times New Roman"/>
      <w:color w:val="000000"/>
      <w:kern w:val="2"/>
      <w:sz w:val="32"/>
      <w:u w:val="none" w:color="000000"/>
    </w:rPr>
  </w:style>
  <w:style w:type="character" w:customStyle="1" w:styleId="65">
    <w:name w:val="正文文本缩进 2 Char"/>
    <w:link w:val="22"/>
    <w:qFormat/>
    <w:uiPriority w:val="0"/>
    <w:rPr>
      <w:rFonts w:ascii="Times New Roman" w:hAnsi="Times New Roman" w:eastAsia="宋体" w:cs="Times New Roman"/>
      <w:kern w:val="2"/>
      <w:sz w:val="21"/>
      <w:szCs w:val="24"/>
    </w:rPr>
  </w:style>
  <w:style w:type="character" w:customStyle="1" w:styleId="66">
    <w:name w:val="批注框文本 Char"/>
    <w:link w:val="23"/>
    <w:qFormat/>
    <w:uiPriority w:val="0"/>
    <w:rPr>
      <w:rFonts w:ascii="Times New Roman" w:hAnsi="Times New Roman" w:eastAsia="宋体" w:cs="Times New Roman"/>
      <w:kern w:val="2"/>
      <w:sz w:val="18"/>
      <w:szCs w:val="18"/>
    </w:rPr>
  </w:style>
  <w:style w:type="character" w:customStyle="1" w:styleId="67">
    <w:name w:val="页脚 Char"/>
    <w:link w:val="24"/>
    <w:qFormat/>
    <w:uiPriority w:val="0"/>
    <w:rPr>
      <w:rFonts w:ascii="Times New Roman" w:hAnsi="Times New Roman" w:eastAsia="宋体" w:cs="Times New Roman"/>
      <w:kern w:val="2"/>
      <w:sz w:val="18"/>
      <w:szCs w:val="18"/>
    </w:rPr>
  </w:style>
  <w:style w:type="character" w:customStyle="1" w:styleId="68">
    <w:name w:val="页眉 Char"/>
    <w:link w:val="25"/>
    <w:qFormat/>
    <w:uiPriority w:val="0"/>
    <w:rPr>
      <w:rFonts w:ascii="Times New Roman" w:hAnsi="Times New Roman" w:eastAsia="宋体" w:cs="Times New Roman"/>
      <w:kern w:val="2"/>
      <w:sz w:val="18"/>
      <w:szCs w:val="18"/>
    </w:rPr>
  </w:style>
  <w:style w:type="character" w:customStyle="1" w:styleId="69">
    <w:name w:val="批注主题 Char"/>
    <w:link w:val="35"/>
    <w:qFormat/>
    <w:uiPriority w:val="0"/>
    <w:rPr>
      <w:rFonts w:ascii="Times New Roman" w:hAnsi="Times New Roman" w:eastAsia="宋体" w:cs="Times New Roman"/>
      <w:b/>
      <w:bCs/>
      <w:kern w:val="2"/>
      <w:sz w:val="21"/>
      <w:szCs w:val="24"/>
    </w:rPr>
  </w:style>
  <w:style w:type="character" w:customStyle="1" w:styleId="70">
    <w:name w:val="图表 Char Char"/>
    <w:link w:val="71"/>
    <w:qFormat/>
    <w:uiPriority w:val="0"/>
    <w:rPr>
      <w:rFonts w:ascii="Times New Roman" w:hAnsi="Times New Roman" w:eastAsia="宋体" w:cs="Times New Roman"/>
      <w:kern w:val="2"/>
      <w:sz w:val="21"/>
      <w:szCs w:val="21"/>
    </w:rPr>
  </w:style>
  <w:style w:type="paragraph" w:customStyle="1" w:styleId="71">
    <w:name w:val="图表"/>
    <w:basedOn w:val="1"/>
    <w:next w:val="1"/>
    <w:link w:val="70"/>
    <w:qFormat/>
    <w:uiPriority w:val="0"/>
    <w:pPr>
      <w:jc w:val="center"/>
    </w:pPr>
    <w:rPr>
      <w:szCs w:val="21"/>
    </w:rPr>
  </w:style>
  <w:style w:type="character" w:customStyle="1" w:styleId="72">
    <w:name w:val="【正文】 Char Char"/>
    <w:link w:val="73"/>
    <w:qFormat/>
    <w:uiPriority w:val="0"/>
    <w:rPr>
      <w:rFonts w:ascii="Times New Roman" w:hAnsi="Times New Roman" w:eastAsia="宋体" w:cs="DokChampa"/>
      <w:kern w:val="2"/>
      <w:sz w:val="24"/>
      <w:szCs w:val="22"/>
    </w:rPr>
  </w:style>
  <w:style w:type="paragraph" w:customStyle="1" w:styleId="73">
    <w:name w:val="【正文】"/>
    <w:basedOn w:val="1"/>
    <w:link w:val="72"/>
    <w:qFormat/>
    <w:uiPriority w:val="0"/>
    <w:pPr>
      <w:spacing w:line="360" w:lineRule="auto"/>
      <w:ind w:firstLine="480" w:firstLineChars="200"/>
    </w:pPr>
    <w:rPr>
      <w:sz w:val="24"/>
      <w:szCs w:val="22"/>
    </w:rPr>
  </w:style>
  <w:style w:type="character" w:customStyle="1" w:styleId="74">
    <w:name w:val="selected"/>
    <w:qFormat/>
    <w:uiPriority w:val="0"/>
    <w:rPr>
      <w:rFonts w:ascii="Times New Roman" w:hAnsi="Times New Roman" w:eastAsia="宋体" w:cs="Times New Roman"/>
      <w:shd w:val="clear" w:color="auto" w:fill="B00006"/>
    </w:rPr>
  </w:style>
  <w:style w:type="character" w:customStyle="1" w:styleId="75">
    <w:name w:val="font21"/>
    <w:basedOn w:val="39"/>
    <w:qFormat/>
    <w:uiPriority w:val="0"/>
    <w:rPr>
      <w:rFonts w:hint="eastAsia" w:ascii="宋体" w:hAnsi="宋体" w:eastAsia="宋体" w:cs="宋体"/>
      <w:color w:val="000000"/>
      <w:sz w:val="18"/>
      <w:szCs w:val="18"/>
      <w:u w:val="none"/>
    </w:rPr>
  </w:style>
  <w:style w:type="character" w:customStyle="1" w:styleId="76">
    <w:name w:val="bds_nopic"/>
    <w:qFormat/>
    <w:uiPriority w:val="0"/>
    <w:rPr>
      <w:rFonts w:ascii="Times New Roman" w:hAnsi="Times New Roman" w:eastAsia="宋体" w:cs="Times New Roman"/>
    </w:rPr>
  </w:style>
  <w:style w:type="character" w:customStyle="1" w:styleId="77">
    <w:name w:val="NormalCharacter"/>
    <w:qFormat/>
    <w:uiPriority w:val="0"/>
    <w:rPr>
      <w:rFonts w:ascii="Times New Roman" w:hAnsi="Times New Roman" w:eastAsia="宋体" w:cs="Times New Roman"/>
      <w:kern w:val="2"/>
      <w:sz w:val="21"/>
      <w:szCs w:val="24"/>
      <w:lang w:val="en-US" w:eastAsia="zh-CN" w:bidi="ar-SA"/>
    </w:rPr>
  </w:style>
  <w:style w:type="character" w:customStyle="1" w:styleId="78">
    <w:name w:val="gpa"/>
    <w:qFormat/>
    <w:uiPriority w:val="0"/>
    <w:rPr>
      <w:rFonts w:ascii="Arial" w:hAnsi="Arial" w:eastAsia="宋体" w:cs="Arial"/>
      <w:sz w:val="15"/>
      <w:szCs w:val="15"/>
    </w:rPr>
  </w:style>
  <w:style w:type="character" w:customStyle="1" w:styleId="79">
    <w:name w:val="正文首行缩进 2 Char1"/>
    <w:qFormat/>
    <w:uiPriority w:val="0"/>
    <w:rPr>
      <w:rFonts w:ascii="Times New Roman" w:hAnsi="Times New Roman" w:eastAsia="宋体" w:cs="Times New Roman"/>
    </w:rPr>
  </w:style>
  <w:style w:type="character" w:customStyle="1" w:styleId="80">
    <w:name w:val="列出段落 Char"/>
    <w:link w:val="81"/>
    <w:qFormat/>
    <w:uiPriority w:val="0"/>
    <w:rPr>
      <w:rFonts w:ascii="Calibri" w:hAnsi="Calibri" w:eastAsia="宋体" w:cs="Times New Roman"/>
      <w:kern w:val="2"/>
      <w:sz w:val="21"/>
      <w:szCs w:val="22"/>
      <w:lang w:val="en-US" w:eastAsia="zh-CN" w:bidi="ar-SA"/>
    </w:rPr>
  </w:style>
  <w:style w:type="paragraph" w:customStyle="1" w:styleId="81">
    <w:name w:val="List Paragraph1"/>
    <w:basedOn w:val="1"/>
    <w:link w:val="80"/>
    <w:qFormat/>
    <w:uiPriority w:val="0"/>
    <w:pPr>
      <w:spacing w:line="312" w:lineRule="auto"/>
      <w:ind w:firstLine="420" w:firstLineChars="200"/>
    </w:pPr>
    <w:rPr>
      <w:rFonts w:ascii="Calibri" w:hAnsi="Calibri"/>
      <w:szCs w:val="22"/>
    </w:rPr>
  </w:style>
  <w:style w:type="character" w:customStyle="1" w:styleId="82">
    <w:name w:val="bds_nopic2"/>
    <w:qFormat/>
    <w:uiPriority w:val="0"/>
    <w:rPr>
      <w:rFonts w:ascii="Times New Roman" w:hAnsi="Times New Roman" w:eastAsia="宋体" w:cs="Times New Roman"/>
    </w:rPr>
  </w:style>
  <w:style w:type="character" w:customStyle="1" w:styleId="83">
    <w:name w:val="font61"/>
    <w:qFormat/>
    <w:uiPriority w:val="0"/>
    <w:rPr>
      <w:rFonts w:hint="default" w:ascii="MS Sans Serif" w:hAnsi="MS Sans Serif" w:eastAsia="MS Sans Serif" w:cs="MS Sans Serif"/>
      <w:color w:val="000000"/>
      <w:sz w:val="18"/>
      <w:szCs w:val="18"/>
      <w:u w:val="none"/>
    </w:rPr>
  </w:style>
  <w:style w:type="character" w:customStyle="1" w:styleId="84">
    <w:name w:val="bds_more1"/>
    <w:qFormat/>
    <w:uiPriority w:val="0"/>
    <w:rPr>
      <w:rFonts w:ascii="Times New Roman" w:hAnsi="Times New Roman" w:eastAsia="宋体" w:cs="Times New Roman"/>
    </w:rPr>
  </w:style>
  <w:style w:type="character" w:customStyle="1" w:styleId="85">
    <w:name w:val="font71"/>
    <w:qFormat/>
    <w:uiPriority w:val="0"/>
    <w:rPr>
      <w:rFonts w:hint="default" w:ascii="MS Sans Serif" w:hAnsi="MS Sans Serif" w:eastAsia="MS Sans Serif" w:cs="MS Sans Serif"/>
      <w:color w:val="000000"/>
      <w:sz w:val="18"/>
      <w:szCs w:val="18"/>
      <w:u w:val="none"/>
    </w:rPr>
  </w:style>
  <w:style w:type="character" w:customStyle="1" w:styleId="86">
    <w:name w:val="first-child"/>
    <w:qFormat/>
    <w:uiPriority w:val="0"/>
    <w:rPr>
      <w:rFonts w:ascii="Times New Roman" w:hAnsi="Times New Roman" w:eastAsia="宋体" w:cs="Times New Roman"/>
    </w:rPr>
  </w:style>
  <w:style w:type="character" w:customStyle="1" w:styleId="87">
    <w:name w:val="bds_nopic1"/>
    <w:qFormat/>
    <w:uiPriority w:val="0"/>
    <w:rPr>
      <w:rFonts w:ascii="Times New Roman" w:hAnsi="Times New Roman" w:eastAsia="宋体" w:cs="Times New Roman"/>
    </w:rPr>
  </w:style>
  <w:style w:type="character" w:customStyle="1" w:styleId="88">
    <w:name w:val="layui-this"/>
    <w:qFormat/>
    <w:uiPriority w:val="0"/>
    <w:rPr>
      <w:rFonts w:ascii="Times New Roman" w:hAnsi="Times New Roman" w:eastAsia="宋体" w:cs="Times New Roman"/>
      <w:bdr w:val="single" w:color="EEEEEE" w:sz="6" w:space="0"/>
      <w:shd w:val="clear" w:color="auto" w:fill="FFFFFF"/>
    </w:rPr>
  </w:style>
  <w:style w:type="character" w:customStyle="1" w:styleId="89">
    <w:name w:val="font81"/>
    <w:qFormat/>
    <w:uiPriority w:val="0"/>
    <w:rPr>
      <w:rFonts w:ascii="Arial Unicode MS" w:hAnsi="Arial Unicode MS" w:eastAsia="Arial Unicode MS" w:cs="Arial Unicode MS"/>
      <w:color w:val="000000"/>
      <w:sz w:val="18"/>
      <w:szCs w:val="18"/>
      <w:u w:val="none"/>
    </w:rPr>
  </w:style>
  <w:style w:type="character" w:customStyle="1" w:styleId="90">
    <w:name w:val="apple-converted-space"/>
    <w:qFormat/>
    <w:uiPriority w:val="0"/>
    <w:rPr>
      <w:rFonts w:ascii="Times New Roman" w:hAnsi="Times New Roman" w:eastAsia="宋体" w:cs="Times New Roman"/>
    </w:rPr>
  </w:style>
  <w:style w:type="character" w:customStyle="1" w:styleId="91">
    <w:name w:val="displayarti"/>
    <w:qFormat/>
    <w:uiPriority w:val="0"/>
    <w:rPr>
      <w:rFonts w:ascii="Times New Roman" w:hAnsi="Times New Roman" w:eastAsia="宋体" w:cs="Times New Roman"/>
      <w:color w:val="FFFFFF"/>
      <w:shd w:val="clear" w:color="auto" w:fill="A00000"/>
    </w:rPr>
  </w:style>
  <w:style w:type="character" w:customStyle="1" w:styleId="92">
    <w:name w:val="font131"/>
    <w:qFormat/>
    <w:uiPriority w:val="0"/>
    <w:rPr>
      <w:rFonts w:hint="eastAsia" w:ascii="宋体" w:hAnsi="宋体" w:eastAsia="宋体" w:cs="宋体"/>
      <w:b/>
      <w:bCs/>
      <w:color w:val="000000"/>
      <w:sz w:val="20"/>
      <w:szCs w:val="20"/>
      <w:u w:val="none"/>
    </w:rPr>
  </w:style>
  <w:style w:type="character" w:customStyle="1" w:styleId="93">
    <w:name w:val="bds_more2"/>
    <w:qFormat/>
    <w:uiPriority w:val="0"/>
    <w:rPr>
      <w:rFonts w:ascii="Times New Roman" w:hAnsi="Times New Roman" w:eastAsia="宋体" w:cs="Times New Roman"/>
    </w:rPr>
  </w:style>
  <w:style w:type="character" w:customStyle="1" w:styleId="94">
    <w:name w:val="bds_more"/>
    <w:qFormat/>
    <w:uiPriority w:val="0"/>
    <w:rPr>
      <w:rFonts w:hint="eastAsia" w:ascii="宋体" w:hAnsi="宋体" w:eastAsia="宋体" w:cs="宋体"/>
    </w:rPr>
  </w:style>
  <w:style w:type="paragraph" w:customStyle="1" w:styleId="95">
    <w:name w:val=" Char Char Char Char"/>
    <w:basedOn w:val="1"/>
    <w:qFormat/>
    <w:uiPriority w:val="0"/>
    <w:rPr>
      <w:rFonts w:ascii="Tahoma" w:hAnsi="Tahoma" w:eastAsia="宋体" w:cs="Times New Roman"/>
      <w:sz w:val="24"/>
      <w:szCs w:val="20"/>
    </w:rPr>
  </w:style>
  <w:style w:type="paragraph" w:customStyle="1" w:styleId="96">
    <w:name w:val="标题4"/>
    <w:basedOn w:val="1"/>
    <w:qFormat/>
    <w:uiPriority w:val="0"/>
    <w:pPr>
      <w:numPr>
        <w:ilvl w:val="0"/>
        <w:numId w:val="5"/>
      </w:numPr>
      <w:spacing w:line="360" w:lineRule="auto"/>
      <w:ind w:left="720" w:leftChars="300"/>
      <w:jc w:val="left"/>
    </w:pPr>
    <w:rPr>
      <w:rFonts w:ascii="宋体" w:hAnsi="宋体" w:eastAsia="宋体" w:cs="Times New Roman"/>
      <w:sz w:val="18"/>
      <w:szCs w:val="18"/>
    </w:rPr>
  </w:style>
  <w:style w:type="paragraph" w:customStyle="1" w:styleId="97">
    <w:name w:val="Table Paragraph"/>
    <w:basedOn w:val="1"/>
    <w:qFormat/>
    <w:uiPriority w:val="0"/>
    <w:rPr>
      <w:rFonts w:ascii="宋体" w:hAnsi="宋体" w:eastAsia="宋体" w:cs="宋体"/>
      <w:lang w:val="zh-CN" w:eastAsia="zh-CN" w:bidi="zh-CN"/>
    </w:rPr>
  </w:style>
  <w:style w:type="paragraph" w:customStyle="1" w:styleId="98">
    <w:name w:val="p0"/>
    <w:basedOn w:val="1"/>
    <w:qFormat/>
    <w:uiPriority w:val="0"/>
    <w:pPr>
      <w:widowControl/>
      <w:spacing w:line="365" w:lineRule="atLeast"/>
      <w:ind w:left="1"/>
      <w:textAlignment w:val="bottom"/>
    </w:pPr>
    <w:rPr>
      <w:rFonts w:ascii="Calibri" w:hAnsi="Calibri" w:eastAsia="宋体" w:cs="Times New Roman"/>
      <w:kern w:val="0"/>
      <w:sz w:val="20"/>
      <w:szCs w:val="22"/>
    </w:rPr>
  </w:style>
  <w:style w:type="paragraph" w:customStyle="1" w:styleId="99">
    <w:name w:val="正文 New"/>
    <w:next w:val="10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00">
    <w:name w:val="正文缩进1"/>
    <w:basedOn w:val="1"/>
    <w:next w:val="16"/>
    <w:qFormat/>
    <w:uiPriority w:val="0"/>
    <w:pPr>
      <w:widowControl w:val="0"/>
      <w:autoSpaceDE/>
      <w:autoSpaceDN/>
      <w:spacing w:before="0" w:beforeLines="0" w:after="0" w:afterLines="0" w:line="360" w:lineRule="atLeast"/>
      <w:ind w:left="0" w:firstLine="482"/>
      <w:jc w:val="both"/>
    </w:pPr>
    <w:rPr>
      <w:rFonts w:ascii="Times New Roman" w:hAnsi="Times New Roman" w:eastAsia="宋体" w:cs="Times New Roman"/>
      <w:sz w:val="24"/>
    </w:rPr>
  </w:style>
  <w:style w:type="paragraph" w:customStyle="1" w:styleId="101">
    <w:name w:val="Char Char Char Char Char Char Char1 Char"/>
    <w:basedOn w:val="1"/>
    <w:qFormat/>
    <w:uiPriority w:val="0"/>
    <w:rPr>
      <w:rFonts w:ascii="Tahoma" w:hAnsi="Tahoma" w:eastAsia="宋体" w:cs="Times New Roman"/>
      <w:sz w:val="24"/>
      <w:szCs w:val="20"/>
    </w:rPr>
  </w:style>
  <w:style w:type="paragraph" w:customStyle="1" w:styleId="102">
    <w:name w:val=" Char"/>
    <w:basedOn w:val="1"/>
    <w:qFormat/>
    <w:uiPriority w:val="0"/>
    <w:rPr>
      <w:rFonts w:ascii="Times New Roman" w:hAnsi="Times New Roman" w:eastAsia="宋体" w:cs="Times New Roman"/>
    </w:rPr>
  </w:style>
  <w:style w:type="paragraph" w:customStyle="1" w:styleId="103">
    <w:name w:val="（无样式）"/>
    <w:basedOn w:val="1"/>
    <w:qFormat/>
    <w:uiPriority w:val="0"/>
    <w:pPr>
      <w:widowControl/>
      <w:numPr>
        <w:ilvl w:val="0"/>
        <w:numId w:val="6"/>
      </w:numPr>
      <w:spacing w:line="360" w:lineRule="auto"/>
      <w:ind w:firstLine="0"/>
    </w:pPr>
    <w:rPr>
      <w:rFonts w:ascii="Times New Roman" w:hAnsi="Times New Roman" w:eastAsia="宋体" w:cs="Times New Roman"/>
      <w:sz w:val="24"/>
      <w:szCs w:val="20"/>
    </w:rPr>
  </w:style>
  <w:style w:type="paragraph" w:customStyle="1" w:styleId="10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5">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val="none" w:color="000000"/>
    </w:rPr>
  </w:style>
  <w:style w:type="paragraph" w:customStyle="1" w:styleId="106">
    <w:name w:val="_Style 102"/>
    <w:qFormat/>
    <w:uiPriority w:val="0"/>
    <w:rPr>
      <w:rFonts w:ascii="Times New Roman" w:hAnsi="Times New Roman" w:eastAsia="宋体" w:cs="Times New Roman"/>
      <w:kern w:val="2"/>
      <w:sz w:val="21"/>
      <w:szCs w:val="24"/>
      <w:lang w:val="en-US" w:eastAsia="zh-CN" w:bidi="ar-SA"/>
    </w:rPr>
  </w:style>
  <w:style w:type="paragraph" w:customStyle="1" w:styleId="107">
    <w:name w:val="Char"/>
    <w:basedOn w:val="1"/>
    <w:next w:val="1"/>
    <w:qFormat/>
    <w:uiPriority w:val="0"/>
    <w:pPr>
      <w:widowControl/>
      <w:spacing w:line="360" w:lineRule="auto"/>
      <w:jc w:val="left"/>
    </w:pPr>
    <w:rPr>
      <w:rFonts w:ascii="Times New Roman" w:hAnsi="Times New Roman" w:eastAsia="宋体" w:cs="Times New Roman"/>
      <w:kern w:val="0"/>
      <w:szCs w:val="20"/>
      <w:lang w:eastAsia="en-US"/>
    </w:rPr>
  </w:style>
  <w:style w:type="paragraph" w:customStyle="1" w:styleId="108">
    <w:name w:val="_Style 2"/>
    <w:basedOn w:val="1"/>
    <w:qFormat/>
    <w:uiPriority w:val="0"/>
    <w:rPr>
      <w:rFonts w:ascii="Times New Roman" w:hAnsi="Times New Roman" w:eastAsia="宋体" w:cs="Times New Roman"/>
    </w:rPr>
  </w:style>
  <w:style w:type="paragraph" w:customStyle="1" w:styleId="109">
    <w:name w:val="列出段落2"/>
    <w:basedOn w:val="1"/>
    <w:qFormat/>
    <w:uiPriority w:val="0"/>
    <w:pPr>
      <w:ind w:firstLine="420" w:firstLineChars="200"/>
    </w:pPr>
    <w:rPr>
      <w:rFonts w:ascii="Calibri" w:hAnsi="Calibri" w:eastAsia="宋体" w:cs="Times New Roman"/>
      <w:szCs w:val="22"/>
    </w:rPr>
  </w:style>
  <w:style w:type="paragraph" w:customStyle="1" w:styleId="110">
    <w:name w:val="*正文"/>
    <w:basedOn w:val="1"/>
    <w:qFormat/>
    <w:uiPriority w:val="0"/>
    <w:pPr>
      <w:widowControl/>
      <w:snapToGrid w:val="0"/>
      <w:ind w:firstLine="560"/>
      <w:jc w:val="left"/>
    </w:pPr>
    <w:rPr>
      <w:rFonts w:ascii="仿宋_GB2312" w:hAnsi="Times New Roman" w:eastAsia="宋体" w:cs="Times New Roman"/>
      <w:color w:val="191919"/>
      <w:sz w:val="28"/>
      <w:szCs w:val="28"/>
    </w:rPr>
  </w:style>
  <w:style w:type="paragraph" w:customStyle="1" w:styleId="111">
    <w:name w:val="列出段落1"/>
    <w:basedOn w:val="1"/>
    <w:qFormat/>
    <w:uiPriority w:val="0"/>
    <w:pPr>
      <w:ind w:firstLine="420" w:firstLineChars="200"/>
    </w:pPr>
    <w:rPr>
      <w:rFonts w:ascii="Times New Roman" w:hAnsi="Times New Roman" w:eastAsia="宋体" w:cs="Times New Roman"/>
    </w:rPr>
  </w:style>
  <w:style w:type="paragraph" w:customStyle="1" w:styleId="112">
    <w:name w:val="HtmlNormal"/>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13">
    <w:name w:val="List Paragraph"/>
    <w:basedOn w:val="1"/>
    <w:qFormat/>
    <w:uiPriority w:val="0"/>
    <w:pPr>
      <w:spacing w:line="360" w:lineRule="auto"/>
      <w:ind w:firstLine="420" w:firstLineChars="200"/>
    </w:pPr>
    <w:rPr>
      <w:rFonts w:ascii="宋体" w:hAnsi="宋体" w:eastAsia="宋体" w:cs="宋体"/>
      <w:sz w:val="24"/>
    </w:rPr>
  </w:style>
  <w:style w:type="paragraph" w:customStyle="1" w:styleId="114">
    <w:name w:val="列出段落11"/>
    <w:basedOn w:val="1"/>
    <w:qFormat/>
    <w:uiPriority w:val="0"/>
    <w:pPr>
      <w:spacing w:after="120" w:afterLines="0" w:line="360" w:lineRule="auto"/>
      <w:ind w:firstLine="420" w:firstLineChars="200"/>
    </w:pPr>
    <w:rPr>
      <w:rFonts w:ascii="Calibri" w:hAnsi="Calibri" w:eastAsia="宋体" w:cs="Times New Roman"/>
      <w:szCs w:val="22"/>
    </w:rPr>
  </w:style>
  <w:style w:type="paragraph" w:customStyle="1" w:styleId="115">
    <w:name w:val="_Style 4"/>
    <w:basedOn w:val="1"/>
    <w:qFormat/>
    <w:uiPriority w:val="0"/>
    <w:pPr>
      <w:adjustRightInd w:val="0"/>
      <w:ind w:firstLine="420" w:firstLineChars="200"/>
      <w:jc w:val="left"/>
      <w:textAlignment w:val="baseline"/>
    </w:pPr>
    <w:rPr>
      <w:rFonts w:ascii="Times New Roman" w:hAnsi="Times New Roman" w:eastAsia="宋体" w:cs="Times New Roman"/>
      <w:kern w:val="0"/>
      <w:szCs w:val="20"/>
    </w:rPr>
  </w:style>
  <w:style w:type="paragraph" w:customStyle="1" w:styleId="116">
    <w:name w:val="List Paragraph2"/>
    <w:basedOn w:val="1"/>
    <w:qFormat/>
    <w:uiPriority w:val="0"/>
    <w:pPr>
      <w:spacing w:line="360" w:lineRule="auto"/>
      <w:ind w:firstLine="420"/>
    </w:pPr>
    <w:rPr>
      <w:rFonts w:ascii="Times New Roman" w:hAnsi="Times New Roman" w:eastAsia="宋体" w:cs="Times New Roman"/>
      <w:color w:val="000000"/>
      <w:sz w:val="24"/>
      <w:szCs w:val="21"/>
    </w:rPr>
  </w:style>
  <w:style w:type="paragraph" w:customStyle="1" w:styleId="117">
    <w:name w:val="样式1"/>
    <w:basedOn w:val="1"/>
    <w:qFormat/>
    <w:uiPriority w:val="0"/>
    <w:pPr>
      <w:spacing w:line="360" w:lineRule="auto"/>
      <w:jc w:val="center"/>
    </w:pPr>
    <w:rPr>
      <w:rFonts w:ascii="Times New Roman" w:hAnsi="Times New Roman" w:eastAsia="宋体" w:cs="Times New Roman"/>
      <w:b/>
      <w:sz w:val="30"/>
      <w:szCs w:val="30"/>
    </w:rPr>
  </w:style>
  <w:style w:type="paragraph" w:customStyle="1" w:styleId="118">
    <w:name w:val="列表2"/>
    <w:basedOn w:val="1"/>
    <w:next w:val="1"/>
    <w:qFormat/>
    <w:uiPriority w:val="0"/>
    <w:pPr>
      <w:numPr>
        <w:ilvl w:val="0"/>
        <w:numId w:val="7"/>
      </w:numPr>
      <w:spacing w:line="200" w:lineRule="atLeast"/>
    </w:pPr>
    <w:rPr>
      <w:rFonts w:ascii="Times New Roman" w:hAnsi="Times New Roman" w:eastAsia="仿宋" w:cs="Times New Roman"/>
      <w:sz w:val="28"/>
    </w:rPr>
  </w:style>
  <w:style w:type="paragraph" w:customStyle="1" w:styleId="119">
    <w:name w:val="标题3-副本"/>
    <w:basedOn w:val="27"/>
    <w:qFormat/>
    <w:uiPriority w:val="0"/>
    <w:pPr>
      <w:numPr>
        <w:ilvl w:val="0"/>
        <w:numId w:val="0"/>
      </w:numPr>
      <w:ind w:left="840"/>
    </w:pPr>
    <w:rPr>
      <w:rFonts w:ascii="Times New Roman" w:hAnsi="Times New Roman" w:eastAsia="宋体" w:cs="Times New Roman"/>
    </w:rPr>
  </w:style>
  <w:style w:type="paragraph" w:customStyle="1" w:styleId="120">
    <w:name w:val="_Style 117"/>
    <w:basedOn w:val="1"/>
    <w:next w:val="1"/>
    <w:qFormat/>
    <w:uiPriority w:val="0"/>
    <w:pPr>
      <w:pBdr>
        <w:bottom w:val="single" w:color="auto" w:sz="6" w:space="1"/>
      </w:pBdr>
      <w:jc w:val="center"/>
    </w:pPr>
    <w:rPr>
      <w:rFonts w:ascii="Arial" w:eastAsia="宋体"/>
      <w:vanish/>
      <w:sz w:val="16"/>
    </w:rPr>
  </w:style>
  <w:style w:type="paragraph" w:customStyle="1" w:styleId="121">
    <w:name w:val="_Style 118"/>
    <w:basedOn w:val="1"/>
    <w:next w:val="1"/>
    <w:qFormat/>
    <w:uiPriority w:val="0"/>
    <w:pPr>
      <w:pBdr>
        <w:top w:val="single" w:color="auto" w:sz="6" w:space="1"/>
      </w:pBdr>
      <w:jc w:val="center"/>
    </w:pPr>
    <w:rPr>
      <w:rFonts w:ascii="Arial" w:eastAsia="宋体"/>
      <w:vanish/>
      <w:sz w:val="16"/>
    </w:rPr>
  </w:style>
  <w:style w:type="paragraph" w:customStyle="1" w:styleId="122">
    <w:name w:val="无间隔1"/>
    <w:basedOn w:val="1"/>
    <w:qFormat/>
    <w:uiPriority w:val="0"/>
    <w:pPr>
      <w:widowControl/>
      <w:adjustRightInd w:val="0"/>
      <w:snapToGrid w:val="0"/>
      <w:jc w:val="left"/>
    </w:pPr>
    <w:rPr>
      <w:rFonts w:ascii="Tahoma" w:hAnsi="Tahoma" w:eastAsia="微软雅黑" w:cs="Times New Roman"/>
      <w:kern w:val="0"/>
      <w:sz w:val="24"/>
      <w:szCs w:val="22"/>
    </w:rPr>
  </w:style>
  <w:style w:type="paragraph" w:customStyle="1" w:styleId="123">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4">
    <w:name w:val="font11"/>
    <w:basedOn w:val="39"/>
    <w:qFormat/>
    <w:uiPriority w:val="0"/>
    <w:rPr>
      <w:rFonts w:hint="eastAsia" w:ascii="宋体" w:hAnsi="宋体" w:eastAsia="宋体" w:cs="宋体"/>
      <w:color w:val="000000"/>
      <w:sz w:val="16"/>
      <w:szCs w:val="16"/>
      <w:u w:val="none"/>
    </w:rPr>
  </w:style>
  <w:style w:type="character" w:customStyle="1" w:styleId="125">
    <w:name w:val="font31"/>
    <w:basedOn w:val="39"/>
    <w:qFormat/>
    <w:uiPriority w:val="0"/>
    <w:rPr>
      <w:rFonts w:ascii="宋体" w:hAnsi="宋体" w:eastAsia="宋体" w:cs="宋体"/>
      <w:color w:val="000000"/>
      <w:sz w:val="16"/>
      <w:szCs w:val="16"/>
      <w:u w:val="none"/>
    </w:rPr>
  </w:style>
  <w:style w:type="character" w:customStyle="1" w:styleId="126">
    <w:name w:val="font41"/>
    <w:basedOn w:val="39"/>
    <w:qFormat/>
    <w:uiPriority w:val="0"/>
    <w:rPr>
      <w:rFonts w:hint="eastAsia" w:ascii="宋体" w:hAnsi="宋体" w:eastAsia="宋体" w:cs="宋体"/>
      <w:color w:val="000000"/>
      <w:sz w:val="21"/>
      <w:szCs w:val="21"/>
      <w:u w:val="none"/>
    </w:rPr>
  </w:style>
  <w:style w:type="character" w:customStyle="1" w:styleId="127">
    <w:name w:val="font01"/>
    <w:basedOn w:val="39"/>
    <w:qFormat/>
    <w:uiPriority w:val="0"/>
    <w:rPr>
      <w:rFonts w:hint="eastAsia" w:ascii="宋体" w:hAnsi="宋体" w:eastAsia="宋体" w:cs="宋体"/>
      <w:color w:val="000000"/>
      <w:sz w:val="22"/>
      <w:szCs w:val="22"/>
      <w:u w:val="none"/>
    </w:rPr>
  </w:style>
  <w:style w:type="character" w:customStyle="1" w:styleId="128">
    <w:name w:val="hover"/>
    <w:basedOn w:val="39"/>
    <w:qFormat/>
    <w:uiPriority w:val="0"/>
    <w:rPr>
      <w:color w:val="2590EB"/>
    </w:rPr>
  </w:style>
  <w:style w:type="character" w:customStyle="1" w:styleId="129">
    <w:name w:val="hover1"/>
    <w:basedOn w:val="39"/>
    <w:qFormat/>
    <w:uiPriority w:val="0"/>
    <w:rPr>
      <w:color w:val="2590EB"/>
    </w:rPr>
  </w:style>
  <w:style w:type="character" w:customStyle="1" w:styleId="130">
    <w:name w:val="hover2"/>
    <w:basedOn w:val="39"/>
    <w:qFormat/>
    <w:uiPriority w:val="0"/>
  </w:style>
  <w:style w:type="character" w:customStyle="1" w:styleId="131">
    <w:name w:val="hover3"/>
    <w:basedOn w:val="39"/>
    <w:qFormat/>
    <w:uiPriority w:val="0"/>
    <w:rPr>
      <w:color w:val="2590EB"/>
      <w:shd w:val="clear" w:fill="E9F4FD"/>
    </w:rPr>
  </w:style>
  <w:style w:type="character" w:customStyle="1" w:styleId="132">
    <w:name w:val="hover4"/>
    <w:basedOn w:val="39"/>
    <w:qFormat/>
    <w:uiPriority w:val="0"/>
    <w:rPr>
      <w:color w:val="2590EB"/>
      <w:shd w:val="clear" w:fill="E9F4FD"/>
    </w:rPr>
  </w:style>
  <w:style w:type="paragraph" w:customStyle="1" w:styleId="133">
    <w:name w:val="无列表1"/>
    <w:semiHidden/>
    <w:qFormat/>
    <w:uiPriority w:val="0"/>
    <w:rPr>
      <w:rFonts w:ascii="Times New Roman" w:hAnsi="Times New Roman" w:eastAsia="宋体" w:cs="Times New Roman"/>
      <w:sz w:val="21"/>
      <w:szCs w:val="22"/>
      <w:lang w:val="en-US" w:eastAsia="zh-CN" w:bidi="ar-SA"/>
    </w:rPr>
  </w:style>
  <w:style w:type="paragraph" w:customStyle="1" w:styleId="134">
    <w:name w:val="列表段落1"/>
    <w:basedOn w:val="1"/>
    <w:qFormat/>
    <w:uiPriority w:val="34"/>
    <w:pPr>
      <w:widowControl w:val="0"/>
      <w:spacing w:before="0" w:after="0"/>
      <w:ind w:firstLine="420" w:firstLineChars="200"/>
    </w:pPr>
    <w:rPr>
      <w:kern w:val="2"/>
      <w:sz w:val="21"/>
      <w:lang w:eastAsia="zh-CN"/>
    </w:rPr>
  </w:style>
  <w:style w:type="paragraph" w:customStyle="1" w:styleId="135">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36">
    <w:name w:val="协议书标题2"/>
    <w:basedOn w:val="4"/>
    <w:next w:val="1"/>
    <w:qFormat/>
    <w:uiPriority w:val="0"/>
    <w:pPr>
      <w:keepNext w:val="0"/>
      <w:keepLines w:val="0"/>
      <w:tabs>
        <w:tab w:val="left" w:pos="567"/>
      </w:tabs>
      <w:spacing w:line="360" w:lineRule="auto"/>
      <w:ind w:left="425"/>
      <w:jc w:val="left"/>
    </w:pPr>
    <w:rPr>
      <w:rFonts w:ascii="宋体" w:hAnsi="宋体" w:eastAsia="宋体"/>
      <w:sz w:val="24"/>
    </w:rPr>
  </w:style>
  <w:style w:type="table" w:customStyle="1" w:styleId="137">
    <w:name w:val="Table Normal"/>
    <w:semiHidden/>
    <w:unhideWhenUsed/>
    <w:qFormat/>
    <w:uiPriority w:val="2"/>
    <w:tblPr>
      <w:tblCellMar>
        <w:top w:w="0" w:type="dxa"/>
        <w:left w:w="0" w:type="dxa"/>
        <w:bottom w:w="0" w:type="dxa"/>
        <w:right w:w="0" w:type="dxa"/>
      </w:tblCellMar>
    </w:tblPr>
  </w:style>
  <w:style w:type="character" w:customStyle="1" w:styleId="138">
    <w:name w:val="c-icon"/>
    <w:basedOn w:val="39"/>
    <w:qFormat/>
    <w:uiPriority w:val="0"/>
  </w:style>
  <w:style w:type="character" w:customStyle="1" w:styleId="139">
    <w:name w:val="hover24"/>
    <w:basedOn w:val="39"/>
    <w:qFormat/>
    <w:uiPriority w:val="0"/>
    <w:rPr>
      <w:color w:val="315EFB"/>
    </w:rPr>
  </w:style>
  <w:style w:type="character" w:customStyle="1" w:styleId="140">
    <w:name w:val="hover25"/>
    <w:basedOn w:val="39"/>
    <w:qFormat/>
    <w:uiPriority w:val="0"/>
    <w:rPr>
      <w:color w:val="315EFB"/>
    </w:rPr>
  </w:style>
  <w:style w:type="character" w:customStyle="1" w:styleId="141">
    <w:name w:val="hover26"/>
    <w:basedOn w:val="39"/>
    <w:qFormat/>
    <w:uiPriority w:val="0"/>
  </w:style>
  <w:style w:type="character" w:customStyle="1" w:styleId="142">
    <w:name w:val="hover22"/>
    <w:basedOn w:val="39"/>
    <w:qFormat/>
    <w:uiPriority w:val="0"/>
    <w:rPr>
      <w:color w:val="315EFB"/>
    </w:rPr>
  </w:style>
  <w:style w:type="character" w:customStyle="1" w:styleId="143">
    <w:name w:val="hover23"/>
    <w:basedOn w:val="39"/>
    <w:qFormat/>
    <w:uiPriority w:val="0"/>
  </w:style>
  <w:style w:type="character" w:customStyle="1" w:styleId="144">
    <w:name w:val="c-icon28"/>
    <w:basedOn w:val="39"/>
    <w:qFormat/>
    <w:uiPriority w:val="0"/>
  </w:style>
  <w:style w:type="paragraph" w:customStyle="1" w:styleId="145">
    <w:name w:val="Char Char Char Char Char Char"/>
    <w:basedOn w:val="1"/>
    <w:qFormat/>
    <w:uiPriority w:val="0"/>
  </w:style>
  <w:style w:type="paragraph" w:customStyle="1" w:styleId="146">
    <w:name w:val="_Style 40"/>
    <w:basedOn w:val="1"/>
    <w:next w:val="113"/>
    <w:qFormat/>
    <w:uiPriority w:val="34"/>
    <w:pPr>
      <w:ind w:firstLine="420" w:firstLineChars="200"/>
    </w:pPr>
    <w:rPr>
      <w:szCs w:val="22"/>
    </w:rPr>
  </w:style>
  <w:style w:type="paragraph" w:customStyle="1" w:styleId="147">
    <w:name w:val="AutoCorrect"/>
    <w:qFormat/>
    <w:uiPriority w:val="0"/>
    <w:pPr>
      <w:widowControl w:val="0"/>
    </w:pPr>
    <w:rPr>
      <w:rFonts w:ascii="Times New Roman" w:hAnsi="Times New Roman" w:eastAsia="PMingLiU" w:cs="Times New Roman"/>
      <w:kern w:val="2"/>
      <w:sz w:val="24"/>
      <w:lang w:val="en-US" w:eastAsia="zh-TW" w:bidi="ar-SA"/>
    </w:rPr>
  </w:style>
  <w:style w:type="paragraph" w:customStyle="1" w:styleId="14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49">
    <w:name w:val="before"/>
    <w:basedOn w:val="39"/>
    <w:qFormat/>
    <w:uiPriority w:val="0"/>
    <w:rPr>
      <w:shd w:val="clear" w:fill="E22323"/>
    </w:rPr>
  </w:style>
  <w:style w:type="character" w:customStyle="1" w:styleId="150">
    <w:name w:val="active2"/>
    <w:basedOn w:val="39"/>
    <w:qFormat/>
    <w:uiPriority w:val="0"/>
    <w:rPr>
      <w:color w:val="FFFFFF"/>
      <w:shd w:val="clear" w:fill="E22323"/>
    </w:rPr>
  </w:style>
  <w:style w:type="character" w:customStyle="1" w:styleId="151">
    <w:name w:val="margin_right202"/>
    <w:basedOn w:val="39"/>
    <w:qFormat/>
    <w:uiPriority w:val="0"/>
  </w:style>
  <w:style w:type="character" w:customStyle="1" w:styleId="152">
    <w:name w:val="margin_right20"/>
    <w:basedOn w:val="39"/>
    <w:qFormat/>
    <w:uiPriority w:val="0"/>
  </w:style>
  <w:style w:type="character" w:customStyle="1" w:styleId="153">
    <w:name w:val="hover5"/>
    <w:basedOn w:val="39"/>
    <w:qFormat/>
    <w:uiPriority w:val="0"/>
    <w:rPr>
      <w:color w:val="0063BA"/>
    </w:rPr>
  </w:style>
  <w:style w:type="character" w:customStyle="1" w:styleId="154">
    <w:name w:val="active5"/>
    <w:basedOn w:val="39"/>
    <w:qFormat/>
    <w:uiPriority w:val="0"/>
    <w:rPr>
      <w:color w:val="FFFFFF"/>
      <w:shd w:val="clear" w:fill="E22323"/>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普通(网站) Char"/>
    <w:basedOn w:val="1"/>
    <w:qFormat/>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27941</Words>
  <Characters>30118</Characters>
  <Lines>414</Lines>
  <Paragraphs>116</Paragraphs>
  <TotalTime>24</TotalTime>
  <ScaleCrop>false</ScaleCrop>
  <LinksUpToDate>false</LinksUpToDate>
  <CharactersWithSpaces>30592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2022-04-22T03:46:00Z</dcterms:created>
  <dc:creator>陈倩倩</dc:creator>
  <cp:lastModifiedBy>傻傻一辈子</cp:lastModifiedBy>
  <cp:lastPrinted>2024-10-31T00:25:00Z</cp:lastPrinted>
  <dcterms:modified xsi:type="dcterms:W3CDTF">2024-11-26T01:08:20Z</dcterms:modified>
  <dc:title>滁州市人力资源和社会保障信息中心信息网络设备采购及安装项目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254E01CA70184611B2CCD60EC4D3F881_13</vt:lpwstr>
  </property>
</Properties>
</file>