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6DC9B">
      <w:pPr>
        <w:ind w:right="-315" w:rightChars="-150"/>
        <w:jc w:val="center"/>
        <w:rPr>
          <w:rFonts w:hint="eastAsia" w:ascii="宋体" w:hAnsi="宋体" w:eastAsia="宋体" w:cs="宋体"/>
          <w:b/>
          <w:bCs/>
          <w:color w:val="auto"/>
          <w:sz w:val="92"/>
          <w:szCs w:val="92"/>
          <w:highlight w:val="none"/>
          <w:u w:val="single"/>
          <w:vertAlign w:val="subscript"/>
        </w:rPr>
      </w:pPr>
    </w:p>
    <w:p w14:paraId="6B503F7B">
      <w:pPr>
        <w:spacing w:line="720" w:lineRule="auto"/>
        <w:jc w:val="center"/>
        <w:rPr>
          <w:rFonts w:hint="eastAsia" w:ascii="宋体" w:hAnsi="宋体" w:eastAsia="宋体" w:cs="宋体"/>
          <w:b/>
          <w:bCs/>
          <w:color w:val="auto"/>
          <w:spacing w:val="-10"/>
          <w:sz w:val="48"/>
          <w:szCs w:val="48"/>
          <w:highlight w:val="none"/>
          <w:lang w:val="en-US" w:eastAsia="zh-CN"/>
        </w:rPr>
      </w:pPr>
      <w:r>
        <w:rPr>
          <w:rFonts w:hint="eastAsia" w:ascii="宋体" w:hAnsi="宋体" w:cs="宋体"/>
          <w:b/>
          <w:bCs/>
          <w:color w:val="auto"/>
          <w:spacing w:val="-10"/>
          <w:sz w:val="48"/>
          <w:szCs w:val="48"/>
          <w:highlight w:val="none"/>
          <w:lang w:val="en-US" w:eastAsia="zh-CN"/>
        </w:rPr>
        <w:t>2023年度市政道路部分人行道提升改造工程结算复核服务项目</w:t>
      </w:r>
    </w:p>
    <w:p w14:paraId="5854E797">
      <w:pPr>
        <w:spacing w:line="400" w:lineRule="atLeast"/>
        <w:jc w:val="center"/>
        <w:rPr>
          <w:rFonts w:hint="eastAsia" w:ascii="宋体" w:hAnsi="宋体" w:eastAsia="宋体" w:cs="宋体"/>
          <w:b/>
          <w:bCs/>
          <w:color w:val="auto"/>
          <w:sz w:val="98"/>
          <w:szCs w:val="98"/>
          <w:highlight w:val="none"/>
        </w:rPr>
      </w:pPr>
    </w:p>
    <w:p w14:paraId="559D772C">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19F15149">
      <w:pPr>
        <w:spacing w:line="480" w:lineRule="exact"/>
        <w:ind w:firstLine="2880" w:firstLineChars="900"/>
        <w:rPr>
          <w:rFonts w:hint="eastAsia" w:ascii="宋体" w:hAnsi="宋体" w:eastAsia="宋体" w:cs="宋体"/>
          <w:color w:val="auto"/>
          <w:sz w:val="32"/>
          <w:highlight w:val="none"/>
          <w:u w:val="none"/>
          <w:lang w:val="en-US" w:eastAsia="zh-CN"/>
        </w:rPr>
      </w:pPr>
    </w:p>
    <w:p w14:paraId="6228E25F">
      <w:pPr>
        <w:spacing w:line="480" w:lineRule="exact"/>
        <w:ind w:firstLine="2880" w:firstLineChars="900"/>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color w:val="auto"/>
          <w:sz w:val="32"/>
          <w:highlight w:val="none"/>
          <w:u w:val="none"/>
          <w:lang w:val="en-US" w:eastAsia="zh-CN"/>
        </w:rPr>
        <w:t>项目</w:t>
      </w:r>
      <w:bookmarkStart w:id="70" w:name="_GoBack"/>
      <w:r>
        <w:rPr>
          <w:rFonts w:hint="eastAsia" w:ascii="宋体" w:hAnsi="宋体" w:eastAsia="宋体" w:cs="宋体"/>
          <w:color w:val="auto"/>
          <w:sz w:val="32"/>
          <w:highlight w:val="none"/>
          <w:u w:val="none"/>
          <w:lang w:val="en-US" w:eastAsia="zh-CN"/>
        </w:rPr>
        <w:t>编号</w:t>
      </w:r>
      <w:bookmarkEnd w:id="70"/>
      <w:r>
        <w:rPr>
          <w:rFonts w:hint="eastAsia" w:ascii="宋体" w:hAnsi="宋体" w:eastAsia="宋体" w:cs="宋体"/>
          <w:color w:val="auto"/>
          <w:sz w:val="32"/>
          <w:highlight w:val="none"/>
          <w:u w:val="none"/>
          <w:lang w:val="en-US" w:eastAsia="zh-CN"/>
        </w:rPr>
        <w:t>：HXJY1110001040680001</w:t>
      </w:r>
      <w:r>
        <w:rPr>
          <w:rFonts w:hint="eastAsia" w:ascii="仿宋" w:hAnsi="仿宋" w:eastAsia="仿宋" w:cs="仿宋"/>
          <w:i w:val="0"/>
          <w:iCs w:val="0"/>
          <w:caps w:val="0"/>
          <w:color w:val="auto"/>
          <w:spacing w:val="0"/>
          <w:kern w:val="0"/>
          <w:sz w:val="28"/>
          <w:szCs w:val="28"/>
          <w:highlight w:val="none"/>
          <w:u w:val="single"/>
          <w:shd w:val="clear" w:fill="FFFFFF"/>
          <w:lang w:val="en-US" w:eastAsia="zh-CN" w:bidi="ar"/>
        </w:rPr>
        <w:t xml:space="preserve"> </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2968F6F1">
      <w:pPr>
        <w:spacing w:line="480" w:lineRule="exact"/>
        <w:ind w:firstLine="472" w:firstLineChars="147"/>
        <w:rPr>
          <w:rFonts w:hint="eastAsia" w:ascii="宋体" w:hAnsi="宋体" w:eastAsia="宋体" w:cs="宋体"/>
          <w:b/>
          <w:bCs/>
          <w:color w:val="auto"/>
          <w:sz w:val="32"/>
          <w:szCs w:val="32"/>
          <w:highlight w:val="none"/>
        </w:rPr>
      </w:pPr>
    </w:p>
    <w:p w14:paraId="07CE3B8E">
      <w:pPr>
        <w:spacing w:line="480" w:lineRule="exact"/>
        <w:ind w:firstLine="472" w:firstLineChars="147"/>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0292DE31">
      <w:pPr>
        <w:rPr>
          <w:rFonts w:hint="eastAsia" w:ascii="宋体" w:hAnsi="宋体" w:eastAsia="宋体" w:cs="宋体"/>
          <w:color w:val="auto"/>
          <w:highlight w:val="none"/>
        </w:rPr>
      </w:pPr>
    </w:p>
    <w:p w14:paraId="3B4053DE">
      <w:pPr>
        <w:wordWrap w:val="0"/>
        <w:spacing w:line="800" w:lineRule="exact"/>
        <w:ind w:right="480" w:firstLine="960" w:firstLineChars="300"/>
        <w:jc w:val="both"/>
        <w:rPr>
          <w:rFonts w:hint="eastAsia" w:ascii="宋体" w:hAnsi="宋体" w:eastAsia="宋体" w:cs="宋体"/>
          <w:color w:val="auto"/>
          <w:sz w:val="32"/>
          <w:highlight w:val="none"/>
          <w:lang w:val="en-US" w:eastAsia="zh-CN"/>
        </w:rPr>
      </w:pPr>
    </w:p>
    <w:p w14:paraId="44D60B52">
      <w:pPr>
        <w:wordWrap w:val="0"/>
        <w:spacing w:line="800" w:lineRule="exact"/>
        <w:ind w:right="480" w:firstLine="960" w:firstLineChars="300"/>
        <w:jc w:val="both"/>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hAnsi="宋体" w:cs="宋体"/>
          <w:color w:val="auto"/>
          <w:sz w:val="32"/>
          <w:highlight w:val="none"/>
          <w:u w:val="single"/>
          <w:lang w:val="en-US" w:eastAsia="zh-CN"/>
        </w:rPr>
        <w:t xml:space="preserve">    滁州市市政设施管理中心    </w:t>
      </w:r>
      <w:r>
        <w:rPr>
          <w:rFonts w:hint="eastAsia" w:ascii="宋体" w:hAnsi="宋体" w:eastAsia="宋体" w:cs="宋体"/>
          <w:color w:val="auto"/>
          <w:sz w:val="32"/>
          <w:highlight w:val="none"/>
          <w:u w:val="single"/>
        </w:rPr>
        <w:t>（盖章）</w:t>
      </w:r>
    </w:p>
    <w:p w14:paraId="7964B908">
      <w:pPr>
        <w:spacing w:line="800" w:lineRule="exact"/>
        <w:jc w:val="cente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滁州市城投工程咨询管理有限公司（盖章）</w:t>
      </w:r>
    </w:p>
    <w:p w14:paraId="5E2CC12C">
      <w:pPr>
        <w:spacing w:line="800" w:lineRule="exact"/>
        <w:jc w:val="center"/>
        <w:rPr>
          <w:rFonts w:hint="eastAsia" w:ascii="宋体" w:hAnsi="宋体" w:eastAsia="宋体" w:cs="宋体"/>
          <w:b/>
          <w:color w:val="auto"/>
          <w:spacing w:val="20"/>
          <w:sz w:val="32"/>
          <w:szCs w:val="32"/>
          <w:highlight w:val="none"/>
          <w:lang w:val="en-US" w:eastAsia="zh-CN"/>
        </w:rPr>
      </w:pPr>
      <w:r>
        <w:rPr>
          <w:rFonts w:hint="eastAsia" w:ascii="宋体" w:hAnsi="宋体" w:eastAsia="宋体" w:cs="宋体"/>
          <w:color w:val="auto"/>
          <w:sz w:val="32"/>
          <w:highlight w:val="none"/>
          <w:u w:val="single"/>
        </w:rPr>
        <w:t>202</w:t>
      </w:r>
      <w:r>
        <w:rPr>
          <w:rFonts w:hint="eastAsia" w:ascii="宋体" w:hAnsi="宋体" w:cs="宋体"/>
          <w:color w:val="auto"/>
          <w:sz w:val="32"/>
          <w:highlight w:val="none"/>
          <w:u w:val="single"/>
          <w:lang w:val="en-US" w:eastAsia="zh-CN"/>
        </w:rPr>
        <w:t>5</w:t>
      </w:r>
      <w:r>
        <w:rPr>
          <w:rFonts w:hint="eastAsia" w:ascii="宋体" w:hAnsi="宋体" w:eastAsia="宋体" w:cs="宋体"/>
          <w:color w:val="auto"/>
          <w:sz w:val="32"/>
          <w:highlight w:val="none"/>
        </w:rPr>
        <w:t>年</w:t>
      </w:r>
      <w:r>
        <w:rPr>
          <w:rFonts w:hint="eastAsia" w:ascii="宋体" w:hAnsi="宋体" w:cs="宋体"/>
          <w:color w:val="auto"/>
          <w:sz w:val="32"/>
          <w:highlight w:val="none"/>
          <w:u w:val="single"/>
          <w:lang w:val="en-US" w:eastAsia="zh-CN"/>
        </w:rPr>
        <w:t xml:space="preserve"> 8</w:t>
      </w:r>
      <w:r>
        <w:rPr>
          <w:rFonts w:hint="eastAsia" w:ascii="宋体" w:hAnsi="宋体" w:eastAsia="宋体" w:cs="宋体"/>
          <w:color w:val="auto"/>
          <w:sz w:val="32"/>
          <w:highlight w:val="none"/>
        </w:rPr>
        <w:t>月</w:t>
      </w:r>
    </w:p>
    <w:p w14:paraId="563A1069">
      <w:pPr>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6" w:h="16838"/>
          <w:pgMar w:top="1134" w:right="1106" w:bottom="1134" w:left="1259" w:header="680" w:footer="680" w:gutter="0"/>
          <w:cols w:space="0" w:num="1"/>
          <w:titlePg/>
          <w:docGrid w:type="lines" w:linePitch="318" w:charSpace="0"/>
        </w:sectPr>
      </w:pPr>
    </w:p>
    <w:p w14:paraId="35F77A08">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2"/>
        <w:tabs>
          <w:tab w:val="right" w:leader="dot" w:pos="9541"/>
          <w:tab w:val="clear" w:pos="8296"/>
        </w:tabs>
        <w:rPr>
          <w:rFonts w:hint="eastAsia" w:ascii="宋体" w:hAnsi="宋体" w:eastAsia="宋体" w:cs="宋体"/>
          <w:b w:val="0"/>
          <w:bCs w:val="0"/>
          <w:color w:val="auto"/>
          <w:sz w:val="24"/>
          <w:szCs w:val="24"/>
          <w:highlight w:val="none"/>
        </w:rPr>
      </w:pPr>
    </w:p>
    <w:p w14:paraId="5F0FFD1A">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_Toc16309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A、</w:t>
      </w:r>
      <w:r>
        <w:rPr>
          <w:rFonts w:hint="eastAsia" w:hAnsi="宋体" w:eastAsia="宋体" w:cs="宋体"/>
          <w:color w:val="auto"/>
          <w:highlight w:val="none"/>
          <w:lang w:val="en-US" w:eastAsia="zh-CN"/>
        </w:rPr>
        <w:t>招标公告</w:t>
      </w:r>
      <w:r>
        <w:rPr>
          <w:rFonts w:hint="eastAsia" w:ascii="宋体" w:hAnsi="宋体" w:eastAsia="宋体" w:cs="宋体"/>
          <w:color w:val="auto"/>
          <w:highlight w:val="none"/>
        </w:rPr>
        <w:tab/>
      </w:r>
      <w:r>
        <w:rPr>
          <w:rFonts w:hint="eastAsia" w:hAnsi="宋体" w:eastAsia="宋体" w:cs="宋体"/>
          <w:color w:val="auto"/>
          <w:highlight w:val="none"/>
          <w:lang w:val="en-US" w:eastAsia="zh-CN"/>
        </w:rPr>
        <w:t>1</w:t>
      </w:r>
      <w:r>
        <w:rPr>
          <w:rFonts w:hint="eastAsia" w:ascii="宋体" w:hAnsi="宋体" w:eastAsia="宋体" w:cs="宋体"/>
          <w:bCs w:val="0"/>
          <w:color w:val="auto"/>
          <w:szCs w:val="24"/>
          <w:highlight w:val="none"/>
        </w:rPr>
        <w:fldChar w:fldCharType="end"/>
      </w:r>
    </w:p>
    <w:p w14:paraId="4CD5E4E4">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_Toc2525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hAnsi="宋体" w:eastAsia="宋体" w:cs="宋体"/>
          <w:color w:val="auto"/>
          <w:highlight w:val="none"/>
          <w:lang w:eastAsia="zh-CN"/>
        </w:rPr>
        <w:t>投标人须知</w:t>
      </w:r>
      <w:r>
        <w:rPr>
          <w:rFonts w:hint="eastAsia" w:ascii="宋体" w:hAnsi="宋体" w:eastAsia="宋体" w:cs="宋体"/>
          <w:color w:val="auto"/>
          <w:highlight w:val="none"/>
        </w:rPr>
        <w:tab/>
      </w:r>
      <w:r>
        <w:rPr>
          <w:rFonts w:hint="eastAsia" w:hAnsi="宋体" w:eastAsia="宋体" w:cs="宋体"/>
          <w:color w:val="auto"/>
          <w:highlight w:val="none"/>
          <w:lang w:val="en-US" w:eastAsia="zh-CN"/>
        </w:rPr>
        <w:t>6</w:t>
      </w:r>
      <w:r>
        <w:rPr>
          <w:rFonts w:hint="eastAsia" w:ascii="宋体" w:hAnsi="宋体" w:eastAsia="宋体" w:cs="宋体"/>
          <w:bCs w:val="0"/>
          <w:color w:val="auto"/>
          <w:szCs w:val="24"/>
          <w:highlight w:val="none"/>
        </w:rPr>
        <w:fldChar w:fldCharType="end"/>
      </w:r>
    </w:p>
    <w:p w14:paraId="37667979">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_Toc13234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第二章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65E06610">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_Toc3848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szCs w:val="44"/>
          <w:highlight w:val="none"/>
          <w:lang w:val="en-US" w:eastAsia="zh-CN"/>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02A250ED">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_Toc30675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第四章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703F52F3">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_Toc31498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第五章 招标单位、招标代理机构对本招标文件的确认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2E1D2DC7">
      <w:pPr>
        <w:pStyle w:val="6"/>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val="0"/>
          <w:color w:val="auto"/>
          <w:szCs w:val="24"/>
          <w:highlight w:val="none"/>
        </w:rPr>
        <w:fldChar w:fldCharType="end"/>
      </w:r>
      <w:r>
        <w:rPr>
          <w:rFonts w:hint="eastAsia" w:ascii="宋体" w:hAnsi="宋体" w:eastAsia="宋体" w:cs="宋体"/>
          <w:b w:val="0"/>
          <w:bCs w:val="0"/>
          <w:color w:val="auto"/>
          <w:sz w:val="24"/>
          <w:szCs w:val="24"/>
          <w:highlight w:val="none"/>
          <w:lang w:val="en-US" w:eastAsia="zh-CN"/>
        </w:rPr>
        <w:t xml:space="preserve"> </w:t>
      </w:r>
    </w:p>
    <w:p w14:paraId="33519C63">
      <w:pPr>
        <w:rPr>
          <w:rFonts w:hint="eastAsia" w:ascii="宋体" w:hAnsi="宋体" w:eastAsia="宋体" w:cs="宋体"/>
          <w:color w:val="auto"/>
          <w:highlight w:val="none"/>
        </w:rPr>
        <w:sectPr>
          <w:footerReference r:id="rId8" w:type="first"/>
          <w:footerReference r:id="rId7"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3D41C168">
      <w:pPr>
        <w:pStyle w:val="6"/>
        <w:numPr>
          <w:ilvl w:val="0"/>
          <w:numId w:val="1"/>
        </w:numPr>
        <w:bidi w:val="0"/>
        <w:rPr>
          <w:rFonts w:hint="eastAsia" w:ascii="宋体" w:hAnsi="宋体" w:eastAsia="宋体" w:cs="宋体"/>
          <w:color w:val="auto"/>
          <w:highlight w:val="none"/>
          <w:lang w:val="en-US" w:eastAsia="zh-CN"/>
        </w:rPr>
      </w:pPr>
      <w:bookmarkStart w:id="0" w:name="_Toc16309"/>
      <w:r>
        <w:rPr>
          <w:rFonts w:hint="eastAsia" w:ascii="宋体" w:hAnsi="宋体" w:eastAsia="宋体" w:cs="宋体"/>
          <w:color w:val="auto"/>
          <w:highlight w:val="none"/>
          <w:lang w:val="en-US" w:eastAsia="zh-CN"/>
        </w:rPr>
        <w:t>招标公告</w:t>
      </w:r>
    </w:p>
    <w:p w14:paraId="6153588B">
      <w:pPr>
        <w:pStyle w:val="6"/>
        <w:pageBreakBefore w:val="0"/>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rPr>
          <w:rFonts w:hint="eastAsia" w:ascii="华文中宋" w:hAnsi="华文中宋" w:eastAsia="华文中宋" w:cs="Times New Roman"/>
          <w:color w:val="auto"/>
          <w:highlight w:val="none"/>
          <w:lang w:eastAsia="zh-CN"/>
        </w:rPr>
      </w:pPr>
      <w:bookmarkStart w:id="1" w:name="_Toc14627"/>
      <w:bookmarkStart w:id="2" w:name="_Toc21262"/>
      <w:r>
        <w:rPr>
          <w:rFonts w:hint="eastAsia" w:ascii="华文中宋" w:hAnsi="华文中宋" w:eastAsia="华文中宋" w:cs="Times New Roman"/>
          <w:color w:val="auto"/>
          <w:highlight w:val="none"/>
          <w:lang w:val="en-US" w:eastAsia="zh-CN"/>
        </w:rPr>
        <w:t>2023年度市政道路部分人行道提升改造工程结算复核服务项目</w:t>
      </w:r>
      <w:r>
        <w:rPr>
          <w:rFonts w:hint="eastAsia" w:ascii="华文中宋" w:hAnsi="华文中宋" w:eastAsia="华文中宋" w:cs="Times New Roman"/>
          <w:color w:val="auto"/>
          <w:highlight w:val="none"/>
          <w:lang w:eastAsia="zh-CN"/>
        </w:rPr>
        <w:t>招标公告</w:t>
      </w:r>
      <w:bookmarkEnd w:id="1"/>
      <w:bookmarkEnd w:id="2"/>
      <w:r>
        <w:rPr>
          <w:rFonts w:hint="eastAsia" w:ascii="华文中宋" w:hAnsi="华文中宋" w:eastAsia="华文中宋" w:cs="Times New Roman"/>
          <w:color w:val="auto"/>
          <w:highlight w:val="none"/>
          <w:lang w:eastAsia="zh-CN"/>
        </w:rPr>
        <w:t>（</w:t>
      </w:r>
      <w:r>
        <w:rPr>
          <w:rFonts w:hint="eastAsia" w:ascii="华文中宋" w:hAnsi="华文中宋" w:eastAsia="华文中宋" w:cs="Times New Roman"/>
          <w:color w:val="auto"/>
          <w:highlight w:val="none"/>
          <w:lang w:val="en-US" w:eastAsia="zh-CN"/>
        </w:rPr>
        <w:t>不见面开标</w:t>
      </w:r>
      <w:r>
        <w:rPr>
          <w:rFonts w:hint="eastAsia" w:ascii="华文中宋" w:hAnsi="华文中宋" w:eastAsia="华文中宋" w:cs="Times New Roman"/>
          <w:color w:val="auto"/>
          <w:highlight w:val="none"/>
          <w:lang w:eastAsia="zh-CN"/>
        </w:rPr>
        <w:t>）</w:t>
      </w:r>
    </w:p>
    <w:p w14:paraId="0105351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3" w:name="_Toc35393790"/>
      <w:bookmarkStart w:id="4" w:name="_Toc35393621"/>
      <w:bookmarkStart w:id="5" w:name="_Toc28359002"/>
      <w:bookmarkStart w:id="6" w:name="_Toc31215"/>
      <w:bookmarkStart w:id="7" w:name="_Toc23993"/>
      <w:bookmarkStart w:id="8" w:name="_Toc11704"/>
      <w:bookmarkStart w:id="9" w:name="_Toc28359079"/>
      <w:bookmarkStart w:id="10" w:name="_Hlk24379207"/>
      <w:r>
        <w:rPr>
          <w:rFonts w:hint="eastAsia" w:ascii="宋体" w:hAnsi="宋体" w:eastAsia="宋体" w:cs="宋体"/>
          <w:b/>
          <w:bCs/>
          <w:color w:val="auto"/>
          <w:sz w:val="21"/>
          <w:szCs w:val="21"/>
          <w:highlight w:val="none"/>
        </w:rPr>
        <w:t>一、项目基本情况</w:t>
      </w:r>
      <w:bookmarkEnd w:id="3"/>
      <w:bookmarkEnd w:id="4"/>
      <w:bookmarkEnd w:id="5"/>
      <w:bookmarkEnd w:id="6"/>
      <w:bookmarkEnd w:id="7"/>
      <w:bookmarkEnd w:id="8"/>
      <w:bookmarkEnd w:id="9"/>
    </w:p>
    <w:bookmarkEnd w:id="10"/>
    <w:p w14:paraId="660E96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bookmarkStart w:id="11" w:name="_Toc35393622"/>
      <w:bookmarkStart w:id="12" w:name="_Toc28359003"/>
      <w:bookmarkStart w:id="13" w:name="_Toc35393791"/>
      <w:bookmarkStart w:id="14" w:name="_Toc28004"/>
      <w:bookmarkStart w:id="15" w:name="_Toc28359080"/>
      <w:bookmarkStart w:id="16" w:name="_Toc4879"/>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项目编号：HXJY1110001040680001</w:t>
      </w:r>
    </w:p>
    <w:p w14:paraId="1E27E1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项目名称：2023年度市政道路部分人行道提升改造工程结算复核服务项目</w:t>
      </w:r>
    </w:p>
    <w:p w14:paraId="1991B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预算金额：0.8万元</w:t>
      </w:r>
    </w:p>
    <w:p w14:paraId="5705B9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最高限价：本项目的最高限价为基本费5000元、审核成果费率4%（审核成果费率为不可竞争费率，固定不变），基本费由投标人自主报价，不得高于上述基本费最高限价，否则按无效标处理。（投标报价不可以填报0或负数，否则按无效标处理）</w:t>
      </w:r>
    </w:p>
    <w:p w14:paraId="569A28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采购需求：2023年度市政道路部分人行道提升改造工程结算复核服务项目，具体详见工程量清单和施工图纸及结算报告。本次招标需求为上述工程的结算复核服务</w:t>
      </w:r>
    </w:p>
    <w:p w14:paraId="1042DD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标段（包别）划分：1个标段</w:t>
      </w:r>
    </w:p>
    <w:p w14:paraId="53B76F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合同履行期限：执行滁重〔2022〕55号《工程造价咨询服务管理办法》的通知第十八、十九条规定</w:t>
      </w:r>
    </w:p>
    <w:p w14:paraId="20F12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本项目不接受联合体</w:t>
      </w:r>
    </w:p>
    <w:p w14:paraId="101A37A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17" w:name="_Toc30013"/>
      <w:r>
        <w:rPr>
          <w:rFonts w:hint="eastAsia" w:ascii="宋体" w:hAnsi="宋体" w:eastAsia="宋体" w:cs="宋体"/>
          <w:b/>
          <w:bCs/>
          <w:color w:val="auto"/>
          <w:sz w:val="21"/>
          <w:szCs w:val="21"/>
          <w:highlight w:val="none"/>
        </w:rPr>
        <w:t>二、申请人的资格要求：</w:t>
      </w:r>
      <w:bookmarkEnd w:id="11"/>
      <w:bookmarkEnd w:id="12"/>
      <w:bookmarkEnd w:id="13"/>
      <w:bookmarkEnd w:id="14"/>
      <w:bookmarkEnd w:id="15"/>
      <w:bookmarkEnd w:id="16"/>
      <w:bookmarkEnd w:id="17"/>
    </w:p>
    <w:p w14:paraId="41B157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1.投标人要求：须具有承担本项目相应服务能力；</w:t>
      </w:r>
    </w:p>
    <w:p w14:paraId="2E536E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bookmarkStart w:id="18" w:name="_Toc28359081"/>
      <w:bookmarkStart w:id="19" w:name="_Toc28359004"/>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2.项目负责人要求：须具有建设部颁发的注册在投标单位的土木建筑工程专业一级注册造价工程师（或原注册造价工程师）；</w:t>
      </w:r>
    </w:p>
    <w:p w14:paraId="171F5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3.其他要求：项目组其他成员（不含项目负责人）要求：不少于2名且具有在本单位注册的二级及以上造价工程师（土木建筑工程专业至少1名、安装工程专业至少1名）；</w:t>
      </w:r>
    </w:p>
    <w:p w14:paraId="2AEC28B0">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bookmarkStart w:id="20" w:name="_Toc2689"/>
      <w:bookmarkStart w:id="21" w:name="_Toc7189"/>
      <w:bookmarkStart w:id="22" w:name="_Toc35393792"/>
      <w:bookmarkStart w:id="23" w:name="_Toc28172"/>
      <w:bookmarkStart w:id="24" w:name="_Toc35393623"/>
      <w:r>
        <w:rPr>
          <w:rFonts w:hint="eastAsia" w:ascii="宋体" w:hAnsi="宋体" w:eastAsia="宋体" w:cs="宋体"/>
          <w:b/>
          <w:bCs/>
          <w:color w:val="auto"/>
          <w:sz w:val="21"/>
          <w:szCs w:val="21"/>
          <w:highlight w:val="none"/>
        </w:rPr>
        <w:t>三、获取</w:t>
      </w:r>
      <w:bookmarkEnd w:id="18"/>
      <w:bookmarkEnd w:id="19"/>
      <w:bookmarkEnd w:id="20"/>
      <w:bookmarkEnd w:id="21"/>
      <w:bookmarkEnd w:id="22"/>
      <w:bookmarkEnd w:id="23"/>
      <w:bookmarkEnd w:id="24"/>
      <w:r>
        <w:rPr>
          <w:rFonts w:hint="eastAsia" w:ascii="宋体" w:hAnsi="宋体" w:eastAsia="宋体" w:cs="宋体"/>
          <w:b/>
          <w:bCs/>
          <w:color w:val="auto"/>
          <w:sz w:val="21"/>
          <w:szCs w:val="21"/>
          <w:highlight w:val="none"/>
          <w:lang w:eastAsia="zh-CN"/>
        </w:rPr>
        <w:t>招标文件</w:t>
      </w:r>
    </w:p>
    <w:p w14:paraId="42BFF7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1、招标文件获取方式：</w:t>
      </w:r>
    </w:p>
    <w:p w14:paraId="7B7E77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时间：2025年</w:t>
      </w:r>
      <w:r>
        <w:rPr>
          <w:rFonts w:hint="eastAsia" w:ascii="宋体" w:hAnsi="宋体" w:cs="宋体"/>
          <w:i w:val="0"/>
          <w:iCs w:val="0"/>
          <w:caps w:val="0"/>
          <w:color w:val="auto"/>
          <w:spacing w:val="0"/>
          <w:kern w:val="0"/>
          <w:sz w:val="21"/>
          <w:szCs w:val="21"/>
          <w:highlight w:val="none"/>
          <w:shd w:val="clear" w:color="auto" w:fill="FFFFFF"/>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月</w:t>
      </w:r>
      <w:r>
        <w:rPr>
          <w:rFonts w:hint="eastAsia" w:ascii="宋体" w:hAnsi="宋体" w:cs="宋体"/>
          <w:i w:val="0"/>
          <w:iCs w:val="0"/>
          <w:caps w:val="0"/>
          <w:color w:val="auto"/>
          <w:spacing w:val="0"/>
          <w:kern w:val="0"/>
          <w:sz w:val="21"/>
          <w:szCs w:val="21"/>
          <w:highlight w:val="none"/>
          <w:shd w:val="clear" w:color="auto" w:fill="FFFFFF"/>
          <w:lang w:val="en-US" w:eastAsia="zh-CN" w:bidi="ar"/>
        </w:rPr>
        <w:t>5</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日至2025年</w:t>
      </w:r>
      <w:r>
        <w:rPr>
          <w:rFonts w:hint="eastAsia" w:ascii="宋体" w:hAnsi="宋体" w:cs="宋体"/>
          <w:i w:val="0"/>
          <w:iCs w:val="0"/>
          <w:caps w:val="0"/>
          <w:color w:val="auto"/>
          <w:spacing w:val="0"/>
          <w:kern w:val="0"/>
          <w:sz w:val="21"/>
          <w:szCs w:val="21"/>
          <w:highlight w:val="none"/>
          <w:shd w:val="clear" w:color="auto" w:fill="FFFFFF"/>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月</w:t>
      </w:r>
      <w:r>
        <w:rPr>
          <w:rFonts w:hint="eastAsia" w:ascii="宋体" w:hAnsi="宋体" w:cs="宋体"/>
          <w:i w:val="0"/>
          <w:iCs w:val="0"/>
          <w:caps w:val="0"/>
          <w:color w:val="auto"/>
          <w:spacing w:val="0"/>
          <w:kern w:val="0"/>
          <w:sz w:val="21"/>
          <w:szCs w:val="21"/>
          <w:highlight w:val="none"/>
          <w:shd w:val="clear" w:color="auto" w:fill="FFFFFF"/>
          <w:lang w:val="en-US" w:eastAsia="zh-CN" w:bidi="ar"/>
        </w:rPr>
        <w:t>12</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日9时00分。</w:t>
      </w:r>
    </w:p>
    <w:p w14:paraId="5E8D5B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地点：请于公告发布之日起从滁州市重点工程建设管理处（http://zdc.chuzhou.gov.cn/）或滁州市城投工程咨询管理有限公司（https://www.czctgczx.com/）网站下载。</w:t>
      </w:r>
    </w:p>
    <w:p w14:paraId="1F313A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方式：网上下载</w:t>
      </w:r>
    </w:p>
    <w:p w14:paraId="27A9C3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售价：0元</w:t>
      </w:r>
    </w:p>
    <w:p w14:paraId="09247A6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bookmarkStart w:id="25" w:name="_Toc28359005"/>
      <w:bookmarkStart w:id="26" w:name="_Toc28359082"/>
      <w:bookmarkStart w:id="27" w:name="_Toc35393793"/>
      <w:bookmarkStart w:id="28" w:name="_Toc6135"/>
      <w:bookmarkStart w:id="29" w:name="_Toc19139"/>
      <w:bookmarkStart w:id="30" w:name="_Toc23486"/>
      <w:bookmarkStart w:id="31" w:name="_Toc35393624"/>
      <w:r>
        <w:rPr>
          <w:rFonts w:hint="eastAsia" w:ascii="宋体" w:hAnsi="宋体" w:eastAsia="宋体" w:cs="宋体"/>
          <w:b/>
          <w:bCs/>
          <w:color w:val="auto"/>
          <w:sz w:val="21"/>
          <w:szCs w:val="21"/>
          <w:highlight w:val="none"/>
          <w:lang w:eastAsia="zh-CN"/>
        </w:rPr>
        <w:t>四、提交投标文件</w:t>
      </w:r>
      <w:bookmarkEnd w:id="25"/>
      <w:bookmarkEnd w:id="26"/>
      <w:r>
        <w:rPr>
          <w:rFonts w:hint="eastAsia" w:ascii="宋体" w:hAnsi="宋体" w:eastAsia="宋体" w:cs="宋体"/>
          <w:b/>
          <w:bCs/>
          <w:color w:val="auto"/>
          <w:sz w:val="21"/>
          <w:szCs w:val="21"/>
          <w:highlight w:val="none"/>
          <w:lang w:eastAsia="zh-CN"/>
        </w:rPr>
        <w:t>截止时间、开标时间和地点</w:t>
      </w:r>
      <w:bookmarkEnd w:id="27"/>
      <w:bookmarkEnd w:id="28"/>
      <w:bookmarkEnd w:id="29"/>
      <w:bookmarkEnd w:id="30"/>
      <w:bookmarkEnd w:id="31"/>
    </w:p>
    <w:p w14:paraId="78DDB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bookmarkStart w:id="32" w:name="_Toc28359007"/>
      <w:bookmarkStart w:id="33" w:name="_Toc5602"/>
      <w:bookmarkStart w:id="34" w:name="_Toc35393794"/>
      <w:bookmarkStart w:id="35" w:name="_Toc1913"/>
      <w:bookmarkStart w:id="36" w:name="_Toc35393625"/>
      <w:bookmarkStart w:id="37" w:name="_Toc28359084"/>
      <w:bookmarkStart w:id="38" w:name="_Toc19623"/>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1、投标文件递交的截止时间为2025年</w:t>
      </w:r>
      <w:r>
        <w:rPr>
          <w:rFonts w:hint="eastAsia" w:ascii="宋体" w:hAnsi="宋体" w:cs="宋体"/>
          <w:i w:val="0"/>
          <w:iCs w:val="0"/>
          <w:caps w:val="0"/>
          <w:color w:val="auto"/>
          <w:spacing w:val="0"/>
          <w:kern w:val="0"/>
          <w:sz w:val="21"/>
          <w:szCs w:val="21"/>
          <w:highlight w:val="none"/>
          <w:shd w:val="clear" w:color="auto" w:fill="FFFFFF"/>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月</w:t>
      </w:r>
      <w:r>
        <w:rPr>
          <w:rFonts w:hint="eastAsia" w:ascii="宋体" w:hAnsi="宋体" w:cs="宋体"/>
          <w:i w:val="0"/>
          <w:iCs w:val="0"/>
          <w:caps w:val="0"/>
          <w:color w:val="auto"/>
          <w:spacing w:val="0"/>
          <w:kern w:val="0"/>
          <w:sz w:val="21"/>
          <w:szCs w:val="21"/>
          <w:highlight w:val="none"/>
          <w:shd w:val="clear" w:color="auto" w:fill="FFFFFF"/>
          <w:lang w:val="en-US" w:eastAsia="zh-CN" w:bidi="ar"/>
        </w:rPr>
        <w:t>12</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日9时00分；</w:t>
      </w:r>
    </w:p>
    <w:p w14:paraId="6EAC10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2、网上开标，投标人登录滁州市城投工程咨询有限公司不见面开标系统参与网上开标（网址：http://js.etrading.cn/EpointBidOpening/bidopeninghallaction/hall/login）。</w:t>
      </w:r>
    </w:p>
    <w:p w14:paraId="7B11CB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3、投标人应在投标截止时间之前，登陆新点电子交易平台【滁州专区】上传投标文件。</w:t>
      </w:r>
    </w:p>
    <w:p w14:paraId="68E703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4、投标人逾期上传投标文件的，电子系统不予受理。</w:t>
      </w:r>
    </w:p>
    <w:p w14:paraId="39276E8D">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五、公告</w:t>
      </w:r>
      <w:bookmarkEnd w:id="32"/>
      <w:bookmarkEnd w:id="33"/>
      <w:bookmarkEnd w:id="34"/>
      <w:bookmarkEnd w:id="35"/>
      <w:bookmarkEnd w:id="36"/>
      <w:bookmarkEnd w:id="37"/>
      <w:bookmarkEnd w:id="38"/>
      <w:r>
        <w:rPr>
          <w:rFonts w:hint="eastAsia" w:ascii="宋体" w:hAnsi="宋体" w:eastAsia="宋体" w:cs="宋体"/>
          <w:b/>
          <w:bCs/>
          <w:color w:val="auto"/>
          <w:sz w:val="21"/>
          <w:szCs w:val="21"/>
          <w:highlight w:val="none"/>
          <w:lang w:val="en-US" w:eastAsia="zh-CN"/>
        </w:rPr>
        <w:t>发布期限及媒体</w:t>
      </w:r>
    </w:p>
    <w:p w14:paraId="70ADAE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自本公告发布之日起至投标截止时间止。</w:t>
      </w:r>
    </w:p>
    <w:p w14:paraId="4D51DD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次招标公告同时在中国招标公共服务平台（http://www.cebpubservice.com/）、安徽省招标投标信息网（www.ahtba.org.cn）、滁州市重点工程建设管理处（http://zdc.chuzhou.gov.cn/）、滁州市城投工程咨询管理有限公司（https://www.czctgczx.com/）网站上发布</w:t>
      </w:r>
    </w:p>
    <w:p w14:paraId="25B232D4">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六、投标保证金金额及缴纳账户</w:t>
      </w:r>
    </w:p>
    <w:p w14:paraId="1B54B9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是否要求投标人提交投标保证金：不要求。</w:t>
      </w:r>
    </w:p>
    <w:p w14:paraId="74160DE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、重要提醒</w:t>
      </w:r>
    </w:p>
    <w:p w14:paraId="48DCA0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3DCD22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3DB951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015DA7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1B15D5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5.本项目采用不见面开标，投标人登录滁州市城投工程咨询有限公司不见面开标系统参与网上开标（网址：http://js.etrading.cn/EpointBidOpening/bidopeninghallaction/hall/login）。</w:t>
      </w:r>
    </w:p>
    <w:p w14:paraId="12FEC6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6.投标人应在投标截止时间之前，登录新点电子交易平台【滁州专区】上传投标文件。投标人逾期上传投标文件的，电子系统不予受理。</w:t>
      </w:r>
    </w:p>
    <w:p w14:paraId="0B0DE7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2813F8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8.投标人的联系人电话(手机)、电子邮箱等通讯方式在开标过程中必须保持畅通，否则因上述原因造成的后果，责任自负。</w:t>
      </w:r>
    </w:p>
    <w:p w14:paraId="0369C8D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对本次招标提出询问，请按以下方式联系</w:t>
      </w:r>
    </w:p>
    <w:p w14:paraId="63CC93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1.招标人信息</w:t>
      </w:r>
    </w:p>
    <w:p w14:paraId="008F99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名称：滁州市市政设施管理中心        </w:t>
      </w:r>
    </w:p>
    <w:p w14:paraId="2676EE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地址：滁州市琅琊西路建设大厦7楼                </w:t>
      </w:r>
    </w:p>
    <w:p w14:paraId="00D6D6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联系方式：</w:t>
      </w:r>
      <w:bookmarkStart w:id="39" w:name="_Toc28359009"/>
      <w:bookmarkStart w:id="40" w:name="_Toc28359086"/>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19155000509             </w:t>
      </w:r>
    </w:p>
    <w:p w14:paraId="03EF20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2.代理机构信息</w:t>
      </w:r>
      <w:bookmarkEnd w:id="39"/>
      <w:bookmarkEnd w:id="40"/>
    </w:p>
    <w:p w14:paraId="172B81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bookmarkStart w:id="41" w:name="_Toc28359087"/>
      <w:bookmarkStart w:id="42" w:name="_Toc28359010"/>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名称：滁州市城投工程咨询管理有限公司</w:t>
      </w:r>
    </w:p>
    <w:p w14:paraId="61DC66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地址：滁州市龙蟠大道109号房产商务大厦6楼605室                </w:t>
      </w:r>
    </w:p>
    <w:p w14:paraId="3942C5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联系方式：0550-3519517、18005500950             </w:t>
      </w:r>
    </w:p>
    <w:p w14:paraId="1BC655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w:t>
      </w:r>
      <w:bookmarkEnd w:id="41"/>
      <w:bookmarkEnd w:id="42"/>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项目联系方式</w:t>
      </w:r>
    </w:p>
    <w:p w14:paraId="501E9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项目联系人：李福锟、胡国庆</w:t>
      </w:r>
    </w:p>
    <w:p w14:paraId="2B50E2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电　　 话：19155000509、0550-3519517、18005500950           </w:t>
      </w:r>
    </w:p>
    <w:p w14:paraId="21C74F84">
      <w:pPr>
        <w:numPr>
          <w:ilvl w:val="0"/>
          <w:numId w:val="0"/>
        </w:numPr>
        <w:rPr>
          <w:rFonts w:hint="default"/>
          <w:color w:val="auto"/>
          <w:highlight w:val="none"/>
          <w:lang w:val="en-US" w:eastAsia="zh-CN"/>
        </w:rPr>
      </w:pPr>
    </w:p>
    <w:p w14:paraId="607C199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eastAsia="zh-CN"/>
        </w:rPr>
      </w:pPr>
      <w:bookmarkStart w:id="43" w:name="_Toc252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bookmarkEnd w:id="43"/>
      <w:r>
        <w:rPr>
          <w:rFonts w:hint="eastAsia" w:ascii="宋体" w:hAnsi="宋体" w:eastAsia="宋体" w:cs="宋体"/>
          <w:color w:val="auto"/>
          <w:highlight w:val="none"/>
          <w:lang w:eastAsia="zh-CN"/>
        </w:rPr>
        <w:t>投标人须知</w:t>
      </w:r>
    </w:p>
    <w:p w14:paraId="11A55803">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0"/>
    </w:p>
    <w:tbl>
      <w:tblPr>
        <w:tblStyle w:val="45"/>
        <w:tblW w:w="9588" w:type="dxa"/>
        <w:tblInd w:w="2" w:type="dxa"/>
        <w:tblLayout w:type="fixed"/>
        <w:tblCellMar>
          <w:top w:w="0" w:type="dxa"/>
          <w:left w:w="0" w:type="dxa"/>
          <w:bottom w:w="0" w:type="dxa"/>
          <w:right w:w="0" w:type="dxa"/>
        </w:tblCellMar>
      </w:tblPr>
      <w:tblGrid>
        <w:gridCol w:w="792"/>
        <w:gridCol w:w="1308"/>
        <w:gridCol w:w="7488"/>
      </w:tblGrid>
      <w:tr w14:paraId="78EF493F">
        <w:tblPrEx>
          <w:tblCellMar>
            <w:top w:w="0" w:type="dxa"/>
            <w:left w:w="0" w:type="dxa"/>
            <w:bottom w:w="0" w:type="dxa"/>
            <w:right w:w="0" w:type="dxa"/>
          </w:tblCellMar>
        </w:tblPrEx>
        <w:trPr>
          <w:trHeight w:val="580" w:hRule="atLeast"/>
        </w:trPr>
        <w:tc>
          <w:tcPr>
            <w:tcW w:w="792"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序号</w:t>
            </w:r>
          </w:p>
        </w:tc>
        <w:tc>
          <w:tcPr>
            <w:tcW w:w="1308"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w:t>
            </w:r>
          </w:p>
        </w:tc>
        <w:tc>
          <w:tcPr>
            <w:tcW w:w="7488"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说明与要求</w:t>
            </w:r>
          </w:p>
        </w:tc>
      </w:tr>
      <w:tr w14:paraId="726904A0">
        <w:tblPrEx>
          <w:tblCellMar>
            <w:top w:w="0" w:type="dxa"/>
            <w:left w:w="0" w:type="dxa"/>
            <w:bottom w:w="0" w:type="dxa"/>
            <w:right w:w="0" w:type="dxa"/>
          </w:tblCellMar>
        </w:tblPrEx>
        <w:trPr>
          <w:trHeight w:val="986" w:hRule="atLeast"/>
        </w:trPr>
        <w:tc>
          <w:tcPr>
            <w:tcW w:w="792"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08"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488"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cs="宋体"/>
                <w:color w:val="auto"/>
                <w:kern w:val="0"/>
                <w:sz w:val="21"/>
                <w:szCs w:val="21"/>
                <w:highlight w:val="none"/>
                <w:lang w:val="en-US" w:eastAsia="zh-CN"/>
              </w:rPr>
              <w:t>2023年度市政道路部分人行道提升改造工程结算复核服务项目</w:t>
            </w:r>
          </w:p>
          <w:p w14:paraId="3D870AD5">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14:paraId="70D97D96">
            <w:pPr>
              <w:keepNext w:val="0"/>
              <w:keepLines w:val="0"/>
              <w:pageBreakBefore w:val="0"/>
              <w:widowControl w:val="0"/>
              <w:kinsoku/>
              <w:wordWrap w:val="0"/>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rPr>
              <w:t>建设规模：</w:t>
            </w:r>
            <w:r>
              <w:rPr>
                <w:rFonts w:hint="eastAsia" w:ascii="宋体" w:hAnsi="宋体" w:cs="宋体"/>
                <w:color w:val="auto"/>
                <w:kern w:val="0"/>
                <w:sz w:val="21"/>
                <w:szCs w:val="21"/>
                <w:highlight w:val="none"/>
                <w:lang w:val="en-US" w:eastAsia="zh-CN"/>
              </w:rPr>
              <w:t>2023年度市政道路部分人行道提升改造工程，</w:t>
            </w:r>
            <w:r>
              <w:rPr>
                <w:rFonts w:hint="eastAsia" w:ascii="宋体" w:hAnsi="宋体" w:eastAsia="宋体" w:cs="宋体"/>
                <w:color w:val="auto"/>
                <w:kern w:val="0"/>
                <w:sz w:val="21"/>
                <w:szCs w:val="21"/>
                <w:highlight w:val="none"/>
                <w:lang w:val="en-US" w:eastAsia="zh-CN"/>
              </w:rPr>
              <w:t>合同价款约</w:t>
            </w:r>
            <w:r>
              <w:rPr>
                <w:rFonts w:hint="eastAsia" w:ascii="宋体" w:hAnsi="宋体" w:cs="宋体"/>
                <w:color w:val="auto"/>
                <w:kern w:val="0"/>
                <w:sz w:val="21"/>
                <w:szCs w:val="21"/>
                <w:highlight w:val="none"/>
                <w:lang w:val="en-US" w:eastAsia="zh-CN"/>
              </w:rPr>
              <w:t>377.7万元，</w:t>
            </w:r>
            <w:r>
              <w:rPr>
                <w:rFonts w:hint="eastAsia" w:ascii="宋体" w:hAnsi="宋体" w:eastAsia="宋体" w:cs="宋体"/>
                <w:color w:val="auto"/>
                <w:kern w:val="0"/>
                <w:sz w:val="21"/>
                <w:szCs w:val="21"/>
                <w:highlight w:val="none"/>
                <w:lang w:val="en-US" w:eastAsia="zh-CN"/>
              </w:rPr>
              <w:t>服务费用约</w:t>
            </w:r>
            <w:r>
              <w:rPr>
                <w:rFonts w:hint="eastAsia" w:ascii="宋体" w:hAnsi="宋体" w:cs="宋体"/>
                <w:color w:val="auto"/>
                <w:kern w:val="0"/>
                <w:sz w:val="21"/>
                <w:szCs w:val="21"/>
                <w:highlight w:val="none"/>
                <w:lang w:val="en-US" w:eastAsia="zh-CN"/>
              </w:rPr>
              <w:t>0.8万元</w:t>
            </w:r>
            <w:r>
              <w:rPr>
                <w:rFonts w:hint="eastAsia" w:ascii="宋体" w:hAnsi="宋体" w:eastAsia="宋体" w:cs="宋体"/>
                <w:color w:val="auto"/>
                <w:kern w:val="0"/>
                <w:sz w:val="21"/>
                <w:szCs w:val="21"/>
                <w:highlight w:val="none"/>
                <w:lang w:val="en-US" w:eastAsia="zh-CN"/>
              </w:rPr>
              <w:t xml:space="preserve">。  </w:t>
            </w:r>
          </w:p>
        </w:tc>
      </w:tr>
      <w:tr w14:paraId="4047B0BA">
        <w:tblPrEx>
          <w:tblCellMar>
            <w:top w:w="0" w:type="dxa"/>
            <w:left w:w="0" w:type="dxa"/>
            <w:bottom w:w="0" w:type="dxa"/>
            <w:right w:w="0" w:type="dxa"/>
          </w:tblCellMar>
        </w:tblPrEx>
        <w:trPr>
          <w:trHeight w:val="255" w:hRule="atLeast"/>
        </w:trPr>
        <w:tc>
          <w:tcPr>
            <w:tcW w:w="792"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08"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488" w:type="dxa"/>
            <w:tcBorders>
              <w:top w:val="single" w:color="auto" w:sz="8" w:space="0"/>
              <w:left w:val="single" w:color="auto" w:sz="4" w:space="0"/>
              <w:bottom w:val="single" w:color="auto" w:sz="8" w:space="0"/>
              <w:right w:val="single" w:color="auto" w:sz="8" w:space="0"/>
            </w:tcBorders>
            <w:vAlign w:val="center"/>
          </w:tcPr>
          <w:p w14:paraId="2B02BB95">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Cs w:val="21"/>
                <w:highlight w:val="none"/>
              </w:rPr>
            </w:pPr>
            <w:r>
              <w:rPr>
                <w:rFonts w:hint="eastAsia" w:ascii="宋体" w:hAnsi="宋体" w:cs="宋体"/>
                <w:color w:val="auto"/>
                <w:kern w:val="0"/>
                <w:sz w:val="21"/>
                <w:szCs w:val="21"/>
                <w:highlight w:val="none"/>
                <w:lang w:val="en-US" w:eastAsia="zh-CN"/>
              </w:rPr>
              <w:t>2023年度市政道路部分人行道提升改造工程结算复核服务项目</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Cs w:val="21"/>
                <w:highlight w:val="none"/>
              </w:rPr>
              <w:t>具体详见工程量清单和施工图纸及结算报告。</w:t>
            </w:r>
          </w:p>
          <w:p w14:paraId="0003F08F">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本次招标需求为上述工程的</w:t>
            </w:r>
            <w:r>
              <w:rPr>
                <w:rFonts w:hint="eastAsia" w:ascii="宋体" w:hAnsi="宋体" w:eastAsia="宋体" w:cs="宋体"/>
                <w:color w:val="auto"/>
                <w:kern w:val="0"/>
                <w:sz w:val="21"/>
                <w:szCs w:val="21"/>
                <w:highlight w:val="none"/>
                <w:lang w:eastAsia="zh-CN"/>
              </w:rPr>
              <w:t>结算复核服务。</w:t>
            </w:r>
          </w:p>
        </w:tc>
      </w:tr>
      <w:tr w14:paraId="597FACB0">
        <w:tblPrEx>
          <w:tblCellMar>
            <w:top w:w="0" w:type="dxa"/>
            <w:left w:w="0" w:type="dxa"/>
            <w:bottom w:w="0" w:type="dxa"/>
            <w:right w:w="0" w:type="dxa"/>
          </w:tblCellMar>
        </w:tblPrEx>
        <w:trPr>
          <w:trHeight w:val="315" w:hRule="atLeast"/>
        </w:trPr>
        <w:tc>
          <w:tcPr>
            <w:tcW w:w="792"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08"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488" w:type="dxa"/>
            <w:tcBorders>
              <w:top w:val="single" w:color="auto" w:sz="8" w:space="0"/>
              <w:left w:val="single" w:color="auto" w:sz="4" w:space="0"/>
              <w:bottom w:val="single" w:color="auto" w:sz="8" w:space="0"/>
              <w:right w:val="single" w:color="auto" w:sz="8" w:space="0"/>
            </w:tcBorders>
            <w:vAlign w:val="center"/>
          </w:tcPr>
          <w:p w14:paraId="5DB7864B">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执行滁重〔2022〕55号《工程造价咨询服务管理办法》的通知第十八、十九条规定</w:t>
            </w:r>
            <w:r>
              <w:rPr>
                <w:rFonts w:hint="eastAsia" w:ascii="宋体" w:hAnsi="宋体" w:cs="宋体"/>
                <w:color w:val="auto"/>
                <w:sz w:val="21"/>
                <w:szCs w:val="21"/>
                <w:highlight w:val="none"/>
                <w:lang w:eastAsia="zh-CN"/>
              </w:rPr>
              <w:t>。</w:t>
            </w:r>
          </w:p>
        </w:tc>
      </w:tr>
      <w:tr w14:paraId="24784F21">
        <w:tblPrEx>
          <w:tblCellMar>
            <w:top w:w="0" w:type="dxa"/>
            <w:left w:w="0" w:type="dxa"/>
            <w:bottom w:w="0" w:type="dxa"/>
            <w:right w:w="0" w:type="dxa"/>
          </w:tblCellMar>
        </w:tblPrEx>
        <w:trPr>
          <w:trHeight w:val="425" w:hRule="atLeast"/>
        </w:trPr>
        <w:tc>
          <w:tcPr>
            <w:tcW w:w="792"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308"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488" w:type="dxa"/>
            <w:tcBorders>
              <w:top w:val="single" w:color="auto" w:sz="8" w:space="0"/>
              <w:left w:val="single" w:color="auto" w:sz="4" w:space="0"/>
              <w:bottom w:val="single" w:color="auto" w:sz="8" w:space="0"/>
              <w:right w:val="single" w:color="auto" w:sz="8" w:space="0"/>
            </w:tcBorders>
            <w:vAlign w:val="center"/>
          </w:tcPr>
          <w:p w14:paraId="27135FFC">
            <w:pPr>
              <w:keepNext w:val="0"/>
              <w:keepLines w:val="0"/>
              <w:pageBreakBefore w:val="0"/>
              <w:widowControl w:val="0"/>
              <w:kinsoku/>
              <w:wordWrap/>
              <w:overflowPunct/>
              <w:topLinePunct w:val="0"/>
              <w:autoSpaceDE/>
              <w:autoSpaceDN/>
              <w:bidi w:val="0"/>
              <w:adjustRightInd/>
              <w:snapToGrid/>
              <w:spacing w:line="440" w:lineRule="exact"/>
              <w:ind w:left="63" w:leftChars="30" w:right="63" w:rightChars="3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投标人出具的工程造价咨询成果文件质量应符合现行国家或行业工程计价有关规定、标准、规范的要求</w:t>
            </w:r>
            <w:r>
              <w:rPr>
                <w:rFonts w:hint="eastAsia" w:ascii="宋体" w:hAnsi="宋体" w:eastAsia="宋体" w:cs="宋体"/>
                <w:color w:val="auto"/>
                <w:kern w:val="0"/>
                <w:sz w:val="21"/>
                <w:szCs w:val="21"/>
                <w:highlight w:val="none"/>
                <w:lang w:eastAsia="zh-CN"/>
              </w:rPr>
              <w:t>；</w:t>
            </w:r>
          </w:p>
        </w:tc>
      </w:tr>
      <w:tr w14:paraId="21D1049F">
        <w:tblPrEx>
          <w:tblCellMar>
            <w:top w:w="0" w:type="dxa"/>
            <w:left w:w="0" w:type="dxa"/>
            <w:bottom w:w="0" w:type="dxa"/>
            <w:right w:w="0" w:type="dxa"/>
          </w:tblCellMar>
        </w:tblPrEx>
        <w:trPr>
          <w:trHeight w:val="286" w:hRule="atLeast"/>
        </w:trPr>
        <w:tc>
          <w:tcPr>
            <w:tcW w:w="792"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08"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488"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详见招标公告</w:t>
            </w:r>
            <w:r>
              <w:rPr>
                <w:rFonts w:hint="eastAsia" w:ascii="宋体" w:hAnsi="宋体" w:eastAsia="宋体" w:cs="宋体"/>
                <w:color w:val="auto"/>
                <w:kern w:val="0"/>
                <w:sz w:val="21"/>
                <w:szCs w:val="21"/>
                <w:highlight w:val="none"/>
              </w:rPr>
              <w:t>。</w:t>
            </w:r>
          </w:p>
        </w:tc>
      </w:tr>
      <w:tr w14:paraId="26978DB0">
        <w:tblPrEx>
          <w:tblCellMar>
            <w:top w:w="0" w:type="dxa"/>
            <w:left w:w="0" w:type="dxa"/>
            <w:bottom w:w="0" w:type="dxa"/>
            <w:right w:w="0" w:type="dxa"/>
          </w:tblCellMar>
        </w:tblPrEx>
        <w:trPr>
          <w:trHeight w:val="656" w:hRule="atLeast"/>
        </w:trPr>
        <w:tc>
          <w:tcPr>
            <w:tcW w:w="792"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308"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488"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435" w:hRule="atLeast"/>
        </w:trPr>
        <w:tc>
          <w:tcPr>
            <w:tcW w:w="792"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308" w:type="dxa"/>
            <w:tcBorders>
              <w:top w:val="single" w:color="auto" w:sz="8" w:space="0"/>
              <w:left w:val="single" w:color="auto" w:sz="4" w:space="0"/>
              <w:bottom w:val="single" w:color="auto" w:sz="8" w:space="0"/>
              <w:right w:val="single" w:color="auto" w:sz="4" w:space="0"/>
            </w:tcBorders>
            <w:vAlign w:val="center"/>
          </w:tcPr>
          <w:p w14:paraId="396C664A">
            <w:pPr>
              <w:pStyle w:val="25"/>
              <w:spacing w:line="360" w:lineRule="exact"/>
              <w:jc w:val="center"/>
              <w:rPr>
                <w:rFonts w:hint="eastAsia" w:ascii="宋体" w:hAnsi="宋体" w:eastAsia="宋体" w:cs="宋体"/>
                <w:color w:val="auto"/>
                <w:kern w:val="0"/>
                <w:sz w:val="21"/>
                <w:szCs w:val="21"/>
                <w:highlight w:val="none"/>
              </w:rPr>
            </w:pPr>
            <w:r>
              <w:rPr>
                <w:rFonts w:hint="eastAsia"/>
                <w:color w:val="auto"/>
                <w:szCs w:val="21"/>
                <w:highlight w:val="none"/>
              </w:rPr>
              <w:t>招标方式</w:t>
            </w:r>
          </w:p>
        </w:tc>
        <w:tc>
          <w:tcPr>
            <w:tcW w:w="7488" w:type="dxa"/>
            <w:tcBorders>
              <w:top w:val="single" w:color="auto" w:sz="8" w:space="0"/>
              <w:left w:val="single" w:color="auto" w:sz="4" w:space="0"/>
              <w:bottom w:val="single" w:color="auto" w:sz="8" w:space="0"/>
              <w:right w:val="single" w:color="auto" w:sz="8" w:space="0"/>
            </w:tcBorders>
            <w:vAlign w:val="center"/>
          </w:tcPr>
          <w:p w14:paraId="59739CC9">
            <w:pPr>
              <w:pStyle w:val="25"/>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rPr>
            </w:pPr>
            <w:r>
              <w:rPr>
                <w:rFonts w:hint="eastAsia" w:ascii="幼圆" w:hAnsi="宋体-18030" w:cs="宋体-18030"/>
                <w:bCs/>
                <w:color w:val="auto"/>
                <w:szCs w:val="21"/>
                <w:highlight w:val="none"/>
              </w:rPr>
              <w:t>公开</w:t>
            </w:r>
            <w:r>
              <w:rPr>
                <w:rFonts w:hint="eastAsia"/>
                <w:bCs/>
                <w:color w:val="auto"/>
                <w:szCs w:val="21"/>
                <w:highlight w:val="none"/>
              </w:rPr>
              <w:t>招标</w:t>
            </w:r>
            <w:r>
              <w:rPr>
                <w:rFonts w:hint="eastAsia" w:hAnsi="宋体"/>
                <w:bCs/>
                <w:color w:val="auto"/>
                <w:szCs w:val="21"/>
                <w:highlight w:val="none"/>
              </w:rPr>
              <w:t xml:space="preserve">(本项目采用网上电子招投标) </w:t>
            </w:r>
          </w:p>
        </w:tc>
      </w:tr>
      <w:tr w14:paraId="0DEE0E5F">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308"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488" w:type="dxa"/>
            <w:tcBorders>
              <w:top w:val="single" w:color="auto" w:sz="8" w:space="0"/>
              <w:left w:val="single" w:color="auto" w:sz="4" w:space="0"/>
              <w:bottom w:val="single" w:color="auto" w:sz="8" w:space="0"/>
              <w:right w:val="single" w:color="auto" w:sz="8" w:space="0"/>
            </w:tcBorders>
            <w:vAlign w:val="center"/>
          </w:tcPr>
          <w:p w14:paraId="0CD47C88">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本项目的最高限价为基本费</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000元</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审核成果费率4%（审核成果费率为不可竞争费率，固定不变），基本费由投标人自主报价，不得高于上述基本费最高限价，否则按无效标处理。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投标报价不可以填报0或负数，否则按无效标处理</w:t>
            </w:r>
            <w:r>
              <w:rPr>
                <w:rFonts w:hint="eastAsia" w:ascii="宋体" w:hAnsi="宋体" w:eastAsia="宋体" w:cs="宋体"/>
                <w:color w:val="auto"/>
                <w:sz w:val="21"/>
                <w:szCs w:val="21"/>
                <w:highlight w:val="none"/>
                <w:lang w:eastAsia="zh-CN"/>
              </w:rPr>
              <w:t>）</w:t>
            </w:r>
          </w:p>
          <w:p w14:paraId="3F16972A">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07054BFC">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服务费计算方式为：基本费+审核成果费。其中，</w:t>
            </w:r>
            <w:r>
              <w:rPr>
                <w:rFonts w:hint="eastAsia" w:ascii="宋体" w:hAnsi="宋体" w:eastAsia="宋体" w:cs="宋体"/>
                <w:color w:val="auto"/>
                <w:sz w:val="21"/>
                <w:szCs w:val="21"/>
                <w:highlight w:val="none"/>
                <w:lang w:val="en-US" w:eastAsia="zh-CN"/>
              </w:rPr>
              <w:t>基本费由投标人自主报价</w:t>
            </w:r>
            <w:r>
              <w:rPr>
                <w:rFonts w:hint="eastAsia" w:ascii="宋体" w:hAnsi="宋体" w:eastAsia="宋体" w:cs="宋体"/>
                <w:color w:val="auto"/>
                <w:sz w:val="21"/>
                <w:szCs w:val="21"/>
                <w:highlight w:val="none"/>
              </w:rPr>
              <w:t>；审核成果费计算基数为独立核减金额。</w:t>
            </w:r>
          </w:p>
          <w:p w14:paraId="7053B625">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投标人须认真研究项目的招标文件，并仔细踏勘现场，若对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有异议，应在投标答疑时向招标人提出</w:t>
            </w:r>
            <w:r>
              <w:rPr>
                <w:rFonts w:hint="eastAsia" w:ascii="宋体" w:hAnsi="宋体" w:eastAsia="宋体" w:cs="宋体"/>
                <w:color w:val="auto"/>
                <w:sz w:val="21"/>
                <w:szCs w:val="21"/>
                <w:highlight w:val="none"/>
                <w:lang w:eastAsia="zh-CN"/>
              </w:rPr>
              <w:t>。</w:t>
            </w:r>
          </w:p>
        </w:tc>
      </w:tr>
      <w:tr w14:paraId="689F356F">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308" w:type="dxa"/>
            <w:tcBorders>
              <w:top w:val="single" w:color="auto" w:sz="8" w:space="0"/>
              <w:left w:val="single" w:color="auto" w:sz="4" w:space="0"/>
              <w:bottom w:val="single" w:color="auto" w:sz="8" w:space="0"/>
              <w:right w:val="single" w:color="auto" w:sz="4" w:space="0"/>
            </w:tcBorders>
            <w:vAlign w:val="center"/>
          </w:tcPr>
          <w:p w14:paraId="2356DB8C">
            <w:pPr>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431ACE11">
            <w:pPr>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488"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val="0"/>
              <w:overflowPunct/>
              <w:topLinePunct w:val="0"/>
              <w:autoSpaceDE/>
              <w:autoSpaceDN/>
              <w:bidi w:val="0"/>
              <w:adjustRightInd/>
              <w:snapToGrid/>
              <w:spacing w:line="440" w:lineRule="exact"/>
              <w:ind w:left="63" w:leftChars="30" w:right="63" w:rightChars="3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如投标人对招标文件有疑问，请于202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8</w:t>
            </w:r>
            <w:r>
              <w:rPr>
                <w:rFonts w:hint="eastAsia" w:ascii="宋体" w:hAnsi="宋体" w:eastAsia="宋体" w:cs="宋体"/>
                <w:color w:val="auto"/>
                <w:spacing w:val="-4"/>
                <w:kern w:val="0"/>
                <w:sz w:val="21"/>
                <w:szCs w:val="21"/>
                <w:highlight w:val="none"/>
              </w:rPr>
              <w:t>月</w:t>
            </w:r>
            <w:r>
              <w:rPr>
                <w:rFonts w:hint="eastAsia" w:ascii="宋体" w:hAnsi="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u w:val="none"/>
              </w:rPr>
              <w:t>日1</w:t>
            </w:r>
            <w:r>
              <w:rPr>
                <w:rFonts w:hint="eastAsia" w:ascii="宋体" w:hAnsi="宋体" w:eastAsia="宋体" w:cs="宋体"/>
                <w:color w:val="auto"/>
                <w:spacing w:val="-4"/>
                <w:kern w:val="0"/>
                <w:sz w:val="21"/>
                <w:szCs w:val="21"/>
                <w:highlight w:val="none"/>
                <w:u w:val="none"/>
                <w:lang w:val="en-US" w:eastAsia="zh-CN"/>
              </w:rPr>
              <w:t>7</w:t>
            </w:r>
            <w:r>
              <w:rPr>
                <w:rFonts w:hint="eastAsia" w:ascii="宋体" w:hAnsi="宋体" w:eastAsia="宋体" w:cs="宋体"/>
                <w:color w:val="auto"/>
                <w:spacing w:val="-4"/>
                <w:kern w:val="0"/>
                <w:sz w:val="21"/>
                <w:szCs w:val="21"/>
                <w:highlight w:val="none"/>
                <w:u w:val="none"/>
              </w:rPr>
              <w:t>时前</w:t>
            </w:r>
            <w:r>
              <w:rPr>
                <w:rFonts w:hint="eastAsia" w:ascii="宋体" w:hAnsi="宋体" w:eastAsia="宋体" w:cs="宋体"/>
                <w:color w:val="auto"/>
                <w:kern w:val="0"/>
                <w:sz w:val="21"/>
                <w:szCs w:val="21"/>
                <w:highlight w:val="none"/>
                <w:u w:val="none"/>
                <w:lang w:val="en-US" w:eastAsia="zh-CN"/>
              </w:rPr>
              <w:t>通过新点电子交易平台【滁州专区】对招标文件提出澄清（质疑）</w:t>
            </w:r>
            <w:r>
              <w:rPr>
                <w:rFonts w:hint="eastAsia" w:ascii="宋体" w:hAnsi="宋体" w:eastAsia="宋体" w:cs="宋体"/>
                <w:color w:val="auto"/>
                <w:spacing w:val="-4"/>
                <w:kern w:val="0"/>
                <w:sz w:val="21"/>
                <w:szCs w:val="21"/>
                <w:highlight w:val="none"/>
                <w:u w:val="none"/>
              </w:rPr>
              <w:t>，招标人将在202</w:t>
            </w:r>
            <w:r>
              <w:rPr>
                <w:rFonts w:hint="eastAsia" w:ascii="宋体" w:hAnsi="宋体" w:eastAsia="宋体" w:cs="宋体"/>
                <w:color w:val="auto"/>
                <w:spacing w:val="-4"/>
                <w:kern w:val="0"/>
                <w:sz w:val="21"/>
                <w:szCs w:val="21"/>
                <w:highlight w:val="none"/>
                <w:u w:val="none"/>
                <w:lang w:val="en-US" w:eastAsia="zh-CN"/>
              </w:rPr>
              <w:t>5</w:t>
            </w:r>
            <w:r>
              <w:rPr>
                <w:rFonts w:hint="eastAsia" w:ascii="宋体" w:hAnsi="宋体" w:eastAsia="宋体" w:cs="宋体"/>
                <w:color w:val="auto"/>
                <w:spacing w:val="-4"/>
                <w:kern w:val="0"/>
                <w:sz w:val="21"/>
                <w:szCs w:val="21"/>
                <w:highlight w:val="none"/>
                <w:u w:val="none"/>
              </w:rPr>
              <w:t>年</w:t>
            </w:r>
            <w:r>
              <w:rPr>
                <w:rFonts w:hint="eastAsia" w:ascii="宋体" w:hAnsi="宋体" w:cs="宋体"/>
                <w:color w:val="auto"/>
                <w:spacing w:val="-4"/>
                <w:kern w:val="0"/>
                <w:sz w:val="21"/>
                <w:szCs w:val="21"/>
                <w:highlight w:val="none"/>
                <w:u w:val="none"/>
                <w:lang w:val="en-US" w:eastAsia="zh-CN"/>
              </w:rPr>
              <w:t>8</w:t>
            </w:r>
            <w:r>
              <w:rPr>
                <w:rFonts w:hint="eastAsia" w:ascii="宋体" w:hAnsi="宋体" w:eastAsia="宋体" w:cs="宋体"/>
                <w:color w:val="auto"/>
                <w:spacing w:val="-4"/>
                <w:kern w:val="0"/>
                <w:sz w:val="21"/>
                <w:szCs w:val="21"/>
                <w:highlight w:val="none"/>
                <w:u w:val="none"/>
              </w:rPr>
              <w:t>月</w:t>
            </w:r>
            <w:r>
              <w:rPr>
                <w:rFonts w:hint="eastAsia" w:ascii="宋体" w:hAnsi="宋体" w:cs="宋体"/>
                <w:color w:val="auto"/>
                <w:spacing w:val="-4"/>
                <w:kern w:val="0"/>
                <w:sz w:val="21"/>
                <w:szCs w:val="21"/>
                <w:highlight w:val="none"/>
                <w:lang w:val="en-US" w:eastAsia="zh-CN"/>
              </w:rPr>
              <w:t>8</w:t>
            </w:r>
            <w:r>
              <w:rPr>
                <w:rFonts w:hint="eastAsia" w:ascii="宋体" w:hAnsi="宋体" w:eastAsia="宋体" w:cs="宋体"/>
                <w:color w:val="auto"/>
                <w:spacing w:val="-4"/>
                <w:kern w:val="0"/>
                <w:sz w:val="21"/>
                <w:szCs w:val="21"/>
                <w:highlight w:val="none"/>
              </w:rPr>
              <w:t>日1</w:t>
            </w:r>
            <w:r>
              <w:rPr>
                <w:rFonts w:hint="eastAsia" w:ascii="宋体" w:hAnsi="宋体" w:eastAsia="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时后</w:t>
            </w:r>
            <w:r>
              <w:rPr>
                <w:rFonts w:hint="eastAsia" w:ascii="宋体" w:hAnsi="宋体" w:eastAsia="宋体" w:cs="宋体"/>
                <w:color w:val="auto"/>
                <w:spacing w:val="-4"/>
                <w:kern w:val="0"/>
                <w:sz w:val="21"/>
                <w:szCs w:val="21"/>
                <w:highlight w:val="none"/>
                <w:lang w:eastAsia="zh-CN"/>
              </w:rPr>
              <w:t>在</w:t>
            </w:r>
            <w:r>
              <w:rPr>
                <w:rFonts w:hint="eastAsia" w:ascii="宋体" w:hAnsi="宋体" w:eastAsia="宋体" w:cs="宋体"/>
                <w:color w:val="auto"/>
                <w:sz w:val="21"/>
                <w:szCs w:val="21"/>
                <w:highlight w:val="none"/>
              </w:rPr>
              <w:t>滁州市城投工程咨询管理有限公司（https://www.czctgczx.com/）、滁州市重点工程建设管理处（http://zdc.chuzhou.gov.cn/）</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网站发布</w:t>
            </w:r>
            <w:r>
              <w:rPr>
                <w:rFonts w:hint="eastAsia" w:ascii="宋体" w:hAnsi="宋体" w:eastAsia="宋体" w:cs="宋体"/>
                <w:color w:val="auto"/>
                <w:spacing w:val="-4"/>
                <w:kern w:val="0"/>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308" w:type="dxa"/>
            <w:tcBorders>
              <w:top w:val="single" w:color="auto" w:sz="8" w:space="0"/>
              <w:left w:val="single" w:color="auto" w:sz="4" w:space="0"/>
              <w:bottom w:val="single" w:color="auto" w:sz="8" w:space="0"/>
              <w:right w:val="single" w:color="auto" w:sz="4" w:space="0"/>
            </w:tcBorders>
            <w:vAlign w:val="center"/>
          </w:tcPr>
          <w:p w14:paraId="0B644D17">
            <w:pPr>
              <w:pStyle w:val="25"/>
              <w:spacing w:line="360" w:lineRule="exact"/>
              <w:jc w:val="left"/>
              <w:rPr>
                <w:rFonts w:hint="eastAsia" w:ascii="宋体" w:hAnsi="宋体" w:eastAsia="宋体" w:cs="宋体"/>
                <w:color w:val="auto"/>
                <w:sz w:val="21"/>
                <w:szCs w:val="21"/>
                <w:highlight w:val="none"/>
                <w:lang w:val="en-US" w:eastAsia="zh-CN"/>
              </w:rPr>
            </w:pPr>
            <w:r>
              <w:rPr>
                <w:color w:val="auto"/>
                <w:szCs w:val="21"/>
                <w:highlight w:val="none"/>
              </w:rPr>
              <w:t>投标有效期</w:t>
            </w:r>
          </w:p>
        </w:tc>
        <w:tc>
          <w:tcPr>
            <w:tcW w:w="7488" w:type="dxa"/>
            <w:tcBorders>
              <w:top w:val="single" w:color="auto" w:sz="8" w:space="0"/>
              <w:left w:val="single" w:color="auto" w:sz="4" w:space="0"/>
              <w:bottom w:val="single" w:color="auto" w:sz="8" w:space="0"/>
              <w:right w:val="single" w:color="auto" w:sz="8" w:space="0"/>
            </w:tcBorders>
            <w:vAlign w:val="center"/>
          </w:tcPr>
          <w:p w14:paraId="0CB8330D">
            <w:pPr>
              <w:pStyle w:val="25"/>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sz w:val="21"/>
                <w:szCs w:val="21"/>
                <w:highlight w:val="none"/>
                <w:lang w:val="en-US" w:eastAsia="zh-CN"/>
              </w:rPr>
            </w:pPr>
            <w:r>
              <w:rPr>
                <w:rFonts w:hint="eastAsia"/>
                <w:color w:val="auto"/>
                <w:szCs w:val="21"/>
                <w:highlight w:val="none"/>
              </w:rPr>
              <w:t>投标有效期为</w:t>
            </w:r>
            <w:r>
              <w:rPr>
                <w:rFonts w:hint="eastAsia"/>
                <w:color w:val="auto"/>
                <w:szCs w:val="21"/>
                <w:highlight w:val="none"/>
                <w:u w:val="single"/>
                <w:lang w:val="en-US" w:eastAsia="zh-CN"/>
              </w:rPr>
              <w:t>60</w:t>
            </w:r>
            <w:r>
              <w:rPr>
                <w:rFonts w:hint="eastAsia"/>
                <w:color w:val="auto"/>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308" w:type="dxa"/>
            <w:tcBorders>
              <w:top w:val="single" w:color="auto" w:sz="8" w:space="0"/>
              <w:left w:val="single" w:color="auto" w:sz="4" w:space="0"/>
              <w:bottom w:val="single" w:color="auto" w:sz="8" w:space="0"/>
              <w:right w:val="single" w:color="auto" w:sz="4" w:space="0"/>
            </w:tcBorders>
            <w:vAlign w:val="center"/>
          </w:tcPr>
          <w:p w14:paraId="32269176">
            <w:pPr>
              <w:pStyle w:val="25"/>
              <w:spacing w:line="360" w:lineRule="exact"/>
              <w:jc w:val="left"/>
              <w:rPr>
                <w:rFonts w:hint="eastAsia" w:ascii="宋体" w:hAnsi="宋体" w:eastAsia="宋体" w:cs="宋体"/>
                <w:color w:val="auto"/>
                <w:sz w:val="21"/>
                <w:szCs w:val="21"/>
                <w:highlight w:val="none"/>
                <w:lang w:val="en-US" w:eastAsia="zh-CN"/>
              </w:rPr>
            </w:pPr>
            <w:r>
              <w:rPr>
                <w:rFonts w:hint="eastAsia"/>
                <w:color w:val="auto"/>
                <w:szCs w:val="21"/>
                <w:highlight w:val="none"/>
              </w:rPr>
              <w:t>投标文件</w:t>
            </w:r>
            <w:r>
              <w:rPr>
                <w:rFonts w:hint="eastAsia"/>
                <w:color w:val="auto"/>
                <w:szCs w:val="21"/>
                <w:highlight w:val="none"/>
                <w:lang w:val="en-US" w:eastAsia="zh-CN"/>
              </w:rPr>
              <w:t>递交</w:t>
            </w:r>
          </w:p>
        </w:tc>
        <w:tc>
          <w:tcPr>
            <w:tcW w:w="7488"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val="0"/>
              <w:overflowPunct/>
              <w:topLinePunct w:val="0"/>
              <w:autoSpaceDE/>
              <w:autoSpaceDN/>
              <w:bidi w:val="0"/>
              <w:adjustRightInd/>
              <w:snapToGrid/>
              <w:spacing w:line="440" w:lineRule="exact"/>
              <w:ind w:left="63" w:leftChars="30" w:right="63" w:rightChars="30"/>
              <w:textAlignment w:val="auto"/>
              <w:rPr>
                <w:rFonts w:hint="eastAsia" w:ascii="宋体" w:hAnsi="宋体" w:cs="宋体"/>
                <w:color w:val="auto"/>
                <w:szCs w:val="21"/>
                <w:highlight w:val="none"/>
              </w:rPr>
            </w:pPr>
            <w:r>
              <w:rPr>
                <w:rFonts w:hint="eastAsia" w:ascii="宋体" w:hAnsi="宋体" w:cs="宋体"/>
                <w:color w:val="auto"/>
                <w:szCs w:val="21"/>
                <w:highlight w:val="none"/>
              </w:rPr>
              <w:t>加密电子投标文件投标人应在投标截止时间前通过新点电子交易平台后在【滁州专区】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https://www.etrading.cn/BREpointSSO/login/oauth2login?regioncode=DQ_ChuZhou</w:t>
            </w:r>
            <w:r>
              <w:rPr>
                <w:rFonts w:hint="eastAsia" w:ascii="宋体" w:hAnsi="宋体" w:cs="宋体"/>
                <w:color w:val="auto"/>
                <w:szCs w:val="21"/>
                <w:highlight w:val="none"/>
                <w:lang w:eastAsia="zh-CN"/>
              </w:rPr>
              <w:t>）</w:t>
            </w:r>
            <w:r>
              <w:rPr>
                <w:rFonts w:hint="eastAsia" w:ascii="宋体" w:hAnsi="宋体" w:cs="宋体"/>
                <w:color w:val="auto"/>
                <w:szCs w:val="21"/>
                <w:highlight w:val="none"/>
              </w:rPr>
              <w:t>交易系统递交电子投标文件。</w:t>
            </w:r>
          </w:p>
          <w:p w14:paraId="6AD718D2">
            <w:pPr>
              <w:keepNext w:val="0"/>
              <w:keepLines w:val="0"/>
              <w:pageBreakBefore w:val="0"/>
              <w:widowControl/>
              <w:kinsoku/>
              <w:overflowPunct/>
              <w:topLinePunct w:val="0"/>
              <w:autoSpaceDE/>
              <w:autoSpaceDN/>
              <w:bidi w:val="0"/>
              <w:adjustRightInd/>
              <w:snapToGrid/>
              <w:spacing w:line="440" w:lineRule="exact"/>
              <w:ind w:left="63" w:leftChars="30" w:right="63" w:rightChars="30"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kern w:val="0"/>
                <w:szCs w:val="21"/>
                <w:highlight w:val="none"/>
              </w:rPr>
              <w:t>（投标人中标后须递交与网上电子投标文件完全一致的纸质版投标文件，并按要求加盖单位章；份数：正本</w:t>
            </w:r>
            <w:r>
              <w:rPr>
                <w:rFonts w:hint="eastAsia" w:ascii="宋体" w:hAnsi="宋体" w:cs="宋体"/>
                <w:b/>
                <w:color w:val="auto"/>
                <w:kern w:val="0"/>
                <w:szCs w:val="21"/>
                <w:highlight w:val="none"/>
                <w:u w:val="single"/>
              </w:rPr>
              <w:t xml:space="preserve"> </w:t>
            </w:r>
            <w:r>
              <w:rPr>
                <w:rFonts w:ascii="宋体" w:hAnsi="宋体" w:cs="宋体"/>
                <w:b/>
                <w:color w:val="auto"/>
                <w:kern w:val="0"/>
                <w:szCs w:val="21"/>
                <w:highlight w:val="none"/>
                <w:u w:val="single"/>
              </w:rPr>
              <w:t>1</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份，副本</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u w:val="single"/>
                <w:lang w:val="en-US" w:eastAsia="zh-CN"/>
              </w:rPr>
              <w:t>1</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462" w:hRule="atLeast"/>
        </w:trPr>
        <w:tc>
          <w:tcPr>
            <w:tcW w:w="792"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308" w:type="dxa"/>
            <w:tcBorders>
              <w:top w:val="single" w:color="auto" w:sz="8" w:space="0"/>
              <w:left w:val="single" w:color="auto" w:sz="4" w:space="0"/>
              <w:bottom w:val="single" w:color="auto" w:sz="8" w:space="0"/>
              <w:right w:val="single" w:color="auto" w:sz="4" w:space="0"/>
            </w:tcBorders>
            <w:vAlign w:val="center"/>
          </w:tcPr>
          <w:p w14:paraId="6AF10602">
            <w:pPr>
              <w:spacing w:line="360" w:lineRule="exact"/>
              <w:jc w:val="left"/>
              <w:rPr>
                <w:rFonts w:hint="eastAsia"/>
                <w:color w:val="auto"/>
                <w:szCs w:val="21"/>
                <w:highlight w:val="none"/>
              </w:rPr>
            </w:pPr>
            <w:r>
              <w:rPr>
                <w:rFonts w:hint="eastAsia" w:ascii="宋体"/>
                <w:color w:val="auto"/>
                <w:szCs w:val="21"/>
                <w:highlight w:val="none"/>
              </w:rPr>
              <w:t>签字或盖章要求</w:t>
            </w:r>
          </w:p>
        </w:tc>
        <w:tc>
          <w:tcPr>
            <w:tcW w:w="7488" w:type="dxa"/>
            <w:tcBorders>
              <w:top w:val="single" w:color="auto" w:sz="8" w:space="0"/>
              <w:left w:val="single" w:color="auto" w:sz="4" w:space="0"/>
              <w:bottom w:val="single" w:color="auto" w:sz="8" w:space="0"/>
              <w:right w:val="single" w:color="auto" w:sz="8" w:space="0"/>
            </w:tcBorders>
            <w:vAlign w:val="center"/>
          </w:tcPr>
          <w:p w14:paraId="434CE441">
            <w:pPr>
              <w:keepNext w:val="0"/>
              <w:keepLines w:val="0"/>
              <w:pageBreakBefore w:val="0"/>
              <w:widowControl/>
              <w:kinsoku/>
              <w:overflowPunct/>
              <w:topLinePunct w:val="0"/>
              <w:autoSpaceDE/>
              <w:autoSpaceDN/>
              <w:bidi w:val="0"/>
              <w:adjustRightInd/>
              <w:snapToGrid/>
              <w:spacing w:line="440" w:lineRule="exact"/>
              <w:ind w:left="63" w:leftChars="30" w:right="63" w:rightChars="30" w:firstLine="89" w:firstLineChars="42"/>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电子投标文件须按格式文件要求签字或盖章（电子签章），招标文件格式中要求“签章”部位，指电子签章或盖章后扫描上传均可。</w:t>
            </w:r>
          </w:p>
          <w:p w14:paraId="66A35DAC">
            <w:pPr>
              <w:keepNext w:val="0"/>
              <w:keepLines w:val="0"/>
              <w:pageBreakBefore w:val="0"/>
              <w:widowControl/>
              <w:kinsoku/>
              <w:overflowPunct/>
              <w:topLinePunct w:val="0"/>
              <w:autoSpaceDE/>
              <w:autoSpaceDN/>
              <w:bidi w:val="0"/>
              <w:adjustRightInd/>
              <w:snapToGrid/>
              <w:spacing w:line="440" w:lineRule="exact"/>
              <w:ind w:left="63" w:leftChars="30" w:right="63" w:rightChars="30" w:firstLine="89" w:firstLineChars="42"/>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否则经评委会一致认定后，按照无效投标处理。</w:t>
            </w:r>
          </w:p>
        </w:tc>
      </w:tr>
      <w:tr w14:paraId="443033B5">
        <w:tblPrEx>
          <w:tblCellMar>
            <w:top w:w="0" w:type="dxa"/>
            <w:left w:w="0" w:type="dxa"/>
            <w:bottom w:w="0" w:type="dxa"/>
            <w:right w:w="0" w:type="dxa"/>
          </w:tblCellMar>
        </w:tblPrEx>
        <w:trPr>
          <w:trHeight w:val="1961" w:hRule="atLeast"/>
        </w:trPr>
        <w:tc>
          <w:tcPr>
            <w:tcW w:w="792"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13</w:t>
            </w:r>
          </w:p>
        </w:tc>
        <w:tc>
          <w:tcPr>
            <w:tcW w:w="1308" w:type="dxa"/>
            <w:tcBorders>
              <w:top w:val="single" w:color="auto" w:sz="8" w:space="0"/>
              <w:left w:val="single" w:color="auto" w:sz="4" w:space="0"/>
              <w:bottom w:val="single" w:color="auto" w:sz="8" w:space="0"/>
              <w:right w:val="single" w:color="auto" w:sz="4" w:space="0"/>
            </w:tcBorders>
            <w:vAlign w:val="center"/>
          </w:tcPr>
          <w:p w14:paraId="5C83C75F">
            <w:pPr>
              <w:spacing w:line="360" w:lineRule="exact"/>
              <w:jc w:val="left"/>
              <w:rPr>
                <w:rFonts w:hint="eastAsia" w:ascii="宋体" w:hAnsi="宋体" w:eastAsia="宋体" w:cs="宋体"/>
                <w:color w:val="auto"/>
                <w:kern w:val="0"/>
                <w:sz w:val="21"/>
                <w:szCs w:val="21"/>
                <w:highlight w:val="none"/>
              </w:rPr>
            </w:pPr>
            <w:r>
              <w:rPr>
                <w:rFonts w:hint="eastAsia" w:ascii="宋体"/>
                <w:color w:val="auto"/>
                <w:szCs w:val="21"/>
                <w:highlight w:val="none"/>
              </w:rPr>
              <w:t>投标文件提交截止时间</w:t>
            </w:r>
          </w:p>
        </w:tc>
        <w:tc>
          <w:tcPr>
            <w:tcW w:w="7488"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ascii="宋体"/>
                <w:color w:val="auto"/>
                <w:szCs w:val="21"/>
                <w:highlight w:val="none"/>
              </w:rPr>
            </w:pPr>
            <w:r>
              <w:rPr>
                <w:rFonts w:hint="eastAsia" w:ascii="宋体"/>
                <w:color w:val="auto"/>
                <w:szCs w:val="21"/>
                <w:highlight w:val="none"/>
              </w:rPr>
              <w:t>网上递交投标文件截止时间：</w:t>
            </w:r>
            <w:r>
              <w:rPr>
                <w:rFonts w:hint="eastAsia" w:ascii="宋体"/>
                <w:b/>
                <w:bCs/>
                <w:color w:val="auto"/>
                <w:szCs w:val="21"/>
                <w:highlight w:val="none"/>
                <w:lang w:val="en-US" w:eastAsia="zh-CN"/>
              </w:rPr>
              <w:t>2025</w:t>
            </w:r>
            <w:r>
              <w:rPr>
                <w:rFonts w:hint="eastAsia" w:ascii="宋体"/>
                <w:b/>
                <w:bCs/>
                <w:color w:val="auto"/>
                <w:szCs w:val="21"/>
                <w:highlight w:val="none"/>
              </w:rPr>
              <w:t>年</w:t>
            </w:r>
            <w:r>
              <w:rPr>
                <w:rFonts w:hint="eastAsia" w:ascii="宋体"/>
                <w:b/>
                <w:bCs/>
                <w:color w:val="auto"/>
                <w:szCs w:val="21"/>
                <w:highlight w:val="none"/>
                <w:lang w:val="en-US" w:eastAsia="zh-CN"/>
              </w:rPr>
              <w:t>8</w:t>
            </w:r>
            <w:r>
              <w:rPr>
                <w:rFonts w:hint="eastAsia" w:ascii="宋体"/>
                <w:b/>
                <w:bCs/>
                <w:color w:val="auto"/>
                <w:szCs w:val="21"/>
                <w:highlight w:val="none"/>
              </w:rPr>
              <w:t>月</w:t>
            </w:r>
            <w:r>
              <w:rPr>
                <w:rFonts w:hint="eastAsia" w:ascii="宋体"/>
                <w:b/>
                <w:bCs/>
                <w:color w:val="auto"/>
                <w:szCs w:val="21"/>
                <w:highlight w:val="none"/>
                <w:lang w:val="en-US" w:eastAsia="zh-CN"/>
              </w:rPr>
              <w:t>12</w:t>
            </w:r>
            <w:r>
              <w:rPr>
                <w:rFonts w:hint="eastAsia" w:ascii="宋体"/>
                <w:b/>
                <w:bCs/>
                <w:color w:val="auto"/>
                <w:szCs w:val="21"/>
                <w:highlight w:val="none"/>
              </w:rPr>
              <w:t>日</w:t>
            </w:r>
            <w:r>
              <w:rPr>
                <w:rFonts w:hint="eastAsia" w:ascii="宋体"/>
                <w:b/>
                <w:bCs/>
                <w:color w:val="auto"/>
                <w:szCs w:val="21"/>
                <w:highlight w:val="none"/>
                <w:lang w:val="en-US" w:eastAsia="zh-CN"/>
              </w:rPr>
              <w:t>9</w:t>
            </w:r>
            <w:r>
              <w:rPr>
                <w:rFonts w:hint="eastAsia" w:ascii="宋体"/>
                <w:b/>
                <w:bCs/>
                <w:color w:val="auto"/>
                <w:szCs w:val="21"/>
                <w:highlight w:val="none"/>
              </w:rPr>
              <w:t>时</w:t>
            </w:r>
            <w:r>
              <w:rPr>
                <w:rFonts w:hint="eastAsia" w:ascii="宋体"/>
                <w:b/>
                <w:bCs/>
                <w:color w:val="auto"/>
                <w:szCs w:val="21"/>
                <w:highlight w:val="none"/>
                <w:lang w:val="en-US" w:eastAsia="zh-CN"/>
              </w:rPr>
              <w:t>00</w:t>
            </w:r>
            <w:r>
              <w:rPr>
                <w:rFonts w:hint="eastAsia" w:ascii="宋体"/>
                <w:b/>
                <w:bCs/>
                <w:color w:val="auto"/>
                <w:szCs w:val="21"/>
                <w:highlight w:val="none"/>
              </w:rPr>
              <w:t>分（北京时间）</w:t>
            </w:r>
          </w:p>
          <w:p w14:paraId="6FF010F2">
            <w:pPr>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ascii="黑体" w:eastAsia="黑体" w:cs="黑体"/>
                <w:bCs/>
                <w:color w:val="auto"/>
                <w:szCs w:val="21"/>
                <w:highlight w:val="none"/>
              </w:rPr>
            </w:pPr>
            <w:r>
              <w:rPr>
                <w:rFonts w:hint="eastAsia" w:ascii="宋体"/>
                <w:b/>
                <w:color w:val="auto"/>
                <w:szCs w:val="21"/>
                <w:highlight w:val="none"/>
              </w:rPr>
              <w:t>注：以投标人在投标截止时间前网上递交的电子投标文件为准，逾期提交的，投标文件将被拒绝。</w:t>
            </w:r>
          </w:p>
          <w:p w14:paraId="2D17B673">
            <w:pPr>
              <w:keepNext w:val="0"/>
              <w:keepLines w:val="0"/>
              <w:pageBreakBefore w:val="0"/>
              <w:kinsoku/>
              <w:wordWrap w:val="0"/>
              <w:overflowPunct/>
              <w:topLinePunct w:val="0"/>
              <w:autoSpaceDE/>
              <w:autoSpaceDN/>
              <w:bidi w:val="0"/>
              <w:adjustRightInd/>
              <w:snapToGrid/>
              <w:spacing w:line="440" w:lineRule="exact"/>
              <w:ind w:left="63" w:leftChars="30" w:right="63" w:rightChars="30"/>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Cs w:val="21"/>
                <w:highlight w:val="none"/>
              </w:rPr>
              <w:t>1.解密程序开始后</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分钟内（以本项目网上招投标系统解密倒计时为准）。</w:t>
            </w:r>
          </w:p>
        </w:tc>
      </w:tr>
      <w:tr w14:paraId="39CAD765">
        <w:tblPrEx>
          <w:tblCellMar>
            <w:top w:w="0" w:type="dxa"/>
            <w:left w:w="0" w:type="dxa"/>
            <w:bottom w:w="0" w:type="dxa"/>
            <w:right w:w="0" w:type="dxa"/>
          </w:tblCellMar>
        </w:tblPrEx>
        <w:trPr>
          <w:trHeight w:val="466" w:hRule="atLeast"/>
        </w:trPr>
        <w:tc>
          <w:tcPr>
            <w:tcW w:w="792"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308" w:type="dxa"/>
            <w:tcBorders>
              <w:top w:val="single" w:color="auto" w:sz="8" w:space="0"/>
              <w:left w:val="single" w:color="auto" w:sz="4" w:space="0"/>
              <w:bottom w:val="single" w:color="auto" w:sz="8" w:space="0"/>
              <w:right w:val="single" w:color="auto" w:sz="4" w:space="0"/>
            </w:tcBorders>
            <w:vAlign w:val="center"/>
          </w:tcPr>
          <w:p w14:paraId="03D51B63">
            <w:pPr>
              <w:spacing w:line="360" w:lineRule="exact"/>
              <w:jc w:val="left"/>
              <w:rPr>
                <w:rFonts w:hint="eastAsia" w:ascii="宋体"/>
                <w:color w:val="auto"/>
                <w:szCs w:val="21"/>
                <w:highlight w:val="none"/>
              </w:rPr>
            </w:pPr>
            <w:r>
              <w:rPr>
                <w:rFonts w:hint="eastAsia" w:ascii="宋体"/>
                <w:color w:val="auto"/>
                <w:szCs w:val="21"/>
                <w:highlight w:val="none"/>
              </w:rPr>
              <w:t>是否退还投标文件</w:t>
            </w:r>
          </w:p>
        </w:tc>
        <w:tc>
          <w:tcPr>
            <w:tcW w:w="7488"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ascii="宋体" w:hAnsi="宋体" w:cs="宋体"/>
                <w:color w:val="auto"/>
                <w:szCs w:val="21"/>
                <w:highlight w:val="none"/>
              </w:rPr>
            </w:pPr>
            <w:r>
              <w:rPr>
                <w:rFonts w:hint="eastAsia"/>
                <w:color w:val="auto"/>
                <w:szCs w:val="21"/>
                <w:highlight w:val="none"/>
              </w:rPr>
              <w:t>否</w:t>
            </w:r>
          </w:p>
        </w:tc>
      </w:tr>
      <w:tr w14:paraId="266A8CA8">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15</w:t>
            </w:r>
          </w:p>
        </w:tc>
        <w:tc>
          <w:tcPr>
            <w:tcW w:w="1308" w:type="dxa"/>
            <w:tcBorders>
              <w:top w:val="single" w:color="auto" w:sz="8" w:space="0"/>
              <w:left w:val="single" w:color="auto" w:sz="4" w:space="0"/>
              <w:bottom w:val="single" w:color="auto" w:sz="8" w:space="0"/>
              <w:right w:val="single" w:color="auto" w:sz="4" w:space="0"/>
            </w:tcBorders>
            <w:vAlign w:val="center"/>
          </w:tcPr>
          <w:p w14:paraId="53C0A74C">
            <w:pPr>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color w:val="auto"/>
                <w:szCs w:val="21"/>
                <w:highlight w:val="none"/>
              </w:rPr>
              <w:t>开标时间及地点</w:t>
            </w:r>
          </w:p>
        </w:tc>
        <w:tc>
          <w:tcPr>
            <w:tcW w:w="7488" w:type="dxa"/>
            <w:tcBorders>
              <w:top w:val="single" w:color="auto" w:sz="8" w:space="0"/>
              <w:left w:val="single" w:color="auto" w:sz="4" w:space="0"/>
              <w:bottom w:val="single" w:color="auto" w:sz="8" w:space="0"/>
              <w:right w:val="single" w:color="auto" w:sz="8" w:space="0"/>
            </w:tcBorders>
            <w:vAlign w:val="center"/>
          </w:tcPr>
          <w:p w14:paraId="18B45F6F">
            <w:pPr>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color w:val="auto"/>
                <w:highlight w:val="none"/>
              </w:rPr>
            </w:pPr>
            <w:r>
              <w:rPr>
                <w:rFonts w:hint="eastAsia" w:ascii="ˎ̥" w:hAnsi="ˎ̥"/>
                <w:color w:val="auto"/>
                <w:highlight w:val="none"/>
              </w:rPr>
              <w:t>详见招标公告</w:t>
            </w:r>
          </w:p>
        </w:tc>
      </w:tr>
      <w:tr w14:paraId="076992A3">
        <w:tblPrEx>
          <w:tblCellMar>
            <w:top w:w="0" w:type="dxa"/>
            <w:left w:w="0" w:type="dxa"/>
            <w:bottom w:w="0" w:type="dxa"/>
            <w:right w:w="0" w:type="dxa"/>
          </w:tblCellMar>
        </w:tblPrEx>
        <w:trPr>
          <w:trHeight w:val="454" w:hRule="atLeast"/>
        </w:trPr>
        <w:tc>
          <w:tcPr>
            <w:tcW w:w="792"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16</w:t>
            </w:r>
          </w:p>
        </w:tc>
        <w:tc>
          <w:tcPr>
            <w:tcW w:w="1308" w:type="dxa"/>
            <w:tcBorders>
              <w:top w:val="single" w:color="auto" w:sz="8" w:space="0"/>
              <w:left w:val="single" w:color="auto" w:sz="4" w:space="0"/>
              <w:bottom w:val="single" w:color="auto" w:sz="8" w:space="0"/>
              <w:right w:val="single" w:color="auto" w:sz="4" w:space="0"/>
            </w:tcBorders>
            <w:vAlign w:val="center"/>
          </w:tcPr>
          <w:p w14:paraId="57F847A2">
            <w:pPr>
              <w:spacing w:line="360" w:lineRule="exact"/>
              <w:jc w:val="left"/>
              <w:rPr>
                <w:rFonts w:hint="eastAsia" w:ascii="宋体" w:hAnsi="宋体" w:eastAsia="宋体" w:cs="宋体"/>
                <w:color w:val="auto"/>
                <w:kern w:val="0"/>
                <w:sz w:val="21"/>
                <w:szCs w:val="21"/>
                <w:highlight w:val="none"/>
              </w:rPr>
            </w:pPr>
            <w:r>
              <w:rPr>
                <w:rFonts w:hint="eastAsia" w:ascii="宋体"/>
                <w:color w:val="auto"/>
                <w:szCs w:val="21"/>
                <w:highlight w:val="none"/>
              </w:rPr>
              <w:t>开标程序</w:t>
            </w:r>
          </w:p>
        </w:tc>
        <w:tc>
          <w:tcPr>
            <w:tcW w:w="7488"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color w:val="auto"/>
                <w:highlight w:val="none"/>
              </w:rPr>
            </w:pPr>
            <w:r>
              <w:rPr>
                <w:rFonts w:hint="eastAsia"/>
                <w:color w:val="auto"/>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17</w:t>
            </w:r>
          </w:p>
        </w:tc>
        <w:tc>
          <w:tcPr>
            <w:tcW w:w="1308" w:type="dxa"/>
            <w:tcBorders>
              <w:top w:val="single" w:color="auto" w:sz="8" w:space="0"/>
              <w:left w:val="single" w:color="auto" w:sz="4" w:space="0"/>
              <w:bottom w:val="single" w:color="auto" w:sz="8" w:space="0"/>
              <w:right w:val="single" w:color="auto" w:sz="4" w:space="0"/>
            </w:tcBorders>
            <w:vAlign w:val="center"/>
          </w:tcPr>
          <w:p w14:paraId="5CB513ED">
            <w:pPr>
              <w:pStyle w:val="25"/>
              <w:spacing w:line="360" w:lineRule="exact"/>
              <w:jc w:val="left"/>
              <w:rPr>
                <w:rFonts w:hint="eastAsia" w:ascii="宋体"/>
                <w:color w:val="auto"/>
                <w:szCs w:val="21"/>
                <w:highlight w:val="none"/>
              </w:rPr>
            </w:pPr>
            <w:r>
              <w:rPr>
                <w:rFonts w:hint="eastAsia"/>
                <w:color w:val="auto"/>
                <w:szCs w:val="21"/>
                <w:highlight w:val="none"/>
              </w:rPr>
              <w:t>评标委员会的组建</w:t>
            </w:r>
          </w:p>
        </w:tc>
        <w:tc>
          <w:tcPr>
            <w:tcW w:w="7488" w:type="dxa"/>
            <w:tcBorders>
              <w:top w:val="single" w:color="auto" w:sz="8" w:space="0"/>
              <w:left w:val="single" w:color="auto" w:sz="4" w:space="0"/>
              <w:bottom w:val="single" w:color="auto" w:sz="8" w:space="0"/>
              <w:right w:val="single" w:color="auto" w:sz="8" w:space="0"/>
            </w:tcBorders>
            <w:vAlign w:val="top"/>
          </w:tcPr>
          <w:p w14:paraId="4FB4DBB5">
            <w:pPr>
              <w:pStyle w:val="157"/>
              <w:keepNext w:val="0"/>
              <w:keepLines w:val="0"/>
              <w:pageBreakBefore w:val="0"/>
              <w:kinsoku/>
              <w:overflowPunct/>
              <w:topLinePunct w:val="0"/>
              <w:autoSpaceDE/>
              <w:autoSpaceDN/>
              <w:bidi w:val="0"/>
              <w:adjustRightInd/>
              <w:snapToGrid/>
              <w:spacing w:line="440" w:lineRule="exact"/>
              <w:ind w:left="63" w:leftChars="30" w:right="63" w:rightChars="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w:t>
            </w:r>
            <w:r>
              <w:rPr>
                <w:rFonts w:hint="eastAsia"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w:t>
            </w:r>
          </w:p>
          <w:p w14:paraId="6B4E98E9">
            <w:pPr>
              <w:pStyle w:val="25"/>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color w:val="auto"/>
                <w:szCs w:val="21"/>
                <w:highlight w:val="none"/>
              </w:rPr>
            </w:pPr>
            <w:r>
              <w:rPr>
                <w:rFonts w:hint="eastAsia"/>
                <w:color w:val="auto"/>
                <w:szCs w:val="21"/>
                <w:highlight w:val="none"/>
              </w:rPr>
              <w:t>评标专家确定方式：专家评委由采购人在开标前从专家库中随机抽取。</w:t>
            </w:r>
          </w:p>
        </w:tc>
      </w:tr>
      <w:tr w14:paraId="02D6C8AD">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18</w:t>
            </w:r>
          </w:p>
        </w:tc>
        <w:tc>
          <w:tcPr>
            <w:tcW w:w="1308" w:type="dxa"/>
            <w:tcBorders>
              <w:top w:val="single" w:color="auto" w:sz="8" w:space="0"/>
              <w:left w:val="single" w:color="auto" w:sz="4" w:space="0"/>
              <w:bottom w:val="single" w:color="auto" w:sz="8" w:space="0"/>
              <w:right w:val="single" w:color="auto" w:sz="4" w:space="0"/>
            </w:tcBorders>
            <w:vAlign w:val="center"/>
          </w:tcPr>
          <w:p w14:paraId="289798AF">
            <w:pPr>
              <w:pStyle w:val="25"/>
              <w:spacing w:line="360" w:lineRule="exact"/>
              <w:jc w:val="left"/>
              <w:rPr>
                <w:rFonts w:hint="eastAsia"/>
                <w:color w:val="auto"/>
                <w:szCs w:val="21"/>
                <w:highlight w:val="none"/>
              </w:rPr>
            </w:pPr>
            <w:r>
              <w:rPr>
                <w:rFonts w:hint="eastAsia"/>
                <w:color w:val="auto"/>
                <w:szCs w:val="21"/>
                <w:highlight w:val="none"/>
              </w:rPr>
              <w:t>是否授权评标委员会确定中标候选人</w:t>
            </w:r>
          </w:p>
        </w:tc>
        <w:tc>
          <w:tcPr>
            <w:tcW w:w="7488" w:type="dxa"/>
            <w:tcBorders>
              <w:top w:val="single" w:color="auto" w:sz="8" w:space="0"/>
              <w:left w:val="single" w:color="auto" w:sz="4" w:space="0"/>
              <w:bottom w:val="single" w:color="auto" w:sz="8" w:space="0"/>
              <w:right w:val="single" w:color="auto" w:sz="8" w:space="0"/>
            </w:tcBorders>
            <w:vAlign w:val="center"/>
          </w:tcPr>
          <w:p w14:paraId="50C3E122">
            <w:pPr>
              <w:pStyle w:val="25"/>
              <w:keepNext w:val="0"/>
              <w:keepLines w:val="0"/>
              <w:pageBreakBefore w:val="0"/>
              <w:kinsoku/>
              <w:overflowPunct/>
              <w:topLinePunct w:val="0"/>
              <w:autoSpaceDE/>
              <w:autoSpaceDN/>
              <w:bidi w:val="0"/>
              <w:adjustRightInd/>
              <w:snapToGrid/>
              <w:spacing w:line="440" w:lineRule="exact"/>
              <w:ind w:left="63" w:leftChars="30" w:right="63" w:rightChars="30"/>
              <w:textAlignment w:val="auto"/>
              <w:rPr>
                <w:rFonts w:hint="eastAsia"/>
                <w:color w:val="auto"/>
                <w:szCs w:val="21"/>
                <w:highlight w:val="none"/>
              </w:rPr>
            </w:pPr>
            <w:r>
              <w:rPr>
                <w:rFonts w:hint="eastAsia" w:hAnsi="宋体"/>
                <w:color w:val="auto"/>
                <w:szCs w:val="21"/>
                <w:highlight w:val="none"/>
              </w:rPr>
              <w:t>是，评标委员会推荐</w:t>
            </w:r>
            <w:r>
              <w:rPr>
                <w:rFonts w:hint="eastAsia" w:hAnsi="宋体"/>
                <w:color w:val="auto"/>
                <w:szCs w:val="21"/>
                <w:highlight w:val="none"/>
                <w:u w:val="single" w:color="auto"/>
              </w:rPr>
              <w:t xml:space="preserve"> </w:t>
            </w:r>
            <w:r>
              <w:rPr>
                <w:rFonts w:hint="eastAsia" w:hAnsi="宋体"/>
                <w:color w:val="auto"/>
                <w:szCs w:val="21"/>
                <w:highlight w:val="none"/>
                <w:u w:val="single" w:color="auto"/>
                <w:lang w:val="en-US" w:eastAsia="zh-CN"/>
              </w:rPr>
              <w:t>2</w:t>
            </w:r>
            <w:r>
              <w:rPr>
                <w:rFonts w:hint="eastAsia" w:hAnsi="宋体"/>
                <w:color w:val="auto"/>
                <w:szCs w:val="21"/>
                <w:highlight w:val="none"/>
                <w:u w:val="single" w:color="auto"/>
              </w:rPr>
              <w:t xml:space="preserve"> </w:t>
            </w:r>
            <w:r>
              <w:rPr>
                <w:rFonts w:hint="eastAsia" w:hAnsi="宋体"/>
                <w:color w:val="auto"/>
                <w:szCs w:val="21"/>
                <w:highlight w:val="none"/>
              </w:rPr>
              <w:t>名中标候选人。</w:t>
            </w:r>
          </w:p>
        </w:tc>
      </w:tr>
      <w:tr w14:paraId="191E86E8">
        <w:tblPrEx>
          <w:tblCellMar>
            <w:top w:w="0" w:type="dxa"/>
            <w:left w:w="0" w:type="dxa"/>
            <w:bottom w:w="0" w:type="dxa"/>
            <w:right w:w="0" w:type="dxa"/>
          </w:tblCellMar>
        </w:tblPrEx>
        <w:trPr>
          <w:trHeight w:val="786" w:hRule="atLeast"/>
        </w:trPr>
        <w:tc>
          <w:tcPr>
            <w:tcW w:w="792"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19</w:t>
            </w:r>
          </w:p>
        </w:tc>
        <w:tc>
          <w:tcPr>
            <w:tcW w:w="1308" w:type="dxa"/>
            <w:tcBorders>
              <w:top w:val="single" w:color="auto" w:sz="8" w:space="0"/>
              <w:left w:val="single" w:color="auto" w:sz="4" w:space="0"/>
              <w:bottom w:val="single" w:color="auto" w:sz="8" w:space="0"/>
              <w:right w:val="single" w:color="auto" w:sz="4" w:space="0"/>
            </w:tcBorders>
            <w:vAlign w:val="center"/>
          </w:tcPr>
          <w:p w14:paraId="77F75070">
            <w:pPr>
              <w:pStyle w:val="25"/>
              <w:spacing w:line="360" w:lineRule="exact"/>
              <w:jc w:val="left"/>
              <w:rPr>
                <w:rFonts w:hint="eastAsia"/>
                <w:color w:val="auto"/>
                <w:szCs w:val="21"/>
                <w:highlight w:val="none"/>
              </w:rPr>
            </w:pPr>
            <w:r>
              <w:rPr>
                <w:rFonts w:hint="eastAsia"/>
                <w:color w:val="auto"/>
                <w:szCs w:val="21"/>
                <w:highlight w:val="none"/>
              </w:rPr>
              <w:t>中标结果公告媒介</w:t>
            </w:r>
          </w:p>
        </w:tc>
        <w:tc>
          <w:tcPr>
            <w:tcW w:w="7488" w:type="dxa"/>
            <w:tcBorders>
              <w:top w:val="single" w:color="auto" w:sz="8" w:space="0"/>
              <w:left w:val="single" w:color="auto" w:sz="4" w:space="0"/>
              <w:bottom w:val="single" w:color="auto" w:sz="8" w:space="0"/>
              <w:right w:val="single" w:color="auto" w:sz="8" w:space="0"/>
            </w:tcBorders>
            <w:vAlign w:val="top"/>
          </w:tcPr>
          <w:p w14:paraId="2F0DB711">
            <w:pPr>
              <w:pStyle w:val="25"/>
              <w:keepNext w:val="0"/>
              <w:keepLines w:val="0"/>
              <w:pageBreakBefore w:val="0"/>
              <w:kinsoku/>
              <w:wordWrap w:val="0"/>
              <w:overflowPunct/>
              <w:topLinePunct w:val="0"/>
              <w:autoSpaceDE/>
              <w:autoSpaceDN/>
              <w:bidi w:val="0"/>
              <w:adjustRightInd/>
              <w:snapToGrid/>
              <w:spacing w:line="440" w:lineRule="exact"/>
              <w:ind w:left="63" w:leftChars="30" w:right="63" w:rightChars="30"/>
              <w:textAlignment w:val="auto"/>
              <w:rPr>
                <w:rFonts w:hint="eastAsia"/>
                <w:color w:val="auto"/>
                <w:szCs w:val="21"/>
                <w:highlight w:val="none"/>
              </w:rPr>
            </w:pP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w:t>
            </w:r>
            <w:r>
              <w:rPr>
                <w:rFonts w:hint="eastAsia" w:ascii="宋体" w:hAnsi="宋体" w:eastAsia="宋体" w:cs="宋体"/>
                <w:color w:val="auto"/>
                <w:szCs w:val="21"/>
                <w:highlight w:val="none"/>
              </w:rPr>
              <w:t>滁州市重点工程建设管理处（http://zdc.chuzhou.gov.cn/）</w:t>
            </w:r>
            <w:r>
              <w:rPr>
                <w:rFonts w:hint="eastAsia"/>
                <w:color w:val="auto"/>
                <w:spacing w:val="-4"/>
                <w:szCs w:val="21"/>
                <w:highlight w:val="none"/>
              </w:rPr>
              <w:t>等网站</w:t>
            </w:r>
          </w:p>
        </w:tc>
      </w:tr>
      <w:tr w14:paraId="6EA640C0">
        <w:tblPrEx>
          <w:tblCellMar>
            <w:top w:w="0" w:type="dxa"/>
            <w:left w:w="0" w:type="dxa"/>
            <w:bottom w:w="0" w:type="dxa"/>
            <w:right w:w="0" w:type="dxa"/>
          </w:tblCellMar>
        </w:tblPrEx>
        <w:trPr>
          <w:trHeight w:val="478" w:hRule="atLeast"/>
        </w:trPr>
        <w:tc>
          <w:tcPr>
            <w:tcW w:w="792"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20</w:t>
            </w:r>
          </w:p>
        </w:tc>
        <w:tc>
          <w:tcPr>
            <w:tcW w:w="1308" w:type="dxa"/>
            <w:tcBorders>
              <w:top w:val="single" w:color="auto" w:sz="8" w:space="0"/>
              <w:left w:val="single" w:color="auto" w:sz="4" w:space="0"/>
              <w:bottom w:val="single" w:color="auto" w:sz="8" w:space="0"/>
              <w:right w:val="single" w:color="auto" w:sz="4" w:space="0"/>
            </w:tcBorders>
            <w:vAlign w:val="center"/>
          </w:tcPr>
          <w:p w14:paraId="5C02703D">
            <w:pPr>
              <w:spacing w:line="360" w:lineRule="exact"/>
              <w:jc w:val="left"/>
              <w:rPr>
                <w:rFonts w:hint="eastAsia"/>
                <w:color w:val="auto"/>
                <w:szCs w:val="21"/>
                <w:highlight w:val="none"/>
              </w:rPr>
            </w:pPr>
            <w:r>
              <w:rPr>
                <w:rFonts w:hint="eastAsia" w:ascii="宋体"/>
                <w:color w:val="auto"/>
                <w:szCs w:val="21"/>
                <w:highlight w:val="none"/>
              </w:rPr>
              <w:t>履约担保</w:t>
            </w:r>
          </w:p>
        </w:tc>
        <w:tc>
          <w:tcPr>
            <w:tcW w:w="7488"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overflowPunct/>
              <w:topLinePunct w:val="0"/>
              <w:autoSpaceDE/>
              <w:autoSpaceDN/>
              <w:bidi w:val="0"/>
              <w:adjustRightInd/>
              <w:snapToGrid/>
              <w:spacing w:line="440" w:lineRule="exact"/>
              <w:ind w:left="63" w:leftChars="30" w:right="63" w:rightChars="30"/>
              <w:jc w:val="both"/>
              <w:textAlignment w:val="auto"/>
              <w:rPr>
                <w:rFonts w:hint="eastAsia"/>
                <w:color w:val="auto"/>
                <w:szCs w:val="21"/>
                <w:highlight w:val="none"/>
              </w:rPr>
            </w:pPr>
            <w:r>
              <w:rPr>
                <w:rFonts w:hint="eastAsia"/>
                <w:color w:val="auto"/>
                <w:szCs w:val="21"/>
                <w:highlight w:val="none"/>
              </w:rPr>
              <w:t>是否收取履约担保：□收取，</w:t>
            </w:r>
            <w:r>
              <w:rPr>
                <w:rFonts w:hint="eastAsia"/>
                <w:color w:val="auto"/>
                <w:szCs w:val="21"/>
                <w:highlight w:val="none"/>
              </w:rPr>
              <w:sym w:font="Wingdings 2" w:char="0052"/>
            </w:r>
            <w:r>
              <w:rPr>
                <w:rFonts w:hint="eastAsia"/>
                <w:color w:val="auto"/>
                <w:szCs w:val="21"/>
                <w:highlight w:val="none"/>
              </w:rPr>
              <w:t>不收取</w:t>
            </w:r>
          </w:p>
        </w:tc>
      </w:tr>
      <w:tr w14:paraId="361F7F39">
        <w:tblPrEx>
          <w:tblCellMar>
            <w:top w:w="0" w:type="dxa"/>
            <w:left w:w="0" w:type="dxa"/>
            <w:bottom w:w="0" w:type="dxa"/>
            <w:right w:w="0" w:type="dxa"/>
          </w:tblCellMar>
        </w:tblPrEx>
        <w:trPr>
          <w:trHeight w:val="478" w:hRule="atLeast"/>
        </w:trPr>
        <w:tc>
          <w:tcPr>
            <w:tcW w:w="9588" w:type="dxa"/>
            <w:gridSpan w:val="3"/>
            <w:tcBorders>
              <w:top w:val="single" w:color="auto" w:sz="8" w:space="0"/>
              <w:left w:val="single" w:color="auto" w:sz="8" w:space="0"/>
              <w:bottom w:val="single" w:color="auto" w:sz="8" w:space="0"/>
              <w:right w:val="single" w:color="auto" w:sz="8" w:space="0"/>
            </w:tcBorders>
            <w:vAlign w:val="center"/>
          </w:tcPr>
          <w:p w14:paraId="4E9DEB7B">
            <w:pPr>
              <w:keepNext w:val="0"/>
              <w:keepLines w:val="0"/>
              <w:pageBreakBefore w:val="0"/>
              <w:widowControl/>
              <w:kinsoku/>
              <w:overflowPunct/>
              <w:topLinePunct w:val="0"/>
              <w:autoSpaceDE/>
              <w:autoSpaceDN/>
              <w:bidi w:val="0"/>
              <w:adjustRightInd/>
              <w:snapToGrid/>
              <w:spacing w:line="440" w:lineRule="exact"/>
              <w:ind w:left="63" w:leftChars="30" w:right="63" w:rightChars="30"/>
              <w:jc w:val="center"/>
              <w:textAlignment w:val="auto"/>
              <w:rPr>
                <w:rFonts w:hint="eastAsia"/>
                <w:color w:val="auto"/>
                <w:szCs w:val="21"/>
                <w:highlight w:val="none"/>
              </w:rPr>
            </w:pPr>
            <w:r>
              <w:rPr>
                <w:rFonts w:hint="eastAsia" w:ascii="宋体" w:hAnsi="宋体" w:eastAsia="宋体" w:cs="宋体"/>
                <w:b/>
                <w:bCs/>
                <w:color w:val="auto"/>
                <w:sz w:val="21"/>
                <w:szCs w:val="21"/>
                <w:highlight w:val="none"/>
              </w:rPr>
              <w:t>需要补充的其他内容</w:t>
            </w:r>
          </w:p>
        </w:tc>
      </w:tr>
      <w:tr w14:paraId="1140AE85">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741EEFE9">
            <w:pPr>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电子招标投标</w:t>
            </w:r>
          </w:p>
        </w:tc>
        <w:tc>
          <w:tcPr>
            <w:tcW w:w="7488" w:type="dxa"/>
            <w:tcBorders>
              <w:top w:val="single" w:color="auto" w:sz="8" w:space="0"/>
              <w:left w:val="single" w:color="auto" w:sz="4" w:space="0"/>
              <w:bottom w:val="single" w:color="auto" w:sz="8" w:space="0"/>
              <w:right w:val="single" w:color="auto" w:sz="8" w:space="0"/>
            </w:tcBorders>
            <w:vAlign w:val="center"/>
          </w:tcPr>
          <w:p w14:paraId="57193DD9">
            <w:pPr>
              <w:keepNext w:val="0"/>
              <w:keepLines w:val="0"/>
              <w:pageBreakBefore w:val="0"/>
              <w:kinsoku/>
              <w:overflowPunct/>
              <w:topLinePunct w:val="0"/>
              <w:autoSpaceDE/>
              <w:autoSpaceDN/>
              <w:bidi w:val="0"/>
              <w:adjustRightInd/>
              <w:snapToGrid/>
              <w:spacing w:line="440" w:lineRule="exact"/>
              <w:ind w:left="63" w:leftChars="30" w:right="63" w:rightChars="3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是，具体要求：按招标文件规定。</w:t>
            </w:r>
          </w:p>
        </w:tc>
      </w:tr>
      <w:tr w14:paraId="53DD2192">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0E373B3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限制投标情形</w:t>
            </w:r>
          </w:p>
        </w:tc>
        <w:tc>
          <w:tcPr>
            <w:tcW w:w="7488" w:type="dxa"/>
            <w:tcBorders>
              <w:top w:val="single" w:color="auto" w:sz="8" w:space="0"/>
              <w:left w:val="single" w:color="auto" w:sz="4" w:space="0"/>
              <w:bottom w:val="single" w:color="auto" w:sz="8" w:space="0"/>
              <w:right w:val="single" w:color="auto" w:sz="8" w:space="0"/>
            </w:tcBorders>
            <w:vAlign w:val="center"/>
          </w:tcPr>
          <w:p w14:paraId="544763DD">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1.限制近两年内在承接我单位工程造价、审计结算等业务过程中，因工作疏漏对我单位产生不良影响的咨询公司参加投标。</w:t>
            </w:r>
          </w:p>
          <w:p w14:paraId="148E1483">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2.在滁州市重点工程管理处限制承揽业务期限内的企业不予参加。</w:t>
            </w:r>
          </w:p>
          <w:p w14:paraId="38C5E71F">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3.被市重点处列入“不良行为企业名单”和“暂停委托项目跟踪审计的工程造价咨询企业名单”的单位不得参加。</w:t>
            </w:r>
          </w:p>
          <w:p w14:paraId="34C31394">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4.本项目招标代理单位、清单控制价编制单位、监理单位及项目跟踪审计不得参加投标。</w:t>
            </w:r>
          </w:p>
        </w:tc>
      </w:tr>
      <w:tr w14:paraId="234C8D6C">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488" w:type="dxa"/>
            <w:tcBorders>
              <w:top w:val="single" w:color="auto" w:sz="8" w:space="0"/>
              <w:left w:val="single" w:color="auto" w:sz="4" w:space="0"/>
              <w:bottom w:val="single" w:color="auto" w:sz="8" w:space="0"/>
              <w:right w:val="single" w:color="auto" w:sz="8" w:space="0"/>
            </w:tcBorders>
            <w:vAlign w:val="center"/>
          </w:tcPr>
          <w:p w14:paraId="4E0E6A65">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1、项目建设期间，相关部门将对跟踪审计工作进行不定期检查，如发现有不符合《跟踪审计委托协议》相关工作要求的行为，将按照约定给予相应的处罚。</w:t>
            </w:r>
          </w:p>
          <w:p w14:paraId="64C927B7">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2、本项目执行《工程造价咨询服务管理办法》中相关规定</w:t>
            </w:r>
            <w:r>
              <w:rPr>
                <w:rFonts w:hint="eastAsia" w:ascii="宋体" w:hAnsi="宋体" w:cs="宋体"/>
                <w:color w:val="auto"/>
                <w:kern w:val="0"/>
                <w:sz w:val="21"/>
                <w:szCs w:val="21"/>
                <w:highlight w:val="none"/>
                <w:lang w:val="en-US" w:eastAsia="zh-CN"/>
              </w:rPr>
              <w:t>。</w:t>
            </w:r>
          </w:p>
          <w:p w14:paraId="61EA3B42">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3、本项目结算不支持付款给分公司。</w:t>
            </w:r>
          </w:p>
          <w:p w14:paraId="45103D70">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单位项目组人员变更，变更后人员必须满足本项目招标要求。由中标单位向综合计划科提出申请并提供相应证明，由中标单位向业主单位提出申请并提供相应证明，业主单位会商提出意见，报业主单位领导批准后予以备案。</w:t>
            </w:r>
          </w:p>
          <w:p w14:paraId="0599FC0E">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tc>
      </w:tr>
      <w:tr w14:paraId="6E099D79">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488" w:type="dxa"/>
            <w:tcBorders>
              <w:top w:val="single" w:color="auto" w:sz="8" w:space="0"/>
              <w:left w:val="single" w:color="auto" w:sz="4" w:space="0"/>
              <w:bottom w:val="single" w:color="auto" w:sz="8" w:space="0"/>
              <w:right w:val="single" w:color="auto" w:sz="8" w:space="0"/>
            </w:tcBorders>
            <w:vAlign w:val="center"/>
          </w:tcPr>
          <w:p w14:paraId="67DB5D0C">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出具审核报告，交付招标人初审确认，报经招标人备案审查通过后，按照招标人审查备案金额结算支付审计服务费用。（注：发包人在政府资金调度会批准且发票送达后完成支付）。</w:t>
            </w:r>
          </w:p>
        </w:tc>
      </w:tr>
      <w:tr w14:paraId="25B900FF">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招标代理费及专家评审费</w:t>
            </w:r>
          </w:p>
        </w:tc>
        <w:tc>
          <w:tcPr>
            <w:tcW w:w="7488"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440" w:lineRule="exact"/>
              <w:ind w:left="63" w:leftChars="30" w:right="63" w:rightChars="3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本项目招标代理服务费用0元，专家评审费另计（最终以实际发生为准，按实计收），中标单位在领取中标通知书前一次性支付</w:t>
            </w:r>
            <w:r>
              <w:rPr>
                <w:rFonts w:hint="eastAsia" w:ascii="宋体" w:hAnsi="宋体" w:eastAsia="宋体" w:cs="宋体"/>
                <w:color w:val="auto"/>
                <w:kern w:val="0"/>
                <w:sz w:val="21"/>
                <w:szCs w:val="21"/>
                <w:highlight w:val="none"/>
                <w:lang w:val="en-US" w:eastAsia="zh-CN"/>
              </w:rPr>
              <w:t>给代理公司。</w:t>
            </w:r>
          </w:p>
        </w:tc>
      </w:tr>
      <w:tr w14:paraId="6C5E33CA">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7DBB6D63">
            <w:pPr>
              <w:widowControl/>
              <w:spacing w:line="360" w:lineRule="auto"/>
              <w:jc w:val="center"/>
              <w:rPr>
                <w:rFonts w:hint="eastAsia" w:ascii="宋体" w:hAnsi="宋体" w:cs="宋体"/>
                <w:b/>
                <w:bCs/>
                <w:color w:val="auto"/>
                <w:kern w:val="0"/>
                <w:sz w:val="21"/>
                <w:szCs w:val="21"/>
                <w:highlight w:val="none"/>
                <w:lang w:val="en-US" w:eastAsia="zh-CN"/>
              </w:rPr>
            </w:pPr>
            <w:r>
              <w:rPr>
                <w:rFonts w:hint="eastAsia" w:ascii="宋体" w:hAnsi="宋体" w:cs="宋体"/>
                <w:color w:val="auto"/>
                <w:szCs w:val="21"/>
                <w:highlight w:val="none"/>
              </w:rPr>
              <w:t>评标过程中的澄清、说明或补正</w:t>
            </w:r>
          </w:p>
        </w:tc>
        <w:tc>
          <w:tcPr>
            <w:tcW w:w="7488"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rPr>
              <w:t>1</w:t>
            </w:r>
            <w:r>
              <w:rPr>
                <w:rFonts w:hint="eastAsia" w:ascii="宋体" w:hAnsi="宋体" w:cs="宋体"/>
                <w:color w:val="auto"/>
                <w:szCs w:val="21"/>
                <w:highlight w:val="none"/>
              </w:rPr>
              <w:t>）评标委员会通过</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系统将需要澄清、说明或补正的内容以询标函的形式发送给投标人，投标人应安排专人登录</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系统并保持在线状态，以便及时接收评标委员会可能发出的询标函。</w:t>
            </w:r>
          </w:p>
          <w:p w14:paraId="6C77080F">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rPr>
              <w:t>2</w:t>
            </w:r>
            <w:r>
              <w:rPr>
                <w:rFonts w:hint="eastAsia" w:ascii="宋体" w:hAnsi="宋体" w:cs="宋体"/>
                <w:color w:val="auto"/>
                <w:szCs w:val="21"/>
                <w:highlight w:val="none"/>
              </w:rPr>
              <w:t>）因投标人未登录</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6D96205C">
        <w:tblPrEx>
          <w:tblCellMar>
            <w:top w:w="0" w:type="dxa"/>
            <w:left w:w="0" w:type="dxa"/>
            <w:bottom w:w="0" w:type="dxa"/>
            <w:right w:w="0" w:type="dxa"/>
          </w:tblCellMar>
        </w:tblPrEx>
        <w:trPr>
          <w:trHeight w:val="167" w:hRule="atLeast"/>
        </w:trPr>
        <w:tc>
          <w:tcPr>
            <w:tcW w:w="2100" w:type="dxa"/>
            <w:gridSpan w:val="2"/>
            <w:tcBorders>
              <w:top w:val="single" w:color="auto" w:sz="8" w:space="0"/>
              <w:left w:val="single" w:color="auto" w:sz="8" w:space="0"/>
              <w:bottom w:val="single" w:color="auto" w:sz="8" w:space="0"/>
              <w:right w:val="single" w:color="auto" w:sz="4" w:space="0"/>
            </w:tcBorders>
            <w:vAlign w:val="center"/>
          </w:tcPr>
          <w:p w14:paraId="52D58FFE">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其他说明</w:t>
            </w:r>
          </w:p>
        </w:tc>
        <w:tc>
          <w:tcPr>
            <w:tcW w:w="7488" w:type="dxa"/>
            <w:tcBorders>
              <w:top w:val="single" w:color="auto" w:sz="8" w:space="0"/>
              <w:left w:val="single" w:color="auto" w:sz="4" w:space="0"/>
              <w:bottom w:val="single" w:color="auto" w:sz="8" w:space="0"/>
              <w:right w:val="single" w:color="auto" w:sz="8" w:space="0"/>
            </w:tcBorders>
            <w:vAlign w:val="center"/>
          </w:tcPr>
          <w:p w14:paraId="09DDD98E">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本招标文件前后条款若有不一致之处，在澄清答疑时又未作出明确规定时，各投标人的投标文件只要满足其中任一条款，均视为对本招标文件的响应。</w:t>
            </w:r>
          </w:p>
          <w:p w14:paraId="0C157CB5">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系统中提供的表格与招标文件中不一致时，以招标文件中提供的表格格式为准。</w:t>
            </w:r>
          </w:p>
          <w:p w14:paraId="18484EE2">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本项目招标公告与本招标文件不一致之处，以本招标文件为准。</w:t>
            </w:r>
          </w:p>
          <w:p w14:paraId="5A45D855">
            <w:pPr>
              <w:keepNext w:val="0"/>
              <w:keepLines w:val="0"/>
              <w:pageBreakBefore w:val="0"/>
              <w:widowControl/>
              <w:kinsoku/>
              <w:wordWrap/>
              <w:overflowPunct/>
              <w:topLinePunct w:val="0"/>
              <w:autoSpaceDE/>
              <w:autoSpaceDN/>
              <w:bidi w:val="0"/>
              <w:adjustRightInd/>
              <w:snapToGrid/>
              <w:spacing w:line="440" w:lineRule="exact"/>
              <w:ind w:left="63" w:leftChars="30" w:right="63" w:rightChars="3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本文件的最终解释权归招标人、招标代理机构所有。</w:t>
            </w:r>
          </w:p>
        </w:tc>
      </w:tr>
    </w:tbl>
    <w:p w14:paraId="7BF8D4DF">
      <w:pPr>
        <w:rPr>
          <w:rFonts w:hint="eastAsia" w:ascii="宋体" w:hAnsi="宋体" w:eastAsia="宋体" w:cs="宋体"/>
          <w:color w:val="auto"/>
          <w:highlight w:val="none"/>
        </w:rPr>
      </w:pPr>
    </w:p>
    <w:p w14:paraId="26284F27">
      <w:pPr>
        <w:rPr>
          <w:rFonts w:hint="eastAsia" w:ascii="宋体" w:hAnsi="宋体" w:eastAsia="宋体" w:cs="宋体"/>
          <w:b/>
          <w:bCs/>
          <w:color w:val="auto"/>
          <w:sz w:val="28"/>
          <w:highlight w:val="none"/>
        </w:rPr>
      </w:pPr>
      <w:bookmarkStart w:id="44" w:name="_Toc515"/>
      <w:bookmarkStart w:id="45" w:name="_Toc13663"/>
      <w:r>
        <w:rPr>
          <w:rFonts w:hint="eastAsia" w:ascii="宋体" w:hAnsi="宋体" w:eastAsia="宋体" w:cs="宋体"/>
          <w:b/>
          <w:bCs/>
          <w:color w:val="auto"/>
          <w:sz w:val="28"/>
          <w:highlight w:val="none"/>
        </w:rPr>
        <w:br w:type="page"/>
      </w:r>
    </w:p>
    <w:p w14:paraId="6094F76D">
      <w:pPr>
        <w:spacing w:line="400" w:lineRule="exact"/>
        <w:jc w:val="center"/>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一、总  则</w:t>
      </w:r>
      <w:bookmarkEnd w:id="44"/>
      <w:bookmarkEnd w:id="45"/>
    </w:p>
    <w:p w14:paraId="5FB33392">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u w:val="none"/>
        </w:rPr>
        <w:t>名称：</w:t>
      </w:r>
      <w:r>
        <w:rPr>
          <w:rFonts w:hint="eastAsia" w:ascii="宋体" w:hAnsi="宋体" w:cs="宋体"/>
          <w:color w:val="auto"/>
          <w:kern w:val="0"/>
          <w:sz w:val="21"/>
          <w:szCs w:val="21"/>
          <w:highlight w:val="none"/>
          <w:u w:val="none"/>
          <w:lang w:val="en-US" w:eastAsia="zh-CN"/>
        </w:rPr>
        <w:t>2023年度市政道路部分人行道提升改造工程结算复核服务项目</w:t>
      </w:r>
    </w:p>
    <w:p w14:paraId="26F9FD99">
      <w:pPr>
        <w:keepNext w:val="0"/>
        <w:keepLines w:val="0"/>
        <w:pageBreakBefore w:val="0"/>
        <w:widowControl w:val="0"/>
        <w:kinsoku/>
        <w:wordWrap/>
        <w:overflowPunct/>
        <w:topLinePunct w:val="0"/>
        <w:autoSpaceDE/>
        <w:autoSpaceDN/>
        <w:bidi w:val="0"/>
        <w:adjustRightInd/>
        <w:snapToGrid/>
        <w:spacing w:line="480" w:lineRule="exact"/>
        <w:ind w:left="1050" w:leftChars="0" w:hanging="1050" w:hangingChars="5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eastAsia="宋体" w:cs="宋体"/>
          <w:color w:val="auto"/>
          <w:sz w:val="21"/>
          <w:szCs w:val="21"/>
          <w:highlight w:val="none"/>
          <w:u w:val="none"/>
          <w:lang w:val="en-US" w:eastAsia="zh-CN"/>
        </w:rPr>
        <w:t>滁州市市政设施管理中心</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cs="宋体"/>
          <w:color w:val="auto"/>
          <w:sz w:val="21"/>
          <w:szCs w:val="21"/>
          <w:highlight w:val="none"/>
          <w:u w:val="none"/>
          <w:lang w:val="en-US" w:eastAsia="zh-CN"/>
        </w:rPr>
        <w:t>2023年度市政道路部分人行道提升改造工程</w:t>
      </w:r>
      <w:r>
        <w:rPr>
          <w:rFonts w:hint="eastAsia" w:ascii="宋体" w:hAnsi="宋体" w:eastAsia="宋体" w:cs="宋体"/>
          <w:color w:val="auto"/>
          <w:sz w:val="21"/>
          <w:szCs w:val="21"/>
          <w:highlight w:val="none"/>
          <w:u w:val="none"/>
          <w:lang w:val="en-US" w:eastAsia="zh-CN"/>
        </w:rPr>
        <w:t>，合同价款约</w:t>
      </w:r>
      <w:r>
        <w:rPr>
          <w:rFonts w:hint="eastAsia" w:ascii="宋体" w:hAnsi="宋体" w:cs="宋体"/>
          <w:color w:val="auto"/>
          <w:sz w:val="21"/>
          <w:szCs w:val="21"/>
          <w:highlight w:val="none"/>
          <w:u w:val="none"/>
          <w:lang w:val="en-US" w:eastAsia="zh-CN"/>
        </w:rPr>
        <w:t>377.7万元</w:t>
      </w:r>
      <w:r>
        <w:rPr>
          <w:rFonts w:hint="eastAsia" w:ascii="宋体" w:hAnsi="宋体" w:eastAsia="宋体" w:cs="宋体"/>
          <w:color w:val="auto"/>
          <w:sz w:val="21"/>
          <w:szCs w:val="21"/>
          <w:highlight w:val="none"/>
          <w:u w:val="none"/>
          <w:lang w:val="en-US" w:eastAsia="zh-CN"/>
        </w:rPr>
        <w:t>，服务费用约</w:t>
      </w:r>
      <w:r>
        <w:rPr>
          <w:rFonts w:hint="eastAsia" w:ascii="宋体" w:hAnsi="宋体" w:cs="宋体"/>
          <w:color w:val="auto"/>
          <w:sz w:val="21"/>
          <w:szCs w:val="21"/>
          <w:highlight w:val="none"/>
          <w:u w:val="none"/>
          <w:lang w:val="en-US" w:eastAsia="zh-CN"/>
        </w:rPr>
        <w:t>0.8万元</w:t>
      </w:r>
      <w:r>
        <w:rPr>
          <w:rFonts w:hint="eastAsia" w:ascii="宋体" w:hAnsi="宋体" w:eastAsia="宋体" w:cs="宋体"/>
          <w:color w:val="auto"/>
          <w:kern w:val="0"/>
          <w:sz w:val="21"/>
          <w:szCs w:val="21"/>
          <w:highlight w:val="none"/>
          <w:u w:val="none"/>
          <w:lang w:val="en-US" w:eastAsia="zh-CN"/>
        </w:rPr>
        <w:t>。</w:t>
      </w:r>
    </w:p>
    <w:p w14:paraId="3FC6757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val="en-US" w:eastAsia="zh-CN"/>
        </w:rPr>
        <w:t>服务需求</w:t>
      </w:r>
    </w:p>
    <w:p w14:paraId="5831824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2B98AD9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0330481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eastAsia="宋体" w:cs="宋体"/>
          <w:color w:val="auto"/>
          <w:sz w:val="21"/>
          <w:szCs w:val="21"/>
          <w:highlight w:val="none"/>
          <w:lang w:val="en-US" w:eastAsia="zh-CN"/>
        </w:rPr>
        <w:t>固定总价</w:t>
      </w:r>
      <w:r>
        <w:rPr>
          <w:rFonts w:hint="eastAsia" w:ascii="宋体" w:hAnsi="宋体" w:eastAsia="宋体" w:cs="宋体"/>
          <w:color w:val="auto"/>
          <w:sz w:val="21"/>
          <w:szCs w:val="21"/>
          <w:highlight w:val="none"/>
        </w:rPr>
        <w:t>。</w:t>
      </w:r>
    </w:p>
    <w:p w14:paraId="74D9A58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1F7FF8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577796E7">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2B5113F0">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58FF222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5EB78DE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8D02FB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6A7ADDF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资金 </w:t>
      </w:r>
      <w:r>
        <w:rPr>
          <w:rFonts w:hint="eastAsia" w:ascii="宋体" w:hAnsi="宋体" w:eastAsia="宋体" w:cs="宋体"/>
          <w:color w:val="auto"/>
          <w:sz w:val="21"/>
          <w:szCs w:val="21"/>
          <w:highlight w:val="none"/>
        </w:rPr>
        <w:t>；资金已落实。</w:t>
      </w:r>
    </w:p>
    <w:p w14:paraId="13200DD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5ABC7BDB">
      <w:pPr>
        <w:keepNext w:val="0"/>
        <w:keepLines w:val="0"/>
        <w:pageBreakBefore w:val="0"/>
        <w:widowControl w:val="0"/>
        <w:kinsoku/>
        <w:wordWrap/>
        <w:overflowPunct/>
        <w:topLinePunct w:val="0"/>
        <w:autoSpaceDE/>
        <w:autoSpaceDN/>
        <w:bidi w:val="0"/>
        <w:adjustRightInd/>
        <w:snapToGrid/>
        <w:spacing w:line="480" w:lineRule="exact"/>
        <w:ind w:right="-155" w:rightChars="-7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 xml:space="preserve">个标段  </w:t>
      </w:r>
    </w:p>
    <w:p w14:paraId="7FDA44C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6DFAA1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3F418DB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69602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rPr>
        <w:t>固定</w:t>
      </w:r>
      <w:r>
        <w:rPr>
          <w:rFonts w:hint="eastAsia" w:ascii="宋体" w:hAnsi="宋体" w:eastAsia="宋体" w:cs="宋体"/>
          <w:color w:val="auto"/>
          <w:sz w:val="21"/>
          <w:szCs w:val="21"/>
          <w:highlight w:val="none"/>
          <w:u w:val="single"/>
          <w:lang w:val="en-US" w:eastAsia="zh-CN"/>
        </w:rPr>
        <w:t>费率</w:t>
      </w:r>
      <w:r>
        <w:rPr>
          <w:rFonts w:hint="eastAsia" w:ascii="宋体" w:hAnsi="宋体" w:eastAsia="宋体" w:cs="宋体"/>
          <w:color w:val="auto"/>
          <w:sz w:val="21"/>
          <w:szCs w:val="21"/>
          <w:highlight w:val="none"/>
        </w:rPr>
        <w:t>。</w:t>
      </w:r>
    </w:p>
    <w:p w14:paraId="446700B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综合评估法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章评标办法）。</w:t>
      </w:r>
    </w:p>
    <w:p w14:paraId="13B7D934">
      <w:pPr>
        <w:spacing w:line="400" w:lineRule="exact"/>
        <w:jc w:val="center"/>
        <w:outlineLvl w:val="1"/>
        <w:rPr>
          <w:rFonts w:hint="eastAsia" w:ascii="宋体" w:hAnsi="宋体" w:eastAsia="宋体" w:cs="宋体"/>
          <w:b/>
          <w:bCs/>
          <w:color w:val="auto"/>
          <w:sz w:val="28"/>
          <w:highlight w:val="none"/>
        </w:rPr>
      </w:pPr>
      <w:bookmarkStart w:id="46" w:name="_Toc29988"/>
      <w:bookmarkStart w:id="47" w:name="_Toc17301"/>
    </w:p>
    <w:p w14:paraId="2DD47ABF">
      <w:pPr>
        <w:spacing w:line="400" w:lineRule="exact"/>
        <w:jc w:val="center"/>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二、招标文件</w:t>
      </w:r>
      <w:bookmarkEnd w:id="46"/>
      <w:bookmarkEnd w:id="47"/>
    </w:p>
    <w:p w14:paraId="62AC36E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ind w:left="0" w:leftChars="0" w:firstLine="0" w:firstLineChars="0"/>
        <w:rPr>
          <w:rFonts w:hint="default" w:eastAsia="宋体"/>
          <w:color w:val="auto"/>
          <w:highlight w:val="none"/>
          <w:lang w:val="en-US" w:eastAsia="zh-CN"/>
        </w:rPr>
      </w:pPr>
      <w:r>
        <w:rPr>
          <w:rFonts w:hint="eastAsia" w:ascii="宋体" w:hAnsi="宋体" w:eastAsia="宋体" w:cs="宋体"/>
          <w:color w:val="auto"/>
          <w:kern w:val="0"/>
          <w:sz w:val="21"/>
          <w:szCs w:val="21"/>
          <w:highlight w:val="none"/>
          <w:lang w:val="en-US" w:eastAsia="zh-CN"/>
        </w:rPr>
        <w:t>13.4投标人可以通过新点电子交易平台【滁州专区】对招标文件提出澄清（质疑）。招标文件的澄清将在滁州市城投工程咨询管理有限公司（https://www.czctgczx.com/）、滁州市重点工程建设管理处（http://zdc.chuzhou.gov.cn/）等网站发布，但不指明澄清问题的来源。如果澄清内容影响投标文件编制的，将相应延长投标截止时间。</w:t>
      </w:r>
    </w:p>
    <w:p w14:paraId="182D12D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（https://www.czctgczx.com/）、滁州市重点工程建设管理处（http://zdc.chuzhou.gov.cn/）</w:t>
      </w:r>
      <w:r>
        <w:rPr>
          <w:rFonts w:hint="eastAsia"/>
          <w:color w:val="auto"/>
          <w:szCs w:val="21"/>
          <w:highlight w:val="none"/>
          <w:lang w:val="en-US" w:eastAsia="zh-CN"/>
        </w:rPr>
        <w:t>网站发布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32E39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w:t>
      </w:r>
      <w:r>
        <w:rPr>
          <w:rFonts w:hint="eastAsia" w:ascii="宋体" w:hAnsi="宋体" w:eastAsia="宋体" w:cs="宋体"/>
          <w:b/>
          <w:bCs/>
          <w:color w:val="auto"/>
          <w:sz w:val="21"/>
          <w:szCs w:val="21"/>
          <w:highlight w:val="none"/>
          <w:lang w:eastAsia="zh-CN"/>
        </w:rPr>
        <w:t>本项目的最高限价为基本费</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000元</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审核成果费率</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%（审核成果费率</w:t>
      </w:r>
      <w:r>
        <w:rPr>
          <w:rFonts w:hint="eastAsia" w:ascii="宋体" w:hAnsi="宋体" w:eastAsia="宋体" w:cs="宋体"/>
          <w:b/>
          <w:bCs/>
          <w:color w:val="auto"/>
          <w:sz w:val="21"/>
          <w:szCs w:val="21"/>
          <w:highlight w:val="none"/>
          <w:lang w:val="en-US" w:eastAsia="zh-CN"/>
        </w:rPr>
        <w:t>为不可竞争费率，</w:t>
      </w:r>
      <w:r>
        <w:rPr>
          <w:rFonts w:hint="eastAsia" w:ascii="宋体" w:hAnsi="宋体" w:eastAsia="宋体" w:cs="宋体"/>
          <w:b/>
          <w:bCs/>
          <w:color w:val="auto"/>
          <w:sz w:val="21"/>
          <w:szCs w:val="21"/>
          <w:highlight w:val="none"/>
        </w:rPr>
        <w:t>固定不变）</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基本费由投标人自主报价，</w:t>
      </w:r>
      <w:r>
        <w:rPr>
          <w:rFonts w:hint="eastAsia" w:ascii="宋体" w:hAnsi="宋体" w:eastAsia="宋体" w:cs="宋体"/>
          <w:b/>
          <w:bCs/>
          <w:color w:val="auto"/>
          <w:sz w:val="21"/>
          <w:szCs w:val="21"/>
          <w:highlight w:val="none"/>
        </w:rPr>
        <w:t>不得高于上述基本费最高限价，否则按无效标处理。</w:t>
      </w:r>
    </w:p>
    <w:p w14:paraId="118CF4AC">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color w:val="auto"/>
          <w:sz w:val="28"/>
          <w:szCs w:val="28"/>
          <w:highlight w:val="none"/>
        </w:rPr>
      </w:pPr>
      <w:bookmarkStart w:id="48" w:name="_Toc24852"/>
    </w:p>
    <w:p w14:paraId="344A8BB9">
      <w:pPr>
        <w:spacing w:line="400" w:lineRule="exact"/>
        <w:jc w:val="center"/>
        <w:outlineLvl w:val="1"/>
        <w:rPr>
          <w:rFonts w:hint="eastAsia" w:ascii="宋体" w:hAnsi="宋体" w:eastAsia="宋体" w:cs="宋体"/>
          <w:b/>
          <w:bCs/>
          <w:color w:val="auto"/>
          <w:sz w:val="28"/>
          <w:highlight w:val="none"/>
        </w:rPr>
      </w:pPr>
      <w:bookmarkStart w:id="49" w:name="_Toc6831"/>
      <w:r>
        <w:rPr>
          <w:rFonts w:hint="eastAsia" w:ascii="宋体" w:hAnsi="宋体" w:eastAsia="宋体" w:cs="宋体"/>
          <w:b/>
          <w:bCs/>
          <w:color w:val="auto"/>
          <w:sz w:val="28"/>
          <w:highlight w:val="none"/>
        </w:rPr>
        <w:t>三、投标文件的编制</w:t>
      </w:r>
      <w:bookmarkEnd w:id="48"/>
      <w:bookmarkEnd w:id="49"/>
    </w:p>
    <w:p w14:paraId="64695F4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2C8C9D2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（1）法定代表人身份证明文件和本人有效身份证(或法定代表人授权委托书和委托代理人有效身份证)；（格式见附件）</w:t>
      </w:r>
    </w:p>
    <w:p w14:paraId="4C2D02AD">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（2）企业法人营业执照； </w:t>
      </w:r>
    </w:p>
    <w:p w14:paraId="682DE35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（3）项目人员配备表；（格式见附件）</w:t>
      </w:r>
    </w:p>
    <w:p w14:paraId="71ABFFC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（4）拟派项目负责人注册造价师证书（若注册证书上无法体现专业的，还需另行提供证明专业的证明材料）； </w:t>
      </w:r>
    </w:p>
    <w:p w14:paraId="1F92673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项目组其他成员（不含项目负责人）：不少于2名且具有在本单位注册的二级及以上造价工程师注册证书（土木建筑工程专业至少1名、安装工程专业至少1名）（若注册证书上无法体现专业的，还需另行提供证明专业的证明材料）； </w:t>
      </w:r>
    </w:p>
    <w:p w14:paraId="48371B71">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（6）承诺书1：投标人对所提供的上述材料作出承诺，若投标人存在弄虚作假，提供虚假资料的，若中标，则取消中标资格。（承诺书格式自拟并注明开标日期，加盖投标单位公章）</w:t>
      </w:r>
    </w:p>
    <w:p w14:paraId="548C1DF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2BFA1B1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法定代表人（或委托代理人）、项目负责人、项目组其他成员须持有社保部门出具的本单位为其缴纳的投标前近三个月内任意一月的养老保险证明（含官网在线打印件，证明文件两个月内有效），或投标人提供承诺已为上述人员缴纳养老保险证明的承诺书（格式自拟）。</w:t>
      </w:r>
    </w:p>
    <w:p w14:paraId="569EAC4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（9）投标函；</w:t>
      </w:r>
    </w:p>
    <w:p w14:paraId="3DC867D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（10）投标人认为需要提供的其他材料</w:t>
      </w:r>
      <w:r>
        <w:rPr>
          <w:rFonts w:hint="eastAsia" w:ascii="宋体" w:hAnsi="宋体" w:eastAsia="宋体" w:cs="宋体"/>
          <w:color w:val="auto"/>
          <w:sz w:val="21"/>
          <w:szCs w:val="21"/>
          <w:highlight w:val="none"/>
          <w:lang w:val="en-US" w:eastAsia="zh-CN"/>
        </w:rPr>
        <w:t>。</w:t>
      </w:r>
    </w:p>
    <w:p w14:paraId="6CFB64B6">
      <w:pPr>
        <w:numPr>
          <w:ilvl w:val="0"/>
          <w:numId w:val="0"/>
        </w:numPr>
        <w:spacing w:line="440" w:lineRule="exact"/>
        <w:jc w:val="both"/>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072124E9">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5E5DC0DE">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10459534">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506A6FCB">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6355F856">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5B87B754">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2"/>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color w:val="auto"/>
          <w:szCs w:val="21"/>
          <w:highlight w:val="none"/>
        </w:rPr>
        <w:t>在第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52D2929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65D00B00">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r>
        <w:rPr>
          <w:rFonts w:hint="eastAsia" w:ascii="宋体" w:hAnsi="宋体" w:cs="宋体"/>
          <w:color w:val="auto"/>
          <w:kern w:val="0"/>
          <w:szCs w:val="21"/>
          <w:highlight w:val="none"/>
          <w:lang w:eastAsia="zh-CN"/>
        </w:rPr>
        <w:t>。</w:t>
      </w:r>
    </w:p>
    <w:p w14:paraId="235F67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2893E5B9">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color w:val="auto"/>
          <w:sz w:val="24"/>
          <w:highlight w:val="none"/>
          <w:lang w:val="en-US" w:eastAsia="zh-CN"/>
        </w:rPr>
      </w:pPr>
      <w:bookmarkStart w:id="50" w:name="_Toc27519"/>
      <w:r>
        <w:rPr>
          <w:rFonts w:hint="eastAsia" w:ascii="宋体" w:hAnsi="宋体" w:eastAsia="宋体" w:cs="宋体"/>
          <w:color w:val="auto"/>
          <w:sz w:val="24"/>
          <w:highlight w:val="none"/>
          <w:lang w:val="en-US" w:eastAsia="zh-CN"/>
        </w:rPr>
        <w:t xml:space="preserve"> </w:t>
      </w:r>
    </w:p>
    <w:p w14:paraId="0A229A7F">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color w:val="auto"/>
          <w:sz w:val="28"/>
          <w:szCs w:val="28"/>
          <w:highlight w:val="none"/>
        </w:rPr>
      </w:pPr>
      <w:bookmarkStart w:id="51" w:name="_Toc13407"/>
      <w:r>
        <w:rPr>
          <w:rFonts w:hint="eastAsia" w:ascii="宋体" w:hAnsi="宋体" w:eastAsia="宋体" w:cs="宋体"/>
          <w:b/>
          <w:bCs/>
          <w:color w:val="auto"/>
          <w:sz w:val="28"/>
          <w:highlight w:val="none"/>
        </w:rPr>
        <w:t>四、投标文件的递交</w:t>
      </w:r>
      <w:bookmarkEnd w:id="50"/>
      <w:bookmarkEnd w:id="51"/>
    </w:p>
    <w:p w14:paraId="3545408C">
      <w:pPr>
        <w:numPr>
          <w:ilvl w:val="0"/>
          <w:numId w:val="0"/>
        </w:numPr>
        <w:spacing w:line="440" w:lineRule="exact"/>
        <w:jc w:val="both"/>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spacing w:line="440" w:lineRule="exact"/>
        <w:jc w:val="left"/>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spacing w:line="440" w:lineRule="exact"/>
        <w:jc w:val="left"/>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投标文件的提交</w:t>
      </w:r>
    </w:p>
    <w:p w14:paraId="7F8AEA8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8"/>
          <w:szCs w:val="28"/>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color w:val="auto"/>
          <w:highlight w:val="none"/>
        </w:rPr>
        <w:t>采用网上招投标的，在规定的投标截止时间前，投标人可以自行从网上招投标系统撤回已递交的投标文件，并可修改后重新上传，开标时以投标截止时间前投标人最终上传的投标文件为准</w:t>
      </w:r>
    </w:p>
    <w:p w14:paraId="71F4C495">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2" w:name="_Toc24005"/>
      <w:bookmarkStart w:id="53" w:name="_Toc18173"/>
    </w:p>
    <w:p w14:paraId="7500E7D0">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五、开标、评标和定标</w:t>
      </w:r>
      <w:bookmarkEnd w:id="52"/>
      <w:bookmarkEnd w:id="53"/>
    </w:p>
    <w:p w14:paraId="066918F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开标会议由采购代理机构主持。 </w:t>
      </w:r>
    </w:p>
    <w:p w14:paraId="04855B42">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（5）开标结束。 </w:t>
      </w:r>
    </w:p>
    <w:p w14:paraId="01DEFBCB">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多标包项目按照标段顺序按以上程序依次开标。 </w:t>
      </w:r>
    </w:p>
    <w:p w14:paraId="10B86A2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03615267">
      <w:pPr>
        <w:spacing w:line="440" w:lineRule="exact"/>
        <w:jc w:val="left"/>
        <w:rPr>
          <w:rFonts w:hint="eastAsia" w:ascii="宋体" w:hAnsi="宋体" w:cs="宋体"/>
          <w:color w:val="auto"/>
          <w:sz w:val="21"/>
          <w:szCs w:val="21"/>
          <w:highlight w:val="none"/>
          <w:lang w:val="en-US" w:eastAsia="zh-CN"/>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spacing w:line="440" w:lineRule="exact"/>
        <w:jc w:val="left"/>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spacing w:line="440" w:lineRule="exact"/>
        <w:ind w:firstLine="205" w:firstLineChars="98"/>
        <w:jc w:val="left"/>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spacing w:line="440" w:lineRule="exact"/>
        <w:jc w:val="left"/>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6CDAF2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0C36E7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 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p>
    <w:p w14:paraId="2A6BC2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（2）招标投标当事人对评标结果提出质疑或者投诉，公共资源交易监督机构认为需要重新进行评标的，评标委员会成员应当按照公共资源交易监督机构要求重新评标。</w:t>
      </w:r>
    </w:p>
    <w:p w14:paraId="630F0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spacing w:line="440" w:lineRule="exact"/>
        <w:ind w:firstLine="205" w:firstLineChars="98"/>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spacing w:line="440" w:lineRule="exact"/>
        <w:ind w:firstLine="422" w:firstLineChars="200"/>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招标人应将中标人的情况在滁州市城投工程咨询管理有限公司（https://www.czctgczx.com/）、滁州市重点工程建设管理处（http://zdc.chuzhou.gov.cn/）等网站上予以公告，公告期为3日</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3E76CB44">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634B4A8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1F099C5C">
      <w:pPr>
        <w:pStyle w:val="18"/>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滁州市城投工程咨询管理有限公司（https://www.czctgczx.com/）、滁州市重点工程建设管理处（http://zdc.chuzhou.gov.cn/）等</w:t>
      </w:r>
      <w:r>
        <w:rPr>
          <w:rFonts w:hint="eastAsia" w:ascii="宋体" w:hAnsi="宋体" w:eastAsia="宋体" w:cs="宋体"/>
          <w:color w:val="auto"/>
          <w:szCs w:val="21"/>
          <w:highlight w:val="none"/>
        </w:rPr>
        <w:t>网站上公告。</w:t>
      </w:r>
    </w:p>
    <w:p w14:paraId="002F8488">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166F485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785844F2">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重新招标后，投标截止时间结束后提交投标文件的投标人少于3家或者符合专业条件的投标人或对招标文件作出实质性响应的投标人不足3家的，招标人可采取竞争性谈判、单一来源采购方式进行项目发包。</w:t>
      </w:r>
    </w:p>
    <w:p w14:paraId="7295FCC4">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参加竞争性谈判、单一来源采购的投标人必须符合下列条件：①、投标资格符合招标文件要求；②、对招标文件作出实质性响应。 </w:t>
      </w:r>
    </w:p>
    <w:p w14:paraId="6CB16242">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4" w:name="_Toc22926"/>
      <w:bookmarkStart w:id="55" w:name="_Toc21491"/>
      <w:r>
        <w:rPr>
          <w:rFonts w:hint="eastAsia" w:ascii="宋体" w:hAnsi="宋体" w:eastAsia="宋体" w:cs="宋体"/>
          <w:b/>
          <w:bCs/>
          <w:color w:val="auto"/>
          <w:sz w:val="28"/>
          <w:highlight w:val="none"/>
        </w:rPr>
        <w:t>六、合同的授予</w:t>
      </w:r>
      <w:bookmarkEnd w:id="54"/>
      <w:bookmarkEnd w:id="55"/>
    </w:p>
    <w:p w14:paraId="2EDC141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56" w:name="_Toc31589_WPSOffice_Level1"/>
      <w:bookmarkStart w:id="57" w:name="_Toc3222"/>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p>
    <w:p w14:paraId="4D39E8B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adjustRightInd w:val="0"/>
        <w:snapToGrid w:val="0"/>
        <w:spacing w:line="440" w:lineRule="exact"/>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8" w:name="_Toc449028875"/>
      <w:r>
        <w:rPr>
          <w:rFonts w:hint="eastAsia" w:ascii="宋体" w:hAnsi="宋体" w:eastAsia="宋体" w:cs="宋体"/>
          <w:b/>
          <w:bCs/>
          <w:color w:val="auto"/>
          <w:sz w:val="28"/>
          <w:highlight w:val="none"/>
          <w:lang w:val="en-US" w:eastAsia="zh-CN"/>
        </w:rPr>
        <w:t>八、</w:t>
      </w:r>
      <w:r>
        <w:rPr>
          <w:rFonts w:hint="eastAsia" w:ascii="宋体" w:hAnsi="宋体" w:eastAsia="宋体" w:cs="宋体"/>
          <w:b/>
          <w:bCs/>
          <w:color w:val="auto"/>
          <w:sz w:val="28"/>
          <w:highlight w:val="none"/>
        </w:rPr>
        <w:t>质疑</w:t>
      </w:r>
      <w:bookmarkEnd w:id="58"/>
    </w:p>
    <w:p w14:paraId="1CD4C1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询问、质疑</w:t>
      </w:r>
    </w:p>
    <w:p w14:paraId="2E4B5FF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一份质疑（异议）函只能针对一个项目提出质疑（异议），且针对同一招标采购程序环节的质疑（异议）应当一次性提出</w:t>
      </w:r>
      <w:r>
        <w:rPr>
          <w:rFonts w:hint="eastAsia" w:ascii="宋体" w:hAnsi="宋体" w:eastAsia="宋体" w:cs="宋体"/>
          <w:b/>
          <w:bCs/>
          <w:color w:val="auto"/>
          <w:sz w:val="21"/>
          <w:szCs w:val="21"/>
          <w:highlight w:val="none"/>
          <w:lang w:eastAsia="zh-CN"/>
        </w:rPr>
        <w:t>。</w:t>
      </w:r>
    </w:p>
    <w:p w14:paraId="358F52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36.4参与投标的投标人对中标公告提出的质疑，负有举证的责任。投标人提出质疑应当提交质疑函和必要的证明材料。质疑函应当包括下列内容：</w:t>
      </w:r>
    </w:p>
    <w:p w14:paraId="1CBAEE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（一）投标人的姓名或者名称、地址、邮编、联系人及联系电话；</w:t>
      </w:r>
    </w:p>
    <w:p w14:paraId="776349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（二）质疑项目的名称、编号；</w:t>
      </w:r>
    </w:p>
    <w:p w14:paraId="2B5293B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（三）具体、明确的质疑事项和与质疑事项相关的请求；</w:t>
      </w:r>
    </w:p>
    <w:p w14:paraId="0CC942E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（四）事实依据；</w:t>
      </w:r>
    </w:p>
    <w:p w14:paraId="0F584D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（五）必要的法律依据；</w:t>
      </w:r>
    </w:p>
    <w:p w14:paraId="615070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（六）提出质疑的日期。</w:t>
      </w:r>
    </w:p>
    <w:p w14:paraId="07F11C0E">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投标人为自然人的，应当由本人签字；投标人为法人或者其他组织的，应当由法定代表人、主要负责人，或者其授权代表签字或者盖章，并加盖公章。</w:t>
      </w:r>
    </w:p>
    <w:p w14:paraId="26A452B3">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在收到投标人的质疑函后，将审查质疑函的格式、内容以及所附的证明文件是否符合要求。如不符合，说明原因退回投标人；如符合要求，则接受该质疑函并向投标人出具受理证明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36.6处理质疑的时间，从实际接受投标人质疑函的时间开始计算</w:t>
      </w:r>
      <w:r>
        <w:rPr>
          <w:rFonts w:hint="eastAsia" w:ascii="宋体" w:hAnsi="宋体" w:eastAsia="宋体" w:cs="宋体"/>
          <w:color w:val="auto"/>
          <w:kern w:val="10"/>
          <w:sz w:val="21"/>
          <w:szCs w:val="21"/>
          <w:highlight w:val="none"/>
        </w:rPr>
        <w:t>。</w:t>
      </w:r>
    </w:p>
    <w:p w14:paraId="32EDDA19">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59" w:name="_Toc13234"/>
      <w:r>
        <w:rPr>
          <w:rFonts w:hint="eastAsia" w:ascii="宋体" w:hAnsi="宋体" w:eastAsia="宋体" w:cs="宋体"/>
          <w:color w:val="auto"/>
          <w:highlight w:val="none"/>
          <w:lang w:val="en-US" w:eastAsia="zh-CN"/>
        </w:rPr>
        <w:t>第二章 评标办法</w:t>
      </w:r>
      <w:bookmarkEnd w:id="59"/>
    </w:p>
    <w:p w14:paraId="4E420EF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0" w:name="_Toc14912"/>
      <w:r>
        <w:rPr>
          <w:rFonts w:hint="eastAsia" w:ascii="宋体" w:hAnsi="宋体" w:eastAsia="宋体" w:cs="宋体"/>
          <w:b/>
          <w:bCs/>
          <w:color w:val="auto"/>
          <w:sz w:val="24"/>
          <w:szCs w:val="24"/>
          <w:highlight w:val="none"/>
          <w:lang w:val="en-US" w:eastAsia="zh-CN"/>
        </w:rPr>
        <w:t>一、总则</w:t>
      </w:r>
      <w:bookmarkEnd w:id="60"/>
    </w:p>
    <w:p w14:paraId="068C5033">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 本次评标采用综合评估法</w:t>
      </w:r>
    </w:p>
    <w:p w14:paraId="64AB08B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1.1综合评</w:t>
      </w:r>
      <w:r>
        <w:rPr>
          <w:rFonts w:hint="eastAsia" w:ascii="宋体" w:hAnsi="宋体" w:cs="宋体"/>
          <w:color w:val="auto"/>
          <w:sz w:val="21"/>
          <w:szCs w:val="21"/>
          <w:highlight w:val="none"/>
          <w:lang w:val="en-US" w:eastAsia="zh-CN"/>
        </w:rPr>
        <w:t>估</w:t>
      </w:r>
      <w:r>
        <w:rPr>
          <w:rFonts w:hint="eastAsia" w:ascii="宋体" w:hAnsi="宋体" w:eastAsia="宋体" w:cs="宋体"/>
          <w:color w:val="auto"/>
          <w:sz w:val="21"/>
          <w:szCs w:val="21"/>
          <w:highlight w:val="none"/>
          <w:lang w:val="en-US" w:eastAsia="zh-CN"/>
        </w:rPr>
        <w:t>法，评标委员会对满足招标文件实质性要求的投标文件，按照本章规定的评分标准进行打分，</w:t>
      </w:r>
      <w:r>
        <w:rPr>
          <w:rFonts w:hint="eastAsia" w:ascii="宋体" w:hAnsi="宋体" w:cs="宋体"/>
          <w:b/>
          <w:bCs/>
          <w:color w:val="auto"/>
          <w:szCs w:val="21"/>
          <w:highlight w:val="none"/>
        </w:rPr>
        <w:t>并按总得分由高到低顺序推荐</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名中标候选人，并标明排序</w:t>
      </w:r>
      <w:r>
        <w:rPr>
          <w:rFonts w:hint="eastAsia" w:ascii="宋体" w:hAnsi="宋体" w:eastAsia="宋体" w:cs="宋体"/>
          <w:color w:val="auto"/>
          <w:sz w:val="21"/>
          <w:szCs w:val="21"/>
          <w:highlight w:val="none"/>
          <w:lang w:val="en-US" w:eastAsia="zh-CN"/>
        </w:rPr>
        <w:t>。得分最高的为第一中标候选人，第二高的为第二中标候选人。</w:t>
      </w:r>
      <w:r>
        <w:rPr>
          <w:rFonts w:hint="eastAsia" w:ascii="宋体" w:hAnsi="宋体" w:eastAsia="宋体" w:cs="宋体"/>
          <w:b/>
          <w:bCs/>
          <w:color w:val="auto"/>
          <w:sz w:val="21"/>
          <w:szCs w:val="21"/>
          <w:highlight w:val="none"/>
        </w:rPr>
        <w:t>如总得分相等，以投标报价低的优先，投标报价仍相等，由评标委员会或招标人随机抽取确定排名，不得并列</w:t>
      </w:r>
      <w:r>
        <w:rPr>
          <w:rFonts w:hint="eastAsia" w:ascii="宋体" w:hAnsi="宋体" w:eastAsia="宋体" w:cs="宋体"/>
          <w:color w:val="auto"/>
          <w:sz w:val="21"/>
          <w:szCs w:val="21"/>
          <w:highlight w:val="none"/>
        </w:rPr>
        <w:t>。</w:t>
      </w:r>
    </w:p>
    <w:p w14:paraId="403526C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2．评标程序</w:t>
      </w:r>
    </w:p>
    <w:p w14:paraId="59C70429">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按计算标准计算得分，得分按照从高到低进行排序（如总得分相等，以投标报价低的优先，投标报价仍相等，由招标人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文件评审不通过，则按得分排序递补至</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591D37D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2.1投标文件的初审</w:t>
      </w:r>
    </w:p>
    <w:p w14:paraId="29ADB9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0B195F5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2.1.2符合性检查。依据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p w14:paraId="7593A8C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2.2投标文件的澄清</w:t>
      </w:r>
    </w:p>
    <w:p w14:paraId="11B3623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14:paraId="0684D5D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1C9C5EA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招标人不接受投标单位主动提出的澄清。</w:t>
      </w:r>
    </w:p>
    <w:p w14:paraId="34335270">
      <w:pPr>
        <w:jc w:val="center"/>
        <w:outlineLvl w:val="1"/>
        <w:rPr>
          <w:rFonts w:hint="eastAsia" w:ascii="宋体"/>
          <w:b/>
          <w:color w:val="auto"/>
          <w:sz w:val="28"/>
          <w:szCs w:val="28"/>
          <w:highlight w:val="none"/>
        </w:rPr>
      </w:pPr>
      <w:bookmarkStart w:id="61" w:name="_Toc58430318"/>
      <w:bookmarkStart w:id="62" w:name="_Toc449028878"/>
      <w:bookmarkStart w:id="63" w:name="_Toc29779"/>
      <w:r>
        <w:rPr>
          <w:rFonts w:hint="eastAsia" w:ascii="宋体"/>
          <w:b/>
          <w:color w:val="auto"/>
          <w:sz w:val="28"/>
          <w:szCs w:val="28"/>
          <w:highlight w:val="none"/>
        </w:rPr>
        <w:t>二、投标文件初审</w:t>
      </w:r>
      <w:bookmarkEnd w:id="61"/>
      <w:bookmarkEnd w:id="62"/>
    </w:p>
    <w:p w14:paraId="60FE3D0D">
      <w:pPr>
        <w:ind w:firstLine="310" w:firstLineChars="147"/>
        <w:rPr>
          <w:rFonts w:hint="eastAsia" w:ascii="宋体"/>
          <w:b/>
          <w:color w:val="auto"/>
          <w:szCs w:val="21"/>
          <w:highlight w:val="none"/>
        </w:rPr>
      </w:pPr>
      <w:r>
        <w:rPr>
          <w:rFonts w:hint="eastAsia" w:ascii="宋体"/>
          <w:b/>
          <w:color w:val="auto"/>
          <w:szCs w:val="21"/>
          <w:highlight w:val="none"/>
        </w:rPr>
        <w:t>3.资格性审查:</w:t>
      </w:r>
    </w:p>
    <w:p w14:paraId="31119948">
      <w:pPr>
        <w:spacing w:line="400" w:lineRule="exact"/>
        <w:ind w:firstLine="308" w:firstLineChars="147"/>
        <w:rPr>
          <w:rFonts w:hint="eastAsia"/>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45"/>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5296"/>
        <w:gridCol w:w="2326"/>
      </w:tblGrid>
      <w:tr w14:paraId="169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CC68F38">
            <w:pPr>
              <w:spacing w:line="320" w:lineRule="exact"/>
              <w:jc w:val="center"/>
              <w:rPr>
                <w:rFonts w:hint="eastAsia"/>
                <w:color w:val="auto"/>
                <w:highlight w:val="none"/>
              </w:rPr>
            </w:pPr>
            <w:r>
              <w:rPr>
                <w:rFonts w:hint="eastAsia" w:ascii="黑体" w:eastAsia="黑体" w:cs="黑体"/>
                <w:b/>
                <w:bCs/>
                <w:color w:val="auto"/>
                <w:szCs w:val="21"/>
                <w:highlight w:val="none"/>
              </w:rPr>
              <w:t>序号</w:t>
            </w:r>
          </w:p>
        </w:tc>
        <w:tc>
          <w:tcPr>
            <w:tcW w:w="6531" w:type="dxa"/>
            <w:gridSpan w:val="2"/>
            <w:noWrap w:val="0"/>
            <w:vAlign w:val="center"/>
          </w:tcPr>
          <w:p w14:paraId="7F5E48E7">
            <w:pPr>
              <w:spacing w:line="320" w:lineRule="exact"/>
              <w:jc w:val="center"/>
              <w:rPr>
                <w:rFonts w:hint="eastAsia"/>
                <w:color w:val="auto"/>
                <w:highlight w:val="none"/>
              </w:rPr>
            </w:pPr>
            <w:r>
              <w:rPr>
                <w:rFonts w:hint="eastAsia" w:ascii="宋体" w:hAnsi="宋体"/>
                <w:color w:val="auto"/>
                <w:szCs w:val="21"/>
                <w:highlight w:val="none"/>
              </w:rPr>
              <w:t>评审因素</w:t>
            </w:r>
          </w:p>
        </w:tc>
        <w:tc>
          <w:tcPr>
            <w:tcW w:w="2326" w:type="dxa"/>
            <w:noWrap w:val="0"/>
            <w:vAlign w:val="center"/>
          </w:tcPr>
          <w:p w14:paraId="52F81DF4">
            <w:pPr>
              <w:spacing w:line="320" w:lineRule="exact"/>
              <w:jc w:val="center"/>
              <w:rPr>
                <w:rFonts w:hint="eastAsia"/>
                <w:color w:val="auto"/>
                <w:highlight w:val="none"/>
              </w:rPr>
            </w:pPr>
            <w:r>
              <w:rPr>
                <w:rFonts w:hint="eastAsia" w:ascii="宋体" w:hAnsi="宋体"/>
                <w:color w:val="auto"/>
                <w:szCs w:val="21"/>
                <w:highlight w:val="none"/>
              </w:rPr>
              <w:t>评审标准</w:t>
            </w:r>
          </w:p>
        </w:tc>
      </w:tr>
      <w:tr w14:paraId="5D7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0B9A4B5D">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3034F54A">
            <w:pPr>
              <w:spacing w:line="32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5296" w:type="dxa"/>
            <w:noWrap w:val="0"/>
            <w:vAlign w:val="center"/>
          </w:tcPr>
          <w:p w14:paraId="79A38230">
            <w:pPr>
              <w:spacing w:line="320" w:lineRule="exact"/>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2326" w:type="dxa"/>
            <w:noWrap w:val="0"/>
            <w:vAlign w:val="center"/>
          </w:tcPr>
          <w:p w14:paraId="27142348">
            <w:pPr>
              <w:spacing w:line="320" w:lineRule="exact"/>
              <w:jc w:val="left"/>
              <w:rPr>
                <w:rFonts w:hint="eastAsia" w:ascii="宋体" w:hAnsi="宋体"/>
                <w:color w:val="auto"/>
                <w:szCs w:val="21"/>
                <w:highlight w:val="none"/>
              </w:rPr>
            </w:pPr>
            <w:r>
              <w:rPr>
                <w:rFonts w:hint="eastAsia"/>
                <w:color w:val="auto"/>
                <w:highlight w:val="none"/>
              </w:rPr>
              <w:t>检验电子标书。</w:t>
            </w:r>
          </w:p>
        </w:tc>
      </w:tr>
      <w:tr w14:paraId="206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399706DB">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5C913C04">
            <w:pPr>
              <w:spacing w:line="320" w:lineRule="exact"/>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5296" w:type="dxa"/>
            <w:noWrap w:val="0"/>
            <w:vAlign w:val="center"/>
          </w:tcPr>
          <w:p w14:paraId="3C024E83">
            <w:pPr>
              <w:spacing w:line="320" w:lineRule="exac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）具有为本项目提供相应服务的能力</w:t>
            </w:r>
          </w:p>
        </w:tc>
        <w:tc>
          <w:tcPr>
            <w:tcW w:w="2326" w:type="dxa"/>
            <w:noWrap w:val="0"/>
            <w:vAlign w:val="center"/>
          </w:tcPr>
          <w:p w14:paraId="607FD99B">
            <w:pPr>
              <w:spacing w:line="320" w:lineRule="exact"/>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734641F7">
            <w:pPr>
              <w:spacing w:line="320" w:lineRule="exact"/>
              <w:rPr>
                <w:rFonts w:hint="eastAsia" w:ascii="宋体"/>
                <w:color w:val="auto"/>
                <w:szCs w:val="21"/>
                <w:highlight w:val="none"/>
              </w:rPr>
            </w:pPr>
            <w:r>
              <w:rPr>
                <w:rFonts w:hint="eastAsia"/>
                <w:color w:val="auto"/>
                <w:highlight w:val="none"/>
              </w:rPr>
              <w:t>投标人有效的营业执照、税务登记证、组</w:t>
            </w:r>
            <w:r>
              <w:rPr>
                <w:rFonts w:hint="eastAsia" w:ascii="Times New Roman" w:hAnsi="Times New Roman" w:eastAsia="宋体" w:cs="Times New Roman"/>
                <w:color w:val="auto"/>
                <w:highlight w:val="none"/>
              </w:rPr>
              <w:t>织机构码证（或“三证合一证书”）</w:t>
            </w:r>
          </w:p>
        </w:tc>
      </w:tr>
      <w:tr w14:paraId="7F07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1878E8D">
            <w:pPr>
              <w:spacing w:line="320" w:lineRule="exact"/>
              <w:jc w:val="center"/>
              <w:rPr>
                <w:rFonts w:hint="eastAsia" w:ascii="宋体" w:hAnsi="宋体"/>
                <w:color w:val="auto"/>
                <w:szCs w:val="21"/>
                <w:highlight w:val="none"/>
              </w:rPr>
            </w:pPr>
          </w:p>
        </w:tc>
        <w:tc>
          <w:tcPr>
            <w:tcW w:w="1235" w:type="dxa"/>
            <w:vMerge w:val="continue"/>
            <w:noWrap w:val="0"/>
            <w:vAlign w:val="center"/>
          </w:tcPr>
          <w:p w14:paraId="7227E239">
            <w:pPr>
              <w:spacing w:line="320" w:lineRule="exact"/>
              <w:rPr>
                <w:rFonts w:hint="eastAsia" w:ascii="宋体" w:hAnsi="宋体"/>
                <w:color w:val="auto"/>
                <w:szCs w:val="21"/>
                <w:highlight w:val="none"/>
              </w:rPr>
            </w:pPr>
          </w:p>
        </w:tc>
        <w:tc>
          <w:tcPr>
            <w:tcW w:w="5296" w:type="dxa"/>
            <w:noWrap w:val="0"/>
            <w:vAlign w:val="center"/>
          </w:tcPr>
          <w:p w14:paraId="45201212">
            <w:pPr>
              <w:spacing w:line="360" w:lineRule="exact"/>
              <w:jc w:val="both"/>
              <w:rPr>
                <w:rFonts w:hint="eastAsia" w:ascii="宋体" w:hAnsi="宋体" w:cs="宋体"/>
                <w:b/>
                <w:color w:val="auto"/>
                <w:szCs w:val="21"/>
                <w:highlight w:val="none"/>
              </w:rPr>
            </w:pPr>
            <w:r>
              <w:rPr>
                <w:rFonts w:hint="eastAsia"/>
                <w:color w:val="auto"/>
                <w:highlight w:val="none"/>
              </w:rPr>
              <w:t>（3）</w:t>
            </w:r>
            <w:r>
              <w:rPr>
                <w:rFonts w:hint="eastAsia" w:ascii="宋体" w:hAnsi="宋体" w:cs="宋体"/>
                <w:color w:val="auto"/>
                <w:sz w:val="21"/>
                <w:szCs w:val="21"/>
                <w:highlight w:val="none"/>
                <w:lang w:val="en-US" w:eastAsia="zh-CN"/>
              </w:rPr>
              <w:t>项目人员配备表</w:t>
            </w:r>
          </w:p>
        </w:tc>
        <w:tc>
          <w:tcPr>
            <w:tcW w:w="2326" w:type="dxa"/>
            <w:noWrap w:val="0"/>
            <w:vAlign w:val="center"/>
          </w:tcPr>
          <w:p w14:paraId="2E0E8AE1">
            <w:pPr>
              <w:spacing w:line="360" w:lineRule="exact"/>
              <w:jc w:val="both"/>
              <w:rPr>
                <w:rFonts w:hint="eastAsia" w:ascii="宋体"/>
                <w:b/>
                <w:color w:val="auto"/>
                <w:szCs w:val="21"/>
                <w:highlight w:val="none"/>
              </w:rPr>
            </w:pPr>
            <w:r>
              <w:rPr>
                <w:rFonts w:hint="eastAsia"/>
                <w:color w:val="auto"/>
                <w:highlight w:val="none"/>
              </w:rPr>
              <w:t>格式见附件，检验电子标书</w:t>
            </w:r>
          </w:p>
        </w:tc>
      </w:tr>
      <w:tr w14:paraId="5B8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DD7B0EC">
            <w:pPr>
              <w:spacing w:line="320" w:lineRule="exact"/>
              <w:jc w:val="center"/>
              <w:rPr>
                <w:rFonts w:hint="eastAsia" w:ascii="宋体" w:hAnsi="宋体"/>
                <w:color w:val="auto"/>
                <w:szCs w:val="21"/>
                <w:highlight w:val="none"/>
              </w:rPr>
            </w:pPr>
          </w:p>
        </w:tc>
        <w:tc>
          <w:tcPr>
            <w:tcW w:w="1235" w:type="dxa"/>
            <w:vMerge w:val="continue"/>
            <w:noWrap w:val="0"/>
            <w:vAlign w:val="center"/>
          </w:tcPr>
          <w:p w14:paraId="2744FACC">
            <w:pPr>
              <w:spacing w:line="320" w:lineRule="exact"/>
              <w:rPr>
                <w:rFonts w:hint="eastAsia" w:ascii="宋体" w:hAnsi="宋体"/>
                <w:color w:val="auto"/>
                <w:szCs w:val="21"/>
                <w:highlight w:val="none"/>
              </w:rPr>
            </w:pPr>
          </w:p>
        </w:tc>
        <w:tc>
          <w:tcPr>
            <w:tcW w:w="5296" w:type="dxa"/>
            <w:noWrap w:val="0"/>
            <w:vAlign w:val="center"/>
          </w:tcPr>
          <w:p w14:paraId="69BC9D2B">
            <w:pPr>
              <w:spacing w:line="360" w:lineRule="exact"/>
              <w:jc w:val="both"/>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p>
        </w:tc>
        <w:tc>
          <w:tcPr>
            <w:tcW w:w="2326" w:type="dxa"/>
            <w:noWrap w:val="0"/>
            <w:vAlign w:val="center"/>
          </w:tcPr>
          <w:p w14:paraId="68DD7B74">
            <w:pPr>
              <w:spacing w:line="360" w:lineRule="exact"/>
              <w:jc w:val="both"/>
              <w:rPr>
                <w:rFonts w:hint="eastAsia"/>
                <w:color w:val="auto"/>
                <w:highlight w:val="none"/>
              </w:rPr>
            </w:pPr>
            <w:r>
              <w:rPr>
                <w:rFonts w:hint="eastAsia"/>
                <w:color w:val="auto"/>
                <w:highlight w:val="none"/>
              </w:rPr>
              <w:t>检验电子标书</w:t>
            </w:r>
          </w:p>
        </w:tc>
      </w:tr>
      <w:tr w14:paraId="4FB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546C486">
            <w:pPr>
              <w:spacing w:line="320" w:lineRule="exact"/>
              <w:jc w:val="center"/>
              <w:rPr>
                <w:rFonts w:hint="eastAsia" w:ascii="宋体" w:hAnsi="宋体"/>
                <w:color w:val="auto"/>
                <w:szCs w:val="21"/>
                <w:highlight w:val="none"/>
              </w:rPr>
            </w:pPr>
          </w:p>
        </w:tc>
        <w:tc>
          <w:tcPr>
            <w:tcW w:w="1235" w:type="dxa"/>
            <w:vMerge w:val="continue"/>
            <w:noWrap w:val="0"/>
            <w:vAlign w:val="center"/>
          </w:tcPr>
          <w:p w14:paraId="7B141123">
            <w:pPr>
              <w:spacing w:line="320" w:lineRule="exact"/>
              <w:rPr>
                <w:rFonts w:hint="eastAsia" w:ascii="宋体" w:hAnsi="宋体"/>
                <w:color w:val="auto"/>
                <w:szCs w:val="21"/>
                <w:highlight w:val="none"/>
              </w:rPr>
            </w:pPr>
          </w:p>
        </w:tc>
        <w:tc>
          <w:tcPr>
            <w:tcW w:w="5296" w:type="dxa"/>
            <w:noWrap w:val="0"/>
            <w:vAlign w:val="center"/>
          </w:tcPr>
          <w:p w14:paraId="6F4CA723">
            <w:pPr>
              <w:spacing w:line="360" w:lineRule="exact"/>
              <w:jc w:val="both"/>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不含项目负责人）要求：不少于2名且具有在本单位注册的二级及以上造价工程师注册证书（土木建筑工程专业至少1名、安装工程专业至少1名）（若注册证书上无法体现专业的，还需另行提供证明专业的证明材料）</w:t>
            </w:r>
          </w:p>
        </w:tc>
        <w:tc>
          <w:tcPr>
            <w:tcW w:w="2326" w:type="dxa"/>
            <w:noWrap w:val="0"/>
            <w:vAlign w:val="center"/>
          </w:tcPr>
          <w:p w14:paraId="551EAE52">
            <w:pPr>
              <w:spacing w:line="360" w:lineRule="exact"/>
              <w:jc w:val="both"/>
              <w:rPr>
                <w:rFonts w:hint="eastAsia"/>
                <w:color w:val="auto"/>
                <w:highlight w:val="none"/>
              </w:rPr>
            </w:pPr>
            <w:r>
              <w:rPr>
                <w:rFonts w:hint="eastAsia"/>
                <w:color w:val="auto"/>
                <w:highlight w:val="none"/>
              </w:rPr>
              <w:t>检验电子标书</w:t>
            </w:r>
          </w:p>
        </w:tc>
      </w:tr>
      <w:tr w14:paraId="386B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62FBCB7F">
            <w:pPr>
              <w:spacing w:line="320" w:lineRule="exact"/>
              <w:jc w:val="center"/>
              <w:rPr>
                <w:rFonts w:hint="eastAsia" w:ascii="宋体" w:hAnsi="宋体"/>
                <w:color w:val="auto"/>
                <w:szCs w:val="21"/>
                <w:highlight w:val="none"/>
              </w:rPr>
            </w:pPr>
          </w:p>
        </w:tc>
        <w:tc>
          <w:tcPr>
            <w:tcW w:w="1235" w:type="dxa"/>
            <w:vMerge w:val="continue"/>
            <w:noWrap w:val="0"/>
            <w:vAlign w:val="center"/>
          </w:tcPr>
          <w:p w14:paraId="1B267B9A">
            <w:pPr>
              <w:spacing w:line="320" w:lineRule="exact"/>
              <w:rPr>
                <w:rFonts w:hint="eastAsia" w:ascii="宋体" w:hAnsi="宋体"/>
                <w:color w:val="auto"/>
                <w:szCs w:val="21"/>
                <w:highlight w:val="none"/>
              </w:rPr>
            </w:pPr>
          </w:p>
        </w:tc>
        <w:tc>
          <w:tcPr>
            <w:tcW w:w="5296" w:type="dxa"/>
            <w:noWrap w:val="0"/>
            <w:vAlign w:val="center"/>
          </w:tcPr>
          <w:p w14:paraId="05277027">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（6）承诺书1：投标人对所提供的上述材料作出承诺，若投标人存在弄虚作假，提供虚假资料的，若中标，则取消中标资格</w:t>
            </w:r>
          </w:p>
        </w:tc>
        <w:tc>
          <w:tcPr>
            <w:tcW w:w="2326" w:type="dxa"/>
            <w:noWrap w:val="0"/>
            <w:vAlign w:val="center"/>
          </w:tcPr>
          <w:p w14:paraId="7662CE20">
            <w:pPr>
              <w:spacing w:line="360" w:lineRule="exact"/>
              <w:jc w:val="both"/>
              <w:rPr>
                <w:rFonts w:hint="eastAsia"/>
                <w:color w:val="auto"/>
                <w:highlight w:val="none"/>
              </w:rPr>
            </w:pPr>
            <w:r>
              <w:rPr>
                <w:rFonts w:hint="eastAsia"/>
                <w:color w:val="auto"/>
                <w:highlight w:val="none"/>
              </w:rPr>
              <w:t>检验电子标书</w:t>
            </w:r>
          </w:p>
        </w:tc>
      </w:tr>
      <w:tr w14:paraId="5EF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13D42F0B">
            <w:pPr>
              <w:spacing w:line="320" w:lineRule="exact"/>
              <w:jc w:val="center"/>
              <w:rPr>
                <w:rFonts w:hint="eastAsia" w:ascii="宋体" w:hAnsi="宋体"/>
                <w:color w:val="auto"/>
                <w:szCs w:val="21"/>
                <w:highlight w:val="none"/>
              </w:rPr>
            </w:pPr>
          </w:p>
        </w:tc>
        <w:tc>
          <w:tcPr>
            <w:tcW w:w="1235" w:type="dxa"/>
            <w:vMerge w:val="continue"/>
            <w:noWrap w:val="0"/>
            <w:vAlign w:val="center"/>
          </w:tcPr>
          <w:p w14:paraId="63886723">
            <w:pPr>
              <w:spacing w:line="320" w:lineRule="exact"/>
              <w:rPr>
                <w:rFonts w:hint="eastAsia" w:ascii="宋体" w:hAnsi="宋体"/>
                <w:color w:val="auto"/>
                <w:szCs w:val="21"/>
                <w:highlight w:val="none"/>
              </w:rPr>
            </w:pPr>
          </w:p>
        </w:tc>
        <w:tc>
          <w:tcPr>
            <w:tcW w:w="5296" w:type="dxa"/>
            <w:noWrap w:val="0"/>
            <w:vAlign w:val="center"/>
          </w:tcPr>
          <w:p w14:paraId="2A2A922E">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w:t>
            </w:r>
          </w:p>
        </w:tc>
        <w:tc>
          <w:tcPr>
            <w:tcW w:w="2326" w:type="dxa"/>
            <w:noWrap w:val="0"/>
            <w:vAlign w:val="center"/>
          </w:tcPr>
          <w:p w14:paraId="48FC5614">
            <w:pPr>
              <w:spacing w:line="360" w:lineRule="exact"/>
              <w:jc w:val="both"/>
              <w:rPr>
                <w:rFonts w:hint="eastAsia"/>
                <w:color w:val="auto"/>
                <w:highlight w:val="none"/>
              </w:rPr>
            </w:pPr>
            <w:r>
              <w:rPr>
                <w:rFonts w:hint="eastAsia"/>
                <w:color w:val="auto"/>
                <w:highlight w:val="none"/>
              </w:rPr>
              <w:t>检验电子标书</w:t>
            </w:r>
          </w:p>
        </w:tc>
      </w:tr>
      <w:tr w14:paraId="708A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05D7143">
            <w:pPr>
              <w:spacing w:line="320" w:lineRule="exact"/>
              <w:jc w:val="center"/>
              <w:rPr>
                <w:rFonts w:hint="eastAsia" w:ascii="宋体" w:hAnsi="宋体"/>
                <w:color w:val="auto"/>
                <w:szCs w:val="21"/>
                <w:highlight w:val="none"/>
              </w:rPr>
            </w:pPr>
          </w:p>
        </w:tc>
        <w:tc>
          <w:tcPr>
            <w:tcW w:w="1235" w:type="dxa"/>
            <w:vMerge w:val="continue"/>
            <w:noWrap w:val="0"/>
            <w:vAlign w:val="center"/>
          </w:tcPr>
          <w:p w14:paraId="28996A16">
            <w:pPr>
              <w:spacing w:line="320" w:lineRule="exact"/>
              <w:rPr>
                <w:rFonts w:hint="eastAsia" w:ascii="宋体" w:hAnsi="宋体"/>
                <w:color w:val="auto"/>
                <w:szCs w:val="21"/>
                <w:highlight w:val="none"/>
              </w:rPr>
            </w:pPr>
          </w:p>
        </w:tc>
        <w:tc>
          <w:tcPr>
            <w:tcW w:w="5296" w:type="dxa"/>
            <w:noWrap w:val="0"/>
            <w:vAlign w:val="center"/>
          </w:tcPr>
          <w:p w14:paraId="2BA92C2C">
            <w:pPr>
              <w:spacing w:line="360" w:lineRule="exact"/>
              <w:jc w:val="both"/>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w:t>
            </w:r>
          </w:p>
        </w:tc>
        <w:tc>
          <w:tcPr>
            <w:tcW w:w="2326" w:type="dxa"/>
            <w:noWrap w:val="0"/>
            <w:vAlign w:val="center"/>
          </w:tcPr>
          <w:p w14:paraId="4606370E">
            <w:pPr>
              <w:spacing w:line="360" w:lineRule="exact"/>
              <w:jc w:val="both"/>
              <w:rPr>
                <w:rFonts w:hint="eastAsia"/>
                <w:color w:val="auto"/>
                <w:highlight w:val="none"/>
              </w:rPr>
            </w:pPr>
            <w:r>
              <w:rPr>
                <w:rFonts w:hint="eastAsia"/>
                <w:color w:val="auto"/>
                <w:highlight w:val="none"/>
              </w:rPr>
              <w:t>检验电子标书</w:t>
            </w:r>
          </w:p>
        </w:tc>
      </w:tr>
      <w:tr w14:paraId="646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vMerge w:val="continue"/>
            <w:noWrap w:val="0"/>
            <w:vAlign w:val="center"/>
          </w:tcPr>
          <w:p w14:paraId="1E9B2A14">
            <w:pPr>
              <w:spacing w:line="320" w:lineRule="exact"/>
              <w:jc w:val="center"/>
              <w:rPr>
                <w:rFonts w:hint="eastAsia" w:ascii="宋体" w:hAnsi="宋体"/>
                <w:color w:val="auto"/>
                <w:szCs w:val="21"/>
                <w:highlight w:val="none"/>
              </w:rPr>
            </w:pPr>
          </w:p>
        </w:tc>
        <w:tc>
          <w:tcPr>
            <w:tcW w:w="1235" w:type="dxa"/>
            <w:vMerge w:val="continue"/>
            <w:noWrap w:val="0"/>
            <w:vAlign w:val="center"/>
          </w:tcPr>
          <w:p w14:paraId="2546461F">
            <w:pPr>
              <w:spacing w:line="320" w:lineRule="exact"/>
              <w:rPr>
                <w:rFonts w:hint="eastAsia" w:ascii="宋体" w:hAnsi="宋体"/>
                <w:color w:val="auto"/>
                <w:szCs w:val="21"/>
                <w:highlight w:val="none"/>
              </w:rPr>
            </w:pPr>
          </w:p>
        </w:tc>
        <w:tc>
          <w:tcPr>
            <w:tcW w:w="5296" w:type="dxa"/>
            <w:noWrap w:val="0"/>
            <w:vAlign w:val="center"/>
          </w:tcPr>
          <w:p w14:paraId="202375EC">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（9）投标函</w:t>
            </w:r>
          </w:p>
        </w:tc>
        <w:tc>
          <w:tcPr>
            <w:tcW w:w="2326" w:type="dxa"/>
            <w:noWrap w:val="0"/>
            <w:vAlign w:val="center"/>
          </w:tcPr>
          <w:p w14:paraId="3BC905C0">
            <w:pPr>
              <w:spacing w:line="360" w:lineRule="exact"/>
              <w:jc w:val="both"/>
              <w:rPr>
                <w:rFonts w:hint="eastAsia"/>
                <w:color w:val="auto"/>
                <w:highlight w:val="none"/>
              </w:rPr>
            </w:pPr>
            <w:r>
              <w:rPr>
                <w:rFonts w:hint="eastAsia"/>
                <w:color w:val="auto"/>
                <w:highlight w:val="none"/>
              </w:rPr>
              <w:t>格式见附件，检验电子标书</w:t>
            </w:r>
          </w:p>
        </w:tc>
      </w:tr>
    </w:tbl>
    <w:p w14:paraId="6C89B1B9">
      <w:pPr>
        <w:spacing w:line="400" w:lineRule="exact"/>
        <w:rPr>
          <w:rFonts w:hint="eastAsia" w:ascii="宋体" w:hAnsi="宋体"/>
          <w:b/>
          <w:color w:val="auto"/>
          <w:szCs w:val="21"/>
          <w:highlight w:val="none"/>
        </w:rPr>
      </w:pPr>
      <w:r>
        <w:rPr>
          <w:rFonts w:hint="eastAsia" w:ascii="宋体"/>
          <w:b/>
          <w:color w:val="auto"/>
          <w:szCs w:val="21"/>
          <w:highlight w:val="none"/>
          <w:lang w:val="en-US" w:eastAsia="zh-CN"/>
        </w:rPr>
        <w:t xml:space="preserve">3.2 </w:t>
      </w:r>
      <w:r>
        <w:rPr>
          <w:rFonts w:hint="eastAsia" w:ascii="宋体" w:hAnsi="宋体"/>
          <w:b/>
          <w:color w:val="auto"/>
          <w:szCs w:val="21"/>
          <w:highlight w:val="none"/>
        </w:rPr>
        <w:t>如评标专家在检验电子投标文件过程中，如果由于投标人自身原因导致评标专家无法查看并检验电子投标文件中相关资料的，否决其投标。即使投标人将原件携带至现场的，同样按否决投标处理。</w:t>
      </w:r>
    </w:p>
    <w:p w14:paraId="5DB09720">
      <w:pPr>
        <w:spacing w:line="440" w:lineRule="exact"/>
        <w:rPr>
          <w:rFonts w:hint="eastAsia" w:asci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招标文件中资格审查及评标细则中涉及到的投标人需要提供企业的相关证书扫描件，如企业的资格证书、营业执照（或三证合一的有效证件）等可以提供公证件扫描件，公证件扫描件的效力等同于原件扫描件。交易活动资格审查和评标环节中，凡是要求提供相关证书或证明原件扫描件的，投标企业均可以提供带官方二维码的相关证书（证明）复印件扫描件替代原件扫描件，但投标企业自行承担复印件扫描件二维码不清晰，无法扫描，可能导致资格审查不通过的后果</w:t>
      </w:r>
      <w:r>
        <w:rPr>
          <w:rFonts w:hint="eastAsia" w:ascii="宋体"/>
          <w:b/>
          <w:color w:val="auto"/>
          <w:szCs w:val="21"/>
          <w:highlight w:val="none"/>
          <w:lang w:val="en-US" w:eastAsia="zh-CN"/>
        </w:rPr>
        <w:t xml:space="preserve">。 </w:t>
      </w:r>
    </w:p>
    <w:p w14:paraId="3E11B30C">
      <w:pPr>
        <w:spacing w:line="440" w:lineRule="exact"/>
        <w:ind w:firstLine="310" w:firstLineChars="147"/>
        <w:rPr>
          <w:rFonts w:hint="eastAsia" w:ascii="宋体"/>
          <w:b/>
          <w:color w:val="auto"/>
          <w:szCs w:val="21"/>
          <w:highlight w:val="none"/>
        </w:rPr>
      </w:pPr>
      <w:r>
        <w:rPr>
          <w:rFonts w:hint="eastAsia" w:ascii="宋体"/>
          <w:b/>
          <w:color w:val="auto"/>
          <w:szCs w:val="21"/>
          <w:highlight w:val="none"/>
        </w:rPr>
        <w:t>4.符合性审查</w:t>
      </w:r>
    </w:p>
    <w:p w14:paraId="52B4741C">
      <w:pPr>
        <w:spacing w:line="440" w:lineRule="exact"/>
        <w:ind w:firstLine="315" w:firstLineChars="150"/>
        <w:rPr>
          <w:rFonts w:hint="eastAsia" w:ascii="宋体"/>
          <w:color w:val="auto"/>
          <w:szCs w:val="21"/>
          <w:highlight w:val="none"/>
        </w:rPr>
      </w:pPr>
      <w:r>
        <w:rPr>
          <w:rFonts w:hint="eastAsia" w:ascii="宋体"/>
          <w:color w:val="auto"/>
          <w:szCs w:val="21"/>
          <w:highlight w:val="none"/>
        </w:rPr>
        <w:t>4．1评审细则</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21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4B6CA4D">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noWrap w:val="0"/>
            <w:vAlign w:val="center"/>
          </w:tcPr>
          <w:p w14:paraId="39163DAC">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173" w:type="dxa"/>
            <w:noWrap w:val="0"/>
            <w:vAlign w:val="center"/>
          </w:tcPr>
          <w:p w14:paraId="40130CA8">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6972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0"/>
            <w:vAlign w:val="center"/>
          </w:tcPr>
          <w:p w14:paraId="5E30E1AC">
            <w:pPr>
              <w:spacing w:line="320" w:lineRule="atLeast"/>
              <w:jc w:val="center"/>
              <w:rPr>
                <w:rFonts w:hint="eastAsia" w:ascii="宋体"/>
                <w:color w:val="auto"/>
                <w:szCs w:val="21"/>
                <w:highlight w:val="none"/>
              </w:rPr>
            </w:pPr>
            <w:r>
              <w:rPr>
                <w:rFonts w:hint="eastAsia" w:ascii="宋体"/>
                <w:color w:val="auto"/>
                <w:szCs w:val="21"/>
                <w:highlight w:val="none"/>
              </w:rPr>
              <w:t>1</w:t>
            </w:r>
          </w:p>
        </w:tc>
        <w:tc>
          <w:tcPr>
            <w:tcW w:w="1204" w:type="dxa"/>
            <w:vMerge w:val="restart"/>
            <w:noWrap w:val="0"/>
            <w:vAlign w:val="center"/>
          </w:tcPr>
          <w:p w14:paraId="14328F5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投标文件的有效性</w:t>
            </w:r>
          </w:p>
        </w:tc>
        <w:tc>
          <w:tcPr>
            <w:tcW w:w="2931" w:type="dxa"/>
            <w:noWrap w:val="0"/>
            <w:vAlign w:val="center"/>
          </w:tcPr>
          <w:p w14:paraId="0151183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4173" w:type="dxa"/>
            <w:noWrap w:val="0"/>
            <w:vAlign w:val="center"/>
          </w:tcPr>
          <w:p w14:paraId="1DA41EB0">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14:paraId="553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7905205E">
            <w:pPr>
              <w:spacing w:line="320" w:lineRule="atLeast"/>
              <w:rPr>
                <w:color w:val="auto"/>
                <w:highlight w:val="none"/>
              </w:rPr>
            </w:pPr>
          </w:p>
        </w:tc>
        <w:tc>
          <w:tcPr>
            <w:tcW w:w="1204" w:type="dxa"/>
            <w:vMerge w:val="continue"/>
            <w:noWrap w:val="0"/>
            <w:vAlign w:val="center"/>
          </w:tcPr>
          <w:p w14:paraId="0C50280C">
            <w:pPr>
              <w:spacing w:line="320" w:lineRule="atLeast"/>
              <w:rPr>
                <w:color w:val="auto"/>
                <w:highlight w:val="none"/>
              </w:rPr>
            </w:pPr>
          </w:p>
        </w:tc>
        <w:tc>
          <w:tcPr>
            <w:tcW w:w="2931" w:type="dxa"/>
            <w:noWrap w:val="0"/>
            <w:vAlign w:val="center"/>
          </w:tcPr>
          <w:p w14:paraId="3A2D0D4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（2）投标方案</w:t>
            </w:r>
          </w:p>
        </w:tc>
        <w:tc>
          <w:tcPr>
            <w:tcW w:w="4173" w:type="dxa"/>
            <w:noWrap w:val="0"/>
            <w:vAlign w:val="center"/>
          </w:tcPr>
          <w:p w14:paraId="49240866">
            <w:pPr>
              <w:spacing w:line="320" w:lineRule="atLeast"/>
              <w:rPr>
                <w:rFonts w:hint="eastAsia" w:ascii="宋体" w:cs="宋体"/>
                <w:color w:val="auto"/>
                <w:szCs w:val="21"/>
                <w:highlight w:val="none"/>
              </w:rPr>
            </w:pPr>
            <w:r>
              <w:rPr>
                <w:rFonts w:hint="eastAsia" w:ascii="宋体" w:hAnsi="宋体" w:cs="仿宋_GB2312"/>
                <w:color w:val="auto"/>
                <w:szCs w:val="21"/>
                <w:highlight w:val="none"/>
                <w:lang w:val="zh-CN"/>
              </w:rPr>
              <w:t>每个分包只能有一个方案投标。</w:t>
            </w:r>
          </w:p>
        </w:tc>
      </w:tr>
      <w:tr w14:paraId="3DA8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3B748B3B">
            <w:pPr>
              <w:spacing w:line="320" w:lineRule="atLeast"/>
              <w:rPr>
                <w:color w:val="auto"/>
                <w:highlight w:val="none"/>
              </w:rPr>
            </w:pPr>
          </w:p>
        </w:tc>
        <w:tc>
          <w:tcPr>
            <w:tcW w:w="1204" w:type="dxa"/>
            <w:vMerge w:val="continue"/>
            <w:noWrap w:val="0"/>
            <w:vAlign w:val="center"/>
          </w:tcPr>
          <w:p w14:paraId="58AA67A8">
            <w:pPr>
              <w:spacing w:line="320" w:lineRule="atLeast"/>
              <w:rPr>
                <w:color w:val="auto"/>
                <w:highlight w:val="none"/>
              </w:rPr>
            </w:pPr>
          </w:p>
        </w:tc>
        <w:tc>
          <w:tcPr>
            <w:tcW w:w="2931" w:type="dxa"/>
            <w:noWrap w:val="0"/>
            <w:vAlign w:val="center"/>
          </w:tcPr>
          <w:p w14:paraId="16A8D7B3">
            <w:pPr>
              <w:spacing w:line="320" w:lineRule="atLeast"/>
              <w:rPr>
                <w:rFonts w:hint="eastAsia" w:ascii="宋体" w:cs="仿宋_GB2312"/>
                <w:color w:val="auto"/>
                <w:szCs w:val="21"/>
                <w:highlight w:val="none"/>
                <w:lang w:val="zh-CN"/>
              </w:rPr>
            </w:pPr>
            <w:r>
              <w:rPr>
                <w:rFonts w:hint="eastAsia" w:ascii="宋体"/>
                <w:color w:val="auto"/>
                <w:szCs w:val="21"/>
                <w:highlight w:val="none"/>
              </w:rPr>
              <w:t>（3）报价唯一</w:t>
            </w:r>
          </w:p>
        </w:tc>
        <w:tc>
          <w:tcPr>
            <w:tcW w:w="4173" w:type="dxa"/>
            <w:noWrap w:val="0"/>
            <w:vAlign w:val="center"/>
          </w:tcPr>
          <w:p w14:paraId="5B76B05E">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14:paraId="6D9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5BB5A752">
            <w:pPr>
              <w:spacing w:line="320" w:lineRule="atLeast"/>
              <w:rPr>
                <w:color w:val="auto"/>
                <w:highlight w:val="none"/>
              </w:rPr>
            </w:pPr>
          </w:p>
        </w:tc>
        <w:tc>
          <w:tcPr>
            <w:tcW w:w="1204" w:type="dxa"/>
            <w:vMerge w:val="continue"/>
            <w:noWrap w:val="0"/>
            <w:vAlign w:val="center"/>
          </w:tcPr>
          <w:p w14:paraId="3D464BDC">
            <w:pPr>
              <w:spacing w:line="320" w:lineRule="atLeast"/>
              <w:rPr>
                <w:color w:val="auto"/>
                <w:highlight w:val="none"/>
              </w:rPr>
            </w:pPr>
          </w:p>
        </w:tc>
        <w:tc>
          <w:tcPr>
            <w:tcW w:w="2931" w:type="dxa"/>
            <w:noWrap w:val="0"/>
            <w:vAlign w:val="center"/>
          </w:tcPr>
          <w:p w14:paraId="1570C2C0">
            <w:pPr>
              <w:spacing w:line="320" w:lineRule="atLeast"/>
              <w:rPr>
                <w:rFonts w:hint="eastAsia" w:ascii="宋体"/>
                <w:color w:val="auto"/>
                <w:szCs w:val="21"/>
                <w:highlight w:val="none"/>
              </w:rPr>
            </w:pPr>
            <w:r>
              <w:rPr>
                <w:rFonts w:hint="eastAsia" w:ascii="宋体"/>
                <w:color w:val="auto"/>
                <w:szCs w:val="21"/>
                <w:highlight w:val="none"/>
              </w:rPr>
              <w:t xml:space="preserve"> (4) 投标文件的有效期</w:t>
            </w:r>
          </w:p>
        </w:tc>
        <w:tc>
          <w:tcPr>
            <w:tcW w:w="4173" w:type="dxa"/>
            <w:noWrap w:val="0"/>
            <w:vAlign w:val="center"/>
          </w:tcPr>
          <w:p w14:paraId="0A10476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完全响应。</w:t>
            </w:r>
          </w:p>
        </w:tc>
      </w:tr>
      <w:tr w14:paraId="4B6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4503882E">
            <w:pPr>
              <w:spacing w:line="320" w:lineRule="atLeast"/>
              <w:jc w:val="center"/>
              <w:rPr>
                <w:rFonts w:hint="eastAsia" w:ascii="宋体"/>
                <w:color w:val="auto"/>
                <w:szCs w:val="21"/>
                <w:highlight w:val="none"/>
              </w:rPr>
            </w:pPr>
            <w:r>
              <w:rPr>
                <w:rFonts w:hint="eastAsia" w:ascii="宋体"/>
                <w:color w:val="auto"/>
                <w:szCs w:val="21"/>
                <w:highlight w:val="none"/>
              </w:rPr>
              <w:t>2</w:t>
            </w:r>
          </w:p>
        </w:tc>
        <w:tc>
          <w:tcPr>
            <w:tcW w:w="1204" w:type="dxa"/>
            <w:vMerge w:val="restart"/>
            <w:noWrap w:val="0"/>
            <w:vAlign w:val="center"/>
          </w:tcPr>
          <w:p w14:paraId="7F32534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投标文件的完整性</w:t>
            </w:r>
          </w:p>
        </w:tc>
        <w:tc>
          <w:tcPr>
            <w:tcW w:w="2931" w:type="dxa"/>
            <w:noWrap w:val="0"/>
            <w:vAlign w:val="center"/>
          </w:tcPr>
          <w:p w14:paraId="5EF20D31">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（5）投标文件份数</w:t>
            </w:r>
          </w:p>
        </w:tc>
        <w:tc>
          <w:tcPr>
            <w:tcW w:w="4173" w:type="dxa"/>
            <w:noWrap w:val="0"/>
            <w:vAlign w:val="center"/>
          </w:tcPr>
          <w:p w14:paraId="0504A0B0">
            <w:pPr>
              <w:spacing w:line="320" w:lineRule="atLeast"/>
              <w:rPr>
                <w:rFonts w:hint="eastAsia" w:ascii="宋体" w:cs="宋体"/>
                <w:color w:val="auto"/>
                <w:szCs w:val="21"/>
                <w:highlight w:val="none"/>
              </w:rPr>
            </w:pPr>
            <w:r>
              <w:rPr>
                <w:rFonts w:hint="eastAsia" w:ascii="宋体" w:hAnsi="宋体" w:cs="宋体"/>
                <w:color w:val="auto"/>
                <w:szCs w:val="21"/>
                <w:highlight w:val="none"/>
              </w:rPr>
              <w:t>网上递交的电子投标文件：一份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tc>
      </w:tr>
      <w:tr w14:paraId="2B6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54C11AB6">
            <w:pPr>
              <w:spacing w:line="320" w:lineRule="atLeast"/>
              <w:rPr>
                <w:color w:val="auto"/>
                <w:highlight w:val="none"/>
              </w:rPr>
            </w:pPr>
          </w:p>
        </w:tc>
        <w:tc>
          <w:tcPr>
            <w:tcW w:w="1204" w:type="dxa"/>
            <w:vMerge w:val="continue"/>
            <w:noWrap w:val="0"/>
            <w:vAlign w:val="center"/>
          </w:tcPr>
          <w:p w14:paraId="068F4ED8">
            <w:pPr>
              <w:spacing w:line="320" w:lineRule="atLeast"/>
              <w:rPr>
                <w:color w:val="auto"/>
                <w:highlight w:val="none"/>
              </w:rPr>
            </w:pPr>
          </w:p>
        </w:tc>
        <w:tc>
          <w:tcPr>
            <w:tcW w:w="2931" w:type="dxa"/>
            <w:noWrap w:val="0"/>
            <w:vAlign w:val="center"/>
          </w:tcPr>
          <w:p w14:paraId="5F71AFEB">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（6）投标文件形式内容</w:t>
            </w:r>
          </w:p>
        </w:tc>
        <w:tc>
          <w:tcPr>
            <w:tcW w:w="4173" w:type="dxa"/>
            <w:noWrap w:val="0"/>
            <w:vAlign w:val="center"/>
          </w:tcPr>
          <w:p w14:paraId="253308E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14:paraId="713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390BF16A">
            <w:pPr>
              <w:spacing w:line="320" w:lineRule="atLeast"/>
              <w:jc w:val="center"/>
              <w:rPr>
                <w:rFonts w:hint="eastAsia" w:ascii="宋体"/>
                <w:color w:val="auto"/>
                <w:szCs w:val="21"/>
                <w:highlight w:val="none"/>
              </w:rPr>
            </w:pPr>
            <w:r>
              <w:rPr>
                <w:rFonts w:hint="eastAsia" w:ascii="宋体"/>
                <w:color w:val="auto"/>
                <w:szCs w:val="21"/>
                <w:highlight w:val="none"/>
              </w:rPr>
              <w:t>3</w:t>
            </w:r>
          </w:p>
        </w:tc>
        <w:tc>
          <w:tcPr>
            <w:tcW w:w="1204" w:type="dxa"/>
            <w:vMerge w:val="restart"/>
            <w:noWrap w:val="0"/>
            <w:vAlign w:val="center"/>
          </w:tcPr>
          <w:p w14:paraId="7CDB2375">
            <w:pPr>
              <w:spacing w:line="320" w:lineRule="atLeast"/>
              <w:jc w:val="center"/>
              <w:rPr>
                <w:rFonts w:hint="eastAsia" w:ascii="宋体" w:cs="仿宋_GB2312"/>
                <w:color w:val="auto"/>
                <w:szCs w:val="21"/>
                <w:highlight w:val="none"/>
                <w:lang w:val="zh-CN"/>
              </w:rPr>
            </w:pPr>
            <w:r>
              <w:rPr>
                <w:rFonts w:hint="eastAsia" w:ascii="宋体" w:cs="仿宋_GB2312"/>
                <w:color w:val="auto"/>
                <w:szCs w:val="21"/>
                <w:highlight w:val="none"/>
                <w:lang w:val="zh-CN"/>
              </w:rPr>
              <w:t>投标文件的响应程度</w:t>
            </w:r>
          </w:p>
        </w:tc>
        <w:tc>
          <w:tcPr>
            <w:tcW w:w="2931" w:type="dxa"/>
            <w:noWrap w:val="0"/>
            <w:vAlign w:val="center"/>
          </w:tcPr>
          <w:p w14:paraId="76621B39">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（7）采购需求响应程度</w:t>
            </w:r>
          </w:p>
        </w:tc>
        <w:tc>
          <w:tcPr>
            <w:tcW w:w="4173" w:type="dxa"/>
            <w:noWrap w:val="0"/>
            <w:vAlign w:val="center"/>
          </w:tcPr>
          <w:p w14:paraId="3CC7D23C">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最大限度地满足招标文件要求。</w:t>
            </w:r>
          </w:p>
        </w:tc>
      </w:tr>
      <w:tr w14:paraId="7B4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7E2F7823">
            <w:pPr>
              <w:spacing w:line="320" w:lineRule="atLeast"/>
              <w:rPr>
                <w:color w:val="auto"/>
                <w:highlight w:val="none"/>
              </w:rPr>
            </w:pPr>
          </w:p>
        </w:tc>
        <w:tc>
          <w:tcPr>
            <w:tcW w:w="1204" w:type="dxa"/>
            <w:vMerge w:val="continue"/>
            <w:noWrap w:val="0"/>
            <w:vAlign w:val="center"/>
          </w:tcPr>
          <w:p w14:paraId="3B6CA584">
            <w:pPr>
              <w:spacing w:line="320" w:lineRule="atLeast"/>
              <w:rPr>
                <w:color w:val="auto"/>
                <w:highlight w:val="none"/>
              </w:rPr>
            </w:pPr>
          </w:p>
        </w:tc>
        <w:tc>
          <w:tcPr>
            <w:tcW w:w="2931" w:type="dxa"/>
            <w:noWrap w:val="0"/>
            <w:vAlign w:val="center"/>
          </w:tcPr>
          <w:p w14:paraId="0D9E24C6">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（8）商务条款响应程度（包括不限于业绩、服务期、售后服务、技术培训等）</w:t>
            </w:r>
          </w:p>
        </w:tc>
        <w:tc>
          <w:tcPr>
            <w:tcW w:w="4173" w:type="dxa"/>
            <w:noWrap w:val="0"/>
            <w:vAlign w:val="center"/>
          </w:tcPr>
          <w:p w14:paraId="1DE6E434">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响应招标文件要求。</w:t>
            </w:r>
          </w:p>
        </w:tc>
      </w:tr>
    </w:tbl>
    <w:p w14:paraId="114D3165">
      <w:pPr>
        <w:spacing w:line="400" w:lineRule="exact"/>
        <w:ind w:firstLine="506" w:firstLineChars="241"/>
        <w:rPr>
          <w:rFonts w:hint="eastAsia" w:ascii="宋体"/>
          <w:color w:val="auto"/>
          <w:szCs w:val="21"/>
          <w:highlight w:val="none"/>
        </w:rPr>
      </w:pPr>
      <w:r>
        <w:rPr>
          <w:rFonts w:hint="eastAsia" w:ascii="宋体"/>
          <w:color w:val="auto"/>
          <w:szCs w:val="21"/>
          <w:highlight w:val="none"/>
        </w:rPr>
        <w:t>4.2资格审查及评分细则中涉及的有关证明材料及相关证书，电子投标文件中须按招标文件要求上传</w:t>
      </w:r>
      <w:r>
        <w:rPr>
          <w:rFonts w:hint="eastAsia" w:ascii="宋体" w:hAnsi="宋体"/>
          <w:b/>
          <w:color w:val="auto"/>
          <w:szCs w:val="21"/>
          <w:highlight w:val="none"/>
        </w:rPr>
        <w:t>扫描件</w:t>
      </w:r>
      <w:r>
        <w:rPr>
          <w:rFonts w:hint="eastAsia" w:ascii="宋体"/>
          <w:color w:val="auto"/>
          <w:szCs w:val="21"/>
          <w:highlight w:val="none"/>
        </w:rPr>
        <w:t>，以供审查。</w:t>
      </w:r>
    </w:p>
    <w:p w14:paraId="65BB3E56">
      <w:pPr>
        <w:spacing w:line="400" w:lineRule="exact"/>
        <w:ind w:firstLine="506" w:firstLineChars="241"/>
        <w:rPr>
          <w:rFonts w:hint="eastAsia" w:ascii="宋体"/>
          <w:color w:val="auto"/>
          <w:szCs w:val="21"/>
          <w:highlight w:val="none"/>
        </w:rPr>
      </w:pPr>
      <w:r>
        <w:rPr>
          <w:rFonts w:hint="eastAsia" w:ascii="宋体"/>
          <w:color w:val="auto"/>
          <w:szCs w:val="21"/>
          <w:highlight w:val="none"/>
        </w:rPr>
        <w:t>4.3．评标委员会判定投标文件的响应性只根据投标文件本身的内容，而不寻求外部的证据，但投标有不真实不正确的内容时除外。</w:t>
      </w:r>
    </w:p>
    <w:p w14:paraId="2D7B31BE">
      <w:pPr>
        <w:spacing w:line="400" w:lineRule="exact"/>
        <w:ind w:firstLine="525" w:firstLineChars="250"/>
        <w:rPr>
          <w:rFonts w:hint="eastAsia" w:ascii="宋体"/>
          <w:color w:val="auto"/>
          <w:szCs w:val="21"/>
          <w:highlight w:val="none"/>
        </w:rPr>
      </w:pPr>
      <w:r>
        <w:rPr>
          <w:rFonts w:hint="eastAsia" w:ascii="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12E29A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rPr>
      </w:pPr>
    </w:p>
    <w:p w14:paraId="7D92425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投标文件的澄清和补正</w:t>
      </w:r>
      <w:bookmarkEnd w:id="63"/>
    </w:p>
    <w:p w14:paraId="4E35044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color w:val="auto"/>
          <w:sz w:val="21"/>
          <w:szCs w:val="21"/>
          <w:highlight w:val="none"/>
        </w:rPr>
        <w:t>如因投标人未参加开标导致开评标过程中无法澄清、说明或补正的，视同投标人放弃该权利。</w:t>
      </w:r>
    </w:p>
    <w:p w14:paraId="33FDDA61">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投标人的澄清、说明或者补</w:t>
      </w:r>
    </w:p>
    <w:p w14:paraId="267F1FA5">
      <w:pPr>
        <w:keepNext w:val="0"/>
        <w:keepLines w:val="0"/>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r>
        <w:rPr>
          <w:rFonts w:hint="eastAsia" w:ascii="宋体" w:hAnsi="宋体" w:cs="宋体"/>
          <w:b/>
          <w:bCs/>
          <w:color w:val="auto"/>
          <w:szCs w:val="21"/>
          <w:highlight w:val="none"/>
        </w:rPr>
        <w:t>。</w:t>
      </w:r>
    </w:p>
    <w:p w14:paraId="23841C5D">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评委会修正错误的原则：</w:t>
      </w:r>
    </w:p>
    <w:p w14:paraId="1053594E">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如果数字表示的金额和用文字表示的金额不一致时，以文字表示的金额为准</w:t>
      </w:r>
      <w:r>
        <w:rPr>
          <w:rFonts w:hint="eastAsia" w:ascii="宋体" w:hAnsi="宋体" w:eastAsia="宋体" w:cs="宋体"/>
          <w:color w:val="auto"/>
          <w:sz w:val="21"/>
          <w:szCs w:val="21"/>
          <w:highlight w:val="none"/>
          <w:lang w:eastAsia="zh-CN"/>
        </w:rPr>
        <w:t>。</w:t>
      </w:r>
    </w:p>
    <w:p w14:paraId="2973CB46">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14:paraId="1138E099">
      <w:pPr>
        <w:keepNext w:val="0"/>
        <w:keepLines w:val="0"/>
        <w:pageBreakBefore w:val="0"/>
        <w:widowControl w:val="0"/>
        <w:kinsoku/>
        <w:wordWrap/>
        <w:overflowPunct/>
        <w:topLinePunct w:val="0"/>
        <w:autoSpaceDE/>
        <w:autoSpaceDN/>
        <w:bidi w:val="0"/>
        <w:adjustRightInd/>
        <w:snapToGrid/>
        <w:spacing w:line="440" w:lineRule="exact"/>
        <w:ind w:firstLine="403" w:firstLineChars="192"/>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予以确认。投标人拒绝对投标文件出现的错漏按上述原则进行修正、澄清、说明，评标委员会应当否决其投标。</w:t>
      </w:r>
    </w:p>
    <w:p w14:paraId="05EF3AE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p>
    <w:p w14:paraId="49A6CEA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4" w:name="_Toc30419"/>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、投标报价评分细则</w:t>
      </w:r>
      <w:bookmarkEnd w:id="64"/>
    </w:p>
    <w:tbl>
      <w:tblPr>
        <w:tblStyle w:val="45"/>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5A1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vAlign w:val="center"/>
          </w:tcPr>
          <w:p w14:paraId="14609569">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w:t>
            </w:r>
          </w:p>
        </w:tc>
        <w:tc>
          <w:tcPr>
            <w:tcW w:w="1842" w:type="dxa"/>
            <w:vAlign w:val="center"/>
          </w:tcPr>
          <w:p w14:paraId="2E66EDB0">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067" w:type="dxa"/>
            <w:vAlign w:val="center"/>
          </w:tcPr>
          <w:p w14:paraId="22D39B9C">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5FC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14:paraId="46BB242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vAlign w:val="center"/>
          </w:tcPr>
          <w:p w14:paraId="4F98269D">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vAlign w:val="center"/>
          </w:tcPr>
          <w:p w14:paraId="2BBC26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vAlign w:val="center"/>
          </w:tcPr>
          <w:p w14:paraId="4DD036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2A6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vAlign w:val="center"/>
          </w:tcPr>
          <w:p w14:paraId="68D41E7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5EB6DDCA">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5F20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vAlign w:val="center"/>
          </w:tcPr>
          <w:p w14:paraId="2DA2E2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p>
        </w:tc>
      </w:tr>
      <w:tr w14:paraId="0D4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vAlign w:val="center"/>
          </w:tcPr>
          <w:p w14:paraId="0F6B7664">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2D64B55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69A3E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vAlign w:val="center"/>
          </w:tcPr>
          <w:p w14:paraId="0E620C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06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vAlign w:val="center"/>
          </w:tcPr>
          <w:p w14:paraId="37040A3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025AADEE">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7CFA8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vAlign w:val="center"/>
          </w:tcPr>
          <w:p w14:paraId="7E1DB2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不高于最高限价</w:t>
            </w:r>
          </w:p>
        </w:tc>
      </w:tr>
      <w:tr w14:paraId="78A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vAlign w:val="center"/>
          </w:tcPr>
          <w:p w14:paraId="69CF0CD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vAlign w:val="center"/>
          </w:tcPr>
          <w:p w14:paraId="038F436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F8F846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vAlign w:val="center"/>
          </w:tcPr>
          <w:p w14:paraId="5346C2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1、招标人设置投标报价最高限价，各投标人有效报价不得高于最高限价，否则，其投标文件按无效标处理。（投标报价不可以填报0或负数，否则按无效标处理）（以基本费作为评审价格）</w:t>
            </w:r>
          </w:p>
          <w:p w14:paraId="019240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2、评标基准值为所有投标人投标报价的算术平均值。</w:t>
            </w:r>
          </w:p>
          <w:p w14:paraId="6DB59D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3、计算报价偏差率</w:t>
            </w:r>
          </w:p>
          <w:p w14:paraId="4699A0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①偏差率=|（投标报价-评标基准价）/评标基准价|×100%</w:t>
            </w:r>
          </w:p>
          <w:p w14:paraId="4296C2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4、计算报价得分</w:t>
            </w:r>
          </w:p>
          <w:p w14:paraId="76A534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①投标报价等于评标基准价的得满分。</w:t>
            </w:r>
          </w:p>
          <w:p w14:paraId="1940B4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②投标报价高于评标基准价的，投标报价得分=报价满分值-偏差率×100×1</w:t>
            </w:r>
          </w:p>
          <w:p w14:paraId="7416A8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③投标报价低于评标基准价的，投标报价得分=报价满分值-偏差率×100×0.5</w:t>
            </w:r>
          </w:p>
          <w:p w14:paraId="32C8AE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hAnsi="宋体" w:eastAsia="宋体" w:cs="宋体"/>
                <w:color w:val="auto"/>
                <w:sz w:val="21"/>
                <w:szCs w:val="21"/>
                <w:highlight w:val="none"/>
              </w:rPr>
              <w:t>注：计算过程中，评标基准值、偏差率、报价得分均保留两位小数，小数点后第三位四舍五入。</w:t>
            </w:r>
          </w:p>
        </w:tc>
      </w:tr>
    </w:tbl>
    <w:p w14:paraId="003755BC">
      <w:pPr>
        <w:pageBreakBefore w:val="0"/>
        <w:kinsoku/>
        <w:wordWrap/>
        <w:overflowPunct/>
        <w:bidi w:val="0"/>
        <w:adjustRightInd/>
        <w:spacing w:line="360" w:lineRule="exact"/>
        <w:jc w:val="center"/>
        <w:textAlignment w:val="auto"/>
        <w:outlineLvl w:val="1"/>
        <w:rPr>
          <w:rFonts w:hint="eastAsia" w:ascii="宋体" w:hAnsi="宋体" w:eastAsia="宋体" w:cs="宋体"/>
          <w:b/>
          <w:bCs/>
          <w:color w:val="auto"/>
          <w:sz w:val="24"/>
          <w:szCs w:val="24"/>
          <w:highlight w:val="none"/>
        </w:rPr>
      </w:pPr>
    </w:p>
    <w:p w14:paraId="1DD67D2D">
      <w:pPr>
        <w:pageBreakBefore w:val="0"/>
        <w:kinsoku/>
        <w:wordWrap/>
        <w:overflowPunct/>
        <w:bidi w:val="0"/>
        <w:adjustRightInd/>
        <w:spacing w:line="360" w:lineRule="exact"/>
        <w:jc w:val="center"/>
        <w:textAlignment w:val="auto"/>
        <w:outlineLvl w:val="1"/>
        <w:rPr>
          <w:rFonts w:hint="eastAsia" w:ascii="宋体" w:hAnsi="宋体" w:eastAsia="宋体" w:cs="宋体"/>
          <w:b/>
          <w:bCs/>
          <w:color w:val="auto"/>
          <w:sz w:val="24"/>
          <w:szCs w:val="24"/>
          <w:highlight w:val="none"/>
        </w:rPr>
      </w:pPr>
      <w:bookmarkStart w:id="65" w:name="_Toc20318"/>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推荐中标候选人</w:t>
      </w:r>
      <w:bookmarkEnd w:id="65"/>
    </w:p>
    <w:p w14:paraId="1BD855F9">
      <w:pPr>
        <w:pStyle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小组先</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投标报价不高于投标限价的</w:t>
      </w:r>
      <w:r>
        <w:rPr>
          <w:rFonts w:hint="eastAsia" w:ascii="宋体" w:hAnsi="宋体" w:eastAsia="宋体" w:cs="宋体"/>
          <w:color w:val="auto"/>
          <w:sz w:val="21"/>
          <w:szCs w:val="21"/>
          <w:highlight w:val="none"/>
        </w:rPr>
        <w:t>投标人报价按计算标准计算得分，得分按照从高到低进行排序（如总得分相等，以投标报价低的优先，投标报价仍相等，由招标人</w:t>
      </w:r>
      <w:r>
        <w:rPr>
          <w:rFonts w:hint="eastAsia" w:ascii="宋体" w:hAnsi="宋体" w:eastAsia="宋体" w:cs="宋体"/>
          <w:color w:val="auto"/>
          <w:sz w:val="21"/>
          <w:szCs w:val="21"/>
          <w:highlight w:val="none"/>
          <w:lang w:val="en-US" w:eastAsia="zh-CN"/>
        </w:rPr>
        <w:t>或评标委员会</w:t>
      </w:r>
      <w:r>
        <w:rPr>
          <w:rFonts w:hint="eastAsia" w:ascii="宋体" w:hAnsi="宋体" w:eastAsia="宋体" w:cs="宋体"/>
          <w:color w:val="auto"/>
          <w:sz w:val="21"/>
          <w:szCs w:val="21"/>
          <w:highlight w:val="none"/>
        </w:rPr>
        <w:t>随机抽取确定排名，不得并列）。对排序前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文件进行评审并确定中标候选人。若排序前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文件评审不通过，则按得分排序递补至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家投标人进行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w:t>
      </w:r>
    </w:p>
    <w:p w14:paraId="2D219C1B">
      <w:pPr>
        <w:snapToGrid w:val="0"/>
        <w:spacing w:line="400" w:lineRule="exact"/>
        <w:ind w:firstLine="570"/>
        <w:rPr>
          <w:rFonts w:hint="eastAsia" w:ascii="宋体"/>
          <w:b/>
          <w:color w:val="auto"/>
          <w:szCs w:val="21"/>
          <w:highlight w:val="none"/>
        </w:rPr>
      </w:pPr>
      <w:r>
        <w:rPr>
          <w:rFonts w:hint="eastAsia" w:ascii="宋体"/>
          <w:b/>
          <w:color w:val="auto"/>
          <w:szCs w:val="21"/>
          <w:highlight w:val="none"/>
          <w:lang w:val="en-US" w:eastAsia="zh-CN"/>
        </w:rPr>
        <w:t>9.</w:t>
      </w:r>
      <w:r>
        <w:rPr>
          <w:rFonts w:hint="eastAsia" w:ascii="宋体" w:hAnsi="宋体"/>
          <w:b/>
          <w:color w:val="auto"/>
          <w:sz w:val="24"/>
          <w:highlight w:val="none"/>
        </w:rPr>
        <w:t xml:space="preserve"> </w:t>
      </w:r>
      <w:r>
        <w:rPr>
          <w:rFonts w:hint="eastAsia" w:ascii="宋体"/>
          <w:b/>
          <w:color w:val="auto"/>
          <w:szCs w:val="21"/>
          <w:highlight w:val="none"/>
        </w:rPr>
        <w:t>无效投标条款</w:t>
      </w:r>
    </w:p>
    <w:p w14:paraId="4C4B7412">
      <w:pPr>
        <w:snapToGrid w:val="0"/>
        <w:spacing w:line="400" w:lineRule="exact"/>
        <w:ind w:firstLine="525" w:firstLineChars="250"/>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.1投标文件有下列情形之一的,其投标文件拒收:</w:t>
      </w:r>
    </w:p>
    <w:p w14:paraId="27A02168">
      <w:pPr>
        <w:snapToGrid w:val="0"/>
        <w:spacing w:line="400" w:lineRule="exact"/>
        <w:ind w:firstLine="420"/>
        <w:rPr>
          <w:rFonts w:hint="eastAsia"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(1) 未在开标截止时间前通过网上招标投标系统递交有效电子投标文件的，开标系统不予接收，投标将被拒绝。</w:t>
      </w:r>
    </w:p>
    <w:p w14:paraId="257D62F8">
      <w:pPr>
        <w:snapToGrid w:val="0"/>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2）投标企业接到远程解密指令后，须在规定时间内解密。因投标人自身原因导致投标文件在规定时间内未能解密、解密失败或解密超时，投标文件无效；解密时间：从本项目投标截止时间开始计时，至完成投标文件解密时间，不得超过</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分钟，否则投标文件将被拒绝。</w:t>
      </w:r>
    </w:p>
    <w:p w14:paraId="60948C9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.2投标人有下列情形之一的,资格审查后其投标作无效投标处理：</w:t>
      </w:r>
    </w:p>
    <w:p w14:paraId="5560F39C">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）投标人为本项目提供招标代理服务的；</w:t>
      </w:r>
    </w:p>
    <w:p w14:paraId="439C100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）投标人与在本项目代理机构存在相互任职或工作的；</w:t>
      </w:r>
    </w:p>
    <w:p w14:paraId="09E3046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）评标专家无法查看并检验电子投标文件中相关资料的；</w:t>
      </w:r>
    </w:p>
    <w:p w14:paraId="3C99BAF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）联合体投标未提交联合体协议的；</w:t>
      </w:r>
    </w:p>
    <w:p w14:paraId="16A15BB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）被暂停营业的；</w:t>
      </w:r>
    </w:p>
    <w:p w14:paraId="348F643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）被暂停或取消投标资格的；</w:t>
      </w:r>
    </w:p>
    <w:p w14:paraId="6F19C305">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）财产被接管或冻结的；</w:t>
      </w:r>
    </w:p>
    <w:p w14:paraId="6F3BA6B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）投标人单位负责人为同一人或者存在控股、管理关系的不同单位的；</w:t>
      </w:r>
    </w:p>
    <w:p w14:paraId="2B286FD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）保证金不按第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章“投标人须知”及其前附表要求提交投标保证金的；</w:t>
      </w:r>
    </w:p>
    <w:p w14:paraId="31DF76D0">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）投标人未办理省主体库登记入库手续的；</w:t>
      </w:r>
    </w:p>
    <w:p w14:paraId="27D6A744">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）投标人申请开具电子保函 MAC 地址一致的；</w:t>
      </w:r>
    </w:p>
    <w:p w14:paraId="430169F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）投标人基本资格条件和特定资格条件中有一项及以上不符合要求的；</w:t>
      </w:r>
    </w:p>
    <w:p w14:paraId="1C6FAF8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7FA9328">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）其它情形，经评标委员会委提出按无效投标处理；</w:t>
      </w:r>
    </w:p>
    <w:p w14:paraId="1D9C701F">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）投标人投标MAC地址或投标人联系人或联系电话相同的，由评标委员会否决其投标，并进一步调查；</w:t>
      </w:r>
    </w:p>
    <w:p w14:paraId="4416314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）投标人单方面出现其他投标人材料的；</w:t>
      </w:r>
    </w:p>
    <w:p w14:paraId="45E4C8BD">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）招标文件规定的其它无效投标情形。</w:t>
      </w:r>
    </w:p>
    <w:p w14:paraId="56DF612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投标人有下列情形之一的,符合性审查后其投标按无效投标处理：</w:t>
      </w:r>
    </w:p>
    <w:p w14:paraId="79D7196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）投标文件签字、盖章不全，经评标委员会一致认定对开评标内容有实质性影响的；</w:t>
      </w:r>
    </w:p>
    <w:p w14:paraId="71D14C6F">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p>
    <w:p w14:paraId="66318CA2">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）同一投标人提交两个以上不同的投标文件或者投标报价，但招标文件规定提交备选方案的除外；</w:t>
      </w:r>
    </w:p>
    <w:p w14:paraId="7CC4909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0C4016D3">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p>
    <w:p w14:paraId="651ECF07">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）不按评标委员会要求澄清、说明或补正的，或者评标委员会根据招标文件的规定对招标文件的计算错误进行修正后，投标人不接受修正的投标报价的。</w:t>
      </w:r>
    </w:p>
    <w:p w14:paraId="55085D8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14:paraId="46FF0A7C">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280CABC2">
      <w:pPr>
        <w:keepNext w:val="0"/>
        <w:keepLines w:val="0"/>
        <w:pageBreakBefore w:val="0"/>
        <w:widowControl w:val="0"/>
        <w:tabs>
          <w:tab w:val="left" w:pos="1123"/>
        </w:tabs>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5C181207">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投标人有下列情形之一的, 详细评审后其投标按无效投标处理：</w:t>
      </w:r>
    </w:p>
    <w:p w14:paraId="33F2018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）投标产品不符合必须强制执行的国家标准的；</w:t>
      </w:r>
    </w:p>
    <w:p w14:paraId="089679DE">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）投标人有串通投标、弄虚作假、行贿等违法行为；</w:t>
      </w:r>
    </w:p>
    <w:p w14:paraId="67F9813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）投标文件含有违反国家法律、法规的内容，或附有招标人不能接受的条件的；</w:t>
      </w:r>
    </w:p>
    <w:p w14:paraId="154B8023">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65F25D2A">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76381DE8">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14:paraId="095585C1">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p w14:paraId="1825D070">
      <w:pPr>
        <w:rPr>
          <w:rFonts w:hint="eastAsia"/>
          <w:color w:val="auto"/>
          <w:highlight w:val="none"/>
        </w:rPr>
      </w:pPr>
    </w:p>
    <w:p w14:paraId="79D4181F">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44"/>
          <w:szCs w:val="44"/>
          <w:highlight w:val="none"/>
          <w:lang w:val="en-US" w:eastAsia="zh-CN"/>
        </w:rPr>
      </w:pPr>
      <w:bookmarkStart w:id="66" w:name="_Toc3848"/>
      <w:r>
        <w:rPr>
          <w:rFonts w:hint="eastAsia" w:ascii="宋体" w:hAnsi="宋体" w:eastAsia="宋体" w:cs="宋体"/>
          <w:color w:val="auto"/>
          <w:sz w:val="44"/>
          <w:szCs w:val="44"/>
          <w:highlight w:val="none"/>
          <w:lang w:val="en-US" w:eastAsia="zh-CN"/>
        </w:rPr>
        <w:t>第三章 合同条款</w:t>
      </w:r>
      <w:bookmarkEnd w:id="56"/>
      <w:bookmarkEnd w:id="57"/>
      <w:bookmarkEnd w:id="66"/>
    </w:p>
    <w:p w14:paraId="209DF1AC">
      <w:pPr>
        <w:rPr>
          <w:rFonts w:hint="eastAsia" w:ascii="宋体" w:hAnsi="宋体" w:eastAsia="宋体" w:cs="宋体"/>
          <w:color w:val="auto"/>
          <w:highlight w:val="none"/>
        </w:rPr>
      </w:pPr>
    </w:p>
    <w:p w14:paraId="693D8329">
      <w:pPr>
        <w:spacing w:line="360" w:lineRule="auto"/>
        <w:jc w:val="center"/>
        <w:rPr>
          <w:rFonts w:hint="eastAsia" w:ascii="宋体" w:hAnsi="宋体" w:eastAsia="宋体" w:cs="宋体"/>
          <w:color w:val="auto"/>
          <w:w w:val="90"/>
          <w:sz w:val="72"/>
          <w:szCs w:val="52"/>
          <w:highlight w:val="none"/>
        </w:rPr>
      </w:pPr>
      <w:r>
        <w:rPr>
          <w:rFonts w:hint="eastAsia" w:ascii="宋体" w:hAnsi="宋体" w:eastAsia="宋体" w:cs="宋体"/>
          <w:color w:val="auto"/>
          <w:w w:val="90"/>
          <w:sz w:val="72"/>
          <w:szCs w:val="52"/>
          <w:highlight w:val="none"/>
        </w:rPr>
        <w:t>建设工程造价咨询合同</w:t>
      </w:r>
    </w:p>
    <w:p w14:paraId="189065E5">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（结算审计复核）</w:t>
      </w:r>
    </w:p>
    <w:p w14:paraId="4EA17EE1">
      <w:pPr>
        <w:jc w:val="center"/>
        <w:rPr>
          <w:rFonts w:hint="eastAsia" w:ascii="宋体" w:hAnsi="宋体" w:eastAsia="宋体" w:cs="宋体"/>
          <w:color w:val="auto"/>
          <w:sz w:val="72"/>
          <w:szCs w:val="72"/>
          <w:highlight w:val="none"/>
        </w:rPr>
      </w:pPr>
    </w:p>
    <w:p w14:paraId="1B2783B7">
      <w:pPr>
        <w:jc w:val="center"/>
        <w:rPr>
          <w:rFonts w:hint="eastAsia" w:ascii="宋体" w:hAnsi="宋体" w:eastAsia="宋体" w:cs="宋体"/>
          <w:color w:val="auto"/>
          <w:sz w:val="72"/>
          <w:szCs w:val="72"/>
          <w:highlight w:val="none"/>
        </w:rPr>
      </w:pPr>
    </w:p>
    <w:p w14:paraId="759B9A9B">
      <w:pPr>
        <w:jc w:val="center"/>
        <w:rPr>
          <w:rFonts w:hint="eastAsia" w:ascii="宋体" w:hAnsi="宋体" w:eastAsia="宋体" w:cs="宋体"/>
          <w:color w:val="auto"/>
          <w:sz w:val="72"/>
          <w:szCs w:val="72"/>
          <w:highlight w:val="none"/>
        </w:rPr>
      </w:pPr>
    </w:p>
    <w:p w14:paraId="16FD3861">
      <w:pPr>
        <w:pStyle w:val="2"/>
        <w:rPr>
          <w:rFonts w:hint="eastAsia" w:ascii="宋体" w:hAnsi="宋体" w:eastAsia="宋体" w:cs="宋体"/>
          <w:color w:val="auto"/>
          <w:highlight w:val="none"/>
        </w:rPr>
      </w:pPr>
    </w:p>
    <w:p w14:paraId="13EB1CA0">
      <w:pPr>
        <w:rPr>
          <w:rFonts w:hint="eastAsia" w:ascii="宋体" w:hAnsi="宋体" w:eastAsia="宋体" w:cs="宋体"/>
          <w:color w:val="auto"/>
          <w:highlight w:val="none"/>
        </w:rPr>
      </w:pPr>
    </w:p>
    <w:p w14:paraId="72C77FA6">
      <w:pPr>
        <w:spacing w:line="240" w:lineRule="exact"/>
        <w:jc w:val="center"/>
        <w:rPr>
          <w:rFonts w:hint="eastAsia" w:ascii="宋体" w:hAnsi="宋体" w:eastAsia="宋体" w:cs="宋体"/>
          <w:color w:val="auto"/>
          <w:sz w:val="72"/>
          <w:szCs w:val="72"/>
          <w:highlight w:val="none"/>
        </w:rPr>
      </w:pPr>
    </w:p>
    <w:p w14:paraId="13C424BC">
      <w:pPr>
        <w:spacing w:line="240" w:lineRule="exact"/>
        <w:jc w:val="center"/>
        <w:rPr>
          <w:rFonts w:hint="eastAsia" w:ascii="宋体" w:hAnsi="宋体" w:eastAsia="宋体" w:cs="宋体"/>
          <w:color w:val="auto"/>
          <w:sz w:val="72"/>
          <w:szCs w:val="72"/>
          <w:highlight w:val="none"/>
        </w:rPr>
      </w:pPr>
    </w:p>
    <w:p w14:paraId="6BD46474">
      <w:pPr>
        <w:spacing w:line="800" w:lineRule="exact"/>
        <w:rPr>
          <w:rFonts w:hint="eastAsia" w:ascii="宋体" w:hAnsi="宋体" w:eastAsia="宋体" w:cs="宋体"/>
          <w:color w:val="auto"/>
          <w:sz w:val="36"/>
          <w:szCs w:val="30"/>
          <w:highlight w:val="none"/>
          <w:u w:val="single"/>
        </w:rPr>
      </w:pPr>
      <w:r>
        <w:rPr>
          <w:rFonts w:hint="eastAsia" w:ascii="宋体" w:hAnsi="宋体" w:eastAsia="宋体" w:cs="宋体"/>
          <w:color w:val="auto"/>
          <w:sz w:val="36"/>
          <w:szCs w:val="30"/>
          <w:highlight w:val="none"/>
        </w:rPr>
        <w:t>委托单位：</w:t>
      </w:r>
      <w:r>
        <w:rPr>
          <w:rFonts w:hint="eastAsia" w:ascii="宋体" w:hAnsi="宋体" w:eastAsia="宋体" w:cs="宋体"/>
          <w:color w:val="auto"/>
          <w:sz w:val="36"/>
          <w:szCs w:val="30"/>
          <w:highlight w:val="none"/>
          <w:u w:val="single"/>
          <w:lang w:val="en-US" w:eastAsia="zh-CN"/>
        </w:rPr>
        <w:t>滁州市市政设施管理中心</w:t>
      </w:r>
    </w:p>
    <w:p w14:paraId="008F8D69">
      <w:pPr>
        <w:spacing w:line="800" w:lineRule="exact"/>
        <w:rPr>
          <w:rFonts w:hint="eastAsia" w:ascii="宋体" w:hAnsi="宋体" w:eastAsia="宋体" w:cs="宋体"/>
          <w:color w:val="auto"/>
          <w:sz w:val="36"/>
          <w:szCs w:val="30"/>
          <w:highlight w:val="none"/>
          <w:u w:val="single"/>
          <w:lang w:eastAsia="zh-CN"/>
        </w:rPr>
      </w:pPr>
      <w:r>
        <w:rPr>
          <w:rFonts w:hint="eastAsia" w:ascii="宋体" w:hAnsi="宋体" w:eastAsia="宋体" w:cs="宋体"/>
          <w:color w:val="auto"/>
          <w:sz w:val="36"/>
          <w:szCs w:val="30"/>
          <w:highlight w:val="none"/>
        </w:rPr>
        <w:t>工程名称：</w:t>
      </w:r>
      <w:r>
        <w:rPr>
          <w:rFonts w:hint="eastAsia" w:ascii="宋体" w:hAnsi="宋体" w:cs="宋体"/>
          <w:color w:val="auto"/>
          <w:sz w:val="36"/>
          <w:szCs w:val="30"/>
          <w:highlight w:val="none"/>
          <w:u w:val="single"/>
          <w:lang w:val="en-US" w:eastAsia="zh-CN"/>
        </w:rPr>
        <w:t>2023年度市政道路部分人行道提升改造工程结算复核服务项目</w:t>
      </w:r>
    </w:p>
    <w:p w14:paraId="0EB3D2B5">
      <w:pPr>
        <w:spacing w:line="800" w:lineRule="exact"/>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签订时间：</w:t>
      </w:r>
      <w:r>
        <w:rPr>
          <w:rFonts w:hint="eastAsia" w:ascii="宋体" w:hAnsi="宋体" w:eastAsia="宋体" w:cs="宋体"/>
          <w:color w:val="auto"/>
          <w:sz w:val="36"/>
          <w:szCs w:val="30"/>
          <w:highlight w:val="none"/>
          <w:u w:val="single"/>
        </w:rPr>
        <w:t xml:space="preserve"> 202</w:t>
      </w:r>
      <w:r>
        <w:rPr>
          <w:rFonts w:hint="eastAsia" w:ascii="宋体" w:hAnsi="宋体" w:cs="宋体"/>
          <w:color w:val="auto"/>
          <w:sz w:val="36"/>
          <w:szCs w:val="30"/>
          <w:highlight w:val="none"/>
          <w:u w:val="single"/>
          <w:lang w:val="en-US" w:eastAsia="zh-CN"/>
        </w:rPr>
        <w:t>5</w:t>
      </w:r>
      <w:r>
        <w:rPr>
          <w:rFonts w:hint="eastAsia" w:ascii="宋体" w:hAnsi="宋体" w:eastAsia="宋体" w:cs="宋体"/>
          <w:color w:val="auto"/>
          <w:sz w:val="36"/>
          <w:szCs w:val="30"/>
          <w:highlight w:val="none"/>
        </w:rPr>
        <w:t>年</w:t>
      </w:r>
      <w:r>
        <w:rPr>
          <w:rFonts w:hint="eastAsia" w:ascii="宋体" w:hAnsi="宋体" w:eastAsia="宋体" w:cs="宋体"/>
          <w:color w:val="auto"/>
          <w:sz w:val="36"/>
          <w:szCs w:val="30"/>
          <w:highlight w:val="none"/>
          <w:u w:val="single"/>
        </w:rPr>
        <w:t xml:space="preserve">      </w:t>
      </w:r>
      <w:r>
        <w:rPr>
          <w:rFonts w:hint="eastAsia" w:ascii="宋体" w:hAnsi="宋体" w:eastAsia="宋体" w:cs="宋体"/>
          <w:color w:val="auto"/>
          <w:sz w:val="36"/>
          <w:szCs w:val="30"/>
          <w:highlight w:val="none"/>
        </w:rPr>
        <w:t>月</w:t>
      </w:r>
      <w:r>
        <w:rPr>
          <w:rFonts w:hint="eastAsia" w:ascii="宋体" w:hAnsi="宋体" w:eastAsia="宋体" w:cs="宋体"/>
          <w:color w:val="auto"/>
          <w:sz w:val="36"/>
          <w:szCs w:val="30"/>
          <w:highlight w:val="none"/>
          <w:u w:val="single"/>
        </w:rPr>
        <w:t xml:space="preserve">      </w:t>
      </w:r>
      <w:r>
        <w:rPr>
          <w:rFonts w:hint="eastAsia" w:ascii="宋体" w:hAnsi="宋体" w:eastAsia="宋体" w:cs="宋体"/>
          <w:color w:val="auto"/>
          <w:sz w:val="36"/>
          <w:szCs w:val="30"/>
          <w:highlight w:val="none"/>
        </w:rPr>
        <w:t>日</w:t>
      </w:r>
    </w:p>
    <w:p w14:paraId="10A6F23C">
      <w:pPr>
        <w:pStyle w:val="2"/>
        <w:rPr>
          <w:rFonts w:hint="eastAsia" w:ascii="宋体" w:hAnsi="宋体" w:eastAsia="宋体" w:cs="宋体"/>
          <w:color w:val="auto"/>
          <w:highlight w:val="none"/>
        </w:rPr>
      </w:pPr>
    </w:p>
    <w:p w14:paraId="563F2715">
      <w:pPr>
        <w:pStyle w:val="2"/>
        <w:rPr>
          <w:rFonts w:hint="eastAsia" w:ascii="宋体" w:hAnsi="宋体" w:eastAsia="宋体" w:cs="宋体"/>
          <w:color w:val="auto"/>
          <w:highlight w:val="none"/>
        </w:rPr>
      </w:pPr>
    </w:p>
    <w:p w14:paraId="1E562EAA">
      <w:pPr>
        <w:pStyle w:val="6"/>
        <w:keepNext/>
        <w:keepLines/>
        <w:pageBreakBefore/>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结算审计复核委托协议</w:t>
      </w:r>
    </w:p>
    <w:p w14:paraId="15C5F011">
      <w:pPr>
        <w:adjustRightInd w:val="0"/>
        <w:snapToGrid w:val="0"/>
        <w:jc w:val="left"/>
        <w:rPr>
          <w:rFonts w:hint="eastAsia" w:ascii="宋体" w:hAnsi="宋体" w:eastAsia="宋体" w:cs="宋体"/>
          <w:color w:val="auto"/>
          <w:sz w:val="18"/>
          <w:szCs w:val="18"/>
          <w:highlight w:val="none"/>
        </w:rPr>
      </w:pPr>
    </w:p>
    <w:p w14:paraId="3F2FCB2A">
      <w:pPr>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委托人（全称）：</w:t>
      </w:r>
      <w:r>
        <w:rPr>
          <w:rFonts w:hint="eastAsia" w:ascii="宋体" w:hAnsi="宋体" w:eastAsia="宋体" w:cs="宋体"/>
          <w:color w:val="auto"/>
          <w:sz w:val="28"/>
          <w:szCs w:val="28"/>
          <w:highlight w:val="none"/>
          <w:lang w:val="en-US" w:eastAsia="zh-CN"/>
        </w:rPr>
        <w:t>滁州市市政设施管理中心</w:t>
      </w:r>
      <w:r>
        <w:rPr>
          <w:rFonts w:hint="eastAsia" w:ascii="宋体" w:hAnsi="宋体" w:eastAsia="宋体" w:cs="宋体"/>
          <w:color w:val="auto"/>
          <w:sz w:val="28"/>
          <w:szCs w:val="28"/>
          <w:highlight w:val="none"/>
        </w:rPr>
        <w:t xml:space="preserve"> </w:t>
      </w:r>
    </w:p>
    <w:p w14:paraId="4AC18DA2">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受托人（全称）：</w:t>
      </w:r>
      <w:r>
        <w:rPr>
          <w:rFonts w:hint="eastAsia" w:ascii="宋体" w:hAnsi="宋体" w:eastAsia="宋体" w:cs="宋体"/>
          <w:color w:val="auto"/>
          <w:sz w:val="28"/>
          <w:szCs w:val="28"/>
          <w:highlight w:val="none"/>
          <w:u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7402B6BA">
      <w:pPr>
        <w:ind w:firstLine="560" w:firstLineChars="200"/>
        <w:rPr>
          <w:rFonts w:hint="eastAsia" w:ascii="宋体" w:hAnsi="宋体" w:eastAsia="宋体" w:cs="宋体"/>
          <w:color w:val="auto"/>
          <w:sz w:val="28"/>
          <w:szCs w:val="28"/>
          <w:highlight w:val="none"/>
        </w:rPr>
      </w:pPr>
    </w:p>
    <w:p w14:paraId="374D1E89">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为保证滁州市政府投资项目审计工作质量和效率，依据《中华人民共和国</w:t>
      </w:r>
      <w:r>
        <w:rPr>
          <w:rFonts w:hint="eastAsia" w:ascii="宋体" w:hAnsi="宋体" w:eastAsia="宋体" w:cs="宋体"/>
          <w:color w:val="auto"/>
          <w:sz w:val="28"/>
          <w:szCs w:val="28"/>
          <w:highlight w:val="none"/>
          <w:lang w:eastAsia="zh-CN"/>
        </w:rPr>
        <w:t>民法典</w:t>
      </w:r>
      <w:r>
        <w:rPr>
          <w:rFonts w:hint="eastAsia" w:ascii="宋体" w:hAnsi="宋体" w:eastAsia="宋体" w:cs="宋体"/>
          <w:color w:val="auto"/>
          <w:sz w:val="28"/>
          <w:szCs w:val="28"/>
          <w:highlight w:val="none"/>
        </w:rPr>
        <w:t>》等有关法律规定，遵循平等、自愿、公平和诚实信用的原则，双方就</w:t>
      </w:r>
      <w:r>
        <w:rPr>
          <w:rFonts w:hint="eastAsia" w:ascii="宋体" w:hAnsi="宋体" w:cs="宋体"/>
          <w:color w:val="auto"/>
          <w:sz w:val="28"/>
          <w:szCs w:val="28"/>
          <w:highlight w:val="none"/>
          <w:u w:val="single"/>
          <w:lang w:val="en-US" w:eastAsia="zh-CN"/>
        </w:rPr>
        <w:t xml:space="preserve"> 2023年度市政道路部分人行道提升改造工程 </w:t>
      </w:r>
      <w:r>
        <w:rPr>
          <w:rFonts w:hint="eastAsia" w:ascii="宋体" w:hAnsi="宋体" w:eastAsia="宋体" w:cs="宋体"/>
          <w:color w:val="auto"/>
          <w:sz w:val="28"/>
          <w:szCs w:val="28"/>
          <w:highlight w:val="none"/>
        </w:rPr>
        <w:t>及有关事项协商一致，共同达成如下协议：</w:t>
      </w:r>
    </w:p>
    <w:p w14:paraId="1D6BB49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一、项目概况</w:t>
      </w:r>
    </w:p>
    <w:p w14:paraId="2CE4B9EA">
      <w:pPr>
        <w:ind w:firstLine="560" w:firstLineChars="200"/>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bCs/>
          <w:color w:val="auto"/>
          <w:sz w:val="28"/>
          <w:szCs w:val="28"/>
          <w:highlight w:val="none"/>
        </w:rPr>
        <w:t>1、项目名称</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u w:val="single"/>
          <w:lang w:val="en-US" w:eastAsia="zh-CN"/>
        </w:rPr>
        <w:t>2023年度市政道路部分人行道提升改造工程结算复核服务项目</w:t>
      </w:r>
    </w:p>
    <w:p w14:paraId="1BD8E276">
      <w:pPr>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2、项目造价</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p>
    <w:p w14:paraId="356432EA">
      <w:pPr>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3、委托内容：</w:t>
      </w:r>
      <w:r>
        <w:rPr>
          <w:rFonts w:hint="eastAsia" w:ascii="宋体" w:hAnsi="宋体" w:eastAsia="宋体" w:cs="宋体"/>
          <w:color w:val="auto"/>
          <w:sz w:val="28"/>
          <w:szCs w:val="28"/>
          <w:highlight w:val="none"/>
          <w:u w:val="single"/>
        </w:rPr>
        <w:t>结算审计复核。</w:t>
      </w:r>
    </w:p>
    <w:p w14:paraId="753C4C6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二、项目结算复核人员配备</w:t>
      </w:r>
    </w:p>
    <w:p w14:paraId="5F823F2F">
      <w:pPr>
        <w:widowControl/>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项目组成人员要求：企业拟派的项目负责人：</w:t>
      </w:r>
      <w:r>
        <w:rPr>
          <w:rFonts w:hint="eastAsia" w:ascii="宋体" w:hAnsi="宋体" w:cs="宋体"/>
          <w:color w:val="auto"/>
          <w:sz w:val="28"/>
          <w:szCs w:val="28"/>
          <w:highlight w:val="none"/>
          <w:lang w:val="en-US" w:eastAsia="zh-CN"/>
        </w:rPr>
        <w:t>一级</w:t>
      </w:r>
      <w:r>
        <w:rPr>
          <w:rFonts w:hint="eastAsia" w:ascii="宋体" w:hAnsi="宋体" w:eastAsia="宋体" w:cs="宋体"/>
          <w:color w:val="auto"/>
          <w:sz w:val="28"/>
          <w:szCs w:val="28"/>
          <w:highlight w:val="none"/>
        </w:rPr>
        <w:t>注册造价工程师（或一级造价师）1名；项目组成人员：</w:t>
      </w:r>
      <w:r>
        <w:rPr>
          <w:rFonts w:hint="eastAsia" w:ascii="宋体" w:hAnsi="宋体" w:eastAsia="宋体" w:cs="宋体"/>
          <w:color w:val="auto"/>
          <w:sz w:val="28"/>
          <w:szCs w:val="28"/>
          <w:highlight w:val="none"/>
          <w:lang w:val="en-US" w:eastAsia="zh-CN"/>
        </w:rPr>
        <w:t>二级及以上</w:t>
      </w:r>
      <w:r>
        <w:rPr>
          <w:rFonts w:hint="eastAsia" w:ascii="宋体" w:hAnsi="宋体" w:eastAsia="宋体" w:cs="宋体"/>
          <w:color w:val="auto"/>
          <w:sz w:val="28"/>
          <w:szCs w:val="28"/>
          <w:highlight w:val="none"/>
        </w:rPr>
        <w:t>注册造价工程师不少于</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名。</w:t>
      </w:r>
    </w:p>
    <w:p w14:paraId="5377CF51">
      <w:pPr>
        <w:widowControl/>
        <w:ind w:left="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本项目结算复核人员为：</w:t>
      </w:r>
    </w:p>
    <w:p w14:paraId="1C039C48">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项目负责人：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5CA34A8E">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项目组成人员：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12514649">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项目组成人员：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02BBEC5A">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三、咨询期限</w:t>
      </w:r>
    </w:p>
    <w:p w14:paraId="1EC3B369">
      <w:pPr>
        <w:spacing w:line="580" w:lineRule="exact"/>
        <w:ind w:firstLine="548" w:firstLineChars="19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1、计划开始日期：</w:t>
      </w:r>
      <w:r>
        <w:rPr>
          <w:rFonts w:hint="eastAsia" w:ascii="宋体" w:hAnsi="宋体" w:eastAsia="宋体" w:cs="宋体"/>
          <w:bCs/>
          <w:color w:val="auto"/>
          <w:sz w:val="28"/>
          <w:szCs w:val="28"/>
          <w:highlight w:val="none"/>
          <w:u w:val="single"/>
        </w:rPr>
        <w:t xml:space="preserve">  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6317D9E1">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2、计划结束日期：</w:t>
      </w:r>
      <w:r>
        <w:rPr>
          <w:rFonts w:hint="eastAsia" w:ascii="宋体" w:hAnsi="宋体" w:eastAsia="宋体" w:cs="宋体"/>
          <w:bCs/>
          <w:color w:val="auto"/>
          <w:sz w:val="28"/>
          <w:szCs w:val="28"/>
          <w:highlight w:val="none"/>
          <w:u w:val="single"/>
        </w:rPr>
        <w:t xml:space="preserve">  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47AB2734">
      <w:pPr>
        <w:pStyle w:val="2"/>
        <w:ind w:left="0" w:leftChars="0" w:firstLine="6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3、结算复核时限要求：执行滁重〔</w:t>
      </w:r>
      <w:r>
        <w:rPr>
          <w:rFonts w:hint="eastAsia" w:ascii="宋体" w:hAnsi="宋体" w:eastAsia="宋体" w:cs="宋体"/>
          <w:bCs/>
          <w:color w:val="auto"/>
          <w:sz w:val="28"/>
          <w:szCs w:val="28"/>
          <w:highlight w:val="none"/>
          <w:lang w:eastAsia="zh-CN"/>
        </w:rPr>
        <w:t>20</w:t>
      </w:r>
      <w:r>
        <w:rPr>
          <w:rFonts w:hint="eastAsia" w:ascii="宋体" w:hAnsi="宋体" w:eastAsia="宋体" w:cs="宋体"/>
          <w:bCs/>
          <w:color w:val="auto"/>
          <w:sz w:val="28"/>
          <w:szCs w:val="28"/>
          <w:highlight w:val="none"/>
          <w:lang w:val="en-US" w:eastAsia="zh-CN"/>
        </w:rPr>
        <w:t>22</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55号</w:t>
      </w:r>
      <w:r>
        <w:rPr>
          <w:rFonts w:hint="eastAsia" w:ascii="宋体" w:hAnsi="宋体" w:eastAsia="宋体" w:cs="宋体"/>
          <w:bCs/>
          <w:color w:val="auto"/>
          <w:sz w:val="28"/>
          <w:szCs w:val="28"/>
          <w:highlight w:val="none"/>
        </w:rPr>
        <w:t>《工程</w:t>
      </w:r>
      <w:r>
        <w:rPr>
          <w:rFonts w:hint="eastAsia" w:ascii="宋体" w:hAnsi="宋体" w:eastAsia="宋体" w:cs="宋体"/>
          <w:color w:val="auto"/>
          <w:sz w:val="28"/>
          <w:szCs w:val="28"/>
          <w:highlight w:val="none"/>
        </w:rPr>
        <w:t>造价咨询服务管理办法》的通知第十</w:t>
      </w:r>
      <w:r>
        <w:rPr>
          <w:rFonts w:hint="eastAsia" w:ascii="宋体" w:hAnsi="宋体" w:eastAsia="宋体" w:cs="宋体"/>
          <w:color w:val="auto"/>
          <w:sz w:val="28"/>
          <w:szCs w:val="28"/>
          <w:highlight w:val="none"/>
          <w:lang w:eastAsia="zh-CN"/>
        </w:rPr>
        <w:t>八</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十九</w:t>
      </w:r>
      <w:r>
        <w:rPr>
          <w:rFonts w:hint="eastAsia" w:ascii="宋体" w:hAnsi="宋体" w:eastAsia="宋体" w:cs="宋体"/>
          <w:color w:val="auto"/>
          <w:sz w:val="28"/>
          <w:szCs w:val="28"/>
          <w:highlight w:val="none"/>
        </w:rPr>
        <w:t>条规定。</w:t>
      </w:r>
    </w:p>
    <w:p w14:paraId="5F248DCD">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四、质量标准</w:t>
      </w:r>
    </w:p>
    <w:p w14:paraId="1FD0EAFC">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工程造价咨询成果文件质量符合</w:t>
      </w:r>
      <w:r>
        <w:rPr>
          <w:rFonts w:hint="eastAsia" w:ascii="宋体" w:hAnsi="宋体" w:eastAsia="宋体" w:cs="宋体"/>
          <w:color w:val="auto"/>
          <w:sz w:val="28"/>
          <w:szCs w:val="28"/>
          <w:highlight w:val="none"/>
          <w:u w:val="single"/>
        </w:rPr>
        <w:t xml:space="preserve">《建设工程造价咨询成果文件质量标准》（CECA/GC7-2012)要求 </w:t>
      </w:r>
      <w:r>
        <w:rPr>
          <w:rFonts w:hint="eastAsia" w:ascii="宋体" w:hAnsi="宋体" w:eastAsia="宋体" w:cs="宋体"/>
          <w:color w:val="auto"/>
          <w:sz w:val="28"/>
          <w:szCs w:val="28"/>
          <w:highlight w:val="none"/>
        </w:rPr>
        <w:t>标准。</w:t>
      </w:r>
    </w:p>
    <w:p w14:paraId="2EDA499F">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五、咨询酬金 </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41EE2414">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3D0D602F">
            <w:pPr>
              <w:keepNext w:val="0"/>
              <w:keepLines w:val="0"/>
              <w:pageBreakBefore w:val="0"/>
              <w:widowControl/>
              <w:kinsoku/>
              <w:wordWrap/>
              <w:overflowPunct/>
              <w:topLinePunct w:val="0"/>
              <w:autoSpaceDE/>
              <w:autoSpaceDN/>
              <w:bidi w:val="0"/>
              <w:adjustRightInd/>
              <w:spacing w:line="600" w:lineRule="exact"/>
              <w:ind w:left="0" w:left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36D8FAD">
            <w:pPr>
              <w:keepNext w:val="0"/>
              <w:keepLines w:val="0"/>
              <w:pageBreakBefore w:val="0"/>
              <w:widowControl/>
              <w:kinsoku/>
              <w:wordWrap/>
              <w:overflowPunct/>
              <w:topLinePunct w:val="0"/>
              <w:autoSpaceDE/>
              <w:autoSpaceDN/>
              <w:bidi w:val="0"/>
              <w:adjustRightInd/>
              <w:spacing w:line="600" w:lineRule="exac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基本费</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元</w:t>
            </w:r>
            <w:r>
              <w:rPr>
                <w:rFonts w:hint="eastAsia" w:ascii="宋体" w:hAnsi="宋体" w:eastAsia="宋体" w:cs="宋体"/>
                <w:color w:val="auto"/>
                <w:kern w:val="0"/>
                <w:sz w:val="28"/>
                <w:szCs w:val="28"/>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3C0870F7">
            <w:pPr>
              <w:keepNext w:val="0"/>
              <w:keepLines w:val="0"/>
              <w:pageBreakBefore w:val="0"/>
              <w:widowControl/>
              <w:kinsoku/>
              <w:wordWrap/>
              <w:overflowPunct/>
              <w:topLinePunct w:val="0"/>
              <w:autoSpaceDE/>
              <w:autoSpaceDN/>
              <w:bidi w:val="0"/>
              <w:adjustRightInd/>
              <w:spacing w:line="600" w:lineRule="exact"/>
              <w:ind w:left="0" w:leftChars="0" w:firstLine="280" w:firstLineChars="1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审核成果费</w:t>
            </w:r>
            <w:r>
              <w:rPr>
                <w:rFonts w:hint="eastAsia" w:ascii="宋体" w:hAnsi="宋体" w:eastAsia="宋体" w:cs="宋体"/>
                <w:color w:val="auto"/>
                <w:kern w:val="0"/>
                <w:sz w:val="28"/>
                <w:szCs w:val="28"/>
                <w:highlight w:val="none"/>
                <w:lang w:val="en-US" w:eastAsia="zh-CN"/>
              </w:rPr>
              <w:t>率</w:t>
            </w:r>
          </w:p>
        </w:tc>
      </w:tr>
      <w:tr w14:paraId="09FFB09A">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0CDF944F">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color w:val="auto"/>
                <w:kern w:val="0"/>
                <w:sz w:val="28"/>
                <w:szCs w:val="28"/>
                <w:highlight w:val="none"/>
              </w:rPr>
            </w:pPr>
          </w:p>
        </w:tc>
        <w:tc>
          <w:tcPr>
            <w:tcW w:w="2280" w:type="dxa"/>
            <w:tcBorders>
              <w:top w:val="nil"/>
              <w:left w:val="nil"/>
              <w:bottom w:val="single" w:color="auto" w:sz="4" w:space="0"/>
              <w:right w:val="single" w:color="auto" w:sz="4" w:space="0"/>
            </w:tcBorders>
            <w:noWrap w:val="0"/>
            <w:vAlign w:val="center"/>
          </w:tcPr>
          <w:p w14:paraId="17D1D8D8">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color w:val="auto"/>
                <w:kern w:val="0"/>
                <w:sz w:val="28"/>
                <w:szCs w:val="28"/>
                <w:highlight w:val="none"/>
              </w:rPr>
            </w:pPr>
          </w:p>
        </w:tc>
        <w:tc>
          <w:tcPr>
            <w:tcW w:w="2340" w:type="dxa"/>
            <w:tcBorders>
              <w:top w:val="nil"/>
              <w:left w:val="nil"/>
              <w:bottom w:val="single" w:color="auto" w:sz="4" w:space="0"/>
              <w:right w:val="single" w:color="auto" w:sz="4" w:space="0"/>
            </w:tcBorders>
            <w:noWrap w:val="0"/>
            <w:vAlign w:val="center"/>
          </w:tcPr>
          <w:p w14:paraId="2D1FF148">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w:t>
            </w:r>
          </w:p>
        </w:tc>
      </w:tr>
    </w:tbl>
    <w:p w14:paraId="4DF8A5A3">
      <w:pPr>
        <w:keepNext w:val="0"/>
        <w:keepLines w:val="0"/>
        <w:pageBreakBefore w:val="0"/>
        <w:kinsoku/>
        <w:wordWrap/>
        <w:overflowPunct/>
        <w:topLinePunct w:val="0"/>
        <w:autoSpaceDE/>
        <w:autoSpaceDN/>
        <w:bidi w:val="0"/>
        <w:adjustRightInd/>
        <w:spacing w:line="6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sz w:val="28"/>
          <w:szCs w:val="28"/>
          <w:highlight w:val="none"/>
          <w:lang w:val="en-US" w:eastAsia="zh-CN"/>
        </w:rPr>
        <w:t xml:space="preserve">1. </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费计算方式为：基本费+审核成果费。其中，审核成果费计算基数为</w:t>
      </w:r>
      <w:r>
        <w:rPr>
          <w:rFonts w:hint="eastAsia" w:ascii="宋体" w:hAnsi="宋体" w:eastAsia="宋体" w:cs="宋体"/>
          <w:color w:val="auto"/>
          <w:sz w:val="28"/>
          <w:szCs w:val="28"/>
          <w:highlight w:val="none"/>
          <w:lang w:eastAsia="zh-CN"/>
        </w:rPr>
        <w:t>独立</w:t>
      </w:r>
      <w:r>
        <w:rPr>
          <w:rFonts w:hint="eastAsia" w:ascii="宋体" w:hAnsi="宋体" w:eastAsia="宋体" w:cs="宋体"/>
          <w:color w:val="auto"/>
          <w:sz w:val="28"/>
          <w:szCs w:val="28"/>
          <w:highlight w:val="none"/>
        </w:rPr>
        <w:t>核减金额。</w:t>
      </w:r>
    </w:p>
    <w:p w14:paraId="0E32F42A">
      <w:pPr>
        <w:keepNext w:val="0"/>
        <w:keepLines w:val="0"/>
        <w:pageBreakBefore w:val="0"/>
        <w:numPr>
          <w:ilvl w:val="0"/>
          <w:numId w:val="0"/>
        </w:numPr>
        <w:kinsoku/>
        <w:wordWrap/>
        <w:overflowPunct/>
        <w:topLinePunct w:val="0"/>
        <w:autoSpaceDE/>
        <w:autoSpaceDN/>
        <w:bidi w:val="0"/>
        <w:adjustRightInd/>
        <w:spacing w:line="6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工程造价审减率超过</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将对施工单位进行处罚，处罚金额为</w:t>
      </w:r>
      <w:r>
        <w:rPr>
          <w:rFonts w:hint="eastAsia" w:ascii="宋体" w:hAnsi="宋体" w:eastAsia="宋体" w:cs="宋体"/>
          <w:color w:val="auto"/>
          <w:sz w:val="28"/>
          <w:szCs w:val="28"/>
          <w:highlight w:val="none"/>
        </w:rPr>
        <w:t>审减率</w:t>
      </w:r>
      <w:r>
        <w:rPr>
          <w:rFonts w:hint="eastAsia" w:ascii="宋体" w:hAnsi="宋体" w:eastAsia="宋体" w:cs="宋体"/>
          <w:color w:val="auto"/>
          <w:sz w:val="28"/>
          <w:szCs w:val="28"/>
          <w:highlight w:val="none"/>
          <w:lang w:eastAsia="zh-CN"/>
        </w:rPr>
        <w:t>超出</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以上的报送金额的</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由综合计划科在定案时明确处罚金额报工程监管科落实处罚</w:t>
      </w:r>
      <w:r>
        <w:rPr>
          <w:rFonts w:hint="eastAsia" w:ascii="宋体" w:hAnsi="宋体" w:eastAsia="宋体" w:cs="宋体"/>
          <w:b w:val="0"/>
          <w:bCs w:val="0"/>
          <w:color w:val="auto"/>
          <w:sz w:val="28"/>
          <w:szCs w:val="28"/>
          <w:highlight w:val="none"/>
        </w:rPr>
        <w:t>。</w:t>
      </w:r>
    </w:p>
    <w:p w14:paraId="2C03AEA1">
      <w:pPr>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kern w:val="2"/>
          <w:sz w:val="28"/>
          <w:szCs w:val="28"/>
          <w:highlight w:val="none"/>
          <w:lang w:val="en-US" w:eastAsia="zh-CN" w:bidi="ar-SA"/>
        </w:rPr>
        <w:t>付款方式：出具审核报告，交付招标人初审确认，报经招标人备案审查通过后，按照招标人审查备案金额结算支付审计服务费用。（注：发包人在政府资金调度会批准且发票送达后完成支付）。</w:t>
      </w:r>
    </w:p>
    <w:p w14:paraId="16DD103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六、处罚规定</w:t>
      </w:r>
    </w:p>
    <w:p w14:paraId="65D7F829">
      <w:pPr>
        <w:pStyle w:val="2"/>
        <w:ind w:left="0" w:leftChars="0" w:firstLine="6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执行</w:t>
      </w:r>
      <w:r>
        <w:rPr>
          <w:rFonts w:hint="eastAsia" w:ascii="宋体" w:hAnsi="宋体" w:eastAsia="宋体" w:cs="宋体"/>
          <w:bCs/>
          <w:color w:val="auto"/>
          <w:sz w:val="28"/>
          <w:szCs w:val="28"/>
          <w:highlight w:val="none"/>
        </w:rPr>
        <w:t>《工程</w:t>
      </w:r>
      <w:r>
        <w:rPr>
          <w:rFonts w:hint="eastAsia" w:ascii="宋体" w:hAnsi="宋体" w:eastAsia="宋体" w:cs="宋体"/>
          <w:color w:val="auto"/>
          <w:sz w:val="28"/>
          <w:szCs w:val="28"/>
          <w:highlight w:val="none"/>
        </w:rPr>
        <w:t>造价咨询服务管理办法》（</w:t>
      </w:r>
      <w:r>
        <w:rPr>
          <w:rFonts w:hint="eastAsia" w:ascii="宋体" w:hAnsi="宋体" w:eastAsia="宋体" w:cs="宋体"/>
          <w:bCs/>
          <w:color w:val="auto"/>
          <w:sz w:val="28"/>
          <w:szCs w:val="28"/>
          <w:highlight w:val="none"/>
        </w:rPr>
        <w:t>滁重〔</w:t>
      </w:r>
      <w:r>
        <w:rPr>
          <w:rFonts w:hint="eastAsia" w:ascii="宋体" w:hAnsi="宋体" w:eastAsia="宋体" w:cs="宋体"/>
          <w:bCs/>
          <w:color w:val="auto"/>
          <w:sz w:val="28"/>
          <w:szCs w:val="28"/>
          <w:highlight w:val="none"/>
          <w:lang w:eastAsia="zh-CN"/>
        </w:rPr>
        <w:t>20</w:t>
      </w:r>
      <w:r>
        <w:rPr>
          <w:rFonts w:hint="eastAsia" w:ascii="宋体" w:hAnsi="宋体" w:eastAsia="宋体" w:cs="宋体"/>
          <w:bCs/>
          <w:color w:val="auto"/>
          <w:sz w:val="28"/>
          <w:szCs w:val="28"/>
          <w:highlight w:val="none"/>
          <w:lang w:val="en-US" w:eastAsia="zh-CN"/>
        </w:rPr>
        <w:t>22</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55号</w:t>
      </w:r>
      <w:r>
        <w:rPr>
          <w:rFonts w:hint="eastAsia" w:ascii="宋体" w:hAnsi="宋体" w:eastAsia="宋体" w:cs="宋体"/>
          <w:color w:val="auto"/>
          <w:sz w:val="28"/>
          <w:szCs w:val="28"/>
          <w:highlight w:val="none"/>
        </w:rPr>
        <w:t>）第七章。</w:t>
      </w:r>
    </w:p>
    <w:p w14:paraId="1D72AA88">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七、签订时间</w:t>
      </w:r>
    </w:p>
    <w:p w14:paraId="0A8BDA9C">
      <w:pPr>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本合同于</w:t>
      </w:r>
      <w:r>
        <w:rPr>
          <w:rFonts w:hint="eastAsia" w:ascii="宋体" w:hAnsi="宋体" w:eastAsia="宋体" w:cs="宋体"/>
          <w:color w:val="auto"/>
          <w:sz w:val="28"/>
          <w:szCs w:val="28"/>
          <w:highlight w:val="none"/>
          <w:u w:val="single"/>
        </w:rPr>
        <w:t xml:space="preserve">  20</w:t>
      </w:r>
      <w:r>
        <w:rPr>
          <w:rFonts w:hint="eastAsia" w:ascii="宋体" w:hAnsi="宋体" w:eastAsia="宋体" w:cs="宋体"/>
          <w:color w:val="auto"/>
          <w:sz w:val="28"/>
          <w:szCs w:val="28"/>
          <w:highlight w:val="none"/>
          <w:u w:val="single"/>
          <w:lang w:val="en-US" w:eastAsia="zh-CN"/>
        </w:rPr>
        <w:t>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bCs/>
          <w:color w:val="auto"/>
          <w:sz w:val="28"/>
          <w:szCs w:val="28"/>
          <w:highlight w:val="none"/>
        </w:rPr>
        <w:t>签订</w:t>
      </w:r>
      <w:r>
        <w:rPr>
          <w:rFonts w:hint="eastAsia" w:ascii="宋体" w:hAnsi="宋体" w:eastAsia="宋体" w:cs="宋体"/>
          <w:color w:val="auto"/>
          <w:sz w:val="28"/>
          <w:szCs w:val="28"/>
          <w:highlight w:val="none"/>
        </w:rPr>
        <w:t>。</w:t>
      </w:r>
    </w:p>
    <w:p w14:paraId="04EBCAF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八、签订地点</w:t>
      </w:r>
    </w:p>
    <w:p w14:paraId="6F935966">
      <w:pPr>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本合同在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滁州市市政设施管理中心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签订。</w:t>
      </w:r>
    </w:p>
    <w:p w14:paraId="630D3FCC">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九、补充协议</w:t>
      </w:r>
    </w:p>
    <w:p w14:paraId="6022A71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合同未尽事宜，合同当事人另行签订补充协议，补充协议是合同的组成部分。</w:t>
      </w:r>
    </w:p>
    <w:p w14:paraId="7A2EF4F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十、合同生效</w:t>
      </w:r>
    </w:p>
    <w:p w14:paraId="3716327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本合同自</w:t>
      </w:r>
      <w:r>
        <w:rPr>
          <w:rFonts w:hint="eastAsia" w:ascii="宋体" w:hAnsi="宋体" w:eastAsia="宋体" w:cs="宋体"/>
          <w:color w:val="auto"/>
          <w:sz w:val="28"/>
          <w:szCs w:val="28"/>
          <w:highlight w:val="none"/>
          <w:u w:val="single"/>
        </w:rPr>
        <w:t xml:space="preserve">   签订之日起   </w:t>
      </w:r>
      <w:r>
        <w:rPr>
          <w:rFonts w:hint="eastAsia" w:ascii="宋体" w:hAnsi="宋体" w:eastAsia="宋体" w:cs="宋体"/>
          <w:color w:val="auto"/>
          <w:sz w:val="28"/>
          <w:szCs w:val="28"/>
          <w:highlight w:val="none"/>
        </w:rPr>
        <w:t>生效。</w:t>
      </w:r>
    </w:p>
    <w:p w14:paraId="793F147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十一、合同份数</w:t>
      </w:r>
    </w:p>
    <w:p w14:paraId="5B85F39B">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本合同一式</w:t>
      </w:r>
      <w:r>
        <w:rPr>
          <w:rFonts w:hint="eastAsia" w:ascii="宋体" w:hAnsi="宋体" w:eastAsia="宋体" w:cs="宋体"/>
          <w:color w:val="auto"/>
          <w:sz w:val="28"/>
          <w:szCs w:val="28"/>
          <w:highlight w:val="none"/>
          <w:u w:val="single"/>
        </w:rPr>
        <w:t xml:space="preserve">  肆  </w:t>
      </w:r>
      <w:r>
        <w:rPr>
          <w:rFonts w:hint="eastAsia" w:ascii="宋体" w:hAnsi="宋体" w:eastAsia="宋体" w:cs="宋体"/>
          <w:color w:val="auto"/>
          <w:sz w:val="28"/>
          <w:szCs w:val="28"/>
          <w:highlight w:val="none"/>
        </w:rPr>
        <w:t>份，均具有同等法律效力，委托人</w:t>
      </w:r>
      <w:r>
        <w:rPr>
          <w:rFonts w:hint="eastAsia" w:ascii="宋体" w:hAnsi="宋体" w:eastAsia="宋体" w:cs="宋体"/>
          <w:color w:val="auto"/>
          <w:sz w:val="28"/>
          <w:szCs w:val="28"/>
          <w:highlight w:val="none"/>
          <w:u w:val="single"/>
        </w:rPr>
        <w:t xml:space="preserve">  贰  </w:t>
      </w:r>
      <w:r>
        <w:rPr>
          <w:rFonts w:hint="eastAsia" w:ascii="宋体" w:hAnsi="宋体" w:eastAsia="宋体" w:cs="宋体"/>
          <w:color w:val="auto"/>
          <w:sz w:val="28"/>
          <w:szCs w:val="28"/>
          <w:highlight w:val="none"/>
        </w:rPr>
        <w:t>份，咨询人</w:t>
      </w:r>
      <w:r>
        <w:rPr>
          <w:rFonts w:hint="eastAsia" w:ascii="宋体" w:hAnsi="宋体" w:eastAsia="宋体" w:cs="宋体"/>
          <w:color w:val="auto"/>
          <w:sz w:val="28"/>
          <w:szCs w:val="28"/>
          <w:highlight w:val="none"/>
          <w:u w:val="single"/>
        </w:rPr>
        <w:t xml:space="preserve">  贰  </w:t>
      </w:r>
      <w:r>
        <w:rPr>
          <w:rFonts w:hint="eastAsia" w:ascii="宋体" w:hAnsi="宋体" w:eastAsia="宋体" w:cs="宋体"/>
          <w:color w:val="auto"/>
          <w:sz w:val="28"/>
          <w:szCs w:val="28"/>
          <w:highlight w:val="none"/>
        </w:rPr>
        <w:t>份。</w:t>
      </w:r>
    </w:p>
    <w:p w14:paraId="22D1C898">
      <w:pPr>
        <w:pStyle w:val="2"/>
        <w:ind w:left="420" w:firstLine="600"/>
        <w:rPr>
          <w:rFonts w:hint="eastAsia" w:ascii="宋体" w:hAnsi="宋体" w:eastAsia="宋体" w:cs="宋体"/>
          <w:bCs/>
          <w:color w:val="auto"/>
          <w:sz w:val="28"/>
          <w:szCs w:val="28"/>
          <w:highlight w:val="none"/>
        </w:rPr>
      </w:pPr>
    </w:p>
    <w:p w14:paraId="5B7D3CE4">
      <w:pPr>
        <w:rPr>
          <w:rFonts w:hint="eastAsia" w:ascii="宋体" w:hAnsi="宋体" w:eastAsia="宋体" w:cs="宋体"/>
          <w:color w:val="auto"/>
          <w:sz w:val="28"/>
          <w:szCs w:val="28"/>
          <w:highlight w:val="none"/>
        </w:rPr>
      </w:pPr>
    </w:p>
    <w:p w14:paraId="09E878C0">
      <w:pPr>
        <w:tabs>
          <w:tab w:val="left" w:pos="483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委托人：  (公章)                受托人：  (公章)         </w:t>
      </w:r>
    </w:p>
    <w:p w14:paraId="26F5EC20">
      <w:pPr>
        <w:tabs>
          <w:tab w:val="left" w:pos="483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0A7284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     法定代表人或其委托代理人：</w:t>
      </w:r>
    </w:p>
    <w:p w14:paraId="035B405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                       （签字）</w:t>
      </w:r>
    </w:p>
    <w:p w14:paraId="6734B7DB">
      <w:pPr>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                      年  月  日</w:t>
      </w:r>
    </w:p>
    <w:p w14:paraId="4FB659AE">
      <w:pPr>
        <w:pStyle w:val="2"/>
        <w:rPr>
          <w:rFonts w:hint="eastAsia" w:ascii="宋体" w:hAnsi="宋体" w:eastAsia="宋体" w:cs="宋体"/>
          <w:color w:val="auto"/>
          <w:sz w:val="30"/>
          <w:szCs w:val="30"/>
          <w:highlight w:val="none"/>
        </w:rPr>
      </w:pPr>
    </w:p>
    <w:p w14:paraId="10CCF302">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ascii="宋体" w:hAnsi="宋体" w:eastAsia="宋体" w:cs="宋体"/>
          <w:color w:val="auto"/>
          <w:kern w:val="2"/>
          <w:sz w:val="24"/>
          <w:szCs w:val="24"/>
          <w:highlight w:val="none"/>
        </w:rPr>
      </w:pPr>
    </w:p>
    <w:p w14:paraId="50CBD3E3">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ascii="宋体" w:hAnsi="宋体" w:eastAsia="宋体" w:cs="宋体"/>
          <w:color w:val="auto"/>
          <w:kern w:val="2"/>
          <w:sz w:val="24"/>
          <w:szCs w:val="24"/>
          <w:highlight w:val="none"/>
        </w:rPr>
      </w:pPr>
    </w:p>
    <w:p w14:paraId="2FE4916C">
      <w:pPr>
        <w:pStyle w:val="6"/>
        <w:spacing w:before="0" w:after="0"/>
        <w:rPr>
          <w:rFonts w:hint="eastAsia" w:ascii="宋体" w:hAnsi="宋体" w:eastAsia="宋体" w:cs="宋体"/>
          <w:color w:val="auto"/>
          <w:highlight w:val="none"/>
          <w:lang w:val="en-US" w:eastAsia="zh-CN"/>
        </w:rPr>
      </w:pPr>
    </w:p>
    <w:p w14:paraId="72B18565">
      <w:pPr>
        <w:pStyle w:val="6"/>
        <w:spacing w:before="0" w:after="0"/>
        <w:rPr>
          <w:rFonts w:hint="eastAsia" w:ascii="宋体" w:hAnsi="宋体" w:eastAsia="宋体" w:cs="宋体"/>
          <w:color w:val="auto"/>
          <w:highlight w:val="none"/>
          <w:lang w:val="en-US" w:eastAsia="zh-CN"/>
        </w:rPr>
      </w:pPr>
    </w:p>
    <w:p w14:paraId="60066C57">
      <w:pPr>
        <w:rPr>
          <w:rFonts w:hint="eastAsia" w:ascii="宋体" w:hAnsi="宋体" w:eastAsia="宋体" w:cs="宋体"/>
          <w:color w:val="auto"/>
          <w:highlight w:val="none"/>
          <w:lang w:val="en-US" w:eastAsia="zh-CN"/>
        </w:rPr>
      </w:pPr>
    </w:p>
    <w:p w14:paraId="38ED02D7">
      <w:pPr>
        <w:pStyle w:val="2"/>
        <w:rPr>
          <w:rFonts w:hint="eastAsia" w:ascii="宋体" w:hAnsi="宋体" w:eastAsia="宋体" w:cs="宋体"/>
          <w:color w:val="auto"/>
          <w:highlight w:val="none"/>
          <w:lang w:val="en-US" w:eastAsia="zh-CN"/>
        </w:rPr>
      </w:pPr>
    </w:p>
    <w:p w14:paraId="7E1EBAFE">
      <w:pPr>
        <w:rPr>
          <w:rFonts w:hint="eastAsia" w:ascii="宋体" w:hAnsi="宋体" w:eastAsia="宋体" w:cs="宋体"/>
          <w:color w:val="auto"/>
          <w:highlight w:val="none"/>
          <w:lang w:val="en-US" w:eastAsia="zh-CN"/>
        </w:rPr>
      </w:pPr>
    </w:p>
    <w:p w14:paraId="79E78C80">
      <w:pPr>
        <w:pStyle w:val="2"/>
        <w:rPr>
          <w:rFonts w:hint="eastAsia" w:ascii="宋体" w:hAnsi="宋体" w:eastAsia="宋体" w:cs="宋体"/>
          <w:color w:val="auto"/>
          <w:highlight w:val="none"/>
          <w:lang w:val="en-US" w:eastAsia="zh-CN"/>
        </w:rPr>
      </w:pPr>
    </w:p>
    <w:p w14:paraId="6BCD3E8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67" w:name="_Toc30675"/>
      <w:r>
        <w:rPr>
          <w:rFonts w:hint="eastAsia" w:ascii="宋体" w:hAnsi="宋体" w:eastAsia="宋体" w:cs="宋体"/>
          <w:color w:val="auto"/>
          <w:highlight w:val="none"/>
          <w:lang w:val="en-US" w:eastAsia="zh-CN"/>
        </w:rPr>
        <w:t>第四章 投标文件格式</w:t>
      </w:r>
      <w:bookmarkEnd w:id="67"/>
    </w:p>
    <w:p w14:paraId="0E6ABB34">
      <w:pPr>
        <w:jc w:val="center"/>
        <w:rPr>
          <w:rFonts w:hint="eastAsia" w:ascii="宋体" w:hAnsi="宋体" w:eastAsia="宋体" w:cs="宋体"/>
          <w:color w:val="auto"/>
          <w:sz w:val="28"/>
          <w:szCs w:val="28"/>
          <w:highlight w:val="none"/>
          <w:u w:val="single"/>
        </w:rPr>
      </w:pPr>
    </w:p>
    <w:p w14:paraId="60EA8196">
      <w:pPr>
        <w:jc w:val="center"/>
        <w:rPr>
          <w:rFonts w:hint="eastAsia" w:ascii="宋体" w:hAnsi="宋体" w:eastAsia="宋体" w:cs="宋体"/>
          <w:color w:val="auto"/>
          <w:sz w:val="28"/>
          <w:szCs w:val="28"/>
          <w:highlight w:val="none"/>
          <w:u w:val="single"/>
        </w:rPr>
      </w:pPr>
    </w:p>
    <w:p w14:paraId="16B002C1">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BF899C5">
      <w:pPr>
        <w:jc w:val="center"/>
        <w:rPr>
          <w:rFonts w:hint="eastAsia" w:ascii="宋体" w:hAnsi="宋体" w:eastAsia="宋体" w:cs="宋体"/>
          <w:color w:val="auto"/>
          <w:sz w:val="20"/>
          <w:szCs w:val="20"/>
          <w:highlight w:val="none"/>
        </w:rPr>
      </w:pP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39D23EC1">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（1）法定代表人身份证明文件和本人有效身份证(或法定代表人授权委托书和委托代理人有效身份证)；（格式见附件）</w:t>
      </w:r>
    </w:p>
    <w:p w14:paraId="7D94E62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（2）企业法人营业执照； </w:t>
      </w:r>
    </w:p>
    <w:p w14:paraId="7154F69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（3）项目人员配备表；（格式见附件）</w:t>
      </w:r>
    </w:p>
    <w:p w14:paraId="51A12C0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（4）拟派项目负责人注册造价师证书（若注册证书上无法体现专业的，还需另行提供证明专业的证明材料）； </w:t>
      </w:r>
    </w:p>
    <w:p w14:paraId="11B1B31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项目组其他成员（不含项目负责人）：不少于2名且具有在本单位注册的二级及以上造价工程师注册证书（土木建筑工程专业至少1名、安装工程专业至少1名）（若注册证书上无法体现专业的，还需另行提供证明专业的证明材料）； </w:t>
      </w:r>
    </w:p>
    <w:p w14:paraId="0380B96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（6）承诺书1：投标人对所提供的上述材料作出承诺，若投标人存在弄虚作假，提供虚假资料的，若中标，则取消中标资格。（承诺书格式自拟并注明开标日期，加盖投标单位公章）</w:t>
      </w:r>
    </w:p>
    <w:p w14:paraId="1401DF3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0DA69DE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法定代表人（或委托代理人）、项目负责人、项目组其他成员须持有社保部门出具的本单位为其缴纳的投标前近三个月内任意一月的养老保险证明（含官网在线打印件，证明文件两个月内有效），或投标人提供承诺已为上述人员缴纳养老保险证明的承诺书（格式自拟）。</w:t>
      </w:r>
    </w:p>
    <w:p w14:paraId="5A00039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（9）投标函；</w:t>
      </w:r>
    </w:p>
    <w:p w14:paraId="7AE780D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（10）投标人认为需要提供的其他材料</w:t>
      </w:r>
      <w:r>
        <w:rPr>
          <w:rFonts w:hint="eastAsia" w:ascii="宋体" w:hAnsi="宋体" w:eastAsia="宋体" w:cs="宋体"/>
          <w:color w:val="auto"/>
          <w:sz w:val="21"/>
          <w:szCs w:val="21"/>
          <w:highlight w:val="none"/>
          <w:lang w:val="en-US" w:eastAsia="zh-CN"/>
        </w:rPr>
        <w:t>。</w:t>
      </w:r>
    </w:p>
    <w:p w14:paraId="7525A41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keepNext w:val="0"/>
        <w:keepLines w:val="0"/>
        <w:pageBreakBefore w:val="0"/>
        <w:widowControl/>
        <w:kinsoku/>
        <w:wordWrap/>
        <w:overflowPunct/>
        <w:topLinePunct w:val="0"/>
        <w:autoSpaceDE/>
        <w:autoSpaceDN/>
        <w:bidi w:val="0"/>
        <w:adjustRightInd/>
        <w:snapToGrid/>
        <w:spacing w:before="160" w:beforeLines="50" w:after="160" w:afterLines="50" w:line="480" w:lineRule="exact"/>
        <w:ind w:firstLine="180" w:firstLineChars="75"/>
        <w:textAlignment w:val="baseline"/>
        <w:rPr>
          <w:rFonts w:hint="eastAsia" w:ascii="宋体" w:hAnsi="宋体" w:eastAsia="宋体" w:cs="宋体"/>
          <w:b/>
          <w:color w:val="auto"/>
          <w:sz w:val="24"/>
          <w:szCs w:val="24"/>
          <w:highlight w:val="none"/>
        </w:rPr>
      </w:pPr>
      <w:bookmarkStart w:id="68"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68"/>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62537F1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（签章）</w:t>
      </w:r>
    </w:p>
    <w:p w14:paraId="0648E733">
      <w:pPr>
        <w:spacing w:line="480" w:lineRule="exact"/>
        <w:ind w:firstLine="480" w:firstLineChars="200"/>
        <w:jc w:val="center"/>
        <w:rPr>
          <w:rFonts w:hint="eastAsia" w:ascii="宋体" w:hAnsi="Times New Roman" w:eastAsia="宋体" w:cs="Times New Roman"/>
          <w:color w:val="auto"/>
          <w:sz w:val="24"/>
          <w:highlight w:val="none"/>
        </w:rPr>
      </w:pPr>
      <w:r>
        <w:rPr>
          <w:rFonts w:hint="eastAsia" w:ascii="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rPr>
        <w:t xml:space="preserve">委托代理人（身份证号码）：               </w:t>
      </w:r>
    </w:p>
    <w:p w14:paraId="2B8D027D">
      <w:pPr>
        <w:spacing w:line="480" w:lineRule="exact"/>
        <w:ind w:firstLine="5760" w:firstLineChars="2400"/>
        <w:jc w:val="both"/>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联系电话：</w:t>
      </w:r>
    </w:p>
    <w:p w14:paraId="133159A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10F35531">
      <w:pPr>
        <w:spacing w:line="480" w:lineRule="auto"/>
        <w:ind w:right="980" w:firstLine="482" w:firstLineChars="200"/>
        <w:jc w:val="center"/>
        <w:rPr>
          <w:rFonts w:hint="eastAsia" w:ascii="宋体" w:hAnsi="宋体" w:eastAsia="宋体" w:cs="宋体"/>
          <w:b/>
          <w:bCs/>
          <w:color w:val="auto"/>
          <w:kern w:val="0"/>
          <w:sz w:val="24"/>
          <w:szCs w:val="24"/>
          <w:highlight w:val="none"/>
        </w:rPr>
      </w:pPr>
    </w:p>
    <w:p w14:paraId="4C192855">
      <w:pP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0"/>
          <w:szCs w:val="30"/>
          <w:highlight w:val="none"/>
        </w:rPr>
        <w:br w:type="page"/>
      </w:r>
    </w:p>
    <w:p w14:paraId="21FDDC94">
      <w:pPr>
        <w:pStyle w:val="42"/>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46"/>
        <w:tblW w:w="9352"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82"/>
        <w:gridCol w:w="792"/>
        <w:gridCol w:w="1454"/>
        <w:gridCol w:w="2355"/>
        <w:gridCol w:w="1183"/>
        <w:gridCol w:w="1292"/>
      </w:tblGrid>
      <w:tr w14:paraId="4F1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14:paraId="39F5E91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299851A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11BFADF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7B59E80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50D228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2402AD7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5C4A99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59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7DAD8E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04B14B9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35731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B389EA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4CE83D5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08E0B9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E359D2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5B2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499511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68959EE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41E0C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014F463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861A87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C1F938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239EAA9">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1FE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26281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7C9B9D8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113C41B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E8F5D6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23DE6F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614F96D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489B64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670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49CD33A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46BBC33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2E1640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3E1BBC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17498B7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0B5DA3D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5F0B41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6D79D3F9">
      <w:pPr>
        <w:jc w:val="center"/>
        <w:rPr>
          <w:rFonts w:hint="eastAsia" w:ascii="宋体" w:hAnsi="宋体" w:eastAsia="宋体" w:cs="宋体"/>
          <w:color w:val="auto"/>
          <w:sz w:val="28"/>
          <w:szCs w:val="28"/>
          <w:highlight w:val="none"/>
          <w:u w:val="single"/>
        </w:rPr>
      </w:pPr>
    </w:p>
    <w:p w14:paraId="01683548">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2538AB6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（签章）</w:t>
      </w:r>
    </w:p>
    <w:p w14:paraId="1407EB7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30963256">
      <w:pPr>
        <w:jc w:val="center"/>
        <w:rPr>
          <w:rFonts w:hint="eastAsia" w:ascii="宋体" w:hAnsi="宋体" w:eastAsia="宋体" w:cs="宋体"/>
          <w:b/>
          <w:bCs/>
          <w:color w:val="auto"/>
          <w:sz w:val="28"/>
          <w:szCs w:val="28"/>
          <w:highlight w:val="none"/>
        </w:rPr>
      </w:pPr>
    </w:p>
    <w:p w14:paraId="7774A8B9">
      <w:pPr>
        <w:pStyle w:val="2"/>
        <w:rPr>
          <w:rFonts w:hint="eastAsia"/>
          <w:color w:val="auto"/>
          <w:highlight w:val="none"/>
        </w:rPr>
      </w:pPr>
    </w:p>
    <w:p w14:paraId="14A4BCCA">
      <w:pPr>
        <w:jc w:val="center"/>
        <w:rPr>
          <w:rFonts w:hint="eastAsia" w:ascii="宋体" w:hAnsi="宋体" w:eastAsia="宋体" w:cs="宋体"/>
          <w:b/>
          <w:bCs/>
          <w:color w:val="auto"/>
          <w:sz w:val="28"/>
          <w:szCs w:val="28"/>
          <w:highlight w:val="none"/>
        </w:rPr>
      </w:pPr>
    </w:p>
    <w:p w14:paraId="3CCC12D7">
      <w:pPr>
        <w:jc w:val="center"/>
        <w:rPr>
          <w:rFonts w:hint="eastAsia" w:ascii="宋体" w:hAnsi="宋体" w:eastAsia="宋体" w:cs="宋体"/>
          <w:b/>
          <w:bCs/>
          <w:color w:val="auto"/>
          <w:sz w:val="28"/>
          <w:szCs w:val="28"/>
          <w:highlight w:val="none"/>
        </w:rPr>
      </w:pPr>
    </w:p>
    <w:p w14:paraId="5E9002FF">
      <w:pPr>
        <w:jc w:val="center"/>
        <w:rPr>
          <w:rFonts w:hint="eastAsia" w:ascii="宋体" w:hAnsi="宋体" w:eastAsia="宋体" w:cs="宋体"/>
          <w:b/>
          <w:bCs/>
          <w:color w:val="auto"/>
          <w:sz w:val="28"/>
          <w:szCs w:val="28"/>
          <w:highlight w:val="none"/>
        </w:rPr>
      </w:pPr>
    </w:p>
    <w:p w14:paraId="5443CE27">
      <w:pPr>
        <w:jc w:val="center"/>
        <w:rPr>
          <w:rFonts w:hint="eastAsia" w:ascii="宋体" w:hAnsi="宋体" w:eastAsia="宋体" w:cs="宋体"/>
          <w:b/>
          <w:bCs/>
          <w:color w:val="auto"/>
          <w:sz w:val="28"/>
          <w:szCs w:val="28"/>
          <w:highlight w:val="none"/>
        </w:rPr>
      </w:pPr>
    </w:p>
    <w:p w14:paraId="57A6ABA6">
      <w:pPr>
        <w:jc w:val="center"/>
        <w:rPr>
          <w:rFonts w:hint="eastAsia" w:ascii="宋体" w:hAnsi="宋体" w:eastAsia="宋体" w:cs="宋体"/>
          <w:b/>
          <w:bCs/>
          <w:color w:val="auto"/>
          <w:sz w:val="28"/>
          <w:szCs w:val="28"/>
          <w:highlight w:val="none"/>
        </w:rPr>
      </w:pPr>
    </w:p>
    <w:p w14:paraId="41257297">
      <w:pPr>
        <w:jc w:val="center"/>
        <w:rPr>
          <w:rFonts w:hint="eastAsia" w:ascii="宋体" w:hAnsi="宋体" w:eastAsia="宋体" w:cs="宋体"/>
          <w:b/>
          <w:bCs/>
          <w:color w:val="auto"/>
          <w:sz w:val="28"/>
          <w:szCs w:val="28"/>
          <w:highlight w:val="none"/>
        </w:rPr>
      </w:pPr>
    </w:p>
    <w:p w14:paraId="22AD1574">
      <w:pPr>
        <w:jc w:val="center"/>
        <w:rPr>
          <w:rFonts w:hint="eastAsia" w:ascii="宋体" w:hAnsi="宋体" w:eastAsia="宋体" w:cs="宋体"/>
          <w:b/>
          <w:bCs/>
          <w:color w:val="auto"/>
          <w:sz w:val="28"/>
          <w:szCs w:val="28"/>
          <w:highlight w:val="none"/>
        </w:rPr>
      </w:pPr>
    </w:p>
    <w:p w14:paraId="54964737">
      <w:pPr>
        <w:jc w:val="center"/>
        <w:rPr>
          <w:rFonts w:hint="eastAsia" w:ascii="宋体" w:hAnsi="宋体" w:eastAsia="宋体" w:cs="宋体"/>
          <w:b/>
          <w:bCs/>
          <w:color w:val="auto"/>
          <w:sz w:val="28"/>
          <w:szCs w:val="28"/>
          <w:highlight w:val="none"/>
        </w:rPr>
      </w:pPr>
    </w:p>
    <w:p w14:paraId="6B9E4E6B">
      <w:pPr>
        <w:jc w:val="center"/>
        <w:rPr>
          <w:rFonts w:hint="eastAsia" w:ascii="宋体" w:hAnsi="宋体" w:eastAsia="宋体" w:cs="宋体"/>
          <w:b/>
          <w:bCs/>
          <w:color w:val="auto"/>
          <w:sz w:val="28"/>
          <w:szCs w:val="28"/>
          <w:highlight w:val="none"/>
        </w:rPr>
      </w:pPr>
    </w:p>
    <w:p w14:paraId="2FB0BF2A">
      <w:pPr>
        <w:jc w:val="center"/>
        <w:rPr>
          <w:rFonts w:hint="eastAsia" w:ascii="宋体" w:hAnsi="宋体" w:eastAsia="宋体" w:cs="宋体"/>
          <w:b/>
          <w:bCs/>
          <w:color w:val="auto"/>
          <w:sz w:val="28"/>
          <w:szCs w:val="28"/>
          <w:highlight w:val="none"/>
        </w:rPr>
      </w:pPr>
    </w:p>
    <w:p w14:paraId="2908FF31">
      <w:pPr>
        <w:jc w:val="center"/>
        <w:rPr>
          <w:rFonts w:hint="eastAsia" w:ascii="宋体" w:hAnsi="宋体" w:eastAsia="宋体" w:cs="宋体"/>
          <w:b/>
          <w:bCs/>
          <w:color w:val="auto"/>
          <w:sz w:val="28"/>
          <w:szCs w:val="28"/>
          <w:highlight w:val="none"/>
        </w:rPr>
      </w:pPr>
    </w:p>
    <w:p w14:paraId="6AB2EB72">
      <w:pPr>
        <w:jc w:val="center"/>
        <w:rPr>
          <w:rFonts w:hint="eastAsia" w:ascii="宋体" w:hAnsi="宋体" w:eastAsia="宋体" w:cs="宋体"/>
          <w:b/>
          <w:bCs/>
          <w:color w:val="auto"/>
          <w:sz w:val="28"/>
          <w:szCs w:val="28"/>
          <w:highlight w:val="none"/>
        </w:rPr>
      </w:pPr>
    </w:p>
    <w:p w14:paraId="19883A2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561AA3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0BB880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招标</w:t>
      </w:r>
      <w:r>
        <w:rPr>
          <w:rFonts w:hint="eastAsia" w:ascii="宋体" w:hAnsi="宋体" w:eastAsia="宋体" w:cs="宋体"/>
          <w:color w:val="auto"/>
          <w:szCs w:val="21"/>
          <w:highlight w:val="none"/>
          <w:u w:val="single"/>
        </w:rPr>
        <w:t xml:space="preserve">人)       </w:t>
      </w:r>
      <w:r>
        <w:rPr>
          <w:rFonts w:hint="eastAsia" w:ascii="宋体" w:hAnsi="宋体" w:eastAsia="宋体" w:cs="宋体"/>
          <w:color w:val="auto"/>
          <w:szCs w:val="21"/>
          <w:highlight w:val="none"/>
        </w:rPr>
        <w:t xml:space="preserve"> </w:t>
      </w:r>
    </w:p>
    <w:p w14:paraId="0D5B4C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1.我们决定参加贵单位组织的“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。我方授权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(姓名和职务)代表我方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（投标人的名称）全权处理本项目投标的有关事宜。</w:t>
      </w:r>
    </w:p>
    <w:p w14:paraId="73B4654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2.我方愿意按照招标文件规定的各项要求，向</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人提供</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项目的服务，我方报价为</w:t>
      </w:r>
      <w:r>
        <w:rPr>
          <w:rFonts w:hint="eastAsia" w:ascii="宋体" w:hAnsi="宋体" w:eastAsia="宋体" w:cs="宋体"/>
          <w:b/>
          <w:bCs/>
          <w:color w:val="auto"/>
          <w:szCs w:val="21"/>
          <w:highlight w:val="none"/>
        </w:rPr>
        <w:t>基本费</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lang w:val="en-US" w:eastAsia="zh-CN"/>
        </w:rPr>
        <w:t>元</w:t>
      </w:r>
      <w:r>
        <w:rPr>
          <w:rFonts w:hint="eastAsia" w:ascii="宋体" w:hAnsi="宋体" w:eastAsia="宋体" w:cs="宋体"/>
          <w:b/>
          <w:bCs/>
          <w:color w:val="auto"/>
          <w:szCs w:val="21"/>
          <w:highlight w:val="none"/>
        </w:rPr>
        <w:t>，审核成果费率</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项目负责人为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，服务期</w:t>
      </w:r>
      <w:r>
        <w:rPr>
          <w:rFonts w:hint="eastAsia" w:ascii="宋体" w:hAnsi="宋体" w:eastAsia="宋体" w:cs="宋体"/>
          <w:color w:val="auto"/>
          <w:szCs w:val="21"/>
          <w:highlight w:val="none"/>
          <w:u w:val="single"/>
        </w:rPr>
        <w:t>：执行滁重〔</w:t>
      </w:r>
      <w:r>
        <w:rPr>
          <w:rFonts w:hint="eastAsia" w:ascii="宋体" w:hAnsi="宋体" w:eastAsia="宋体" w:cs="宋体"/>
          <w:color w:val="auto"/>
          <w:szCs w:val="21"/>
          <w:highlight w:val="none"/>
          <w:u w:val="single"/>
          <w:lang w:eastAsia="zh-CN"/>
        </w:rPr>
        <w:t>20</w:t>
      </w:r>
      <w:r>
        <w:rPr>
          <w:rFonts w:hint="eastAsia" w:ascii="宋体" w:hAnsi="宋体" w:eastAsia="宋体" w:cs="宋体"/>
          <w:color w:val="auto"/>
          <w:szCs w:val="21"/>
          <w:highlight w:val="none"/>
          <w:u w:val="single"/>
          <w:lang w:val="en-US" w:eastAsia="zh-CN"/>
        </w:rPr>
        <w:t>22</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55号</w:t>
      </w:r>
      <w:r>
        <w:rPr>
          <w:rFonts w:hint="eastAsia" w:ascii="宋体" w:hAnsi="宋体" w:eastAsia="宋体" w:cs="宋体"/>
          <w:color w:val="auto"/>
          <w:szCs w:val="21"/>
          <w:highlight w:val="none"/>
          <w:u w:val="single"/>
        </w:rPr>
        <w:t>《工程造价咨询服务管理办法》的通知第十</w:t>
      </w:r>
      <w:r>
        <w:rPr>
          <w:rFonts w:hint="eastAsia" w:ascii="宋体" w:hAnsi="宋体" w:eastAsia="宋体" w:cs="宋体"/>
          <w:color w:val="auto"/>
          <w:szCs w:val="21"/>
          <w:highlight w:val="none"/>
          <w:u w:val="single"/>
          <w:lang w:eastAsia="zh-CN"/>
        </w:rPr>
        <w:t>八</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十九</w:t>
      </w:r>
      <w:r>
        <w:rPr>
          <w:rFonts w:hint="eastAsia" w:ascii="宋体" w:hAnsi="宋体" w:eastAsia="宋体" w:cs="宋体"/>
          <w:color w:val="auto"/>
          <w:szCs w:val="21"/>
          <w:highlight w:val="none"/>
          <w:u w:val="single"/>
        </w:rPr>
        <w:t>条规定</w:t>
      </w:r>
      <w:r>
        <w:rPr>
          <w:rFonts w:hint="eastAsia" w:ascii="宋体" w:hAnsi="宋体" w:eastAsia="宋体" w:cs="宋体"/>
          <w:color w:val="auto"/>
          <w:szCs w:val="21"/>
          <w:highlight w:val="none"/>
        </w:rPr>
        <w:t>。</w:t>
      </w:r>
    </w:p>
    <w:p w14:paraId="03D443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60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日历天（从投标截止之日算起）。</w:t>
      </w:r>
    </w:p>
    <w:p w14:paraId="73D569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4.一旦我方成为合同签字人，我方将严格履行合同规定的责任和义务。</w:t>
      </w:r>
    </w:p>
    <w:p w14:paraId="36FF6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.若我方中标，愿意为本项目提交的纸质投标文件一式</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份，其中正本一份、副本</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份。</w:t>
      </w:r>
    </w:p>
    <w:p w14:paraId="4C35F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.我方愿意提供可能另外要求的、与采购投标有关的文件资料，并保证我方已提供和将要提供的文件是真实的、准确的。</w:t>
      </w:r>
    </w:p>
    <w:p w14:paraId="43EBE82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.我单位提供如下通讯地址：</w:t>
      </w:r>
      <w:r>
        <w:rPr>
          <w:rFonts w:hint="eastAsia" w:ascii="宋体" w:hAnsi="宋体" w:eastAsia="宋体" w:cs="宋体"/>
          <w:color w:val="auto"/>
          <w:szCs w:val="21"/>
          <w:highlight w:val="none"/>
          <w:u w:val="single"/>
        </w:rPr>
        <w:t xml:space="preserve">                电子邮箱（地址）</w:t>
      </w:r>
      <w:r>
        <w:rPr>
          <w:rFonts w:hint="eastAsia" w:ascii="宋体" w:hAnsi="宋体" w:eastAsia="宋体" w:cs="宋体"/>
          <w:color w:val="auto"/>
          <w:szCs w:val="21"/>
          <w:highlight w:val="none"/>
        </w:rPr>
        <w:t>，确认本项目相关法律文书均通过提供的以上地址送达，相关文书只要发送至以上电子邮箱（地址）即视为送达，投标人愿意承担一切法律后果。</w:t>
      </w:r>
    </w:p>
    <w:p w14:paraId="02E68186">
      <w:pPr>
        <w:pStyle w:val="2"/>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（签章）</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04B0F2ED">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E1611FF">
      <w:pPr>
        <w:spacing w:line="360" w:lineRule="auto"/>
        <w:rPr>
          <w:rFonts w:hint="eastAsia" w:ascii="宋体" w:hAnsi="宋体" w:cs="宋体"/>
          <w:b/>
          <w:color w:val="auto"/>
          <w:sz w:val="28"/>
          <w:szCs w:val="28"/>
          <w:highlight w:val="none"/>
          <w:lang w:val="en-US" w:eastAsia="zh-CN"/>
        </w:rPr>
      </w:pPr>
    </w:p>
    <w:p w14:paraId="739A9E3E">
      <w:pPr>
        <w:spacing w:line="360" w:lineRule="auto"/>
        <w:rPr>
          <w:rFonts w:hint="eastAsia" w:ascii="宋体" w:hAnsi="宋体" w:cs="宋体"/>
          <w:b/>
          <w:color w:val="auto"/>
          <w:sz w:val="28"/>
          <w:szCs w:val="28"/>
          <w:highlight w:val="none"/>
          <w:lang w:val="en-US" w:eastAsia="zh-CN"/>
        </w:rPr>
      </w:pPr>
    </w:p>
    <w:p w14:paraId="265D13AF">
      <w:pPr>
        <w:spacing w:line="360" w:lineRule="auto"/>
        <w:jc w:val="center"/>
        <w:rPr>
          <w:rFonts w:hint="eastAsia" w:ascii="宋体" w:hAnsi="宋体" w:eastAsia="宋体" w:cs="宋体"/>
          <w:b/>
          <w:bCs/>
          <w:color w:val="auto"/>
          <w:kern w:val="0"/>
          <w:sz w:val="30"/>
          <w:szCs w:val="30"/>
          <w:highlight w:val="none"/>
        </w:rPr>
      </w:pPr>
      <w:r>
        <w:rPr>
          <w:rFonts w:hint="eastAsia" w:ascii="宋体" w:hAnsi="宋体" w:cs="宋体"/>
          <w:b/>
          <w:color w:val="auto"/>
          <w:sz w:val="28"/>
          <w:szCs w:val="28"/>
          <w:highlight w:val="none"/>
          <w:lang w:val="en-US" w:eastAsia="zh-CN"/>
        </w:rPr>
        <w:t>系统填报的投标费率与本投标函不一致时，以本投标函为准</w:t>
      </w:r>
    </w:p>
    <w:p w14:paraId="3718D3FE">
      <w:pPr>
        <w:pStyle w:val="6"/>
        <w:spacing w:before="0" w:after="0"/>
        <w:rPr>
          <w:rFonts w:hint="eastAsia" w:ascii="宋体" w:hAnsi="宋体" w:eastAsia="宋体" w:cs="宋体"/>
          <w:color w:val="auto"/>
          <w:highlight w:val="none"/>
          <w:lang w:val="en-US" w:eastAsia="zh-CN"/>
        </w:rPr>
      </w:pPr>
      <w:bookmarkStart w:id="69" w:name="_Toc31498"/>
      <w:r>
        <w:rPr>
          <w:rFonts w:hint="eastAsia" w:ascii="宋体" w:hAnsi="宋体" w:eastAsia="宋体" w:cs="宋体"/>
          <w:color w:val="auto"/>
          <w:highlight w:val="none"/>
          <w:lang w:val="en-US" w:eastAsia="zh-CN"/>
        </w:rPr>
        <w:t>第五章 招标单位、招标代理机构对本招标文件的确认</w:t>
      </w:r>
      <w:bookmarkEnd w:id="69"/>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7"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388A6941">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2023年度市政道路部分人行道提升改造工程结算复核服务项目</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70D47DF8">
            <w:pPr>
              <w:spacing w:line="320" w:lineRule="atLeast"/>
              <w:ind w:firstLine="560" w:firstLineChars="200"/>
              <w:rPr>
                <w:rFonts w:hint="eastAsia" w:ascii="宋体" w:hAnsi="宋体" w:eastAsia="宋体" w:cs="宋体"/>
                <w:color w:val="auto"/>
                <w:sz w:val="28"/>
                <w:szCs w:val="28"/>
                <w:highlight w:val="none"/>
              </w:rPr>
            </w:pPr>
          </w:p>
          <w:p w14:paraId="16EDA7DA">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val="en-US" w:eastAsia="zh-CN"/>
              </w:rPr>
              <w:t>滁州市市政设施管理中心</w:t>
            </w:r>
          </w:p>
          <w:p w14:paraId="3463F686">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李福锟</w:t>
            </w:r>
          </w:p>
          <w:p w14:paraId="0C9165C7">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19155000509</w:t>
            </w:r>
          </w:p>
          <w:p w14:paraId="6E5C8EF3">
            <w:pPr>
              <w:spacing w:line="500" w:lineRule="exact"/>
              <w:ind w:firstLine="280" w:firstLineChars="100"/>
              <w:rPr>
                <w:rFonts w:hint="eastAsia" w:ascii="宋体" w:hAnsi="宋体" w:eastAsia="宋体" w:cs="宋体"/>
                <w:color w:val="auto"/>
                <w:sz w:val="28"/>
                <w:szCs w:val="28"/>
                <w:highlight w:val="none"/>
              </w:rPr>
            </w:pPr>
          </w:p>
          <w:p w14:paraId="4C35A76B">
            <w:pPr>
              <w:spacing w:line="500" w:lineRule="exact"/>
              <w:ind w:firstLine="6440" w:firstLineChars="2300"/>
              <w:rPr>
                <w:rFonts w:hint="eastAsia" w:ascii="宋体" w:hAnsi="宋体" w:eastAsia="宋体" w:cs="宋体"/>
                <w:color w:val="auto"/>
                <w:sz w:val="28"/>
                <w:szCs w:val="28"/>
                <w:highlight w:val="none"/>
              </w:rPr>
            </w:pPr>
          </w:p>
          <w:p w14:paraId="1E3913DA">
            <w:pPr>
              <w:spacing w:line="500" w:lineRule="exact"/>
              <w:ind w:firstLine="6440" w:firstLineChars="2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（单位盖章）</w:t>
            </w:r>
          </w:p>
          <w:p w14:paraId="33C2043A">
            <w:pPr>
              <w:spacing w:line="500" w:lineRule="exact"/>
              <w:ind w:firstLine="6440" w:firstLineChars="2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胡国庆</w:t>
            </w:r>
          </w:p>
          <w:p w14:paraId="3E3D785F">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联系电话： </w:t>
            </w:r>
            <w:r>
              <w:rPr>
                <w:rFonts w:hint="eastAsia" w:ascii="宋体" w:hAnsi="宋体" w:cs="宋体"/>
                <w:color w:val="auto"/>
                <w:sz w:val="28"/>
                <w:szCs w:val="28"/>
                <w:highlight w:val="none"/>
                <w:lang w:eastAsia="zh-CN"/>
              </w:rPr>
              <w:t>0550-3519517</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18005500950</w:t>
            </w:r>
          </w:p>
          <w:p w14:paraId="497AA04E">
            <w:pPr>
              <w:rPr>
                <w:rFonts w:hint="eastAsia" w:ascii="宋体" w:hAnsi="宋体" w:eastAsia="宋体" w:cs="宋体"/>
                <w:color w:val="auto"/>
                <w:sz w:val="28"/>
                <w:szCs w:val="28"/>
                <w:highlight w:val="none"/>
              </w:rPr>
            </w:pPr>
          </w:p>
          <w:p w14:paraId="0E6E788A">
            <w:pPr>
              <w:spacing w:line="500" w:lineRule="exact"/>
              <w:ind w:firstLine="6440" w:firstLineChars="2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0AF574C">
            <w:pPr>
              <w:spacing w:line="500" w:lineRule="exact"/>
              <w:ind w:firstLine="6440" w:firstLineChars="2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（单位盖章）</w:t>
            </w:r>
          </w:p>
          <w:p w14:paraId="5AE54977">
            <w:pPr>
              <w:spacing w:line="500" w:lineRule="exact"/>
              <w:ind w:firstLine="6440" w:firstLineChars="2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p>
        </w:tc>
      </w:tr>
    </w:tbl>
    <w:p w14:paraId="22D2196B">
      <w:pPr>
        <w:pStyle w:val="20"/>
        <w:jc w:val="left"/>
        <w:rPr>
          <w:rFonts w:hint="eastAsia" w:ascii="宋体" w:hAnsi="宋体" w:eastAsia="宋体" w:cs="宋体"/>
          <w:color w:val="auto"/>
          <w:kern w:val="0"/>
          <w:sz w:val="24"/>
          <w:szCs w:val="24"/>
          <w:highlight w:val="none"/>
        </w:rPr>
      </w:pPr>
    </w:p>
    <w:p w14:paraId="63AE5489">
      <w:pPr>
        <w:pStyle w:val="20"/>
        <w:jc w:val="left"/>
        <w:rPr>
          <w:rFonts w:hint="eastAsia" w:ascii="宋体" w:hAnsi="宋体" w:eastAsia="宋体" w:cs="宋体"/>
          <w:color w:val="auto"/>
          <w:kern w:val="0"/>
          <w:sz w:val="24"/>
          <w:szCs w:val="24"/>
          <w:highlight w:val="none"/>
        </w:rPr>
      </w:pPr>
    </w:p>
    <w:p w14:paraId="542E3EE9">
      <w:pPr>
        <w:pStyle w:val="20"/>
        <w:jc w:val="left"/>
        <w:rPr>
          <w:rFonts w:hint="eastAsia" w:ascii="宋体" w:hAnsi="宋体" w:eastAsia="宋体" w:cs="宋体"/>
          <w:color w:val="auto"/>
          <w:kern w:val="0"/>
          <w:sz w:val="24"/>
          <w:szCs w:val="24"/>
          <w:highlight w:val="none"/>
        </w:rPr>
      </w:pPr>
    </w:p>
    <w:p w14:paraId="2D9AB935">
      <w:pPr>
        <w:pStyle w:val="20"/>
        <w:jc w:val="left"/>
        <w:rPr>
          <w:rFonts w:hint="eastAsia" w:ascii="宋体" w:hAnsi="宋体" w:eastAsia="宋体" w:cs="宋体"/>
          <w:color w:val="auto"/>
          <w:kern w:val="0"/>
          <w:sz w:val="24"/>
          <w:szCs w:val="24"/>
          <w:highlight w:val="none"/>
        </w:rPr>
      </w:pPr>
    </w:p>
    <w:p w14:paraId="21A15060">
      <w:pPr>
        <w:pStyle w:val="20"/>
        <w:jc w:val="left"/>
        <w:rPr>
          <w:rFonts w:hint="eastAsia" w:ascii="宋体" w:hAnsi="宋体" w:eastAsia="宋体" w:cs="宋体"/>
          <w:color w:val="auto"/>
          <w:kern w:val="0"/>
          <w:sz w:val="24"/>
          <w:szCs w:val="24"/>
          <w:highlight w:val="none"/>
        </w:rPr>
      </w:pPr>
    </w:p>
    <w:sectPr>
      <w:footerReference r:id="rId9" w:type="default"/>
      <w:pgSz w:w="11906" w:h="16838"/>
      <w:pgMar w:top="935" w:right="1106" w:bottom="936" w:left="1259" w:header="680" w:footer="680" w:gutter="0"/>
      <w:pgNumType w:fmt="decimal"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5762">
    <w:pPr>
      <w:pStyle w:val="30"/>
      <w:rPr>
        <w:rStyle w:val="49"/>
      </w:rPr>
    </w:pPr>
  </w:p>
  <w:p w14:paraId="27617CD2">
    <w:pPr>
      <w:pStyle w:val="30"/>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2"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2B8F2946"/>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Bcxk6a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WlDhuceDn&#10;79/OP36df36tsztDiA0mPYR7mHcRYZY6KrD5iyLIWBw9XR2VYyICg1W9ulm9uaFE4Fn1dlXVxXL2&#10;eDtATO+ktySDlgJOrBjJjx9iwoqYeknJxZy/08aUqRn3VwATp4gsY59v5/anhjNK426cVex8d0Ll&#10;5r1DN/PLuAC4gN0FHALofY/NVdkQlolwGqW1+eXkcf+5L1mPf8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Bcxk6auAEAAHUDAAAOAAAAAAAAAAEAIAAAACkBAABkcnMvZTJvRG9jLnhtbFBL&#10;BQYAAAAABgAGAFkBAABTBQAAAAA=&#10;">
              <v:fill on="f" focussize="0,0"/>
              <v:stroke on="f"/>
              <v:imagedata o:title=""/>
              <o:lock v:ext="edit" aspectratio="f"/>
              <v:textbox inset="0mm,0mm,0mm,0mm">
                <w:txbxContent>
                  <w:p w14:paraId="2B8F2946"/>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60B7">
    <w:pPr>
      <w:pStyle w:val="30"/>
      <w:tabs>
        <w:tab w:val="center" w:pos="7483"/>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30"/>
      <w:rPr>
        <w:rStyle w:val="49"/>
      </w:rPr>
    </w:pPr>
  </w:p>
  <w:p w14:paraId="24D89652">
    <w:pPr>
      <w:pStyle w:val="30"/>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30"/>
      <w:tabs>
        <w:tab w:val="center" w:pos="748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30"/>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30"/>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30"/>
      <w:rPr>
        <w:rStyle w:val="49"/>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5E45F">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5E45F">
                    <w:pPr>
                      <w:pStyle w:val="30"/>
                    </w:pPr>
                    <w:r>
                      <w:fldChar w:fldCharType="begin"/>
                    </w:r>
                    <w:r>
                      <w:instrText xml:space="preserve"> PAGE  \* MERGEFORMAT </w:instrText>
                    </w:r>
                    <w:r>
                      <w:fldChar w:fldCharType="separate"/>
                    </w:r>
                    <w:r>
                      <w:t>2</w:t>
                    </w:r>
                    <w:r>
                      <w:fldChar w:fldCharType="end"/>
                    </w:r>
                  </w:p>
                </w:txbxContent>
              </v:textbox>
            </v:shape>
          </w:pict>
        </mc:Fallback>
      </mc:AlternateContent>
    </w:r>
  </w:p>
  <w:p w14:paraId="157870D5">
    <w:pPr>
      <w:pStyle w:val="30"/>
      <w:ind w:right="360"/>
      <w:rPr>
        <w:kern w:val="0"/>
      </w:rPr>
    </w:pPr>
    <w:r>
      <mc:AlternateContent>
        <mc:Choice Requires="wps">
          <w:drawing>
            <wp:anchor distT="0" distB="0" distL="114300" distR="114300" simplePos="0" relativeHeight="251661312"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1312;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FC55">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8CB6E"/>
    <w:multiLevelType w:val="singleLevel"/>
    <w:tmpl w:val="1EF8CB6E"/>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23C4E17"/>
    <w:rsid w:val="02860CE1"/>
    <w:rsid w:val="028D0613"/>
    <w:rsid w:val="02A06DF6"/>
    <w:rsid w:val="02AD40CA"/>
    <w:rsid w:val="03311B51"/>
    <w:rsid w:val="035607B0"/>
    <w:rsid w:val="035A0B08"/>
    <w:rsid w:val="03BE185C"/>
    <w:rsid w:val="03DD3435"/>
    <w:rsid w:val="04880F3B"/>
    <w:rsid w:val="04BB1052"/>
    <w:rsid w:val="058F191A"/>
    <w:rsid w:val="0591547A"/>
    <w:rsid w:val="064047AA"/>
    <w:rsid w:val="07023E8A"/>
    <w:rsid w:val="073060B3"/>
    <w:rsid w:val="073F34F8"/>
    <w:rsid w:val="07FD79C9"/>
    <w:rsid w:val="08891FDF"/>
    <w:rsid w:val="08EE1782"/>
    <w:rsid w:val="090619B4"/>
    <w:rsid w:val="090B57DF"/>
    <w:rsid w:val="094625ED"/>
    <w:rsid w:val="098A2126"/>
    <w:rsid w:val="098C0FAE"/>
    <w:rsid w:val="0A1370D9"/>
    <w:rsid w:val="0A426CE3"/>
    <w:rsid w:val="0A783487"/>
    <w:rsid w:val="0A920A74"/>
    <w:rsid w:val="0B1A05CF"/>
    <w:rsid w:val="0B3B4932"/>
    <w:rsid w:val="0B8A5AE2"/>
    <w:rsid w:val="0BB27EF8"/>
    <w:rsid w:val="0C30371E"/>
    <w:rsid w:val="0C47209B"/>
    <w:rsid w:val="0CDE4AF1"/>
    <w:rsid w:val="0CEC2F96"/>
    <w:rsid w:val="0D2F7233"/>
    <w:rsid w:val="0DB0649C"/>
    <w:rsid w:val="0E2234E7"/>
    <w:rsid w:val="0E832759"/>
    <w:rsid w:val="0ECF7747"/>
    <w:rsid w:val="0F9D46EF"/>
    <w:rsid w:val="124026B6"/>
    <w:rsid w:val="128B0826"/>
    <w:rsid w:val="12C329EB"/>
    <w:rsid w:val="137A735A"/>
    <w:rsid w:val="13B24508"/>
    <w:rsid w:val="13E54BBD"/>
    <w:rsid w:val="152F63E2"/>
    <w:rsid w:val="158272E5"/>
    <w:rsid w:val="15D60886"/>
    <w:rsid w:val="16A220B2"/>
    <w:rsid w:val="16AB249D"/>
    <w:rsid w:val="16E538DC"/>
    <w:rsid w:val="17153410"/>
    <w:rsid w:val="19475149"/>
    <w:rsid w:val="19FB0CBC"/>
    <w:rsid w:val="1A1E40F3"/>
    <w:rsid w:val="1AF847D0"/>
    <w:rsid w:val="1C136BB6"/>
    <w:rsid w:val="1C4B5EA8"/>
    <w:rsid w:val="1DD50EE3"/>
    <w:rsid w:val="1E1554ED"/>
    <w:rsid w:val="1E66223E"/>
    <w:rsid w:val="207B6E01"/>
    <w:rsid w:val="211B1C44"/>
    <w:rsid w:val="21F200C1"/>
    <w:rsid w:val="22124523"/>
    <w:rsid w:val="224A075F"/>
    <w:rsid w:val="22E66E8E"/>
    <w:rsid w:val="23816BA4"/>
    <w:rsid w:val="23B802A0"/>
    <w:rsid w:val="23DF30CA"/>
    <w:rsid w:val="25E4098B"/>
    <w:rsid w:val="26252182"/>
    <w:rsid w:val="265122FF"/>
    <w:rsid w:val="265E174C"/>
    <w:rsid w:val="2686038F"/>
    <w:rsid w:val="26EF5515"/>
    <w:rsid w:val="281178FD"/>
    <w:rsid w:val="287B03F4"/>
    <w:rsid w:val="28C72B2B"/>
    <w:rsid w:val="29E75E0C"/>
    <w:rsid w:val="29F23E8A"/>
    <w:rsid w:val="2A241E9E"/>
    <w:rsid w:val="2B367DA6"/>
    <w:rsid w:val="2C7D3C0D"/>
    <w:rsid w:val="2C874AAF"/>
    <w:rsid w:val="2C8E66A6"/>
    <w:rsid w:val="2CAF5168"/>
    <w:rsid w:val="2CBB47F9"/>
    <w:rsid w:val="2D4A1910"/>
    <w:rsid w:val="2DFF7667"/>
    <w:rsid w:val="2EFD1D1D"/>
    <w:rsid w:val="2F3A186E"/>
    <w:rsid w:val="2FE563D7"/>
    <w:rsid w:val="30185CCC"/>
    <w:rsid w:val="31FB42D0"/>
    <w:rsid w:val="32852601"/>
    <w:rsid w:val="32D3700E"/>
    <w:rsid w:val="32F07192"/>
    <w:rsid w:val="332433C5"/>
    <w:rsid w:val="3376156C"/>
    <w:rsid w:val="33DB598F"/>
    <w:rsid w:val="348E387D"/>
    <w:rsid w:val="35A46FAE"/>
    <w:rsid w:val="35C6441D"/>
    <w:rsid w:val="36C51A8B"/>
    <w:rsid w:val="37026723"/>
    <w:rsid w:val="37526B7E"/>
    <w:rsid w:val="385F78F9"/>
    <w:rsid w:val="398960D8"/>
    <w:rsid w:val="39E8421F"/>
    <w:rsid w:val="3A066436"/>
    <w:rsid w:val="3A2516BB"/>
    <w:rsid w:val="3A5E6F6F"/>
    <w:rsid w:val="3B3C635C"/>
    <w:rsid w:val="3CCB04A6"/>
    <w:rsid w:val="3CD37326"/>
    <w:rsid w:val="3E7850FA"/>
    <w:rsid w:val="3EED354E"/>
    <w:rsid w:val="3F1410DB"/>
    <w:rsid w:val="3F173AB4"/>
    <w:rsid w:val="3F7A539C"/>
    <w:rsid w:val="3FB112F9"/>
    <w:rsid w:val="3FB5783A"/>
    <w:rsid w:val="4004001B"/>
    <w:rsid w:val="408338D7"/>
    <w:rsid w:val="411B4DE1"/>
    <w:rsid w:val="41510996"/>
    <w:rsid w:val="42147451"/>
    <w:rsid w:val="428E1E1E"/>
    <w:rsid w:val="43727992"/>
    <w:rsid w:val="43881670"/>
    <w:rsid w:val="43E563C8"/>
    <w:rsid w:val="43E82525"/>
    <w:rsid w:val="44592EA6"/>
    <w:rsid w:val="44A8055A"/>
    <w:rsid w:val="44F7334E"/>
    <w:rsid w:val="45303661"/>
    <w:rsid w:val="45AF30FD"/>
    <w:rsid w:val="45B95DC5"/>
    <w:rsid w:val="45C857C3"/>
    <w:rsid w:val="46420BB9"/>
    <w:rsid w:val="465B3014"/>
    <w:rsid w:val="472F5293"/>
    <w:rsid w:val="473A07C7"/>
    <w:rsid w:val="47DB0FE0"/>
    <w:rsid w:val="47EB386F"/>
    <w:rsid w:val="485A4022"/>
    <w:rsid w:val="48986B3F"/>
    <w:rsid w:val="494476DB"/>
    <w:rsid w:val="49B66251"/>
    <w:rsid w:val="4A125037"/>
    <w:rsid w:val="4AB455FC"/>
    <w:rsid w:val="4B4C6831"/>
    <w:rsid w:val="4BB93099"/>
    <w:rsid w:val="4CA21C4A"/>
    <w:rsid w:val="4E87606B"/>
    <w:rsid w:val="4ED1777D"/>
    <w:rsid w:val="4F443F90"/>
    <w:rsid w:val="4F627A2B"/>
    <w:rsid w:val="4F8A1859"/>
    <w:rsid w:val="4FCD4721"/>
    <w:rsid w:val="502D24E4"/>
    <w:rsid w:val="504773D5"/>
    <w:rsid w:val="50EC70D4"/>
    <w:rsid w:val="511E5BAD"/>
    <w:rsid w:val="513918A9"/>
    <w:rsid w:val="517F3DD4"/>
    <w:rsid w:val="51A742B0"/>
    <w:rsid w:val="51BC2AE8"/>
    <w:rsid w:val="52244348"/>
    <w:rsid w:val="52CE5689"/>
    <w:rsid w:val="558A3D0F"/>
    <w:rsid w:val="559A68B9"/>
    <w:rsid w:val="569E5C28"/>
    <w:rsid w:val="56B17EF3"/>
    <w:rsid w:val="57313D11"/>
    <w:rsid w:val="578D69F6"/>
    <w:rsid w:val="58311B26"/>
    <w:rsid w:val="59254E33"/>
    <w:rsid w:val="597E4543"/>
    <w:rsid w:val="599A4762"/>
    <w:rsid w:val="59B94A33"/>
    <w:rsid w:val="59C42C57"/>
    <w:rsid w:val="5A45619F"/>
    <w:rsid w:val="5AFB2C32"/>
    <w:rsid w:val="5AFC7B78"/>
    <w:rsid w:val="5B2F036B"/>
    <w:rsid w:val="5B5877E2"/>
    <w:rsid w:val="5BA9771F"/>
    <w:rsid w:val="5BAC7A1D"/>
    <w:rsid w:val="5BAE0EF6"/>
    <w:rsid w:val="5BE3458F"/>
    <w:rsid w:val="5DC22821"/>
    <w:rsid w:val="5DD0286D"/>
    <w:rsid w:val="5EA41270"/>
    <w:rsid w:val="5EEA0F2A"/>
    <w:rsid w:val="5F9D1CA2"/>
    <w:rsid w:val="5FD300DB"/>
    <w:rsid w:val="5FE25B93"/>
    <w:rsid w:val="603F3AE9"/>
    <w:rsid w:val="608C59E7"/>
    <w:rsid w:val="60B16A2C"/>
    <w:rsid w:val="60FD39DD"/>
    <w:rsid w:val="61051B53"/>
    <w:rsid w:val="61095D5D"/>
    <w:rsid w:val="61284751"/>
    <w:rsid w:val="629F458E"/>
    <w:rsid w:val="64F222D0"/>
    <w:rsid w:val="655541D3"/>
    <w:rsid w:val="65594766"/>
    <w:rsid w:val="65AE22F3"/>
    <w:rsid w:val="65C12033"/>
    <w:rsid w:val="66465782"/>
    <w:rsid w:val="66AF6E4C"/>
    <w:rsid w:val="670A4733"/>
    <w:rsid w:val="672F3E8A"/>
    <w:rsid w:val="67DE5EA5"/>
    <w:rsid w:val="68B4049D"/>
    <w:rsid w:val="68E615DD"/>
    <w:rsid w:val="6907286A"/>
    <w:rsid w:val="6908397B"/>
    <w:rsid w:val="69855479"/>
    <w:rsid w:val="6A16299D"/>
    <w:rsid w:val="6CC00CAD"/>
    <w:rsid w:val="6D0B604A"/>
    <w:rsid w:val="6DAC05BE"/>
    <w:rsid w:val="6E2337BB"/>
    <w:rsid w:val="6E802F39"/>
    <w:rsid w:val="6EF17676"/>
    <w:rsid w:val="6F5F3A74"/>
    <w:rsid w:val="6F8373FF"/>
    <w:rsid w:val="6FDE7145"/>
    <w:rsid w:val="701268B7"/>
    <w:rsid w:val="7025059A"/>
    <w:rsid w:val="708446DD"/>
    <w:rsid w:val="713E6246"/>
    <w:rsid w:val="71D05043"/>
    <w:rsid w:val="725809D6"/>
    <w:rsid w:val="73840989"/>
    <w:rsid w:val="73875405"/>
    <w:rsid w:val="73B74532"/>
    <w:rsid w:val="742E508B"/>
    <w:rsid w:val="744228E5"/>
    <w:rsid w:val="74425F26"/>
    <w:rsid w:val="74CC7CBB"/>
    <w:rsid w:val="75847F67"/>
    <w:rsid w:val="76D62696"/>
    <w:rsid w:val="77185B7F"/>
    <w:rsid w:val="774E2667"/>
    <w:rsid w:val="77910BE3"/>
    <w:rsid w:val="78270463"/>
    <w:rsid w:val="78EA3B59"/>
    <w:rsid w:val="797A042B"/>
    <w:rsid w:val="7A141457"/>
    <w:rsid w:val="7B2726C7"/>
    <w:rsid w:val="7B360113"/>
    <w:rsid w:val="7C016BE2"/>
    <w:rsid w:val="7C8660BD"/>
    <w:rsid w:val="7C934347"/>
    <w:rsid w:val="7CA05978"/>
    <w:rsid w:val="7F09259F"/>
    <w:rsid w:val="7F2050E8"/>
    <w:rsid w:val="7F894C06"/>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8">
    <w:name w:val="heading 3"/>
    <w:basedOn w:val="1"/>
    <w:next w:val="1"/>
    <w:link w:val="66"/>
    <w:qFormat/>
    <w:uiPriority w:val="99"/>
    <w:pPr>
      <w:keepNext/>
      <w:keepLines/>
      <w:spacing w:before="260" w:after="260" w:line="416" w:lineRule="auto"/>
      <w:outlineLvl w:val="2"/>
    </w:pPr>
    <w:rPr>
      <w:b/>
      <w:bCs/>
      <w:sz w:val="32"/>
      <w:szCs w:val="32"/>
    </w:rPr>
  </w:style>
  <w:style w:type="paragraph" w:styleId="9">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10">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11">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12">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3">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4">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0"/>
    <w:qFormat/>
    <w:uiPriority w:val="99"/>
    <w:pPr>
      <w:ind w:firstLine="420" w:firstLineChars="200"/>
    </w:pPr>
  </w:style>
  <w:style w:type="paragraph" w:styleId="3">
    <w:name w:val="Body Text Indent"/>
    <w:basedOn w:val="1"/>
    <w:next w:val="4"/>
    <w:link w:val="77"/>
    <w:qFormat/>
    <w:uiPriority w:val="99"/>
    <w:pPr>
      <w:spacing w:line="500" w:lineRule="exact"/>
      <w:ind w:firstLine="538"/>
    </w:pPr>
    <w:rPr>
      <w:sz w:val="28"/>
      <w:szCs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15">
    <w:name w:val="Normal Indent"/>
    <w:basedOn w:val="1"/>
    <w:qFormat/>
    <w:uiPriority w:val="99"/>
    <w:pPr>
      <w:adjustRightInd w:val="0"/>
      <w:spacing w:line="360" w:lineRule="atLeast"/>
      <w:ind w:firstLine="482"/>
      <w:textAlignment w:val="baseline"/>
    </w:pPr>
    <w:rPr>
      <w:kern w:val="0"/>
      <w:sz w:val="24"/>
      <w:szCs w:val="24"/>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73"/>
    <w:semiHidden/>
    <w:qFormat/>
    <w:uiPriority w:val="99"/>
    <w:pPr>
      <w:shd w:val="clear" w:color="auto" w:fill="000080"/>
    </w:pPr>
    <w:rPr>
      <w:kern w:val="0"/>
      <w:sz w:val="20"/>
      <w:szCs w:val="20"/>
      <w:shd w:val="clear" w:color="auto" w:fill="000080"/>
    </w:rPr>
  </w:style>
  <w:style w:type="paragraph" w:styleId="18">
    <w:name w:val="annotation text"/>
    <w:basedOn w:val="1"/>
    <w:link w:val="74"/>
    <w:semiHidden/>
    <w:qFormat/>
    <w:uiPriority w:val="99"/>
    <w:pPr>
      <w:jc w:val="left"/>
    </w:pPr>
  </w:style>
  <w:style w:type="paragraph" w:styleId="19">
    <w:name w:val="Body Text 3"/>
    <w:basedOn w:val="1"/>
    <w:link w:val="75"/>
    <w:qFormat/>
    <w:uiPriority w:val="99"/>
    <w:rPr>
      <w:rFonts w:ascii="宋体" w:cs="宋体"/>
      <w:sz w:val="24"/>
      <w:szCs w:val="24"/>
    </w:rPr>
  </w:style>
  <w:style w:type="paragraph" w:styleId="20">
    <w:name w:val="Body Text"/>
    <w:basedOn w:val="1"/>
    <w:link w:val="76"/>
    <w:qFormat/>
    <w:uiPriority w:val="99"/>
    <w:pPr>
      <w:jc w:val="center"/>
    </w:pPr>
    <w:rPr>
      <w:b/>
      <w:bCs/>
      <w:sz w:val="44"/>
      <w:szCs w:val="44"/>
    </w:rPr>
  </w:style>
  <w:style w:type="paragraph" w:styleId="21">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tabs>
        <w:tab w:val="right" w:leader="dot" w:pos="8296"/>
      </w:tabs>
      <w:ind w:left="1050" w:leftChars="500"/>
    </w:pPr>
    <w:rPr>
      <w:rFonts w:ascii="Calibri" w:hAnsi="Calibri" w:cs="Calibri"/>
    </w:rPr>
  </w:style>
  <w:style w:type="paragraph" w:styleId="24">
    <w:name w:val="toc 3"/>
    <w:basedOn w:val="1"/>
    <w:next w:val="1"/>
    <w:semiHidden/>
    <w:qFormat/>
    <w:uiPriority w:val="99"/>
    <w:pPr>
      <w:ind w:left="840" w:leftChars="400"/>
    </w:pPr>
    <w:rPr>
      <w:rFonts w:ascii="Calibri" w:hAnsi="Calibri" w:cs="Calibri"/>
    </w:rPr>
  </w:style>
  <w:style w:type="paragraph" w:styleId="25">
    <w:name w:val="Plain Text"/>
    <w:basedOn w:val="1"/>
    <w:next w:val="1"/>
    <w:link w:val="78"/>
    <w:qFormat/>
    <w:uiPriority w:val="99"/>
    <w:rPr>
      <w:rFonts w:ascii="宋体" w:hAnsi="Courier New" w:cs="宋体"/>
    </w:rPr>
  </w:style>
  <w:style w:type="paragraph" w:styleId="26">
    <w:name w:val="toc 8"/>
    <w:basedOn w:val="1"/>
    <w:next w:val="1"/>
    <w:semiHidden/>
    <w:qFormat/>
    <w:uiPriority w:val="99"/>
    <w:pPr>
      <w:ind w:left="2940" w:leftChars="1400"/>
    </w:pPr>
    <w:rPr>
      <w:rFonts w:ascii="Calibri" w:hAnsi="Calibri" w:cs="Calibri"/>
    </w:rPr>
  </w:style>
  <w:style w:type="paragraph" w:styleId="27">
    <w:name w:val="Date"/>
    <w:basedOn w:val="1"/>
    <w:next w:val="1"/>
    <w:link w:val="79"/>
    <w:qFormat/>
    <w:uiPriority w:val="99"/>
    <w:rPr>
      <w:rFonts w:ascii="仿宋_GB2312" w:eastAsia="仿宋_GB2312" w:cs="仿宋_GB2312"/>
      <w:sz w:val="30"/>
      <w:szCs w:val="30"/>
    </w:rPr>
  </w:style>
  <w:style w:type="paragraph" w:styleId="28">
    <w:name w:val="Body Text Indent 2"/>
    <w:basedOn w:val="1"/>
    <w:link w:val="80"/>
    <w:qFormat/>
    <w:uiPriority w:val="99"/>
    <w:pPr>
      <w:spacing w:line="360" w:lineRule="exact"/>
      <w:ind w:firstLine="600" w:firstLineChars="250"/>
      <w:jc w:val="left"/>
    </w:pPr>
    <w:rPr>
      <w:sz w:val="24"/>
      <w:szCs w:val="24"/>
    </w:rPr>
  </w:style>
  <w:style w:type="paragraph" w:styleId="29">
    <w:name w:val="Balloon Text"/>
    <w:basedOn w:val="1"/>
    <w:link w:val="81"/>
    <w:semiHidden/>
    <w:qFormat/>
    <w:uiPriority w:val="99"/>
    <w:rPr>
      <w:sz w:val="18"/>
      <w:szCs w:val="18"/>
    </w:rPr>
  </w:style>
  <w:style w:type="paragraph" w:styleId="30">
    <w:name w:val="footer"/>
    <w:basedOn w:val="1"/>
    <w:link w:val="82"/>
    <w:qFormat/>
    <w:uiPriority w:val="99"/>
    <w:pPr>
      <w:tabs>
        <w:tab w:val="center" w:pos="4153"/>
        <w:tab w:val="right" w:pos="8306"/>
      </w:tabs>
      <w:snapToGrid w:val="0"/>
      <w:jc w:val="left"/>
    </w:pPr>
    <w:rPr>
      <w:sz w:val="18"/>
      <w:szCs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3">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4">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5"/>
    <w:semiHidden/>
    <w:qFormat/>
    <w:uiPriority w:val="99"/>
    <w:rPr>
      <w:sz w:val="20"/>
      <w:szCs w:val="20"/>
    </w:rPr>
  </w:style>
  <w:style w:type="paragraph" w:styleId="36">
    <w:name w:val="toc 6"/>
    <w:basedOn w:val="1"/>
    <w:next w:val="1"/>
    <w:semiHidden/>
    <w:qFormat/>
    <w:uiPriority w:val="99"/>
    <w:pPr>
      <w:ind w:left="2100" w:leftChars="1000"/>
    </w:pPr>
    <w:rPr>
      <w:rFonts w:ascii="Calibri" w:hAnsi="Calibri" w:cs="Calibri"/>
    </w:rPr>
  </w:style>
  <w:style w:type="paragraph" w:styleId="37">
    <w:name w:val="Body Text Indent 3"/>
    <w:basedOn w:val="1"/>
    <w:link w:val="86"/>
    <w:qFormat/>
    <w:uiPriority w:val="99"/>
    <w:pPr>
      <w:spacing w:after="120"/>
      <w:ind w:left="420" w:leftChars="200"/>
    </w:pPr>
    <w:rPr>
      <w:sz w:val="16"/>
      <w:szCs w:val="16"/>
    </w:rPr>
  </w:style>
  <w:style w:type="paragraph" w:styleId="38">
    <w:name w:val="table of figures"/>
    <w:basedOn w:val="1"/>
    <w:next w:val="1"/>
    <w:semiHidden/>
    <w:qFormat/>
    <w:uiPriority w:val="99"/>
    <w:pPr>
      <w:ind w:left="200" w:leftChars="200" w:hanging="200" w:hangingChars="200"/>
    </w:pPr>
  </w:style>
  <w:style w:type="paragraph" w:styleId="39">
    <w:name w:val="toc 2"/>
    <w:basedOn w:val="1"/>
    <w:next w:val="1"/>
    <w:semiHidden/>
    <w:qFormat/>
    <w:uiPriority w:val="99"/>
    <w:pPr>
      <w:ind w:left="420" w:leftChars="200"/>
    </w:pPr>
    <w:rPr>
      <w:rFonts w:ascii="宋体" w:cs="宋体"/>
      <w:b/>
      <w:bCs/>
      <w:sz w:val="28"/>
      <w:szCs w:val="28"/>
    </w:rPr>
  </w:style>
  <w:style w:type="paragraph" w:styleId="40">
    <w:name w:val="toc 9"/>
    <w:basedOn w:val="1"/>
    <w:next w:val="1"/>
    <w:semiHidden/>
    <w:qFormat/>
    <w:uiPriority w:val="99"/>
    <w:pPr>
      <w:ind w:left="3360" w:leftChars="1600"/>
    </w:pPr>
    <w:rPr>
      <w:rFonts w:ascii="Calibri" w:hAnsi="Calibri" w:cs="Calibri"/>
    </w:rPr>
  </w:style>
  <w:style w:type="paragraph" w:styleId="41">
    <w:name w:val="Body Text 2"/>
    <w:basedOn w:val="1"/>
    <w:link w:val="87"/>
    <w:qFormat/>
    <w:uiPriority w:val="99"/>
    <w:pPr>
      <w:spacing w:line="440" w:lineRule="exact"/>
    </w:pPr>
    <w:rPr>
      <w:sz w:val="28"/>
      <w:szCs w:val="28"/>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3">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4">
    <w:name w:val="annotation subject"/>
    <w:basedOn w:val="18"/>
    <w:next w:val="18"/>
    <w:link w:val="89"/>
    <w:semiHidden/>
    <w:qFormat/>
    <w:uiPriority w:val="99"/>
    <w:rPr>
      <w:rFonts w:ascii="宋体" w:cs="宋体"/>
      <w:b/>
      <w:bCs/>
      <w:kern w:val="0"/>
      <w:sz w:val="28"/>
      <w:szCs w:val="28"/>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6"/>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7"/>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8"/>
    <w:qFormat/>
    <w:locked/>
    <w:uiPriority w:val="99"/>
    <w:rPr>
      <w:rFonts w:eastAsia="宋体" w:cs="Times New Roman"/>
      <w:b/>
      <w:bCs/>
      <w:kern w:val="2"/>
      <w:sz w:val="32"/>
      <w:szCs w:val="32"/>
      <w:lang w:val="en-US" w:eastAsia="zh-CN"/>
    </w:rPr>
  </w:style>
  <w:style w:type="character" w:customStyle="1" w:styleId="67">
    <w:name w:val="Heading 4 Char"/>
    <w:basedOn w:val="47"/>
    <w:link w:val="9"/>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10"/>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11"/>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12"/>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13"/>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4"/>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7"/>
    <w:qFormat/>
    <w:locked/>
    <w:uiPriority w:val="99"/>
    <w:rPr>
      <w:rFonts w:cs="Times New Roman"/>
      <w:sz w:val="24"/>
      <w:szCs w:val="24"/>
      <w:shd w:val="clear" w:color="auto" w:fill="000080"/>
    </w:rPr>
  </w:style>
  <w:style w:type="character" w:customStyle="1" w:styleId="74">
    <w:name w:val="Comment Text Char"/>
    <w:basedOn w:val="47"/>
    <w:link w:val="18"/>
    <w:qFormat/>
    <w:locked/>
    <w:uiPriority w:val="99"/>
    <w:rPr>
      <w:rFonts w:cs="Times New Roman"/>
      <w:kern w:val="2"/>
      <w:sz w:val="22"/>
      <w:szCs w:val="22"/>
    </w:rPr>
  </w:style>
  <w:style w:type="character" w:customStyle="1" w:styleId="75">
    <w:name w:val="Body Text 3 Char"/>
    <w:basedOn w:val="47"/>
    <w:link w:val="19"/>
    <w:semiHidden/>
    <w:qFormat/>
    <w:locked/>
    <w:uiPriority w:val="99"/>
    <w:rPr>
      <w:rFonts w:cs="Times New Roman"/>
      <w:sz w:val="16"/>
      <w:szCs w:val="16"/>
    </w:rPr>
  </w:style>
  <w:style w:type="character" w:customStyle="1" w:styleId="76">
    <w:name w:val="Body Text Char"/>
    <w:basedOn w:val="47"/>
    <w:link w:val="20"/>
    <w:qFormat/>
    <w:locked/>
    <w:uiPriority w:val="99"/>
    <w:rPr>
      <w:rFonts w:eastAsia="宋体" w:cs="Times New Roman"/>
      <w:b/>
      <w:bCs/>
      <w:kern w:val="2"/>
      <w:sz w:val="44"/>
      <w:szCs w:val="44"/>
      <w:lang w:val="en-US" w:eastAsia="zh-CN"/>
    </w:rPr>
  </w:style>
  <w:style w:type="character" w:customStyle="1" w:styleId="77">
    <w:name w:val="Body Text Indent Char"/>
    <w:basedOn w:val="47"/>
    <w:link w:val="3"/>
    <w:semiHidden/>
    <w:qFormat/>
    <w:locked/>
    <w:uiPriority w:val="99"/>
    <w:rPr>
      <w:rFonts w:cs="Times New Roman"/>
      <w:sz w:val="21"/>
      <w:szCs w:val="21"/>
    </w:rPr>
  </w:style>
  <w:style w:type="character" w:customStyle="1" w:styleId="78">
    <w:name w:val="Plain Text Char"/>
    <w:basedOn w:val="47"/>
    <w:link w:val="25"/>
    <w:semiHidden/>
    <w:qFormat/>
    <w:locked/>
    <w:uiPriority w:val="99"/>
    <w:rPr>
      <w:rFonts w:ascii="宋体" w:hAnsi="Courier New" w:cs="Courier New"/>
      <w:sz w:val="21"/>
      <w:szCs w:val="21"/>
    </w:rPr>
  </w:style>
  <w:style w:type="character" w:customStyle="1" w:styleId="79">
    <w:name w:val="Date Char"/>
    <w:basedOn w:val="47"/>
    <w:link w:val="27"/>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8"/>
    <w:semiHidden/>
    <w:qFormat/>
    <w:locked/>
    <w:uiPriority w:val="99"/>
    <w:rPr>
      <w:rFonts w:cs="Times New Roman"/>
      <w:sz w:val="21"/>
      <w:szCs w:val="21"/>
    </w:rPr>
  </w:style>
  <w:style w:type="character" w:customStyle="1" w:styleId="81">
    <w:name w:val="Balloon Text Char"/>
    <w:basedOn w:val="47"/>
    <w:link w:val="29"/>
    <w:semiHidden/>
    <w:qFormat/>
    <w:locked/>
    <w:uiPriority w:val="99"/>
    <w:rPr>
      <w:rFonts w:cs="Times New Roman"/>
      <w:sz w:val="2"/>
    </w:rPr>
  </w:style>
  <w:style w:type="character" w:customStyle="1" w:styleId="82">
    <w:name w:val="Footer Char"/>
    <w:basedOn w:val="47"/>
    <w:link w:val="30"/>
    <w:qFormat/>
    <w:locked/>
    <w:uiPriority w:val="99"/>
    <w:rPr>
      <w:rFonts w:eastAsia="宋体" w:cs="Times New Roman"/>
      <w:kern w:val="2"/>
      <w:sz w:val="18"/>
      <w:szCs w:val="18"/>
      <w:lang w:val="en-US" w:eastAsia="zh-CN"/>
    </w:rPr>
  </w:style>
  <w:style w:type="character" w:customStyle="1" w:styleId="83">
    <w:name w:val="Header Char"/>
    <w:basedOn w:val="47"/>
    <w:link w:val="31"/>
    <w:qFormat/>
    <w:locked/>
    <w:uiPriority w:val="99"/>
    <w:rPr>
      <w:rFonts w:eastAsia="宋体" w:cs="Times New Roman"/>
      <w:kern w:val="2"/>
      <w:sz w:val="18"/>
      <w:szCs w:val="18"/>
      <w:lang w:val="en-US" w:eastAsia="zh-CN"/>
    </w:rPr>
  </w:style>
  <w:style w:type="character" w:customStyle="1" w:styleId="84">
    <w:name w:val="Subtitle Char"/>
    <w:basedOn w:val="47"/>
    <w:link w:val="34"/>
    <w:qFormat/>
    <w:locked/>
    <w:uiPriority w:val="99"/>
    <w:rPr>
      <w:rFonts w:ascii="Cambria" w:hAnsi="Cambria" w:cs="Cambria"/>
      <w:b/>
      <w:bCs/>
      <w:kern w:val="28"/>
      <w:sz w:val="32"/>
      <w:szCs w:val="32"/>
    </w:rPr>
  </w:style>
  <w:style w:type="character" w:customStyle="1" w:styleId="85">
    <w:name w:val="Footnote Text Char"/>
    <w:basedOn w:val="47"/>
    <w:link w:val="35"/>
    <w:semiHidden/>
    <w:qFormat/>
    <w:locked/>
    <w:uiPriority w:val="99"/>
    <w:rPr>
      <w:rFonts w:cs="Times New Roman"/>
      <w:sz w:val="18"/>
      <w:szCs w:val="18"/>
    </w:rPr>
  </w:style>
  <w:style w:type="character" w:customStyle="1" w:styleId="86">
    <w:name w:val="Body Text Indent 3 Char"/>
    <w:basedOn w:val="47"/>
    <w:link w:val="37"/>
    <w:semiHidden/>
    <w:qFormat/>
    <w:locked/>
    <w:uiPriority w:val="99"/>
    <w:rPr>
      <w:rFonts w:cs="Times New Roman"/>
      <w:sz w:val="16"/>
      <w:szCs w:val="16"/>
    </w:rPr>
  </w:style>
  <w:style w:type="character" w:customStyle="1" w:styleId="87">
    <w:name w:val="Body Text 2 Char"/>
    <w:basedOn w:val="47"/>
    <w:link w:val="41"/>
    <w:semiHidden/>
    <w:qFormat/>
    <w:locked/>
    <w:uiPriority w:val="99"/>
    <w:rPr>
      <w:rFonts w:cs="Times New Roman"/>
      <w:sz w:val="21"/>
      <w:szCs w:val="21"/>
    </w:rPr>
  </w:style>
  <w:style w:type="character" w:customStyle="1" w:styleId="88">
    <w:name w:val="Title Char"/>
    <w:basedOn w:val="47"/>
    <w:link w:val="43"/>
    <w:qFormat/>
    <w:locked/>
    <w:uiPriority w:val="99"/>
    <w:rPr>
      <w:rFonts w:ascii="Cambria" w:hAnsi="Cambria" w:cs="Cambria"/>
      <w:b/>
      <w:bCs/>
      <w:kern w:val="2"/>
      <w:sz w:val="32"/>
      <w:szCs w:val="32"/>
    </w:rPr>
  </w:style>
  <w:style w:type="character" w:customStyle="1" w:styleId="89">
    <w:name w:val="Comment Subject Char"/>
    <w:basedOn w:val="74"/>
    <w:link w:val="44"/>
    <w:qFormat/>
    <w:locked/>
    <w:uiPriority w:val="99"/>
    <w:rPr>
      <w:rFonts w:ascii="宋体" w:cs="宋体"/>
      <w:b/>
      <w:bCs/>
      <w:sz w:val="28"/>
      <w:szCs w:val="28"/>
    </w:rPr>
  </w:style>
  <w:style w:type="character" w:customStyle="1" w:styleId="90">
    <w:name w:val="Body Text First Indent 2 Char"/>
    <w:basedOn w:val="77"/>
    <w:link w:val="2"/>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7"/>
    <w:next w:val="22"/>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8"/>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8"/>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8"/>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8"/>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8"/>
    <w:qFormat/>
    <w:uiPriority w:val="99"/>
    <w:pPr>
      <w:spacing w:line="413" w:lineRule="auto"/>
    </w:pPr>
  </w:style>
  <w:style w:type="paragraph" w:customStyle="1" w:styleId="134">
    <w:name w:val="TOC 标题1"/>
    <w:basedOn w:val="6"/>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6"/>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7"/>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7"/>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8"/>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time"/>
    <w:basedOn w:val="47"/>
    <w:qFormat/>
    <w:uiPriority w:val="0"/>
  </w:style>
  <w:style w:type="character" w:customStyle="1" w:styleId="159">
    <w:name w:val="status"/>
    <w:basedOn w:val="47"/>
    <w:qFormat/>
    <w:uiPriority w:val="0"/>
    <w:rPr>
      <w:color w:val="0776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34</Pages>
  <Words>4870</Words>
  <Characters>5833</Characters>
  <Lines>0</Lines>
  <Paragraphs>0</Paragraphs>
  <TotalTime>10</TotalTime>
  <ScaleCrop>false</ScaleCrop>
  <LinksUpToDate>false</LinksUpToDate>
  <CharactersWithSpaces>5976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这不科学</cp:lastModifiedBy>
  <cp:lastPrinted>2024-12-19T02:48:00Z</cp:lastPrinted>
  <dcterms:modified xsi:type="dcterms:W3CDTF">2025-08-05T03:41:43Z</dcterms:modified>
  <dc:title>创业园小区9#楼工程施工</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86717CE9608D47DFB7D00BC0CB6E8D85_13</vt:lpwstr>
  </property>
  <property fmtid="{D5CDD505-2E9C-101B-9397-08002B2CF9AE}" pid="4" name="KSOTemplateDocerSaveRecord">
    <vt:lpwstr>eyJoZGlkIjoiZmI5ZDY5ZDNjMmE2ZDcxYTFkMDY0Zjg5Mjg3YTE0YTgiLCJ1c2VySWQiOiI1MDM3MjkwOTMifQ==</vt:lpwstr>
  </property>
</Properties>
</file>