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48"/>
          <w:szCs w:val="48"/>
          <w:highlight w:val="none"/>
          <w:u w:val="single"/>
          <w:vertAlign w:val="baseline"/>
        </w:rPr>
      </w:pPr>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4"/>
          <w:szCs w:val="44"/>
          <w:highlight w:val="none"/>
          <w:lang w:val="en-US" w:eastAsia="zh-CN"/>
        </w:rPr>
        <w:t>2026年金桥西路（幼安路-永乐路）沥青路面大中修工程工程量清单及最高投标限价编制服务项目</w:t>
      </w:r>
    </w:p>
    <w:p w14:paraId="5854E797">
      <w:pPr>
        <w:spacing w:line="400" w:lineRule="atLeast"/>
        <w:jc w:val="center"/>
        <w:rPr>
          <w:rFonts w:hint="eastAsia" w:ascii="宋体" w:hAnsi="宋体" w:eastAsia="宋体" w:cs="宋体"/>
          <w:b/>
          <w:bCs/>
          <w:color w:val="auto"/>
          <w:sz w:val="98"/>
          <w:szCs w:val="98"/>
          <w:highlight w:val="none"/>
        </w:rPr>
      </w:pP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b/>
          <w:bCs/>
          <w:color w:val="auto"/>
          <w:sz w:val="28"/>
          <w:szCs w:val="28"/>
          <w:highlight w:val="none"/>
          <w:u w:val="none"/>
          <w:lang w:val="en-US" w:eastAsia="zh-CN"/>
        </w:rPr>
      </w:pPr>
      <w:bookmarkStart w:id="68" w:name="_GoBack"/>
      <w:r>
        <w:rPr>
          <w:rFonts w:hint="eastAsia" w:ascii="宋体" w:hAnsi="宋体" w:eastAsia="宋体" w:cs="宋体"/>
          <w:color w:val="auto"/>
          <w:sz w:val="28"/>
          <w:szCs w:val="28"/>
          <w:highlight w:val="none"/>
          <w:u w:val="none"/>
          <w:lang w:val="en-US" w:eastAsia="zh-CN"/>
        </w:rPr>
        <w:t>项目编号</w:t>
      </w:r>
      <w:bookmarkEnd w:id="68"/>
      <w:r>
        <w:rPr>
          <w:rFonts w:hint="eastAsia" w:ascii="宋体" w:hAnsi="宋体" w:eastAsia="宋体" w:cs="宋体"/>
          <w:color w:val="auto"/>
          <w:sz w:val="28"/>
          <w:szCs w:val="28"/>
          <w:highlight w:val="none"/>
          <w:u w:val="none"/>
          <w:lang w:val="en-US" w:eastAsia="zh-CN"/>
        </w:rPr>
        <w:t>：HXJY1110001058311001</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3B4053DE">
      <w:pPr>
        <w:wordWrap w:val="0"/>
        <w:spacing w:line="800" w:lineRule="exact"/>
        <w:ind w:right="480" w:firstLine="960" w:firstLineChars="300"/>
        <w:jc w:val="both"/>
        <w:rPr>
          <w:rFonts w:hint="eastAsia" w:ascii="宋体" w:hAnsi="宋体" w:eastAsia="宋体" w:cs="宋体"/>
          <w:color w:val="auto"/>
          <w:sz w:val="32"/>
          <w:highlight w:val="none"/>
          <w:lang w:val="en-US" w:eastAsia="zh-CN"/>
        </w:rPr>
      </w:pPr>
    </w:p>
    <w:p w14:paraId="44D60B52">
      <w:pPr>
        <w:wordWrap w:val="0"/>
        <w:spacing w:line="800" w:lineRule="exact"/>
        <w:ind w:right="480" w:firstLine="960" w:firstLineChars="300"/>
        <w:jc w:val="both"/>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滁州市重点工程建设管理处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5E2CC12C">
      <w:pPr>
        <w:spacing w:line="800" w:lineRule="exact"/>
        <w:jc w:val="center"/>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6 </w:t>
      </w:r>
      <w:r>
        <w:rPr>
          <w:rFonts w:hint="eastAsia" w:ascii="宋体" w:hAnsi="宋体" w:eastAsia="宋体" w:cs="宋体"/>
          <w:color w:val="auto"/>
          <w:sz w:val="32"/>
          <w:highlight w:val="none"/>
        </w:rPr>
        <w:t>月</w:t>
      </w:r>
    </w:p>
    <w:p w14:paraId="563A1069">
      <w:pPr>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6" w:h="16838"/>
          <w:pgMar w:top="1134" w:right="1106" w:bottom="1134" w:left="1259" w:header="680" w:footer="680" w:gutter="0"/>
          <w:cols w:space="0" w:num="1"/>
          <w:titlePg/>
          <w:docGrid w:type="lines" w:linePitch="318" w:charSpace="0"/>
        </w:sectPr>
      </w:pPr>
    </w:p>
    <w:p w14:paraId="35F77A08">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1"/>
        <w:tabs>
          <w:tab w:val="right" w:leader="dot" w:pos="9541"/>
          <w:tab w:val="clear" w:pos="829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"1-2"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_Toc16309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A、</w:t>
      </w:r>
      <w:r>
        <w:rPr>
          <w:rFonts w:hint="eastAsia" w:hAnsi="宋体" w:eastAsia="宋体" w:cs="宋体"/>
          <w:b w:val="0"/>
          <w:bCs w:val="0"/>
          <w:color w:val="auto"/>
          <w:sz w:val="28"/>
          <w:szCs w:val="28"/>
          <w:highlight w:val="none"/>
          <w:lang w:val="en-US" w:eastAsia="zh-CN"/>
        </w:rPr>
        <w:t>招标公告</w:t>
      </w:r>
      <w:r>
        <w:rPr>
          <w:rFonts w:hint="eastAsia" w:ascii="宋体" w:hAnsi="宋体" w:eastAsia="宋体" w:cs="宋体"/>
          <w:b w:val="0"/>
          <w:bCs w:val="0"/>
          <w:color w:val="auto"/>
          <w:sz w:val="28"/>
          <w:szCs w:val="28"/>
          <w:highlight w:val="none"/>
        </w:rPr>
        <w:tab/>
      </w:r>
      <w:r>
        <w:rPr>
          <w:rFonts w:hint="eastAsia"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fldChar w:fldCharType="end"/>
      </w:r>
    </w:p>
    <w:p w14:paraId="4CD5E4E4">
      <w:pPr>
        <w:pStyle w:val="31"/>
        <w:tabs>
          <w:tab w:val="right" w:leader="dot" w:pos="9541"/>
          <w:tab w:val="clear" w:pos="829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_Toc2525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rPr>
        <w:t>章</w:t>
      </w:r>
      <w:r>
        <w:rPr>
          <w:rFonts w:hint="eastAsia" w:ascii="宋体" w:hAnsi="宋体" w:eastAsia="宋体" w:cs="宋体"/>
          <w:b w:val="0"/>
          <w:bCs w:val="0"/>
          <w:color w:val="auto"/>
          <w:sz w:val="28"/>
          <w:szCs w:val="28"/>
          <w:highlight w:val="none"/>
          <w:lang w:val="en-US" w:eastAsia="zh-CN"/>
        </w:rPr>
        <w:t xml:space="preserve"> </w:t>
      </w:r>
      <w:r>
        <w:rPr>
          <w:rFonts w:hint="eastAsia" w:hAnsi="宋体" w:eastAsia="宋体" w:cs="宋体"/>
          <w:b w:val="0"/>
          <w:bCs w:val="0"/>
          <w:color w:val="auto"/>
          <w:sz w:val="28"/>
          <w:szCs w:val="28"/>
          <w:highlight w:val="none"/>
          <w:lang w:eastAsia="zh-CN"/>
        </w:rPr>
        <w:t>投标人须知</w:t>
      </w:r>
      <w:r>
        <w:rPr>
          <w:rFonts w:hint="eastAsia" w:ascii="宋体" w:hAnsi="宋体" w:eastAsia="宋体" w:cs="宋体"/>
          <w:b w:val="0"/>
          <w:bCs w:val="0"/>
          <w:color w:val="auto"/>
          <w:sz w:val="28"/>
          <w:szCs w:val="28"/>
          <w:highlight w:val="none"/>
        </w:rPr>
        <w:tab/>
      </w:r>
      <w:r>
        <w:rPr>
          <w:rFonts w:hint="eastAsia" w:hAnsi="宋体" w:eastAsia="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fldChar w:fldCharType="end"/>
      </w:r>
    </w:p>
    <w:p w14:paraId="37667979">
      <w:pPr>
        <w:pStyle w:val="31"/>
        <w:tabs>
          <w:tab w:val="right" w:leader="dot" w:pos="9541"/>
          <w:tab w:val="clear" w:pos="829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_Toc13234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第二章 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_Toc13234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65E06610">
      <w:pPr>
        <w:pStyle w:val="31"/>
        <w:tabs>
          <w:tab w:val="right" w:leader="dot" w:pos="9541"/>
          <w:tab w:val="clear" w:pos="829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_Toc3848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第三章 合同条款</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_Toc3848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2A250ED">
      <w:pPr>
        <w:pStyle w:val="31"/>
        <w:tabs>
          <w:tab w:val="right" w:leader="dot" w:pos="9541"/>
          <w:tab w:val="clear" w:pos="829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_Toc30675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第四章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_Toc30675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03F52F3">
      <w:pPr>
        <w:pStyle w:val="31"/>
        <w:tabs>
          <w:tab w:val="right" w:leader="dot" w:pos="9541"/>
          <w:tab w:val="clear" w:pos="829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_Toc31498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第五章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_Toc31498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E1D2DC7">
      <w:pPr>
        <w:pStyle w:val="3"/>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33519C63">
      <w:pPr>
        <w:rPr>
          <w:rFonts w:hint="eastAsia" w:ascii="宋体" w:hAnsi="宋体" w:eastAsia="宋体" w:cs="宋体"/>
          <w:color w:val="auto"/>
          <w:highlight w:val="none"/>
        </w:rPr>
        <w:sectPr>
          <w:footerReference r:id="rId8" w:type="first"/>
          <w:footerReference r:id="rId7"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3"/>
        <w:numPr>
          <w:ilvl w:val="0"/>
          <w:numId w:val="0"/>
        </w:numPr>
        <w:bidi w:val="0"/>
        <w:rPr>
          <w:rFonts w:hint="eastAsia" w:ascii="宋体" w:hAnsi="宋体" w:eastAsia="宋体" w:cs="宋体"/>
          <w:color w:val="auto"/>
          <w:highlight w:val="none"/>
          <w:lang w:val="en-US" w:eastAsia="zh-CN"/>
        </w:rPr>
      </w:pPr>
      <w:bookmarkStart w:id="0" w:name="_Toc16309"/>
      <w:r>
        <w:rPr>
          <w:rFonts w:hint="eastAsia" w:ascii="宋体" w:hAnsi="宋体" w:eastAsia="宋体" w:cs="宋体"/>
          <w:b/>
          <w:bCs/>
          <w:color w:val="auto"/>
          <w:kern w:val="44"/>
          <w:sz w:val="30"/>
          <w:szCs w:val="44"/>
          <w:lang w:val="en-US" w:eastAsia="zh-CN" w:bidi="ar-SA"/>
        </w:rPr>
        <w:t>A、招标公告</w:t>
      </w:r>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 w:name="_Toc35393621"/>
      <w:bookmarkStart w:id="2" w:name="_Toc11704"/>
      <w:bookmarkStart w:id="3" w:name="_Toc31215"/>
      <w:bookmarkStart w:id="4" w:name="_Toc28359079"/>
      <w:bookmarkStart w:id="5" w:name="_Toc28359002"/>
      <w:bookmarkStart w:id="6" w:name="_Toc23993"/>
      <w:bookmarkStart w:id="7" w:name="_Toc35393790"/>
      <w:bookmarkStart w:id="8" w:name="_Hlk24379207"/>
      <w:r>
        <w:rPr>
          <w:rFonts w:hint="eastAsia" w:ascii="宋体" w:hAnsi="宋体" w:eastAsia="宋体" w:cs="宋体"/>
          <w:b/>
          <w:bCs/>
          <w:color w:val="auto"/>
          <w:sz w:val="21"/>
          <w:szCs w:val="21"/>
          <w:highlight w:val="none"/>
        </w:rPr>
        <w:t>一、项目基本情况</w:t>
      </w:r>
      <w:bookmarkEnd w:id="1"/>
      <w:bookmarkEnd w:id="2"/>
      <w:bookmarkEnd w:id="3"/>
      <w:bookmarkEnd w:id="4"/>
      <w:bookmarkEnd w:id="5"/>
      <w:bookmarkEnd w:id="6"/>
      <w:bookmarkEnd w:id="7"/>
    </w:p>
    <w:bookmarkEnd w:id="8"/>
    <w:p w14:paraId="4E70BE2C">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9" w:name="_Toc28359003"/>
      <w:bookmarkStart w:id="10" w:name="_Toc35393791"/>
      <w:bookmarkStart w:id="11" w:name="_Toc35393622"/>
      <w:bookmarkStart w:id="12" w:name="_Toc4879"/>
      <w:bookmarkStart w:id="13" w:name="_Toc28359080"/>
      <w:bookmarkStart w:id="14" w:name="_Toc28004"/>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项目编号：HXJY1110001058311001</w:t>
      </w:r>
    </w:p>
    <w:p w14:paraId="2B565FC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项目名称：</w:t>
      </w:r>
      <w:r>
        <w:rPr>
          <w:rFonts w:hint="eastAsia" w:ascii="宋体" w:hAnsi="宋体" w:cs="宋体"/>
          <w:i w:val="0"/>
          <w:iCs w:val="0"/>
          <w:caps w:val="0"/>
          <w:color w:val="auto"/>
          <w:spacing w:val="0"/>
          <w:kern w:val="0"/>
          <w:sz w:val="21"/>
          <w:szCs w:val="21"/>
          <w:highlight w:val="none"/>
          <w:shd w:val="clear" w:color="auto" w:fill="FFFFFF"/>
          <w:lang w:val="en-US" w:eastAsia="zh-CN" w:bidi="ar"/>
        </w:rPr>
        <w:t>2026年金桥西路（幼安路-永乐路）沥青路面大中修工程工程量清单及最高投标限价编制服务项目</w:t>
      </w:r>
    </w:p>
    <w:p w14:paraId="5FB3EFF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预算金额：</w:t>
      </w:r>
      <w:r>
        <w:rPr>
          <w:rFonts w:hint="eastAsia" w:ascii="宋体" w:hAnsi="宋体" w:cs="宋体"/>
          <w:i w:val="0"/>
          <w:iCs w:val="0"/>
          <w:caps w:val="0"/>
          <w:color w:val="auto"/>
          <w:spacing w:val="0"/>
          <w:kern w:val="0"/>
          <w:sz w:val="21"/>
          <w:szCs w:val="21"/>
          <w:highlight w:val="none"/>
          <w:shd w:val="clear" w:color="auto" w:fill="FFFFFF"/>
          <w:lang w:val="en-US" w:eastAsia="zh-CN" w:bidi="ar"/>
        </w:rPr>
        <w:t>约1.0万元</w:t>
      </w:r>
    </w:p>
    <w:p w14:paraId="2C8CA10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最高限价：本项目工程量清单和最高投标限价编制费用的最高限价为《收费标准》计算费用的60%（报价最多保留两位小数，小数点后第三位将四舍五入进行修正），投标单位投标报价不得高于上述费率最高限价，否则按无效标处理。《收费标准》详见附表。</w:t>
      </w:r>
    </w:p>
    <w:p w14:paraId="5DA1B727">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采购需求：工程量清单及最高投标限价编制服务</w:t>
      </w:r>
    </w:p>
    <w:p w14:paraId="4E14F5F7">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标段（包别）划分：1个标段</w:t>
      </w:r>
    </w:p>
    <w:p w14:paraId="11BCF75A">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合同履行期限：领取图纸之日起</w:t>
      </w:r>
      <w:r>
        <w:rPr>
          <w:rFonts w:hint="eastAsia" w:ascii="宋体" w:hAnsi="宋体" w:cs="宋体"/>
          <w:i w:val="0"/>
          <w:iCs w:val="0"/>
          <w:caps w:val="0"/>
          <w:color w:val="auto"/>
          <w:spacing w:val="0"/>
          <w:kern w:val="0"/>
          <w:sz w:val="21"/>
          <w:szCs w:val="21"/>
          <w:highlight w:val="none"/>
          <w:shd w:val="clear" w:color="auto" w:fill="FFFFFF"/>
          <w:lang w:val="en-US" w:eastAsia="zh-CN" w:bidi="ar"/>
        </w:rPr>
        <w:t>7</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日内完成工程量清单和最高投标限价的编制及备案工作。</w:t>
      </w:r>
    </w:p>
    <w:p w14:paraId="20F129E5">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本项目不接受联合体投标</w:t>
      </w:r>
      <w:r>
        <w:rPr>
          <w:rFonts w:hint="eastAsia" w:ascii="宋体" w:hAnsi="宋体" w:cs="宋体"/>
          <w:i w:val="0"/>
          <w:iCs w:val="0"/>
          <w:caps w:val="0"/>
          <w:color w:val="auto"/>
          <w:spacing w:val="0"/>
          <w:kern w:val="0"/>
          <w:sz w:val="21"/>
          <w:szCs w:val="21"/>
          <w:highlight w:val="none"/>
          <w:shd w:val="clear" w:color="auto" w:fill="FFFFFF"/>
          <w:lang w:val="en-US" w:eastAsia="zh-CN" w:bidi="ar"/>
        </w:rPr>
        <w:t>。</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5" w:name="_Toc30013"/>
      <w:r>
        <w:rPr>
          <w:rFonts w:hint="eastAsia" w:ascii="宋体" w:hAnsi="宋体" w:eastAsia="宋体" w:cs="宋体"/>
          <w:b/>
          <w:bCs/>
          <w:color w:val="auto"/>
          <w:sz w:val="21"/>
          <w:szCs w:val="21"/>
          <w:highlight w:val="none"/>
        </w:rPr>
        <w:t>二、申请人的资格要求：</w:t>
      </w:r>
      <w:bookmarkEnd w:id="9"/>
      <w:bookmarkEnd w:id="10"/>
      <w:bookmarkEnd w:id="11"/>
      <w:bookmarkEnd w:id="12"/>
      <w:bookmarkEnd w:id="13"/>
      <w:bookmarkEnd w:id="14"/>
      <w:bookmarkEnd w:id="15"/>
    </w:p>
    <w:p w14:paraId="41B157C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1.投标人要求：须具有独立承担民事责任的能力；</w:t>
      </w:r>
    </w:p>
    <w:p w14:paraId="2E536E7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16" w:name="_Toc28359081"/>
      <w:bookmarkStart w:id="17" w:name="_Toc28359004"/>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2.项目负责人要求：须具有注册在投标单位的</w:t>
      </w:r>
      <w:r>
        <w:rPr>
          <w:rFonts w:hint="eastAsia" w:ascii="宋体" w:hAnsi="宋体" w:cs="宋体"/>
          <w:i w:val="0"/>
          <w:iCs w:val="0"/>
          <w:caps w:val="0"/>
          <w:color w:val="auto"/>
          <w:spacing w:val="0"/>
          <w:kern w:val="0"/>
          <w:sz w:val="21"/>
          <w:szCs w:val="21"/>
          <w:highlight w:val="none"/>
          <w:shd w:val="clear" w:color="auto" w:fill="FFFFFF"/>
          <w:lang w:val="en-US" w:eastAsia="zh-CN" w:bidi="ar"/>
        </w:rPr>
        <w:t>土木建筑工程</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专业一级注册造价工程师（或原注册造价工程师）；</w:t>
      </w:r>
    </w:p>
    <w:p w14:paraId="171F54D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3.其他要求：项目组其他成员（不含项目负责人）要求：不少于2名注册在投标单位的二级及以上造价工程师；</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18" w:name="_Toc2689"/>
      <w:bookmarkStart w:id="19" w:name="_Toc35393792"/>
      <w:bookmarkStart w:id="20" w:name="_Toc35393623"/>
      <w:bookmarkStart w:id="21" w:name="_Toc7189"/>
      <w:bookmarkStart w:id="22" w:name="_Toc28172"/>
      <w:r>
        <w:rPr>
          <w:rFonts w:hint="eastAsia" w:ascii="宋体" w:hAnsi="宋体" w:eastAsia="宋体" w:cs="宋体"/>
          <w:b/>
          <w:bCs/>
          <w:color w:val="auto"/>
          <w:sz w:val="21"/>
          <w:szCs w:val="21"/>
          <w:highlight w:val="none"/>
        </w:rPr>
        <w:t>三、获取</w:t>
      </w:r>
      <w:bookmarkEnd w:id="16"/>
      <w:bookmarkEnd w:id="17"/>
      <w:bookmarkEnd w:id="18"/>
      <w:bookmarkEnd w:id="19"/>
      <w:bookmarkEnd w:id="20"/>
      <w:bookmarkEnd w:id="21"/>
      <w:bookmarkEnd w:id="22"/>
      <w:r>
        <w:rPr>
          <w:rFonts w:hint="eastAsia" w:ascii="宋体" w:hAnsi="宋体" w:eastAsia="宋体" w:cs="宋体"/>
          <w:b/>
          <w:bCs/>
          <w:color w:val="auto"/>
          <w:sz w:val="21"/>
          <w:szCs w:val="21"/>
          <w:highlight w:val="none"/>
          <w:lang w:eastAsia="zh-CN"/>
        </w:rPr>
        <w:t>招标文件</w:t>
      </w:r>
    </w:p>
    <w:p w14:paraId="7B7E7722">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24</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日至202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29</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p>
    <w:p w14:paraId="5E8D5B0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地点：滁州市重点工程建设管理处（http://zdc.chuzhou.gov.cn/）或滁州市城投工程咨询管理有限公司（https://www.czctgczx.com/）网站。</w:t>
      </w:r>
    </w:p>
    <w:p w14:paraId="1F313A6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方式：网上下载</w:t>
      </w:r>
    </w:p>
    <w:p w14:paraId="27A9C38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售价：0元</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bookmarkStart w:id="23" w:name="_Toc28359005"/>
      <w:bookmarkStart w:id="24" w:name="_Toc28359082"/>
      <w:bookmarkStart w:id="25" w:name="_Toc6135"/>
      <w:bookmarkStart w:id="26" w:name="_Toc35393793"/>
      <w:bookmarkStart w:id="27" w:name="_Toc23486"/>
      <w:bookmarkStart w:id="28" w:name="_Toc19139"/>
      <w:bookmarkStart w:id="29" w:name="_Toc35393624"/>
      <w:r>
        <w:rPr>
          <w:rFonts w:hint="eastAsia" w:ascii="宋体" w:hAnsi="宋体" w:eastAsia="宋体" w:cs="宋体"/>
          <w:b/>
          <w:bCs/>
          <w:color w:val="auto"/>
          <w:sz w:val="21"/>
          <w:szCs w:val="21"/>
          <w:highlight w:val="none"/>
          <w:lang w:eastAsia="zh-CN"/>
        </w:rPr>
        <w:t>四、提交投标文件</w:t>
      </w:r>
      <w:bookmarkEnd w:id="23"/>
      <w:bookmarkEnd w:id="24"/>
      <w:r>
        <w:rPr>
          <w:rFonts w:hint="eastAsia" w:ascii="宋体" w:hAnsi="宋体" w:eastAsia="宋体" w:cs="宋体"/>
          <w:b/>
          <w:bCs/>
          <w:color w:val="auto"/>
          <w:sz w:val="21"/>
          <w:szCs w:val="21"/>
          <w:highlight w:val="none"/>
          <w:lang w:eastAsia="zh-CN"/>
        </w:rPr>
        <w:t>截止时间、开标时间和地点</w:t>
      </w:r>
      <w:bookmarkEnd w:id="25"/>
      <w:bookmarkEnd w:id="26"/>
      <w:bookmarkEnd w:id="27"/>
      <w:bookmarkEnd w:id="28"/>
      <w:bookmarkEnd w:id="29"/>
    </w:p>
    <w:p w14:paraId="78DDBB2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30" w:name="_Toc35393625"/>
      <w:bookmarkStart w:id="31" w:name="_Toc19623"/>
      <w:bookmarkStart w:id="32" w:name="_Toc28359007"/>
      <w:bookmarkStart w:id="33" w:name="_Toc5602"/>
      <w:bookmarkStart w:id="34" w:name="_Toc28359084"/>
      <w:bookmarkStart w:id="35" w:name="_Toc35393794"/>
      <w:bookmarkStart w:id="36" w:name="_Toc1913"/>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时间</w:t>
      </w:r>
      <w:r>
        <w:rPr>
          <w:rFonts w:hint="eastAsia" w:ascii="宋体" w:hAnsi="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202</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年</w:t>
      </w:r>
      <w:r>
        <w:rPr>
          <w:rFonts w:hint="eastAsia" w:ascii="宋体" w:hAnsi="宋体" w:cs="宋体"/>
          <w:i w:val="0"/>
          <w:iCs w:val="0"/>
          <w:caps w:val="0"/>
          <w:color w:val="auto"/>
          <w:spacing w:val="0"/>
          <w:kern w:val="0"/>
          <w:sz w:val="21"/>
          <w:szCs w:val="21"/>
          <w:highlight w:val="none"/>
          <w:shd w:val="clear" w:color="auto" w:fill="FFFFFF"/>
          <w:lang w:val="en-US" w:eastAsia="zh-CN" w:bidi="ar"/>
        </w:rPr>
        <w:t>6</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月</w:t>
      </w:r>
      <w:r>
        <w:rPr>
          <w:rFonts w:hint="eastAsia" w:ascii="宋体" w:hAnsi="宋体" w:cs="宋体"/>
          <w:i w:val="0"/>
          <w:iCs w:val="0"/>
          <w:caps w:val="0"/>
          <w:color w:val="auto"/>
          <w:spacing w:val="0"/>
          <w:kern w:val="0"/>
          <w:sz w:val="21"/>
          <w:szCs w:val="21"/>
          <w:highlight w:val="none"/>
          <w:shd w:val="clear" w:color="auto" w:fill="FFFFFF"/>
          <w:lang w:val="en-US" w:eastAsia="zh-CN" w:bidi="ar"/>
        </w:rPr>
        <w:t>29</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w:t>
      </w:r>
      <w:r>
        <w:rPr>
          <w:rFonts w:hint="eastAsia" w:ascii="宋体" w:hAnsi="宋体" w:cs="宋体"/>
          <w:i w:val="0"/>
          <w:iCs w:val="0"/>
          <w:caps w:val="0"/>
          <w:color w:val="auto"/>
          <w:spacing w:val="0"/>
          <w:kern w:val="0"/>
          <w:sz w:val="21"/>
          <w:szCs w:val="21"/>
          <w:highlight w:val="none"/>
          <w:shd w:val="clear" w:color="auto" w:fill="FFFFFF"/>
          <w:lang w:val="en-US" w:eastAsia="zh-CN" w:bidi="ar"/>
        </w:rPr>
        <w:t>14</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时</w:t>
      </w:r>
      <w:r>
        <w:rPr>
          <w:rFonts w:hint="eastAsia" w:ascii="宋体" w:hAnsi="宋体" w:cs="宋体"/>
          <w:i w:val="0"/>
          <w:iCs w:val="0"/>
          <w:caps w:val="0"/>
          <w:color w:val="auto"/>
          <w:spacing w:val="0"/>
          <w:kern w:val="0"/>
          <w:sz w:val="21"/>
          <w:szCs w:val="21"/>
          <w:highlight w:val="none"/>
          <w:shd w:val="clear" w:color="auto" w:fill="FFFFFF"/>
          <w:lang w:val="en-US" w:eastAsia="zh-CN" w:bidi="ar"/>
        </w:rPr>
        <w:t>3</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0分；</w:t>
      </w:r>
    </w:p>
    <w:p w14:paraId="68E7038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地点：网上开标，投标人登录滁州市城投工程咨询管理有限公司不见面开标系统参与网上开标（网址：http://js.etrading.cn/EpointBidOpening/bidopeninghallaction/hall/login）。</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w:t>
      </w:r>
      <w:bookmarkEnd w:id="30"/>
      <w:bookmarkEnd w:id="31"/>
      <w:bookmarkEnd w:id="32"/>
      <w:bookmarkEnd w:id="33"/>
      <w:bookmarkEnd w:id="34"/>
      <w:bookmarkEnd w:id="35"/>
      <w:bookmarkEnd w:id="36"/>
      <w:r>
        <w:rPr>
          <w:rFonts w:hint="eastAsia" w:ascii="宋体" w:hAnsi="宋体" w:eastAsia="宋体" w:cs="宋体"/>
          <w:b/>
          <w:bCs/>
          <w:color w:val="auto"/>
          <w:sz w:val="21"/>
          <w:szCs w:val="21"/>
          <w:highlight w:val="none"/>
          <w:lang w:eastAsia="zh-CN"/>
        </w:rPr>
        <w:t>公告发布期限及媒体</w:t>
      </w:r>
    </w:p>
    <w:p w14:paraId="4B7713EE">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D51DD3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次招标公告同时在中国招标公共服务平台（http://www.cebpubservice.com/）、安徽省招标投标信息网（www.ahtba.org.cn）、滁州市重点工程建设管理处（http://zdc.chuzhou.gov.cn/）、滁州市城投工程咨询管理有限公司（https://www.czctgczx.com/）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六、投标保证金金额及缴纳账户</w:t>
      </w:r>
    </w:p>
    <w:p w14:paraId="1B54B94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是否要求投标人提交投标保证金：不要求。</w:t>
      </w:r>
    </w:p>
    <w:p w14:paraId="74160DE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、其他补充事宜</w:t>
      </w:r>
    </w:p>
    <w:p w14:paraId="307CE8A1">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2675A00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7B06113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09096EC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2903747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5.本项目采用不见面开标，投标人登录滁州市城投工程咨询管理有限公司不见面开标系统参与网上开标（网址：http://js.etrading.cn/EpointBidOpening/bidopeninghallaction/hall/login）。</w:t>
      </w:r>
    </w:p>
    <w:p w14:paraId="24AEDCBB">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6.投标人应在投标截止时间之前，登录新点电子交易平台【滁州专区】上传投标文件。投标人逾期上传投标文件的，电子系统不予受理。</w:t>
      </w:r>
    </w:p>
    <w:p w14:paraId="3B4DF1F7">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2813F802">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8.投标人的联系人电话(手机)、电子邮箱等通讯方式在开标过程中必须保持畅通，否则因上述原因造成的后果，责任自负。</w:t>
      </w:r>
    </w:p>
    <w:p w14:paraId="0369C8D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对本次招标提出询问，请按以下方式联系</w:t>
      </w:r>
    </w:p>
    <w:p w14:paraId="63CC939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1.招标人信息</w:t>
      </w:r>
    </w:p>
    <w:p w14:paraId="008F993E">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名称：</w:t>
      </w:r>
      <w:r>
        <w:rPr>
          <w:rFonts w:hint="eastAsia" w:ascii="宋体" w:hAnsi="宋体" w:cs="宋体"/>
          <w:i w:val="0"/>
          <w:iCs w:val="0"/>
          <w:caps w:val="0"/>
          <w:color w:val="auto"/>
          <w:spacing w:val="0"/>
          <w:kern w:val="0"/>
          <w:sz w:val="21"/>
          <w:szCs w:val="21"/>
          <w:highlight w:val="none"/>
          <w:shd w:val="clear" w:color="auto" w:fill="FFFFFF"/>
          <w:lang w:val="en-US" w:eastAsia="zh-CN" w:bidi="ar"/>
        </w:rPr>
        <w:t>滁州市重点工程建设管理处</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2676EEB6">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地址：</w:t>
      </w:r>
      <w:r>
        <w:rPr>
          <w:rFonts w:hint="eastAsia" w:ascii="宋体" w:hAnsi="宋体" w:cs="宋体"/>
          <w:i w:val="0"/>
          <w:iCs w:val="0"/>
          <w:caps w:val="0"/>
          <w:color w:val="auto"/>
          <w:spacing w:val="0"/>
          <w:kern w:val="0"/>
          <w:sz w:val="21"/>
          <w:szCs w:val="21"/>
          <w:highlight w:val="none"/>
          <w:shd w:val="clear" w:color="auto" w:fill="FFFFFF"/>
          <w:lang w:val="en-US" w:eastAsia="zh-CN" w:bidi="ar"/>
        </w:rPr>
        <w:t>滁州市琅琊西路建设大厦7楼</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604B5F7D">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w:t>
      </w:r>
      <w:r>
        <w:rPr>
          <w:rFonts w:hint="eastAsia" w:ascii="宋体" w:hAnsi="宋体" w:cs="宋体"/>
          <w:i w:val="0"/>
          <w:iCs w:val="0"/>
          <w:caps w:val="0"/>
          <w:color w:val="auto"/>
          <w:spacing w:val="0"/>
          <w:kern w:val="0"/>
          <w:sz w:val="21"/>
          <w:szCs w:val="21"/>
          <w:highlight w:val="none"/>
          <w:shd w:val="clear" w:color="auto" w:fill="FFFFFF"/>
          <w:lang w:val="en-US" w:eastAsia="zh-CN" w:bidi="ar"/>
        </w:rPr>
        <w:t>李福锟</w:t>
      </w:r>
    </w:p>
    <w:p w14:paraId="00D6D654">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联系方式：</w:t>
      </w:r>
      <w:bookmarkStart w:id="37" w:name="_Toc28359009"/>
      <w:bookmarkStart w:id="38" w:name="_Toc28359086"/>
      <w:r>
        <w:rPr>
          <w:rFonts w:hint="eastAsia" w:ascii="宋体" w:hAnsi="宋体" w:cs="宋体"/>
          <w:i w:val="0"/>
          <w:iCs w:val="0"/>
          <w:caps w:val="0"/>
          <w:color w:val="auto"/>
          <w:spacing w:val="0"/>
          <w:kern w:val="0"/>
          <w:sz w:val="21"/>
          <w:szCs w:val="21"/>
          <w:highlight w:val="none"/>
          <w:shd w:val="clear" w:color="auto" w:fill="FFFFFF"/>
          <w:lang w:val="en-US" w:eastAsia="zh-CN" w:bidi="ar"/>
        </w:rPr>
        <w:t>0550-3046029</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03EF201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2.代理机构信息</w:t>
      </w:r>
      <w:bookmarkEnd w:id="37"/>
      <w:bookmarkEnd w:id="38"/>
    </w:p>
    <w:p w14:paraId="172B8153">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bookmarkStart w:id="39" w:name="_Toc28359010"/>
      <w:bookmarkStart w:id="40" w:name="_Toc28359087"/>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名称：滁州市城投工程咨询管理有限公司</w:t>
      </w:r>
    </w:p>
    <w:p w14:paraId="61DC66B0">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地址：滁州市龙蟠大道109号房产商务大厦6楼605室 </w:t>
      </w:r>
    </w:p>
    <w:p w14:paraId="08A37725">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联系人：胡国庆</w:t>
      </w:r>
    </w:p>
    <w:p w14:paraId="3942C597">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default"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联系方式：0550-3519517、18005500950 </w:t>
      </w:r>
    </w:p>
    <w:bookmarkEnd w:id="39"/>
    <w:bookmarkEnd w:id="40"/>
    <w:p w14:paraId="2B50E2F9">
      <w:pPr>
        <w:keepNext w:val="0"/>
        <w:keepLines w:val="0"/>
        <w:pageBreakBefore w:val="0"/>
        <w:widowControl w:val="0"/>
        <w:suppressLineNumbers w:val="0"/>
        <w:kinsoku/>
        <w:wordWrap w:val="0"/>
        <w:overflowPunct/>
        <w:topLinePunct w:val="0"/>
        <w:autoSpaceDE w:val="0"/>
        <w:autoSpaceDN/>
        <w:bidi w:val="0"/>
        <w:adjustRightInd/>
        <w:snapToGrid/>
        <w:spacing w:beforeAutospacing="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p>
    <w:p w14:paraId="21C74F84">
      <w:pPr>
        <w:numPr>
          <w:ilvl w:val="0"/>
          <w:numId w:val="0"/>
        </w:numPr>
        <w:rPr>
          <w:rFonts w:hint="default"/>
          <w:color w:val="auto"/>
          <w:highlight w:val="none"/>
          <w:lang w:val="en-US" w:eastAsia="zh-CN"/>
        </w:rPr>
      </w:pPr>
    </w:p>
    <w:p w14:paraId="607C199E">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eastAsia="zh-CN"/>
        </w:rPr>
      </w:pPr>
      <w:bookmarkStart w:id="41"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投标人须知</w:t>
      </w:r>
    </w:p>
    <w:p w14:paraId="11A55803">
      <w:pPr>
        <w:pStyle w:val="3"/>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92"/>
        <w:gridCol w:w="1308"/>
        <w:gridCol w:w="7488"/>
      </w:tblGrid>
      <w:tr w14:paraId="78EF493F">
        <w:tblPrEx>
          <w:tblCellMar>
            <w:top w:w="0" w:type="dxa"/>
            <w:left w:w="0" w:type="dxa"/>
            <w:bottom w:w="0" w:type="dxa"/>
            <w:right w:w="0" w:type="dxa"/>
          </w:tblCellMar>
        </w:tblPrEx>
        <w:trPr>
          <w:trHeight w:val="580" w:hRule="atLeast"/>
        </w:trPr>
        <w:tc>
          <w:tcPr>
            <w:tcW w:w="792"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序号</w:t>
            </w:r>
          </w:p>
        </w:tc>
        <w:tc>
          <w:tcPr>
            <w:tcW w:w="1308"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7488"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说明与要求</w:t>
            </w:r>
          </w:p>
        </w:tc>
      </w:tr>
      <w:tr w14:paraId="726904A0">
        <w:tblPrEx>
          <w:tblCellMar>
            <w:top w:w="0" w:type="dxa"/>
            <w:left w:w="0" w:type="dxa"/>
            <w:bottom w:w="0" w:type="dxa"/>
            <w:right w:w="0" w:type="dxa"/>
          </w:tblCellMar>
        </w:tblPrEx>
        <w:trPr>
          <w:trHeight w:val="986" w:hRule="atLeast"/>
        </w:trPr>
        <w:tc>
          <w:tcPr>
            <w:tcW w:w="792"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08"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488"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2026年金桥西路（幼安路-永乐路）沥青路面大中修工程工程量清单及最高投标限价编制服务项目</w:t>
            </w:r>
          </w:p>
          <w:p w14:paraId="3D870A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cs="宋体"/>
                <w:color w:val="auto"/>
                <w:kern w:val="0"/>
                <w:sz w:val="21"/>
                <w:szCs w:val="21"/>
                <w:highlight w:val="none"/>
                <w:lang w:val="en-US" w:eastAsia="zh-CN"/>
              </w:rPr>
              <w:t>工程投资金额约300万元（具体以实际发生为准），工程内容为沥青路面大中修，道路东侧115米、道路西侧120米，合计面积约3750平方米，本项目为工程量清单及最高投标限价编制服务，服务费用约1.0万元</w:t>
            </w:r>
            <w:r>
              <w:rPr>
                <w:rFonts w:hint="eastAsia" w:ascii="宋体" w:hAnsi="宋体" w:eastAsia="宋体" w:cs="宋体"/>
                <w:color w:val="auto"/>
                <w:kern w:val="0"/>
                <w:sz w:val="21"/>
                <w:szCs w:val="21"/>
                <w:highlight w:val="none"/>
                <w:lang w:val="en-US" w:eastAsia="zh-CN"/>
              </w:rPr>
              <w:t xml:space="preserve">。  </w:t>
            </w:r>
          </w:p>
        </w:tc>
      </w:tr>
      <w:tr w14:paraId="4047B0BA">
        <w:tblPrEx>
          <w:tblCellMar>
            <w:top w:w="0" w:type="dxa"/>
            <w:left w:w="0" w:type="dxa"/>
            <w:bottom w:w="0" w:type="dxa"/>
            <w:right w:w="0" w:type="dxa"/>
          </w:tblCellMar>
        </w:tblPrEx>
        <w:trPr>
          <w:trHeight w:val="255" w:hRule="atLeast"/>
        </w:trPr>
        <w:tc>
          <w:tcPr>
            <w:tcW w:w="792"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308"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488"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工程量清单及最高投标限价编制服务</w:t>
            </w:r>
            <w:r>
              <w:rPr>
                <w:rFonts w:hint="eastAsia" w:ascii="宋体" w:hAnsi="宋体" w:eastAsia="宋体" w:cs="宋体"/>
                <w:color w:val="auto"/>
                <w:kern w:val="0"/>
                <w:sz w:val="21"/>
                <w:szCs w:val="21"/>
                <w:highlight w:val="none"/>
                <w:lang w:eastAsia="zh-CN"/>
              </w:rPr>
              <w:t>。</w:t>
            </w:r>
          </w:p>
        </w:tc>
      </w:tr>
      <w:tr w14:paraId="597FACB0">
        <w:tblPrEx>
          <w:tblCellMar>
            <w:top w:w="0" w:type="dxa"/>
            <w:left w:w="0" w:type="dxa"/>
            <w:bottom w:w="0" w:type="dxa"/>
            <w:right w:w="0" w:type="dxa"/>
          </w:tblCellMar>
        </w:tblPrEx>
        <w:trPr>
          <w:trHeight w:val="315" w:hRule="atLeast"/>
        </w:trPr>
        <w:tc>
          <w:tcPr>
            <w:tcW w:w="792"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08"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488" w:type="dxa"/>
            <w:tcBorders>
              <w:top w:val="single" w:color="auto" w:sz="8" w:space="0"/>
              <w:left w:val="single" w:color="auto" w:sz="4" w:space="0"/>
              <w:bottom w:val="single" w:color="auto" w:sz="8" w:space="0"/>
              <w:right w:val="single" w:color="auto" w:sz="8" w:space="0"/>
            </w:tcBorders>
            <w:vAlign w:val="center"/>
          </w:tcPr>
          <w:p w14:paraId="78F5BC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1、领取图纸之日起</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日内完成工程量清单和最高投标限价的编制及备案工作。</w:t>
            </w:r>
          </w:p>
          <w:p w14:paraId="5DB786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2、造价企业应在规定时间内提交咨询成果文件，因造价企业原因未能按时提交，超过5日的，扣咨询服务费500元/日；超过15日的，扣咨询服务费1000元/日；超过规定时间一半以上的，终止委托业务。</w:t>
            </w:r>
          </w:p>
        </w:tc>
      </w:tr>
      <w:tr w14:paraId="24784F21">
        <w:tblPrEx>
          <w:tblCellMar>
            <w:top w:w="0" w:type="dxa"/>
            <w:left w:w="0" w:type="dxa"/>
            <w:bottom w:w="0" w:type="dxa"/>
            <w:right w:w="0" w:type="dxa"/>
          </w:tblCellMar>
        </w:tblPrEx>
        <w:trPr>
          <w:trHeight w:val="425" w:hRule="atLeast"/>
        </w:trPr>
        <w:tc>
          <w:tcPr>
            <w:tcW w:w="792"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308"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488"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92"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308"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31680" w:right="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31680" w:right="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488"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792"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308"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488"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92"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308"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0"/>
                <w:sz w:val="21"/>
                <w:szCs w:val="21"/>
                <w:highlight w:val="none"/>
              </w:rPr>
            </w:pPr>
            <w:r>
              <w:rPr>
                <w:rFonts w:hint="eastAsia"/>
                <w:color w:val="auto"/>
                <w:szCs w:val="21"/>
                <w:highlight w:val="none"/>
              </w:rPr>
              <w:t>招标方式</w:t>
            </w:r>
          </w:p>
        </w:tc>
        <w:tc>
          <w:tcPr>
            <w:tcW w:w="7488"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rPr>
            </w:pPr>
            <w:r>
              <w:rPr>
                <w:rFonts w:hint="eastAsia" w:ascii="幼圆" w:hAnsi="宋体-18030" w:cs="宋体-18030"/>
                <w:bCs/>
                <w:color w:val="auto"/>
                <w:szCs w:val="21"/>
                <w:highlight w:val="none"/>
                <w:lang w:val="en-US" w:eastAsia="zh-CN"/>
              </w:rPr>
              <w:t>公开招标</w:t>
            </w:r>
            <w:r>
              <w:rPr>
                <w:rFonts w:hint="eastAsia" w:hAnsi="宋体"/>
                <w:bCs/>
                <w:color w:val="auto"/>
                <w:szCs w:val="21"/>
                <w:highlight w:val="none"/>
              </w:rPr>
              <w:t xml:space="preserve">(本项目采用网上电子招投标) </w:t>
            </w:r>
          </w:p>
        </w:tc>
      </w:tr>
      <w:tr w14:paraId="0DEE0E5F">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308"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488" w:type="dxa"/>
            <w:tcBorders>
              <w:top w:val="single" w:color="auto" w:sz="8" w:space="0"/>
              <w:left w:val="single" w:color="auto" w:sz="4" w:space="0"/>
              <w:bottom w:val="single" w:color="auto" w:sz="8" w:space="0"/>
              <w:right w:val="single" w:color="auto" w:sz="8" w:space="0"/>
            </w:tcBorders>
            <w:vAlign w:val="center"/>
          </w:tcPr>
          <w:p w14:paraId="21FD6A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本项目工程量清单和最高投标限价编制费用的最高限价为《收费标准》计算费用的60%（报价</w:t>
            </w:r>
            <w:r>
              <w:rPr>
                <w:rFonts w:hint="eastAsia" w:ascii="宋体" w:hAnsi="宋体" w:cs="宋体"/>
                <w:color w:val="auto"/>
                <w:sz w:val="21"/>
                <w:szCs w:val="21"/>
                <w:highlight w:val="none"/>
                <w:lang w:val="en-US" w:eastAsia="zh-CN"/>
              </w:rPr>
              <w:t>最多</w:t>
            </w:r>
            <w:r>
              <w:rPr>
                <w:rFonts w:hint="eastAsia" w:ascii="宋体" w:hAnsi="宋体" w:eastAsia="宋体" w:cs="宋体"/>
                <w:color w:val="auto"/>
                <w:sz w:val="21"/>
                <w:szCs w:val="21"/>
                <w:highlight w:val="none"/>
                <w:lang w:val="en-US" w:eastAsia="zh-CN"/>
              </w:rPr>
              <w:t>保留两位小数，小数点后第三位将四舍五入进行修正），投标单位投标报价不得高于上述费率最高限价，否则按无效标处理。</w:t>
            </w:r>
            <w:r>
              <w:rPr>
                <w:rFonts w:hint="eastAsia" w:ascii="宋体" w:hAnsi="宋体" w:eastAsia="宋体" w:cs="宋体"/>
                <w:b/>
                <w:bCs/>
                <w:color w:val="auto"/>
                <w:sz w:val="21"/>
                <w:szCs w:val="21"/>
                <w:highlight w:val="none"/>
                <w:lang w:val="en-US" w:eastAsia="zh-CN"/>
              </w:rPr>
              <w:t>《收费标准》详见附表。</w:t>
            </w:r>
          </w:p>
          <w:p w14:paraId="7053B6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服务费用=【施工中标价-（暂列金+暂估价）】*相应费率*中标费率。若施工招标时划分了多个施工标段，则造价咨询费的计费基数为已招标实施的施工标段中标价的合计总金额。本项目分批次请款，请款时暂列金和暂估价均需扣除相应税金</w:t>
            </w:r>
            <w:r>
              <w:rPr>
                <w:rFonts w:hint="eastAsia" w:ascii="宋体" w:hAnsi="宋体" w:eastAsia="宋体" w:cs="宋体"/>
                <w:color w:val="auto"/>
                <w:sz w:val="21"/>
                <w:szCs w:val="21"/>
                <w:highlight w:val="none"/>
                <w:lang w:eastAsia="zh-CN"/>
              </w:rPr>
              <w:t>。</w:t>
            </w:r>
          </w:p>
        </w:tc>
      </w:tr>
      <w:tr w14:paraId="689F356F">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308" w:type="dxa"/>
            <w:tcBorders>
              <w:top w:val="single" w:color="auto" w:sz="8" w:space="0"/>
              <w:left w:val="single" w:color="auto" w:sz="4" w:space="0"/>
              <w:bottom w:val="single" w:color="auto" w:sz="8" w:space="0"/>
              <w:right w:val="single" w:color="auto" w:sz="4" w:space="0"/>
            </w:tcBorders>
            <w:vAlign w:val="center"/>
          </w:tcPr>
          <w:p w14:paraId="2356DB8C">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431ACE11">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488"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26</w:t>
            </w:r>
            <w:r>
              <w:rPr>
                <w:rFonts w:hint="eastAsia" w:ascii="宋体" w:hAnsi="宋体" w:eastAsia="宋体" w:cs="宋体"/>
                <w:color w:val="auto"/>
                <w:spacing w:val="-4"/>
                <w:kern w:val="0"/>
                <w:sz w:val="21"/>
                <w:szCs w:val="21"/>
                <w:highlight w:val="none"/>
                <w:u w:val="none"/>
              </w:rPr>
              <w:t>日1</w:t>
            </w:r>
            <w:r>
              <w:rPr>
                <w:rFonts w:hint="eastAsia" w:ascii="宋体" w:hAnsi="宋体" w:cs="宋体"/>
                <w:color w:val="auto"/>
                <w:spacing w:val="-4"/>
                <w:kern w:val="0"/>
                <w:sz w:val="21"/>
                <w:szCs w:val="21"/>
                <w:highlight w:val="none"/>
                <w:u w:val="none"/>
                <w:lang w:val="en-US" w:eastAsia="zh-CN"/>
              </w:rPr>
              <w:t>1</w:t>
            </w:r>
            <w:r>
              <w:rPr>
                <w:rFonts w:hint="eastAsia" w:ascii="宋体" w:hAnsi="宋体" w:eastAsia="宋体" w:cs="宋体"/>
                <w:color w:val="auto"/>
                <w:spacing w:val="-4"/>
                <w:kern w:val="0"/>
                <w:sz w:val="21"/>
                <w:szCs w:val="21"/>
                <w:highlight w:val="none"/>
                <w:u w:val="none"/>
              </w:rPr>
              <w:t>时前</w:t>
            </w:r>
            <w:r>
              <w:rPr>
                <w:rFonts w:hint="eastAsia" w:ascii="宋体" w:hAnsi="宋体" w:eastAsia="宋体" w:cs="宋体"/>
                <w:color w:val="auto"/>
                <w:kern w:val="0"/>
                <w:sz w:val="21"/>
                <w:szCs w:val="21"/>
                <w:highlight w:val="none"/>
                <w:u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u w:val="none"/>
              </w:rPr>
              <w:t>，招标人将在202</w:t>
            </w:r>
            <w:r>
              <w:rPr>
                <w:rFonts w:hint="eastAsia" w:ascii="宋体" w:hAnsi="宋体" w:cs="宋体"/>
                <w:color w:val="auto"/>
                <w:spacing w:val="-4"/>
                <w:kern w:val="0"/>
                <w:sz w:val="21"/>
                <w:szCs w:val="21"/>
                <w:highlight w:val="none"/>
                <w:u w:val="none"/>
                <w:lang w:val="en-US" w:eastAsia="zh-CN"/>
              </w:rPr>
              <w:t>6</w:t>
            </w:r>
            <w:r>
              <w:rPr>
                <w:rFonts w:hint="eastAsia" w:ascii="宋体" w:hAnsi="宋体" w:eastAsia="宋体" w:cs="宋体"/>
                <w:color w:val="auto"/>
                <w:spacing w:val="-4"/>
                <w:kern w:val="0"/>
                <w:sz w:val="21"/>
                <w:szCs w:val="21"/>
                <w:highlight w:val="none"/>
                <w:u w:val="none"/>
              </w:rPr>
              <w:t>年</w:t>
            </w:r>
            <w:r>
              <w:rPr>
                <w:rFonts w:hint="eastAsia" w:ascii="宋体" w:hAnsi="宋体" w:cs="宋体"/>
                <w:color w:val="auto"/>
                <w:spacing w:val="-4"/>
                <w:kern w:val="0"/>
                <w:sz w:val="21"/>
                <w:szCs w:val="21"/>
                <w:highlight w:val="none"/>
                <w:u w:val="none"/>
                <w:lang w:val="en-US" w:eastAsia="zh-CN"/>
              </w:rPr>
              <w:t>6</w:t>
            </w:r>
            <w:r>
              <w:rPr>
                <w:rFonts w:hint="eastAsia" w:ascii="宋体" w:hAnsi="宋体" w:eastAsia="宋体" w:cs="宋体"/>
                <w:color w:val="auto"/>
                <w:spacing w:val="-4"/>
                <w:kern w:val="0"/>
                <w:sz w:val="21"/>
                <w:szCs w:val="21"/>
                <w:highlight w:val="none"/>
                <w:u w:val="none"/>
              </w:rPr>
              <w:t>月</w:t>
            </w:r>
            <w:r>
              <w:rPr>
                <w:rFonts w:hint="eastAsia" w:ascii="宋体" w:hAnsi="宋体" w:cs="宋体"/>
                <w:color w:val="auto"/>
                <w:spacing w:val="-4"/>
                <w:kern w:val="0"/>
                <w:sz w:val="21"/>
                <w:szCs w:val="21"/>
                <w:highlight w:val="none"/>
                <w:lang w:val="en-US" w:eastAsia="zh-CN"/>
              </w:rPr>
              <w:t>26</w:t>
            </w:r>
            <w:r>
              <w:rPr>
                <w:rFonts w:hint="eastAsia" w:ascii="宋体" w:hAnsi="宋体" w:eastAsia="宋体" w:cs="宋体"/>
                <w:color w:val="auto"/>
                <w:spacing w:val="-4"/>
                <w:kern w:val="0"/>
                <w:sz w:val="21"/>
                <w:szCs w:val="21"/>
                <w:highlight w:val="none"/>
              </w:rPr>
              <w:t>日1</w:t>
            </w:r>
            <w:r>
              <w:rPr>
                <w:rFonts w:hint="eastAsia" w:ascii="宋体" w:hAnsi="宋体" w:eastAsia="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新点电子交易平台【滁州专区】</w:t>
            </w:r>
            <w:r>
              <w:rPr>
                <w:rFonts w:hint="eastAsia" w:ascii="宋体" w:hAnsi="宋体" w:eastAsia="宋体" w:cs="宋体"/>
                <w:color w:val="auto"/>
                <w:sz w:val="21"/>
                <w:szCs w:val="21"/>
                <w:highlight w:val="none"/>
                <w:lang w:val="en-US" w:eastAsia="zh-CN"/>
              </w:rPr>
              <w:t>告知各投标人</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308"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suppressLineNumbers w:val="0"/>
              <w:spacing w:before="0" w:beforeAutospacing="0" w:after="0" w:afterAutospacing="0" w:line="360" w:lineRule="exact"/>
              <w:ind w:left="0" w:right="0"/>
              <w:jc w:val="left"/>
              <w:rPr>
                <w:rFonts w:hint="eastAsia" w:ascii="宋体" w:hAnsi="宋体" w:eastAsia="宋体" w:cs="宋体"/>
                <w:color w:val="auto"/>
                <w:sz w:val="21"/>
                <w:szCs w:val="21"/>
                <w:highlight w:val="none"/>
                <w:lang w:val="en-US" w:eastAsia="zh-CN"/>
              </w:rPr>
            </w:pPr>
            <w:r>
              <w:rPr>
                <w:rFonts w:hint="default"/>
                <w:color w:val="auto"/>
                <w:szCs w:val="21"/>
                <w:highlight w:val="none"/>
              </w:rPr>
              <w:t>投标有效期</w:t>
            </w:r>
          </w:p>
        </w:tc>
        <w:tc>
          <w:tcPr>
            <w:tcW w:w="7488"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投标有效期为</w:t>
            </w:r>
            <w:r>
              <w:rPr>
                <w:rFonts w:hint="eastAsia"/>
                <w:color w:val="auto"/>
                <w:szCs w:val="21"/>
                <w:highlight w:val="none"/>
                <w:u w:val="single"/>
                <w:lang w:val="en-US" w:eastAsia="zh-CN"/>
              </w:rPr>
              <w:t>60</w:t>
            </w:r>
            <w:r>
              <w:rPr>
                <w:rFonts w:hint="eastAsia"/>
                <w:color w:val="auto"/>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308"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suppressLineNumbers w:val="0"/>
              <w:spacing w:before="0" w:beforeAutospacing="0" w:after="0" w:afterAutospacing="0" w:line="360" w:lineRule="exact"/>
              <w:ind w:left="0" w:right="0"/>
              <w:jc w:val="left"/>
              <w:rPr>
                <w:rFonts w:hint="eastAsia" w:ascii="宋体" w:hAnsi="宋体" w:eastAsia="宋体" w:cs="宋体"/>
                <w:color w:val="auto"/>
                <w:sz w:val="21"/>
                <w:szCs w:val="21"/>
                <w:highlight w:val="none"/>
                <w:lang w:val="en-US" w:eastAsia="zh-CN"/>
              </w:rPr>
            </w:pPr>
            <w:r>
              <w:rPr>
                <w:rFonts w:hint="eastAsia"/>
                <w:color w:val="auto"/>
                <w:szCs w:val="21"/>
                <w:highlight w:val="none"/>
              </w:rPr>
              <w:t>投标文件</w:t>
            </w:r>
            <w:r>
              <w:rPr>
                <w:rFonts w:hint="eastAsia"/>
                <w:color w:val="auto"/>
                <w:szCs w:val="21"/>
                <w:highlight w:val="none"/>
                <w:lang w:val="en-US" w:eastAsia="zh-CN"/>
              </w:rPr>
              <w:t>递交</w:t>
            </w:r>
          </w:p>
        </w:tc>
        <w:tc>
          <w:tcPr>
            <w:tcW w:w="7488"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https://www.etrading.cn/BREpointSSO/login/oauth2login?regioncode=DQ_ChuZhou</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交易系统递交电子投标文件。</w:t>
            </w:r>
          </w:p>
          <w:p w14:paraId="6AD718D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cs="宋体"/>
                <w:b/>
                <w:color w:val="auto"/>
                <w:kern w:val="0"/>
                <w:szCs w:val="21"/>
                <w:highlight w:val="none"/>
                <w:u w:val="single"/>
              </w:rPr>
              <w:t xml:space="preserve"> </w:t>
            </w:r>
            <w:r>
              <w:rPr>
                <w:rFonts w:hint="default" w:ascii="宋体" w:hAnsi="宋体" w:cs="宋体"/>
                <w:b/>
                <w:color w:val="auto"/>
                <w:kern w:val="0"/>
                <w:szCs w:val="21"/>
                <w:highlight w:val="none"/>
                <w:u w:val="single"/>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92"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308"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suppressLineNumbers w:val="0"/>
              <w:spacing w:before="0" w:beforeAutospacing="0" w:after="0" w:afterAutospacing="0" w:line="360" w:lineRule="exact"/>
              <w:ind w:left="0" w:right="0"/>
              <w:jc w:val="left"/>
              <w:rPr>
                <w:rFonts w:hint="eastAsia"/>
                <w:color w:val="auto"/>
                <w:szCs w:val="21"/>
                <w:highlight w:val="none"/>
              </w:rPr>
            </w:pPr>
            <w:r>
              <w:rPr>
                <w:rFonts w:hint="eastAsia" w:ascii="宋体"/>
                <w:color w:val="auto"/>
                <w:szCs w:val="21"/>
                <w:highlight w:val="none"/>
              </w:rPr>
              <w:t>签字或盖章要求</w:t>
            </w:r>
          </w:p>
        </w:tc>
        <w:tc>
          <w:tcPr>
            <w:tcW w:w="7488" w:type="dxa"/>
            <w:tcBorders>
              <w:top w:val="single" w:color="auto" w:sz="8" w:space="0"/>
              <w:left w:val="single" w:color="auto" w:sz="4" w:space="0"/>
              <w:bottom w:val="single" w:color="auto" w:sz="8" w:space="0"/>
              <w:right w:val="single" w:color="auto" w:sz="8" w:space="0"/>
            </w:tcBorders>
            <w:vAlign w:val="center"/>
          </w:tcPr>
          <w:p w14:paraId="434CE44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66A35DA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firstLine="89" w:firstLineChars="42"/>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否则经评委会一致认定后，按照无效投标处理。</w:t>
            </w:r>
          </w:p>
        </w:tc>
      </w:tr>
      <w:tr w14:paraId="443033B5">
        <w:tblPrEx>
          <w:tblCellMar>
            <w:top w:w="0" w:type="dxa"/>
            <w:left w:w="0" w:type="dxa"/>
            <w:bottom w:w="0" w:type="dxa"/>
            <w:right w:w="0" w:type="dxa"/>
          </w:tblCellMar>
        </w:tblPrEx>
        <w:trPr>
          <w:trHeight w:val="1961" w:hRule="atLeast"/>
        </w:trPr>
        <w:tc>
          <w:tcPr>
            <w:tcW w:w="792"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13</w:t>
            </w:r>
          </w:p>
        </w:tc>
        <w:tc>
          <w:tcPr>
            <w:tcW w:w="1308"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rPr>
            </w:pPr>
            <w:r>
              <w:rPr>
                <w:rFonts w:hint="eastAsia" w:ascii="宋体"/>
                <w:color w:val="auto"/>
                <w:szCs w:val="21"/>
                <w:highlight w:val="none"/>
              </w:rPr>
              <w:t>投标文件提交截止时间</w:t>
            </w:r>
          </w:p>
        </w:tc>
        <w:tc>
          <w:tcPr>
            <w:tcW w:w="7488"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color w:val="auto"/>
                <w:szCs w:val="21"/>
                <w:highlight w:val="none"/>
              </w:rPr>
            </w:pPr>
            <w:r>
              <w:rPr>
                <w:rFonts w:hint="eastAsia" w:ascii="宋体"/>
                <w:color w:val="auto"/>
                <w:szCs w:val="21"/>
                <w:highlight w:val="none"/>
              </w:rPr>
              <w:t>网上递交投标文件截止时间：</w:t>
            </w:r>
            <w:r>
              <w:rPr>
                <w:rFonts w:hint="eastAsia" w:ascii="宋体"/>
                <w:b/>
                <w:bCs/>
                <w:color w:val="auto"/>
                <w:szCs w:val="21"/>
                <w:highlight w:val="none"/>
                <w:lang w:val="en-US" w:eastAsia="zh-CN"/>
              </w:rPr>
              <w:t>2026</w:t>
            </w:r>
            <w:r>
              <w:rPr>
                <w:rFonts w:hint="eastAsia" w:ascii="宋体"/>
                <w:b/>
                <w:bCs/>
                <w:color w:val="auto"/>
                <w:szCs w:val="21"/>
                <w:highlight w:val="none"/>
              </w:rPr>
              <w:t>年</w:t>
            </w:r>
            <w:r>
              <w:rPr>
                <w:rFonts w:hint="eastAsia" w:ascii="宋体"/>
                <w:b/>
                <w:bCs/>
                <w:color w:val="auto"/>
                <w:szCs w:val="21"/>
                <w:highlight w:val="none"/>
                <w:lang w:val="en-US" w:eastAsia="zh-CN"/>
              </w:rPr>
              <w:t>6</w:t>
            </w:r>
            <w:r>
              <w:rPr>
                <w:rFonts w:hint="eastAsia" w:ascii="宋体"/>
                <w:b/>
                <w:bCs/>
                <w:color w:val="auto"/>
                <w:szCs w:val="21"/>
                <w:highlight w:val="none"/>
              </w:rPr>
              <w:t>月</w:t>
            </w:r>
            <w:r>
              <w:rPr>
                <w:rFonts w:hint="eastAsia" w:ascii="宋体"/>
                <w:b/>
                <w:bCs/>
                <w:color w:val="auto"/>
                <w:szCs w:val="21"/>
                <w:highlight w:val="none"/>
                <w:lang w:val="en-US" w:eastAsia="zh-CN"/>
              </w:rPr>
              <w:t>29</w:t>
            </w:r>
            <w:r>
              <w:rPr>
                <w:rFonts w:hint="eastAsia" w:ascii="宋体"/>
                <w:b/>
                <w:bCs/>
                <w:color w:val="auto"/>
                <w:szCs w:val="21"/>
                <w:highlight w:val="none"/>
              </w:rPr>
              <w:t>日</w:t>
            </w:r>
            <w:r>
              <w:rPr>
                <w:rFonts w:hint="eastAsia" w:ascii="宋体"/>
                <w:b/>
                <w:bCs/>
                <w:color w:val="auto"/>
                <w:szCs w:val="21"/>
                <w:highlight w:val="none"/>
                <w:lang w:val="en-US" w:eastAsia="zh-CN"/>
              </w:rPr>
              <w:t>14</w:t>
            </w:r>
            <w:r>
              <w:rPr>
                <w:rFonts w:hint="eastAsia" w:ascii="宋体"/>
                <w:b/>
                <w:bCs/>
                <w:color w:val="auto"/>
                <w:szCs w:val="21"/>
                <w:highlight w:val="none"/>
              </w:rPr>
              <w:t>时</w:t>
            </w:r>
            <w:r>
              <w:rPr>
                <w:rFonts w:hint="eastAsia" w:ascii="宋体"/>
                <w:b/>
                <w:bCs/>
                <w:color w:val="auto"/>
                <w:szCs w:val="21"/>
                <w:highlight w:val="none"/>
                <w:lang w:val="en-US" w:eastAsia="zh-CN"/>
              </w:rPr>
              <w:t>30</w:t>
            </w:r>
            <w:r>
              <w:rPr>
                <w:rFonts w:hint="eastAsia" w:ascii="宋体"/>
                <w:b/>
                <w:bCs/>
                <w:color w:val="auto"/>
                <w:szCs w:val="21"/>
                <w:highlight w:val="none"/>
              </w:rPr>
              <w:t>分（北京时间）</w:t>
            </w:r>
          </w:p>
          <w:p w14:paraId="6FF010F2">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黑体" w:eastAsia="黑体" w:cs="黑体"/>
                <w:bCs/>
                <w:color w:val="auto"/>
                <w:szCs w:val="21"/>
                <w:highlight w:val="none"/>
              </w:rPr>
            </w:pPr>
            <w:r>
              <w:rPr>
                <w:rFonts w:hint="eastAsia" w:ascii="宋体"/>
                <w:b/>
                <w:color w:val="auto"/>
                <w:szCs w:val="21"/>
                <w:highlight w:val="none"/>
              </w:rPr>
              <w:t>注：以投标人在投标截止时间前网上递交的电子投标文件为准，逾期提交的，投标文件将被拒绝。</w:t>
            </w:r>
          </w:p>
          <w:p w14:paraId="2D17B67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1.解密程序开始后</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分钟内（以本项目网上招投标系统解密倒计时为准）。</w:t>
            </w:r>
          </w:p>
        </w:tc>
      </w:tr>
      <w:tr w14:paraId="39CAD765">
        <w:tblPrEx>
          <w:tblCellMar>
            <w:top w:w="0" w:type="dxa"/>
            <w:left w:w="0" w:type="dxa"/>
            <w:bottom w:w="0" w:type="dxa"/>
            <w:right w:w="0" w:type="dxa"/>
          </w:tblCellMar>
        </w:tblPrEx>
        <w:trPr>
          <w:trHeight w:val="466" w:hRule="atLeast"/>
        </w:trPr>
        <w:tc>
          <w:tcPr>
            <w:tcW w:w="792"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308"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suppressLineNumbers w:val="0"/>
              <w:spacing w:before="0" w:beforeAutospacing="0" w:after="0" w:afterAutospacing="0" w:line="360" w:lineRule="exact"/>
              <w:ind w:left="0" w:right="0"/>
              <w:jc w:val="left"/>
              <w:rPr>
                <w:rFonts w:hint="eastAsia" w:ascii="宋体"/>
                <w:color w:val="auto"/>
                <w:szCs w:val="21"/>
                <w:highlight w:val="none"/>
              </w:rPr>
            </w:pPr>
            <w:r>
              <w:rPr>
                <w:rFonts w:hint="eastAsia" w:ascii="宋体"/>
                <w:color w:val="auto"/>
                <w:szCs w:val="21"/>
                <w:highlight w:val="none"/>
              </w:rPr>
              <w:t>是否退还投标文件</w:t>
            </w:r>
          </w:p>
        </w:tc>
        <w:tc>
          <w:tcPr>
            <w:tcW w:w="7488"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szCs w:val="21"/>
                <w:highlight w:val="none"/>
              </w:rPr>
            </w:pPr>
            <w:r>
              <w:rPr>
                <w:rFonts w:hint="eastAsia"/>
                <w:color w:val="auto"/>
                <w:szCs w:val="21"/>
                <w:highlight w:val="none"/>
              </w:rPr>
              <w:t>否</w:t>
            </w:r>
          </w:p>
        </w:tc>
      </w:tr>
      <w:tr w14:paraId="266A8CA8">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15</w:t>
            </w:r>
          </w:p>
        </w:tc>
        <w:tc>
          <w:tcPr>
            <w:tcW w:w="1308"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lang w:val="en-US" w:eastAsia="zh-CN"/>
              </w:rPr>
            </w:pPr>
            <w:r>
              <w:rPr>
                <w:rFonts w:hint="eastAsia" w:ascii="宋体"/>
                <w:color w:val="auto"/>
                <w:szCs w:val="21"/>
                <w:highlight w:val="none"/>
              </w:rPr>
              <w:t>开标时间及地点</w:t>
            </w:r>
          </w:p>
        </w:tc>
        <w:tc>
          <w:tcPr>
            <w:tcW w:w="7488"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highlight w:val="none"/>
              </w:rPr>
            </w:pPr>
            <w:r>
              <w:rPr>
                <w:rFonts w:hint="eastAsia" w:ascii="ˎ̥" w:hAnsi="ˎ̥"/>
                <w:color w:val="auto"/>
                <w:highlight w:val="none"/>
              </w:rPr>
              <w:t>详见招标公告</w:t>
            </w:r>
          </w:p>
        </w:tc>
      </w:tr>
      <w:tr w14:paraId="076992A3">
        <w:tblPrEx>
          <w:tblCellMar>
            <w:top w:w="0" w:type="dxa"/>
            <w:left w:w="0" w:type="dxa"/>
            <w:bottom w:w="0" w:type="dxa"/>
            <w:right w:w="0" w:type="dxa"/>
          </w:tblCellMar>
        </w:tblPrEx>
        <w:trPr>
          <w:trHeight w:val="454" w:hRule="atLeast"/>
        </w:trPr>
        <w:tc>
          <w:tcPr>
            <w:tcW w:w="792"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16</w:t>
            </w:r>
          </w:p>
        </w:tc>
        <w:tc>
          <w:tcPr>
            <w:tcW w:w="1308"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suppressLineNumbers w:val="0"/>
              <w:spacing w:before="0" w:beforeAutospacing="0" w:after="0" w:afterAutospacing="0" w:line="360" w:lineRule="exact"/>
              <w:ind w:left="0" w:right="0"/>
              <w:jc w:val="left"/>
              <w:rPr>
                <w:rFonts w:hint="eastAsia" w:ascii="宋体" w:hAnsi="宋体" w:eastAsia="宋体" w:cs="宋体"/>
                <w:color w:val="auto"/>
                <w:kern w:val="0"/>
                <w:sz w:val="21"/>
                <w:szCs w:val="21"/>
                <w:highlight w:val="none"/>
              </w:rPr>
            </w:pPr>
            <w:r>
              <w:rPr>
                <w:rFonts w:hint="eastAsia" w:ascii="宋体"/>
                <w:color w:val="auto"/>
                <w:szCs w:val="21"/>
                <w:highlight w:val="none"/>
              </w:rPr>
              <w:t>开标程序</w:t>
            </w:r>
          </w:p>
        </w:tc>
        <w:tc>
          <w:tcPr>
            <w:tcW w:w="7488"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highlight w:val="none"/>
              </w:rPr>
            </w:pPr>
            <w:r>
              <w:rPr>
                <w:rFonts w:hint="eastAsia"/>
                <w:color w:val="auto"/>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17</w:t>
            </w:r>
          </w:p>
        </w:tc>
        <w:tc>
          <w:tcPr>
            <w:tcW w:w="1308"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suppressLineNumbers w:val="0"/>
              <w:spacing w:before="0" w:beforeAutospacing="0" w:after="0" w:afterAutospacing="0" w:line="360" w:lineRule="exact"/>
              <w:ind w:left="0" w:right="0"/>
              <w:jc w:val="left"/>
              <w:rPr>
                <w:rFonts w:hint="eastAsia" w:ascii="宋体"/>
                <w:color w:val="auto"/>
                <w:szCs w:val="21"/>
                <w:highlight w:val="none"/>
              </w:rPr>
            </w:pPr>
            <w:r>
              <w:rPr>
                <w:rFonts w:hint="eastAsia"/>
                <w:color w:val="auto"/>
                <w:szCs w:val="21"/>
                <w:highlight w:val="none"/>
              </w:rPr>
              <w:t>评标委员会的组建</w:t>
            </w:r>
          </w:p>
        </w:tc>
        <w:tc>
          <w:tcPr>
            <w:tcW w:w="7488"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5"/>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szCs w:val="21"/>
                <w:highlight w:val="none"/>
              </w:rPr>
            </w:pPr>
            <w:r>
              <w:rPr>
                <w:rFonts w:hint="eastAsia"/>
                <w:color w:val="auto"/>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792"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18</w:t>
            </w:r>
          </w:p>
        </w:tc>
        <w:tc>
          <w:tcPr>
            <w:tcW w:w="1308"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suppressLineNumbers w:val="0"/>
              <w:spacing w:before="0" w:beforeAutospacing="0" w:after="0" w:afterAutospacing="0" w:line="360" w:lineRule="exact"/>
              <w:ind w:left="0" w:right="0"/>
              <w:jc w:val="left"/>
              <w:rPr>
                <w:rFonts w:hint="eastAsia"/>
                <w:color w:val="auto"/>
                <w:szCs w:val="21"/>
                <w:highlight w:val="none"/>
              </w:rPr>
            </w:pPr>
            <w:r>
              <w:rPr>
                <w:rFonts w:hint="eastAsia"/>
                <w:color w:val="auto"/>
                <w:szCs w:val="21"/>
                <w:highlight w:val="none"/>
              </w:rPr>
              <w:t>是否授权评标委员会确定中标候选人</w:t>
            </w:r>
          </w:p>
        </w:tc>
        <w:tc>
          <w:tcPr>
            <w:tcW w:w="7488"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color w:val="auto"/>
                <w:szCs w:val="21"/>
                <w:highlight w:val="none"/>
              </w:rPr>
            </w:pPr>
            <w:r>
              <w:rPr>
                <w:rFonts w:hint="eastAsia" w:hAnsi="宋体"/>
                <w:color w:val="auto"/>
                <w:szCs w:val="21"/>
                <w:highlight w:val="none"/>
              </w:rPr>
              <w:t>是，评标委员会推荐</w:t>
            </w:r>
            <w:r>
              <w:rPr>
                <w:rFonts w:hint="eastAsia" w:hAnsi="宋体"/>
                <w:color w:val="auto"/>
                <w:szCs w:val="21"/>
                <w:highlight w:val="none"/>
                <w:u w:val="single" w:color="auto"/>
              </w:rPr>
              <w:t xml:space="preserve"> </w:t>
            </w:r>
            <w:r>
              <w:rPr>
                <w:rFonts w:hint="eastAsia" w:hAnsi="宋体"/>
                <w:color w:val="auto"/>
                <w:szCs w:val="21"/>
                <w:highlight w:val="none"/>
                <w:u w:val="single" w:color="auto"/>
                <w:lang w:val="en-US" w:eastAsia="zh-CN"/>
              </w:rPr>
              <w:t>2</w:t>
            </w:r>
            <w:r>
              <w:rPr>
                <w:rFonts w:hint="eastAsia" w:hAnsi="宋体"/>
                <w:color w:val="auto"/>
                <w:szCs w:val="21"/>
                <w:highlight w:val="none"/>
                <w:u w:val="single" w:color="auto"/>
              </w:rPr>
              <w:t xml:space="preserve"> </w:t>
            </w:r>
            <w:r>
              <w:rPr>
                <w:rFonts w:hint="eastAsia" w:hAnsi="宋体"/>
                <w:color w:val="auto"/>
                <w:szCs w:val="21"/>
                <w:highlight w:val="none"/>
              </w:rPr>
              <w:t>名中标候选人。</w:t>
            </w:r>
          </w:p>
        </w:tc>
      </w:tr>
      <w:tr w14:paraId="6EA640C0">
        <w:tblPrEx>
          <w:tblCellMar>
            <w:top w:w="0" w:type="dxa"/>
            <w:left w:w="0" w:type="dxa"/>
            <w:bottom w:w="0" w:type="dxa"/>
            <w:right w:w="0" w:type="dxa"/>
          </w:tblCellMar>
        </w:tblPrEx>
        <w:trPr>
          <w:trHeight w:val="478" w:hRule="atLeast"/>
        </w:trPr>
        <w:tc>
          <w:tcPr>
            <w:tcW w:w="792"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20</w:t>
            </w:r>
          </w:p>
        </w:tc>
        <w:tc>
          <w:tcPr>
            <w:tcW w:w="1308"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suppressLineNumbers w:val="0"/>
              <w:spacing w:before="0" w:beforeAutospacing="0" w:after="0" w:afterAutospacing="0" w:line="360" w:lineRule="exact"/>
              <w:ind w:left="0" w:right="0"/>
              <w:jc w:val="left"/>
              <w:rPr>
                <w:rFonts w:hint="eastAsia"/>
                <w:color w:val="auto"/>
                <w:szCs w:val="21"/>
                <w:highlight w:val="none"/>
              </w:rPr>
            </w:pPr>
            <w:r>
              <w:rPr>
                <w:rFonts w:hint="eastAsia" w:ascii="宋体"/>
                <w:color w:val="auto"/>
                <w:szCs w:val="21"/>
                <w:highlight w:val="none"/>
              </w:rPr>
              <w:t>履约担保</w:t>
            </w:r>
          </w:p>
        </w:tc>
        <w:tc>
          <w:tcPr>
            <w:tcW w:w="7488"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jc w:val="both"/>
              <w:textAlignment w:val="auto"/>
              <w:rPr>
                <w:rFonts w:hint="eastAsia"/>
                <w:color w:val="auto"/>
                <w:szCs w:val="21"/>
                <w:highlight w:val="none"/>
              </w:rPr>
            </w:pPr>
            <w:r>
              <w:rPr>
                <w:rFonts w:hint="eastAsia"/>
                <w:color w:val="auto"/>
                <w:szCs w:val="21"/>
                <w:highlight w:val="none"/>
              </w:rPr>
              <w:t>是否收取履约担保：□收取，☑不收取</w:t>
            </w:r>
          </w:p>
        </w:tc>
      </w:tr>
      <w:tr w14:paraId="361F7F39">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4E9DEB7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80" w:lineRule="exact"/>
              <w:ind w:left="63" w:leftChars="30" w:right="63" w:rightChars="30"/>
              <w:jc w:val="center"/>
              <w:textAlignment w:val="auto"/>
              <w:rPr>
                <w:rFonts w:hint="eastAsia"/>
                <w:color w:val="auto"/>
                <w:szCs w:val="21"/>
                <w:highlight w:val="none"/>
              </w:rPr>
            </w:pPr>
            <w:r>
              <w:rPr>
                <w:rFonts w:hint="eastAsia" w:ascii="宋体" w:hAnsi="宋体" w:eastAsia="宋体" w:cs="宋体"/>
                <w:b/>
                <w:bCs/>
                <w:color w:val="auto"/>
                <w:sz w:val="21"/>
                <w:szCs w:val="21"/>
                <w:highlight w:val="none"/>
              </w:rPr>
              <w:t>需要补充的其他内容</w:t>
            </w:r>
          </w:p>
        </w:tc>
      </w:tr>
      <w:tr w14:paraId="1140AE85">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suppressLineNumbers w:val="0"/>
              <w:kinsoku/>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电子招标投标</w:t>
            </w:r>
          </w:p>
        </w:tc>
        <w:tc>
          <w:tcPr>
            <w:tcW w:w="7488" w:type="dxa"/>
            <w:tcBorders>
              <w:top w:val="single" w:color="auto" w:sz="8" w:space="0"/>
              <w:left w:val="single" w:color="auto" w:sz="4" w:space="0"/>
              <w:bottom w:val="single" w:color="auto" w:sz="8" w:space="0"/>
              <w:right w:val="single" w:color="auto" w:sz="8" w:space="0"/>
            </w:tcBorders>
            <w:vAlign w:val="center"/>
          </w:tcPr>
          <w:p w14:paraId="57193DD9">
            <w:pPr>
              <w:keepNext w:val="0"/>
              <w:keepLines w:val="0"/>
              <w:pageBreakBefore w:val="0"/>
              <w:suppressLineNumbers w:val="0"/>
              <w:kinsoku/>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53DD2192">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0E373B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488"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2.在滁州市重点工程管理处限制承揽业务期限内的企业不予参加。</w:t>
            </w:r>
          </w:p>
          <w:p w14:paraId="38C5E7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34C313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4.本项目招标代理单位</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2026年金桥西路（</w:t>
            </w:r>
            <w:r>
              <w:rPr>
                <w:rFonts w:hint="eastAsia" w:ascii="宋体" w:hAnsi="宋体" w:cs="宋体"/>
                <w:color w:val="auto"/>
                <w:kern w:val="0"/>
                <w:sz w:val="21"/>
                <w:szCs w:val="21"/>
                <w:highlight w:val="none"/>
                <w:lang w:val="en-US" w:eastAsia="zh-CN"/>
              </w:rPr>
              <w:t>幼安路</w:t>
            </w:r>
            <w:r>
              <w:rPr>
                <w:rFonts w:hint="eastAsia" w:ascii="宋体" w:hAnsi="宋体" w:eastAsia="宋体" w:cs="宋体"/>
                <w:color w:val="auto"/>
                <w:kern w:val="0"/>
                <w:sz w:val="21"/>
                <w:szCs w:val="21"/>
                <w:highlight w:val="none"/>
                <w:lang w:val="en-US" w:eastAsia="zh-CN"/>
              </w:rPr>
              <w:t>-永乐路）沥青路面大中修工程</w:t>
            </w:r>
            <w:r>
              <w:rPr>
                <w:rFonts w:hint="eastAsia" w:ascii="宋体" w:hAnsi="宋体" w:cs="宋体"/>
                <w:color w:val="auto"/>
                <w:kern w:val="0"/>
                <w:sz w:val="21"/>
                <w:szCs w:val="21"/>
                <w:highlight w:val="none"/>
                <w:lang w:val="en-US" w:eastAsia="zh-CN"/>
              </w:rPr>
              <w:t>设计</w:t>
            </w:r>
            <w:r>
              <w:rPr>
                <w:rFonts w:hint="eastAsia" w:ascii="宋体" w:hAnsi="宋体" w:eastAsia="宋体" w:cs="宋体"/>
                <w:color w:val="auto"/>
                <w:kern w:val="0"/>
                <w:sz w:val="21"/>
                <w:szCs w:val="21"/>
                <w:highlight w:val="none"/>
                <w:lang w:val="en-US" w:eastAsia="zh-CN"/>
              </w:rPr>
              <w:t>单位、监理单位及项目跟踪审计</w:t>
            </w:r>
            <w:r>
              <w:rPr>
                <w:rFonts w:hint="eastAsia" w:ascii="宋体" w:hAnsi="宋体" w:cs="宋体"/>
                <w:color w:val="auto"/>
                <w:kern w:val="0"/>
                <w:sz w:val="21"/>
                <w:szCs w:val="21"/>
                <w:highlight w:val="none"/>
                <w:lang w:val="en-US" w:eastAsia="zh-CN"/>
              </w:rPr>
              <w:t>单位，均</w:t>
            </w:r>
            <w:r>
              <w:rPr>
                <w:rFonts w:hint="eastAsia" w:ascii="宋体" w:hAnsi="宋体" w:eastAsia="宋体" w:cs="宋体"/>
                <w:color w:val="auto"/>
                <w:kern w:val="0"/>
                <w:sz w:val="21"/>
                <w:szCs w:val="21"/>
                <w:highlight w:val="none"/>
                <w:lang w:val="en-US" w:eastAsia="zh-CN"/>
              </w:rPr>
              <w:t>不得参加投标。</w:t>
            </w:r>
          </w:p>
        </w:tc>
      </w:tr>
      <w:tr w14:paraId="234C8D6C">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488" w:type="dxa"/>
            <w:tcBorders>
              <w:top w:val="single" w:color="auto" w:sz="8" w:space="0"/>
              <w:left w:val="single" w:color="auto" w:sz="4" w:space="0"/>
              <w:bottom w:val="single" w:color="auto" w:sz="8" w:space="0"/>
              <w:right w:val="single" w:color="auto" w:sz="8" w:space="0"/>
            </w:tcBorders>
            <w:vAlign w:val="center"/>
          </w:tcPr>
          <w:p w14:paraId="6478E9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5AD838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2、我单位将严格执行《工程造价咨询服务管理办法》相关规定。</w:t>
            </w:r>
          </w:p>
          <w:p w14:paraId="797479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3031B2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4、造价企业项目组人员变更，变更后人员必须满足本项目招标要求。由造价企业向综合计划科提出申请并提供相应证明，工程建设科和综合计划科会商提出意见，报综合计划科分管领导批准后予以备案。</w:t>
            </w:r>
          </w:p>
          <w:p w14:paraId="0599FC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488"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编制成果完成并经建设单位审定后支付至合同价款的50%（计算基数以最高投标限价减去暂列金额、暂估价乘以30%为准为计费基数），施工招标后支付至合同价款的80%，工程竣工验收后一次性付清尾款。（注：建设单位在政府资金调度会批准且发票送达后完成支付）。</w:t>
            </w:r>
          </w:p>
        </w:tc>
      </w:tr>
      <w:tr w14:paraId="25B900FF">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招标代理费及专家评审费</w:t>
            </w:r>
          </w:p>
        </w:tc>
        <w:tc>
          <w:tcPr>
            <w:tcW w:w="7488"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本项目招标代理服务费用 0元，专家评审费另计（最终以实际发生为准，按实计收），中标单位在领取中标通知书前一次性支付</w:t>
            </w:r>
            <w:r>
              <w:rPr>
                <w:rFonts w:hint="eastAsia" w:ascii="宋体" w:hAnsi="宋体" w:eastAsia="宋体" w:cs="宋体"/>
                <w:color w:val="auto"/>
                <w:kern w:val="0"/>
                <w:sz w:val="21"/>
                <w:szCs w:val="21"/>
                <w:highlight w:val="none"/>
                <w:lang w:val="en-US" w:eastAsia="zh-CN"/>
              </w:rPr>
              <w:t>给代理公司。</w:t>
            </w:r>
          </w:p>
        </w:tc>
      </w:tr>
      <w:tr w14:paraId="5F40A5F0">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0CD2D5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特别说明</w:t>
            </w:r>
          </w:p>
        </w:tc>
        <w:tc>
          <w:tcPr>
            <w:tcW w:w="7488" w:type="dxa"/>
            <w:tcBorders>
              <w:top w:val="single" w:color="auto" w:sz="8" w:space="0"/>
              <w:left w:val="single" w:color="auto" w:sz="4" w:space="0"/>
              <w:bottom w:val="single" w:color="auto" w:sz="8" w:space="0"/>
              <w:right w:val="single" w:color="auto" w:sz="8" w:space="0"/>
            </w:tcBorders>
            <w:vAlign w:val="center"/>
          </w:tcPr>
          <w:p w14:paraId="0A0706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1、招标人与中标人不按照招标文件和中标人的投标文件订立合同的，或者招标人、中标人订立背离合同实质性内容的协议的，责令改正；可以处中标项目金额千分之五以上千分之十以下的罚款。</w:t>
            </w:r>
          </w:p>
          <w:p w14:paraId="2C4A39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2、中标人不履行与招标人订立的合同的，履约保证金不予退还，给招标人造成的损失超过履约保证金数额的，还应当对超过部分予以赔偿；没有提交履约保证金的，应当对招标人的损失承担赔偿责任。</w:t>
            </w:r>
          </w:p>
          <w:p w14:paraId="10F7F7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中标人不按照与招标人订立的合同履行义务，情节严重的，取消其二年至五年内参加依法必须进行招标的项目的投标资格并予以公告，直至由工商行政管理机关吊销营业执照。</w:t>
            </w:r>
          </w:p>
          <w:p w14:paraId="0B4A1A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因不可抗力不能履行合同的，不适用前两款规定。</w:t>
            </w:r>
          </w:p>
        </w:tc>
      </w:tr>
      <w:tr w14:paraId="6C5E33CA">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widowControl/>
              <w:suppressLineNumbers w:val="0"/>
              <w:spacing w:before="0" w:beforeAutospacing="0" w:after="0" w:afterAutospacing="0" w:line="360" w:lineRule="auto"/>
              <w:ind w:left="0" w:right="0"/>
              <w:jc w:val="center"/>
              <w:rPr>
                <w:rFonts w:hint="eastAsia" w:ascii="宋体" w:hAnsi="宋体" w:cs="宋体"/>
                <w:b/>
                <w:bCs/>
                <w:color w:val="auto"/>
                <w:kern w:val="0"/>
                <w:sz w:val="21"/>
                <w:szCs w:val="21"/>
                <w:highlight w:val="none"/>
                <w:lang w:val="en-US" w:eastAsia="zh-CN"/>
              </w:rPr>
            </w:pPr>
            <w:r>
              <w:rPr>
                <w:rFonts w:hint="eastAsia" w:ascii="宋体" w:hAnsi="宋体" w:cs="宋体"/>
                <w:color w:val="auto"/>
                <w:szCs w:val="21"/>
                <w:highlight w:val="none"/>
              </w:rPr>
              <w:t>评标过程中的澄清、说明或补正</w:t>
            </w:r>
          </w:p>
        </w:tc>
        <w:tc>
          <w:tcPr>
            <w:tcW w:w="7488"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rPr>
              <w:t>1</w:t>
            </w:r>
            <w:r>
              <w:rPr>
                <w:rFonts w:hint="eastAsia" w:ascii="宋体" w:hAnsi="宋体" w:cs="宋体"/>
                <w:color w:val="auto"/>
                <w:sz w:val="24"/>
                <w:szCs w:val="24"/>
                <w:highlight w:val="none"/>
              </w:rPr>
              <w:t>）评标委员会通过</w:t>
            </w:r>
            <w:r>
              <w:rPr>
                <w:rFonts w:hint="eastAsia" w:ascii="宋体" w:hAnsi="宋体" w:cs="宋体"/>
                <w:color w:val="auto"/>
                <w:sz w:val="24"/>
                <w:szCs w:val="24"/>
                <w:highlight w:val="none"/>
                <w:lang w:val="en-US"/>
              </w:rPr>
              <w:t>网上招投标</w:t>
            </w:r>
            <w:r>
              <w:rPr>
                <w:rFonts w:hint="eastAsia" w:ascii="宋体" w:hAnsi="宋体" w:cs="宋体"/>
                <w:color w:val="auto"/>
                <w:sz w:val="24"/>
                <w:szCs w:val="24"/>
                <w:highlight w:val="none"/>
              </w:rPr>
              <w:t>系统将需要澄清、说明或补正的内容以询标函的形式发送给投标人，投标人应安排专人登录</w:t>
            </w:r>
            <w:r>
              <w:rPr>
                <w:rFonts w:hint="eastAsia" w:ascii="宋体" w:hAnsi="宋体" w:cs="宋体"/>
                <w:color w:val="auto"/>
                <w:sz w:val="24"/>
                <w:szCs w:val="24"/>
                <w:highlight w:val="none"/>
                <w:lang w:val="en-US"/>
              </w:rPr>
              <w:t>网上招投标</w:t>
            </w:r>
            <w:r>
              <w:rPr>
                <w:rFonts w:hint="eastAsia" w:ascii="宋体" w:hAnsi="宋体" w:cs="宋体"/>
                <w:color w:val="auto"/>
                <w:sz w:val="24"/>
                <w:szCs w:val="24"/>
                <w:highlight w:val="none"/>
              </w:rPr>
              <w:t>系统并保持在线状态，以便及时接收评标委员会可能发出的询标函。</w:t>
            </w:r>
          </w:p>
          <w:p w14:paraId="6C770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rPr>
              <w:t>2</w:t>
            </w:r>
            <w:r>
              <w:rPr>
                <w:rFonts w:hint="eastAsia" w:ascii="宋体" w:hAnsi="宋体" w:cs="宋体"/>
                <w:color w:val="auto"/>
                <w:sz w:val="24"/>
                <w:szCs w:val="24"/>
                <w:highlight w:val="none"/>
              </w:rPr>
              <w:t>）因投标人未登录</w:t>
            </w:r>
            <w:r>
              <w:rPr>
                <w:rFonts w:hint="eastAsia" w:ascii="宋体" w:hAnsi="宋体" w:cs="宋体"/>
                <w:color w:val="auto"/>
                <w:sz w:val="24"/>
                <w:szCs w:val="24"/>
                <w:highlight w:val="none"/>
                <w:lang w:val="en-US"/>
              </w:rPr>
              <w:t>网上招投标</w:t>
            </w:r>
            <w:r>
              <w:rPr>
                <w:rFonts w:hint="eastAsia" w:ascii="宋体" w:hAnsi="宋体" w:cs="宋体"/>
                <w:color w:val="auto"/>
                <w:sz w:val="24"/>
                <w:szCs w:val="24"/>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D96205C">
        <w:tblPrEx>
          <w:tblCellMar>
            <w:top w:w="0" w:type="dxa"/>
            <w:left w:w="0" w:type="dxa"/>
            <w:bottom w:w="0" w:type="dxa"/>
            <w:right w:w="0" w:type="dxa"/>
          </w:tblCellMar>
        </w:tblPrEx>
        <w:trPr>
          <w:trHeight w:val="167" w:hRule="atLeast"/>
        </w:trPr>
        <w:tc>
          <w:tcPr>
            <w:tcW w:w="2100" w:type="dxa"/>
            <w:gridSpan w:val="2"/>
            <w:tcBorders>
              <w:top w:val="single" w:color="auto" w:sz="8" w:space="0"/>
              <w:left w:val="single" w:color="auto" w:sz="8" w:space="0"/>
              <w:bottom w:val="single" w:color="auto" w:sz="8" w:space="0"/>
              <w:right w:val="single" w:color="auto" w:sz="4" w:space="0"/>
            </w:tcBorders>
            <w:vAlign w:val="center"/>
          </w:tcPr>
          <w:p w14:paraId="52D58FFE">
            <w:pPr>
              <w:keepNext w:val="0"/>
              <w:keepLines w:val="0"/>
              <w:widowControl/>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其他说明</w:t>
            </w:r>
          </w:p>
        </w:tc>
        <w:tc>
          <w:tcPr>
            <w:tcW w:w="7488" w:type="dxa"/>
            <w:tcBorders>
              <w:top w:val="single" w:color="auto" w:sz="8" w:space="0"/>
              <w:left w:val="single" w:color="auto" w:sz="4" w:space="0"/>
              <w:bottom w:val="single" w:color="auto" w:sz="8" w:space="0"/>
              <w:right w:val="single" w:color="auto" w:sz="8" w:space="0"/>
            </w:tcBorders>
            <w:vAlign w:val="center"/>
          </w:tcPr>
          <w:p w14:paraId="09DDD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本招标文件前后条款若有不一致之处，在澄清答疑时又未作出明确规定时，各投标人的投标文件只要满足其中任一条款，均视为对本招标文件的响应。</w:t>
            </w:r>
          </w:p>
          <w:p w14:paraId="0C157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系统中提供的表格与招标文件中不一致时，以招标文件中提供的表格格式为准。</w:t>
            </w:r>
          </w:p>
          <w:p w14:paraId="18484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本项目招标公告与本招标文件不一致之处，以本招标文件为准。</w:t>
            </w:r>
          </w:p>
          <w:p w14:paraId="5A45D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63" w:leftChars="30" w:right="63" w:rightChars="3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本文件的最终解释权归招标人、招标代理机构所有。</w:t>
            </w:r>
          </w:p>
        </w:tc>
      </w:tr>
    </w:tbl>
    <w:p w14:paraId="675BE97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highlight w:val="none"/>
        </w:rPr>
      </w:pPr>
    </w:p>
    <w:p w14:paraId="26284F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val="0"/>
          <w:bCs w:val="0"/>
          <w:color w:val="auto"/>
          <w:sz w:val="28"/>
          <w:highlight w:val="none"/>
        </w:rPr>
      </w:pPr>
      <w:bookmarkStart w:id="42" w:name="_Toc13663"/>
      <w:bookmarkStart w:id="43" w:name="_Toc515"/>
      <w:r>
        <w:rPr>
          <w:rFonts w:hint="eastAsia" w:ascii="宋体" w:hAnsi="宋体" w:eastAsia="宋体" w:cs="宋体"/>
          <w:b/>
          <w:bCs/>
          <w:color w:val="auto"/>
          <w:sz w:val="28"/>
          <w:highlight w:val="none"/>
        </w:rPr>
        <w:br w:type="page"/>
      </w:r>
    </w:p>
    <w:p w14:paraId="6094F76D">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2"/>
      <w:bookmarkEnd w:id="43"/>
    </w:p>
    <w:p w14:paraId="5FB33392">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rPr>
        <w:t>名称：</w:t>
      </w:r>
      <w:r>
        <w:rPr>
          <w:rFonts w:hint="eastAsia" w:ascii="宋体" w:hAnsi="宋体" w:cs="宋体"/>
          <w:color w:val="auto"/>
          <w:kern w:val="0"/>
          <w:sz w:val="21"/>
          <w:szCs w:val="21"/>
          <w:highlight w:val="none"/>
          <w:u w:val="none"/>
          <w:lang w:val="en-US" w:eastAsia="zh-CN"/>
        </w:rPr>
        <w:t>2026年金桥西路（幼安路-永乐路）沥青路面大中修工程工程量清单及最高投标限价编制服务项目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val="en-US" w:eastAsia="zh-CN"/>
        </w:rPr>
        <w:t>滁州市重点工程建设管理处</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val="0"/>
        <w:overflowPunct/>
        <w:topLinePunct w:val="0"/>
        <w:autoSpaceDE/>
        <w:autoSpaceDN/>
        <w:bidi w:val="0"/>
        <w:adjustRightInd/>
        <w:snapToGrid/>
        <w:spacing w:line="48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cs="宋体"/>
          <w:color w:val="auto"/>
          <w:sz w:val="21"/>
          <w:szCs w:val="21"/>
          <w:highlight w:val="none"/>
          <w:u w:val="none"/>
          <w:lang w:val="en-US" w:eastAsia="zh-CN"/>
        </w:rPr>
        <w:t>工程投资金额约300万元（具体以实际发生为准），工程内容为沥青路面大中修，道路东侧115米、道路西侧120米，合计面积约3750平方米，本项目为工程量清单及最高投标限价编制服务，服务费用约1.0万元</w:t>
      </w:r>
      <w:r>
        <w:rPr>
          <w:rFonts w:hint="eastAsia" w:ascii="宋体" w:hAnsi="宋体" w:eastAsia="宋体" w:cs="宋体"/>
          <w:color w:val="auto"/>
          <w:kern w:val="0"/>
          <w:sz w:val="21"/>
          <w:szCs w:val="21"/>
          <w:highlight w:val="none"/>
          <w:u w:val="none"/>
          <w:lang w:val="en-US" w:eastAsia="zh-CN"/>
        </w:rPr>
        <w:t>。</w:t>
      </w:r>
    </w:p>
    <w:p w14:paraId="3FC6757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服务需求</w:t>
      </w:r>
    </w:p>
    <w:p w14:paraId="5831824C">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2B98AD9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03304815">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74D9A58D">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1F7FF8E9">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577796E7">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2B5113F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58FF2223">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5EB78DEC">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8D02FB3">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6A7ADDF9">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3200DD6">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ABC7BDB">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7FDA44CE">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DFAA1D5">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公开招标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418DB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69602B0">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eastAsia="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446700BF">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ind w:left="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章评标办法）。</w:t>
      </w:r>
    </w:p>
    <w:p w14:paraId="13B7D934">
      <w:pPr>
        <w:spacing w:line="400" w:lineRule="exact"/>
        <w:jc w:val="center"/>
        <w:outlineLvl w:val="1"/>
        <w:rPr>
          <w:rFonts w:hint="eastAsia" w:ascii="宋体" w:hAnsi="宋体" w:eastAsia="宋体" w:cs="宋体"/>
          <w:b/>
          <w:bCs/>
          <w:color w:val="auto"/>
          <w:sz w:val="28"/>
          <w:highlight w:val="none"/>
        </w:rPr>
      </w:pPr>
      <w:bookmarkStart w:id="44" w:name="_Toc17301"/>
      <w:bookmarkStart w:id="45" w:name="_Toc29988"/>
    </w:p>
    <w:p w14:paraId="2DD47ABF">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4"/>
      <w:bookmarkEnd w:id="45"/>
    </w:p>
    <w:p w14:paraId="62AC36E5">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480" w:lineRule="exact"/>
        <w:ind w:firstLine="840" w:firstLineChars="4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480" w:lineRule="exact"/>
        <w:ind w:firstLine="840" w:firstLineChars="4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13.2除13.1内容外，招标答疑亦为招标文件的组成部分，对招标人和投标人起约束作用。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pacing w:val="0"/>
          <w:kern w:val="0"/>
          <w:sz w:val="21"/>
          <w:szCs w:val="21"/>
          <w:highlight w:val="none"/>
          <w:lang w:val="zh-CN"/>
        </w:rPr>
      </w:pPr>
      <w:r>
        <w:rPr>
          <w:rFonts w:hint="eastAsia" w:ascii="宋体" w:hAnsi="宋体" w:eastAsia="宋体" w:cs="宋体"/>
          <w:color w:val="auto"/>
          <w:spacing w:val="0"/>
          <w:sz w:val="21"/>
          <w:szCs w:val="21"/>
          <w:highlight w:val="none"/>
        </w:rPr>
        <w:t>13.3</w:t>
      </w:r>
      <w:r>
        <w:rPr>
          <w:rFonts w:hint="eastAsia" w:ascii="宋体"/>
          <w:color w:val="auto"/>
          <w:spacing w:val="0"/>
          <w:szCs w:val="21"/>
          <w:highlight w:val="none"/>
        </w:rPr>
        <w:t>投标人应仔细阅读和检查招标文件的全部内容。如发现缺页或附件不全，应及时向</w:t>
      </w:r>
      <w:r>
        <w:rPr>
          <w:rFonts w:hint="eastAsia" w:ascii="宋体"/>
          <w:color w:val="auto"/>
          <w:spacing w:val="0"/>
          <w:szCs w:val="21"/>
          <w:highlight w:val="none"/>
          <w:lang w:eastAsia="zh-CN"/>
        </w:rPr>
        <w:t>招标人</w:t>
      </w:r>
      <w:r>
        <w:rPr>
          <w:rFonts w:hint="eastAsia" w:ascii="宋体"/>
          <w:color w:val="auto"/>
          <w:spacing w:val="0"/>
          <w:szCs w:val="21"/>
          <w:highlight w:val="none"/>
        </w:rPr>
        <w:t>提出，以便补齐</w:t>
      </w:r>
      <w:r>
        <w:rPr>
          <w:rFonts w:hint="eastAsia" w:ascii="宋体" w:hAnsi="宋体" w:eastAsia="宋体" w:cs="宋体"/>
          <w:color w:val="auto"/>
          <w:spacing w:val="0"/>
          <w:kern w:val="0"/>
          <w:sz w:val="21"/>
          <w:szCs w:val="21"/>
          <w:highlight w:val="none"/>
          <w:lang w:val="zh-CN"/>
        </w:rPr>
        <w:t>。</w:t>
      </w:r>
    </w:p>
    <w:p w14:paraId="2C32EE20">
      <w:pPr>
        <w:pStyle w:val="63"/>
        <w:keepNext w:val="0"/>
        <w:keepLines w:val="0"/>
        <w:pageBreakBefore w:val="0"/>
        <w:widowControl w:val="0"/>
        <w:kinsoku/>
        <w:wordWrap/>
        <w:overflowPunct/>
        <w:topLinePunct w:val="0"/>
        <w:autoSpaceDE/>
        <w:autoSpaceDN/>
        <w:bidi w:val="0"/>
        <w:spacing w:line="480" w:lineRule="exact"/>
        <w:ind w:left="0" w:leftChars="0" w:firstLine="420" w:firstLineChars="200"/>
        <w:textAlignment w:val="auto"/>
        <w:rPr>
          <w:rFonts w:hint="default" w:eastAsia="宋体"/>
          <w:color w:val="auto"/>
          <w:spacing w:val="0"/>
          <w:highlight w:val="none"/>
          <w:lang w:val="en-US" w:eastAsia="zh-CN"/>
        </w:rPr>
      </w:pPr>
      <w:r>
        <w:rPr>
          <w:rFonts w:hint="eastAsia" w:ascii="宋体" w:hAnsi="宋体" w:eastAsia="宋体" w:cs="宋体"/>
          <w:color w:val="auto"/>
          <w:spacing w:val="0"/>
          <w:kern w:val="0"/>
          <w:sz w:val="21"/>
          <w:szCs w:val="21"/>
          <w:highlight w:val="none"/>
          <w:lang w:val="en-US" w:eastAsia="zh-CN"/>
        </w:rPr>
        <w:t>13.4投标人可以通过新点电子交易平台【滁州专区】对招标文件提出澄清（质疑）。招标文件的澄清将在新点电子交易平台【滁州专区】告知各投标人，但不指明澄清问题的来源。如果澄清内容影响投标文件编制的，将相应延长投标截止时间。</w:t>
      </w:r>
    </w:p>
    <w:p w14:paraId="182D12DA">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pacing w:val="0"/>
          <w:sz w:val="21"/>
          <w:szCs w:val="21"/>
          <w:highlight w:val="none"/>
        </w:rPr>
      </w:pPr>
      <w:r>
        <w:rPr>
          <w:rFonts w:hint="eastAsia" w:ascii="宋体" w:hAnsi="宋体" w:eastAsia="宋体" w:cs="宋体"/>
          <w:color w:val="auto"/>
          <w:spacing w:val="0"/>
          <w:sz w:val="21"/>
          <w:szCs w:val="21"/>
          <w:highlight w:val="none"/>
        </w:rPr>
        <w:t>14.</w:t>
      </w:r>
      <w:r>
        <w:rPr>
          <w:rFonts w:hint="eastAsia" w:ascii="宋体" w:hAnsi="宋体" w:eastAsia="宋体" w:cs="宋体"/>
          <w:bCs/>
          <w:color w:val="auto"/>
          <w:spacing w:val="0"/>
          <w:sz w:val="21"/>
          <w:szCs w:val="21"/>
          <w:highlight w:val="none"/>
        </w:rPr>
        <w:t>招标文件的澄清、修改、补充、解释</w:t>
      </w:r>
    </w:p>
    <w:p w14:paraId="6B0F2D1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并以更正公告形式书面告知各投标人</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eastAsia="zh-CN"/>
        </w:rPr>
        <w:t>本项目工程量清单和最高投标限价编制费用的最高限价为《收费标准》计算费用的60%（报价</w:t>
      </w:r>
      <w:r>
        <w:rPr>
          <w:rFonts w:hint="eastAsia" w:ascii="宋体" w:hAnsi="宋体" w:cs="宋体"/>
          <w:b/>
          <w:bCs/>
          <w:color w:val="auto"/>
          <w:sz w:val="21"/>
          <w:szCs w:val="21"/>
          <w:highlight w:val="none"/>
          <w:lang w:val="en-US" w:eastAsia="zh-CN"/>
        </w:rPr>
        <w:t>最多</w:t>
      </w:r>
      <w:r>
        <w:rPr>
          <w:rFonts w:hint="eastAsia" w:ascii="宋体" w:hAnsi="宋体" w:eastAsia="宋体" w:cs="宋体"/>
          <w:b/>
          <w:bCs/>
          <w:color w:val="auto"/>
          <w:sz w:val="21"/>
          <w:szCs w:val="21"/>
          <w:highlight w:val="none"/>
          <w:lang w:eastAsia="zh-CN"/>
        </w:rPr>
        <w:t>保留两位小数，小数点后第三位将四舍五入进行修正），投标单位投标报价不得高于上述费率最高限价，否则按无效标处理。《收费标准》详见附表</w:t>
      </w:r>
      <w:r>
        <w:rPr>
          <w:rFonts w:hint="eastAsia" w:ascii="宋体" w:hAnsi="宋体" w:eastAsia="宋体" w:cs="宋体"/>
          <w:b/>
          <w:bCs/>
          <w:color w:val="auto"/>
          <w:sz w:val="21"/>
          <w:szCs w:val="21"/>
          <w:highlight w:val="none"/>
        </w:rPr>
        <w:t>。</w:t>
      </w:r>
    </w:p>
    <w:p w14:paraId="118CF4A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46" w:name="_Toc24852"/>
    </w:p>
    <w:p w14:paraId="344A8BB9">
      <w:pPr>
        <w:spacing w:line="400" w:lineRule="exact"/>
        <w:jc w:val="center"/>
        <w:outlineLvl w:val="1"/>
        <w:rPr>
          <w:rFonts w:hint="eastAsia" w:ascii="宋体" w:hAnsi="宋体" w:eastAsia="宋体" w:cs="宋体"/>
          <w:b/>
          <w:bCs/>
          <w:color w:val="auto"/>
          <w:sz w:val="28"/>
          <w:highlight w:val="none"/>
        </w:rPr>
      </w:pPr>
      <w:bookmarkStart w:id="47" w:name="_Toc6831"/>
      <w:r>
        <w:rPr>
          <w:rFonts w:hint="eastAsia" w:ascii="宋体" w:hAnsi="宋体" w:eastAsia="宋体" w:cs="宋体"/>
          <w:b/>
          <w:bCs/>
          <w:color w:val="auto"/>
          <w:sz w:val="28"/>
          <w:highlight w:val="none"/>
        </w:rPr>
        <w:t>三、投标文件的编制</w:t>
      </w:r>
      <w:bookmarkEnd w:id="46"/>
      <w:bookmarkEnd w:id="47"/>
    </w:p>
    <w:p w14:paraId="64695F4A">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注册造价师证书（若注册证书上无法体现专业的，还需另行提供证明专业的证明材料）</w:t>
      </w:r>
      <w:r>
        <w:rPr>
          <w:rFonts w:hint="eastAsia" w:ascii="宋体" w:hAnsi="宋体" w:eastAsia="宋体" w:cs="宋体"/>
          <w:color w:val="auto"/>
          <w:sz w:val="21"/>
          <w:szCs w:val="21"/>
          <w:highlight w:val="none"/>
          <w:lang w:val="en-US" w:eastAsia="zh-CN"/>
        </w:rPr>
        <w:t xml:space="preserve">； </w:t>
      </w:r>
    </w:p>
    <w:p w14:paraId="66E6802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（4）项目人员配备表；（格式见附件）</w:t>
      </w:r>
    </w:p>
    <w:p w14:paraId="43DBF8F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有效身份证及证书；</w:t>
      </w:r>
      <w:r>
        <w:rPr>
          <w:rFonts w:hint="eastAsia" w:ascii="宋体" w:hAnsi="宋体" w:eastAsia="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67A22FA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（7）投标函</w:t>
      </w:r>
      <w:r>
        <w:rPr>
          <w:rFonts w:hint="eastAsia" w:ascii="宋体" w:hAnsi="宋体" w:eastAsia="宋体" w:cs="宋体"/>
          <w:color w:val="auto"/>
          <w:sz w:val="21"/>
          <w:szCs w:val="21"/>
          <w:highlight w:val="none"/>
        </w:rPr>
        <w:t>；</w:t>
      </w:r>
    </w:p>
    <w:p w14:paraId="3DC867D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（8）投标人认为需要提供的其他材料。</w:t>
      </w:r>
    </w:p>
    <w:p w14:paraId="6CFB64B6">
      <w:pPr>
        <w:keepNext w:val="0"/>
        <w:keepLines w:val="0"/>
        <w:pageBreakBefore w:val="0"/>
        <w:widowControl w:val="0"/>
        <w:numPr>
          <w:ilvl w:val="0"/>
          <w:numId w:val="0"/>
        </w:numPr>
        <w:kinsoku/>
        <w:wordWrap/>
        <w:overflowPunct/>
        <w:topLinePunct w:val="0"/>
        <w:autoSpaceDE/>
        <w:autoSpaceDN/>
        <w:bidi w:val="0"/>
        <w:spacing w:line="480" w:lineRule="exact"/>
        <w:ind w:firstLine="422" w:firstLineChars="200"/>
        <w:jc w:val="both"/>
        <w:textAlignment w:val="auto"/>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072124E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5E5DC0D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 0512-58151515（工作日）或者网站首页在线客服</w:t>
      </w:r>
      <w:r>
        <w:rPr>
          <w:rFonts w:hint="eastAsia" w:ascii="宋体" w:hAnsi="Calibri"/>
          <w:color w:val="auto"/>
          <w:szCs w:val="21"/>
          <w:highlight w:val="none"/>
          <w:lang w:val="en-US" w:eastAsia="zh-CN"/>
        </w:rPr>
        <w:t xml:space="preserve">。 </w:t>
      </w:r>
    </w:p>
    <w:p w14:paraId="1EADF7E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1045953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506A6FC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6355F856">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5B87B75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52D2929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65D00B0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r>
        <w:rPr>
          <w:rFonts w:hint="eastAsia" w:ascii="宋体" w:hAnsi="宋体" w:cs="宋体"/>
          <w:color w:val="auto"/>
          <w:kern w:val="0"/>
          <w:szCs w:val="21"/>
          <w:highlight w:val="none"/>
          <w:lang w:eastAsia="zh-CN"/>
        </w:rPr>
        <w:t>。</w:t>
      </w:r>
    </w:p>
    <w:p w14:paraId="235F678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2893E5B9">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4"/>
          <w:highlight w:val="none"/>
          <w:lang w:val="en-US" w:eastAsia="zh-CN"/>
        </w:rPr>
      </w:pPr>
      <w:bookmarkStart w:id="48" w:name="_Toc27519"/>
      <w:r>
        <w:rPr>
          <w:rFonts w:hint="eastAsia" w:ascii="宋体" w:hAnsi="宋体" w:eastAsia="宋体" w:cs="宋体"/>
          <w:color w:val="auto"/>
          <w:sz w:val="24"/>
          <w:highlight w:val="none"/>
          <w:lang w:val="en-US" w:eastAsia="zh-CN"/>
        </w:rPr>
        <w:t xml:space="preserve"> </w:t>
      </w:r>
    </w:p>
    <w:p w14:paraId="0A229A7F">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49" w:name="_Toc13407"/>
      <w:r>
        <w:rPr>
          <w:rFonts w:hint="eastAsia" w:ascii="宋体" w:hAnsi="宋体" w:eastAsia="宋体" w:cs="宋体"/>
          <w:b/>
          <w:bCs/>
          <w:color w:val="auto"/>
          <w:sz w:val="28"/>
          <w:highlight w:val="none"/>
        </w:rPr>
        <w:t>四、投标文件的递交</w:t>
      </w:r>
      <w:bookmarkEnd w:id="48"/>
      <w:bookmarkEnd w:id="49"/>
    </w:p>
    <w:p w14:paraId="354540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jc w:val="both"/>
        <w:textAlignment w:val="auto"/>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投标文件的提交</w:t>
      </w:r>
    </w:p>
    <w:p w14:paraId="7F8AEA89">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8"/>
          <w:szCs w:val="28"/>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color w:val="auto"/>
          <w:highlight w:val="none"/>
        </w:rPr>
        <w:t>采用网上招投标的，在规定的投标截止时间前，投标人可以自行从网上招投标系统撤回已递交的投标文件，并可修改后重新上传，开标时以投标截止时间前投标人最终上传的投标文件为准</w:t>
      </w:r>
    </w:p>
    <w:p w14:paraId="71F4C495">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center"/>
        <w:textAlignment w:val="auto"/>
        <w:outlineLvl w:val="1"/>
        <w:rPr>
          <w:rFonts w:hint="eastAsia" w:ascii="宋体" w:hAnsi="宋体" w:eastAsia="宋体" w:cs="宋体"/>
          <w:b/>
          <w:bCs/>
          <w:color w:val="auto"/>
          <w:sz w:val="28"/>
          <w:highlight w:val="none"/>
        </w:rPr>
      </w:pPr>
      <w:bookmarkStart w:id="50" w:name="_Toc18173"/>
      <w:bookmarkStart w:id="51" w:name="_Toc24005"/>
    </w:p>
    <w:p w14:paraId="7500E7D0">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五、开标、评标和定标</w:t>
      </w:r>
      <w:bookmarkEnd w:id="50"/>
      <w:bookmarkEnd w:id="51"/>
    </w:p>
    <w:p w14:paraId="066918F9">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招标人在投标人须知前附表规定的投标截止时间前（开标时间）和地点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（5）开标结束。 </w:t>
      </w:r>
    </w:p>
    <w:p w14:paraId="01DEFBCB">
      <w:pPr>
        <w:keepNext w:val="0"/>
        <w:keepLines w:val="0"/>
        <w:pageBreakBefore w:val="0"/>
        <w:widowControl w:val="0"/>
        <w:kinsoku/>
        <w:wordWrap w:val="0"/>
        <w:overflowPunct/>
        <w:topLinePunct w:val="0"/>
        <w:autoSpaceDE/>
        <w:autoSpaceDN/>
        <w:bidi w:val="0"/>
        <w:spacing w:line="480" w:lineRule="exact"/>
        <w:ind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 xml:space="preserve">多标包项目按照标段顺序按以上程序依次开标。 </w:t>
      </w:r>
    </w:p>
    <w:p w14:paraId="10B86A20">
      <w:pPr>
        <w:keepNext w:val="0"/>
        <w:keepLines w:val="0"/>
        <w:pageBreakBefore w:val="0"/>
        <w:widowControl w:val="0"/>
        <w:kinsoku/>
        <w:wordWrap/>
        <w:overflowPunct/>
        <w:topLinePunct w:val="0"/>
        <w:autoSpaceDE/>
        <w:autoSpaceDN/>
        <w:bidi w:val="0"/>
        <w:spacing w:line="480" w:lineRule="exact"/>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03615267">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keepNext w:val="0"/>
        <w:keepLines w:val="0"/>
        <w:pageBreakBefore w:val="0"/>
        <w:widowControl w:val="0"/>
        <w:kinsoku/>
        <w:overflowPunct/>
        <w:topLinePunct w:val="0"/>
        <w:autoSpaceDE/>
        <w:autoSpaceDN/>
        <w:bidi w:val="0"/>
        <w:spacing w:line="480" w:lineRule="exact"/>
        <w:ind w:right="0" w:rightChars="0" w:firstLine="422" w:firstLineChars="200"/>
        <w:jc w:val="left"/>
        <w:textAlignment w:val="auto"/>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6CDAF2D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0C36E7C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2A6BC296">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3E76CB44">
      <w:pPr>
        <w:pStyle w:val="16"/>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634B4A8C">
      <w:pPr>
        <w:pStyle w:val="16"/>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002F8488">
      <w:pPr>
        <w:pStyle w:val="16"/>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166F485C">
      <w:pPr>
        <w:pStyle w:val="16"/>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代理机构应在中标人确定之日起2个工作日内，告知供应商成交结果并同时向中标人发出中标通知书。</w:t>
      </w:r>
    </w:p>
    <w:p w14:paraId="6292799B">
      <w:pPr>
        <w:pStyle w:val="16"/>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80" w:lineRule="exact"/>
        <w:ind w:right="0" w:rightChars="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keepNext w:val="0"/>
        <w:keepLines w:val="0"/>
        <w:pageBreakBefore w:val="0"/>
        <w:widowControl w:val="0"/>
        <w:kinsoku/>
        <w:overflowPunct/>
        <w:topLinePunct w:val="0"/>
        <w:autoSpaceDE/>
        <w:autoSpaceDN/>
        <w:bidi w:val="0"/>
        <w:adjustRightInd w:val="0"/>
        <w:snapToGrid w:val="0"/>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80" w:lineRule="exact"/>
        <w:ind w:right="0" w:rightChars="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85844F2">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重新招标后，投标截止时间结束后提交投标文件的投标人少于3家或者符合专业条件的投标人或对招标文件作出实质性响应的投标人不足3家的，招标人可采取竞争性谈判、单一来源采购方式进行项目发包。</w:t>
      </w:r>
    </w:p>
    <w:p w14:paraId="7295FCC4">
      <w:pPr>
        <w:keepNext w:val="0"/>
        <w:keepLines w:val="0"/>
        <w:pageBreakBefore w:val="0"/>
        <w:widowControl w:val="0"/>
        <w:kinsoku/>
        <w:overflowPunct/>
        <w:topLinePunct w:val="0"/>
        <w:autoSpaceDE/>
        <w:autoSpaceDN/>
        <w:bidi w:val="0"/>
        <w:spacing w:line="480" w:lineRule="exact"/>
        <w:ind w:right="0" w:rightChars="0" w:firstLine="420"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参加竞争性谈判、单一来源采购的投标人必须符合下列条件：①、投标资格符合招标文件要求；②、对招标文件作出实质性响应。 </w:t>
      </w:r>
    </w:p>
    <w:p w14:paraId="6CB16242">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2" w:name="_Toc21491"/>
      <w:bookmarkStart w:id="53" w:name="_Toc22926"/>
      <w:r>
        <w:rPr>
          <w:rFonts w:hint="eastAsia" w:ascii="宋体" w:hAnsi="宋体" w:eastAsia="宋体" w:cs="宋体"/>
          <w:b/>
          <w:bCs/>
          <w:color w:val="auto"/>
          <w:sz w:val="28"/>
          <w:highlight w:val="none"/>
        </w:rPr>
        <w:t>六、合同的授予</w:t>
      </w:r>
      <w:bookmarkEnd w:id="52"/>
      <w:bookmarkEnd w:id="53"/>
    </w:p>
    <w:p w14:paraId="2EDC141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4" w:name="_Toc31589_WPSOffice_Level1"/>
      <w:bookmarkStart w:id="55"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6"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6"/>
    </w:p>
    <w:p w14:paraId="1CD4C1C5">
      <w:pPr>
        <w:keepNext w:val="0"/>
        <w:keepLines w:val="0"/>
        <w:pageBreakBefore w:val="0"/>
        <w:widowControl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36.4参与投标的投标人对中标公告提出的质疑（异议），负有举证的责任。投标人提出质疑（异议）应当提交质疑函和必要的证明材料。质疑（异议）函应当包括下列内容：</w:t>
      </w:r>
    </w:p>
    <w:p w14:paraId="1CBAEEF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（二）质疑（异议）项目的名称、编号；</w:t>
      </w:r>
    </w:p>
    <w:p w14:paraId="2B5293BB">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（三）具体、明确的质疑（异议）事项和与质疑（异议）事项相关的请求；</w:t>
      </w:r>
    </w:p>
    <w:p w14:paraId="0CC942E4">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（四）事实依据；</w:t>
      </w:r>
    </w:p>
    <w:p w14:paraId="0F584D02">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（五）必要的法律依据；</w:t>
      </w:r>
    </w:p>
    <w:p w14:paraId="615070B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（六）提出质疑（异议）的日期。</w:t>
      </w:r>
    </w:p>
    <w:p w14:paraId="07F11C0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32EDDA19">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7" w:name="_Toc13234"/>
      <w:r>
        <w:rPr>
          <w:rFonts w:hint="eastAsia" w:ascii="宋体" w:hAnsi="宋体" w:eastAsia="宋体" w:cs="宋体"/>
          <w:color w:val="auto"/>
          <w:highlight w:val="none"/>
          <w:lang w:val="en-US" w:eastAsia="zh-CN"/>
        </w:rPr>
        <w:t>第二章  评标办法</w:t>
      </w:r>
      <w:bookmarkEnd w:id="57"/>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58" w:name="_Toc14912"/>
      <w:r>
        <w:rPr>
          <w:rFonts w:hint="eastAsia" w:ascii="宋体" w:hAnsi="宋体" w:eastAsia="宋体" w:cs="宋体"/>
          <w:b/>
          <w:bCs/>
          <w:color w:val="auto"/>
          <w:sz w:val="24"/>
          <w:szCs w:val="24"/>
          <w:highlight w:val="none"/>
          <w:lang w:val="en-US" w:eastAsia="zh-CN"/>
        </w:rPr>
        <w:t>一、总则</w:t>
      </w:r>
      <w:bookmarkEnd w:id="58"/>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法，评标委员会对满足招标文件实质性要求的投标文件，按照本章规定的评分标准进行打分，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C9C5EA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招标人不接受投标单位主动提出的澄清。</w:t>
      </w:r>
    </w:p>
    <w:p w14:paraId="34335270">
      <w:pPr>
        <w:jc w:val="center"/>
        <w:outlineLvl w:val="1"/>
        <w:rPr>
          <w:rFonts w:hint="eastAsia" w:ascii="宋体"/>
          <w:b/>
          <w:color w:val="auto"/>
          <w:sz w:val="28"/>
          <w:szCs w:val="28"/>
          <w:highlight w:val="none"/>
        </w:rPr>
      </w:pPr>
      <w:bookmarkStart w:id="59" w:name="_Toc449028878"/>
      <w:bookmarkStart w:id="60" w:name="_Toc58430318"/>
      <w:bookmarkStart w:id="61" w:name="_Toc29779"/>
      <w:r>
        <w:rPr>
          <w:rFonts w:hint="eastAsia" w:ascii="宋体"/>
          <w:b/>
          <w:color w:val="auto"/>
          <w:sz w:val="28"/>
          <w:szCs w:val="28"/>
          <w:highlight w:val="none"/>
        </w:rPr>
        <w:t>二、投标文件初审</w:t>
      </w:r>
      <w:bookmarkEnd w:id="59"/>
      <w:bookmarkEnd w:id="60"/>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52F81DF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27142348">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326" w:type="dxa"/>
            <w:noWrap w:val="0"/>
            <w:vAlign w:val="center"/>
          </w:tcPr>
          <w:p w14:paraId="607FD99B">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keepNext w:val="0"/>
              <w:keepLines w:val="0"/>
              <w:suppressLineNumbers w:val="0"/>
              <w:spacing w:before="0" w:beforeAutospacing="0" w:after="0" w:afterAutospacing="0" w:line="320" w:lineRule="exact"/>
              <w:ind w:left="0" w:right="0"/>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227E239">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45201212">
            <w:pPr>
              <w:keepNext w:val="0"/>
              <w:keepLines w:val="0"/>
              <w:suppressLineNumbers w:val="0"/>
              <w:spacing w:before="0" w:beforeAutospacing="0" w:after="0" w:afterAutospacing="0" w:line="360" w:lineRule="exact"/>
              <w:ind w:left="0" w:right="0"/>
              <w:jc w:val="both"/>
              <w:rPr>
                <w:rFonts w:hint="eastAsia" w:ascii="宋体" w:hAnsi="宋体" w:cs="宋体"/>
                <w:b/>
                <w:color w:val="auto"/>
                <w:szCs w:val="21"/>
                <w:highlight w:val="none"/>
              </w:rPr>
            </w:pPr>
            <w:r>
              <w:rPr>
                <w:rFonts w:hint="eastAsia"/>
                <w:color w:val="auto"/>
                <w:highlight w:val="none"/>
              </w:rPr>
              <w:t>（3）</w:t>
            </w:r>
            <w:r>
              <w:rPr>
                <w:rFonts w:hint="eastAsia" w:ascii="宋体" w:hAnsi="宋体" w:eastAsia="宋体" w:cs="宋体"/>
                <w:color w:val="auto"/>
                <w:sz w:val="21"/>
                <w:szCs w:val="21"/>
                <w:highlight w:val="none"/>
              </w:rPr>
              <w:t>拟派项目负责人</w:t>
            </w:r>
            <w:r>
              <w:rPr>
                <w:rFonts w:hint="eastAsia" w:ascii="宋体" w:hAnsi="宋体" w:cs="宋体"/>
                <w:color w:val="auto"/>
                <w:sz w:val="21"/>
                <w:szCs w:val="21"/>
                <w:highlight w:val="none"/>
                <w:lang w:val="en-US" w:eastAsia="zh-CN"/>
              </w:rPr>
              <w:t>有效</w:t>
            </w:r>
            <w:r>
              <w:rPr>
                <w:rFonts w:hint="eastAsia" w:ascii="宋体" w:hAnsi="宋体" w:eastAsia="宋体" w:cs="宋体"/>
                <w:color w:val="auto"/>
                <w:sz w:val="21"/>
                <w:szCs w:val="21"/>
                <w:highlight w:val="none"/>
              </w:rPr>
              <w:t>身份证和注册造价师证书（若注册证书上无法体现专业的，还需另行提供证明专业的证明材料）</w:t>
            </w:r>
          </w:p>
        </w:tc>
        <w:tc>
          <w:tcPr>
            <w:tcW w:w="2326" w:type="dxa"/>
            <w:noWrap w:val="0"/>
            <w:vAlign w:val="center"/>
          </w:tcPr>
          <w:p w14:paraId="2E0E8AE1">
            <w:pPr>
              <w:keepNext w:val="0"/>
              <w:keepLines w:val="0"/>
              <w:suppressLineNumbers w:val="0"/>
              <w:spacing w:before="0" w:beforeAutospacing="0" w:after="0" w:afterAutospacing="0" w:line="360" w:lineRule="exact"/>
              <w:ind w:left="0" w:right="0"/>
              <w:jc w:val="both"/>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2744FACC">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69BC9D2B">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项目人员配备表</w:t>
            </w:r>
          </w:p>
        </w:tc>
        <w:tc>
          <w:tcPr>
            <w:tcW w:w="2326" w:type="dxa"/>
            <w:noWrap w:val="0"/>
            <w:vAlign w:val="center"/>
          </w:tcPr>
          <w:p w14:paraId="68DD7B74">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color w:val="auto"/>
                <w:highlight w:val="none"/>
              </w:rPr>
              <w:t>格式见附件，检验电子标书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B141123">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6F4CA723">
            <w:pPr>
              <w:keepNext w:val="0"/>
              <w:keepLines w:val="0"/>
              <w:suppressLineNumbers w:val="0"/>
              <w:spacing w:before="0" w:beforeAutospacing="0" w:after="0" w:afterAutospacing="0" w:line="360" w:lineRule="exact"/>
              <w:ind w:left="0" w:right="0"/>
              <w:jc w:val="both"/>
              <w:rPr>
                <w:rFonts w:hint="default" w:eastAsia="宋体"/>
                <w:color w:val="auto"/>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w:t>
            </w:r>
            <w:r>
              <w:rPr>
                <w:rFonts w:hint="eastAsia" w:ascii="宋体" w:hAnsi="宋体" w:cs="宋体"/>
                <w:color w:val="auto"/>
                <w:sz w:val="21"/>
                <w:szCs w:val="21"/>
                <w:highlight w:val="none"/>
                <w:lang w:val="en-US" w:eastAsia="zh-CN"/>
              </w:rPr>
              <w:t>有效身份证及证书</w:t>
            </w:r>
          </w:p>
        </w:tc>
        <w:tc>
          <w:tcPr>
            <w:tcW w:w="2326" w:type="dxa"/>
            <w:noWrap w:val="0"/>
            <w:vAlign w:val="center"/>
          </w:tcPr>
          <w:p w14:paraId="551EAE52">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1B267B9A">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05277027">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eastAsia="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tc>
        <w:tc>
          <w:tcPr>
            <w:tcW w:w="2326" w:type="dxa"/>
            <w:noWrap w:val="0"/>
            <w:vAlign w:val="center"/>
          </w:tcPr>
          <w:p w14:paraId="7662CE20">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vMerge w:val="continue"/>
            <w:noWrap w:val="0"/>
            <w:vAlign w:val="center"/>
          </w:tcPr>
          <w:p w14:paraId="1E9B2A14">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2546461F">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202375EC">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）投标函</w:t>
            </w:r>
          </w:p>
        </w:tc>
        <w:tc>
          <w:tcPr>
            <w:tcW w:w="2326" w:type="dxa"/>
            <w:noWrap w:val="0"/>
            <w:vAlign w:val="center"/>
          </w:tcPr>
          <w:p w14:paraId="3BC905C0">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color w:val="auto"/>
                <w:highlight w:val="none"/>
              </w:rPr>
              <w:t>格式见附件，检验电子标书</w:t>
            </w:r>
          </w:p>
        </w:tc>
      </w:tr>
    </w:tbl>
    <w:p w14:paraId="6C89B1B9">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731" w:type="dxa"/>
            <w:noWrap w:val="0"/>
            <w:vAlign w:val="center"/>
          </w:tcPr>
          <w:p w14:paraId="44B6CA4D">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14:paraId="40130CA8">
            <w:pPr>
              <w:keepNext w:val="0"/>
              <w:keepLines w:val="0"/>
              <w:suppressLineNumbers w:val="0"/>
              <w:spacing w:before="0" w:beforeAutospacing="0" w:after="0" w:afterAutospacing="0" w:line="320" w:lineRule="atLeast"/>
              <w:ind w:left="0" w:right="0"/>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5E30E1AC">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4173" w:type="dxa"/>
            <w:noWrap w:val="0"/>
            <w:vAlign w:val="center"/>
          </w:tcPr>
          <w:p w14:paraId="1DA41EB0">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0C50280C">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3A2D0D42">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4173" w:type="dxa"/>
            <w:noWrap w:val="0"/>
            <w:vAlign w:val="center"/>
          </w:tcPr>
          <w:p w14:paraId="49240866">
            <w:pPr>
              <w:keepNext w:val="0"/>
              <w:keepLines w:val="0"/>
              <w:suppressLineNumbers w:val="0"/>
              <w:spacing w:before="0" w:beforeAutospacing="0" w:after="0" w:afterAutospacing="0" w:line="320" w:lineRule="atLeast"/>
              <w:ind w:left="0" w:right="0"/>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58AA67A8">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16A8D7B3">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olor w:val="auto"/>
                <w:szCs w:val="21"/>
                <w:highlight w:val="none"/>
              </w:rPr>
              <w:t>（3）报价唯一</w:t>
            </w:r>
          </w:p>
        </w:tc>
        <w:tc>
          <w:tcPr>
            <w:tcW w:w="4173" w:type="dxa"/>
            <w:noWrap w:val="0"/>
            <w:vAlign w:val="center"/>
          </w:tcPr>
          <w:p w14:paraId="5B76B05E">
            <w:pPr>
              <w:keepNext w:val="0"/>
              <w:keepLines w:val="0"/>
              <w:suppressLineNumbers w:val="0"/>
              <w:spacing w:before="0" w:beforeAutospacing="0" w:after="0" w:afterAutospacing="0" w:line="320" w:lineRule="atLeast"/>
              <w:ind w:left="0" w:right="0"/>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3D464BDC">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1570C2C0">
            <w:pPr>
              <w:keepNext w:val="0"/>
              <w:keepLines w:val="0"/>
              <w:suppressLineNumbers w:val="0"/>
              <w:spacing w:before="0" w:beforeAutospacing="0" w:after="0" w:afterAutospacing="0" w:line="320" w:lineRule="atLeast"/>
              <w:ind w:left="0" w:right="0"/>
              <w:rPr>
                <w:rFonts w:hint="eastAsia" w:ascii="宋体"/>
                <w:color w:val="auto"/>
                <w:szCs w:val="21"/>
                <w:highlight w:val="none"/>
              </w:rPr>
            </w:pPr>
            <w:r>
              <w:rPr>
                <w:rFonts w:hint="eastAsia" w:ascii="宋体"/>
                <w:color w:val="auto"/>
                <w:szCs w:val="21"/>
                <w:highlight w:val="none"/>
              </w:rPr>
              <w:t xml:space="preserve"> (4) 投标文件的有效期</w:t>
            </w:r>
          </w:p>
        </w:tc>
        <w:tc>
          <w:tcPr>
            <w:tcW w:w="4173" w:type="dxa"/>
            <w:noWrap w:val="0"/>
            <w:vAlign w:val="center"/>
          </w:tcPr>
          <w:p w14:paraId="0A104765">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503882E">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keepNext w:val="0"/>
              <w:keepLines w:val="0"/>
              <w:suppressLineNumbers w:val="0"/>
              <w:spacing w:before="0" w:beforeAutospacing="0" w:after="0" w:afterAutospacing="0" w:line="320" w:lineRule="atLeast"/>
              <w:ind w:left="0" w:right="0"/>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4173" w:type="dxa"/>
            <w:noWrap w:val="0"/>
            <w:vAlign w:val="center"/>
          </w:tcPr>
          <w:p w14:paraId="0504A0B0">
            <w:pPr>
              <w:keepNext w:val="0"/>
              <w:keepLines w:val="0"/>
              <w:suppressLineNumbers w:val="0"/>
              <w:spacing w:before="0" w:beforeAutospacing="0" w:after="0" w:afterAutospacing="0" w:line="320" w:lineRule="atLeast"/>
              <w:ind w:left="0" w:right="0"/>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068F4ED8">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5F71AFEB">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4173" w:type="dxa"/>
            <w:noWrap w:val="0"/>
            <w:vAlign w:val="center"/>
          </w:tcPr>
          <w:p w14:paraId="253308E2">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390BF16A">
            <w:pPr>
              <w:keepNext w:val="0"/>
              <w:keepLines w:val="0"/>
              <w:suppressLineNumbers w:val="0"/>
              <w:spacing w:before="0" w:beforeAutospacing="0" w:after="0" w:afterAutospacing="0" w:line="320" w:lineRule="atLeast"/>
              <w:ind w:left="0" w:right="0"/>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keepNext w:val="0"/>
              <w:keepLines w:val="0"/>
              <w:suppressLineNumbers w:val="0"/>
              <w:spacing w:before="0" w:beforeAutospacing="0" w:after="0" w:afterAutospacing="0" w:line="320" w:lineRule="atLeast"/>
              <w:ind w:left="0" w:right="0"/>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4173" w:type="dxa"/>
            <w:noWrap w:val="0"/>
            <w:vAlign w:val="center"/>
          </w:tcPr>
          <w:p w14:paraId="3CC7D23C">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6" w:hRule="atLeast"/>
        </w:trPr>
        <w:tc>
          <w:tcPr>
            <w:tcW w:w="731" w:type="dxa"/>
            <w:vMerge w:val="continue"/>
            <w:noWrap w:val="0"/>
            <w:vAlign w:val="center"/>
          </w:tcPr>
          <w:p w14:paraId="7E2F7823">
            <w:pPr>
              <w:keepNext w:val="0"/>
              <w:keepLines w:val="0"/>
              <w:suppressLineNumbers w:val="0"/>
              <w:spacing w:before="0" w:beforeAutospacing="0" w:after="0" w:afterAutospacing="0" w:line="320" w:lineRule="atLeast"/>
              <w:ind w:left="0" w:right="0"/>
              <w:rPr>
                <w:rFonts w:hint="default"/>
                <w:color w:val="auto"/>
                <w:highlight w:val="none"/>
              </w:rPr>
            </w:pPr>
          </w:p>
        </w:tc>
        <w:tc>
          <w:tcPr>
            <w:tcW w:w="1204" w:type="dxa"/>
            <w:vMerge w:val="continue"/>
            <w:noWrap w:val="0"/>
            <w:vAlign w:val="center"/>
          </w:tcPr>
          <w:p w14:paraId="3B6CA584">
            <w:pPr>
              <w:keepNext w:val="0"/>
              <w:keepLines w:val="0"/>
              <w:suppressLineNumbers w:val="0"/>
              <w:spacing w:before="0" w:beforeAutospacing="0" w:after="0" w:afterAutospacing="0" w:line="320" w:lineRule="atLeast"/>
              <w:ind w:left="0" w:right="0"/>
              <w:rPr>
                <w:rFonts w:hint="default"/>
                <w:color w:val="auto"/>
                <w:highlight w:val="none"/>
              </w:rPr>
            </w:pPr>
          </w:p>
        </w:tc>
        <w:tc>
          <w:tcPr>
            <w:tcW w:w="2931" w:type="dxa"/>
            <w:noWrap w:val="0"/>
            <w:vAlign w:val="center"/>
          </w:tcPr>
          <w:p w14:paraId="0D9E24C6">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4173" w:type="dxa"/>
            <w:noWrap w:val="0"/>
            <w:vAlign w:val="center"/>
          </w:tcPr>
          <w:p w14:paraId="1DE6E434">
            <w:pPr>
              <w:keepNext w:val="0"/>
              <w:keepLines w:val="0"/>
              <w:suppressLineNumbers w:val="0"/>
              <w:spacing w:before="0" w:beforeAutospacing="0" w:after="0" w:afterAutospacing="0" w:line="320" w:lineRule="atLeast"/>
              <w:ind w:left="0" w:right="0"/>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114D3165">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65BB3E56">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2D7B31BE">
      <w:pPr>
        <w:spacing w:line="400" w:lineRule="exact"/>
        <w:ind w:firstLine="525" w:firstLineChars="250"/>
        <w:rPr>
          <w:rFonts w:hint="eastAsia" w:ascii="宋体"/>
          <w:color w:val="auto"/>
          <w:szCs w:val="21"/>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E29A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p>
    <w:p w14:paraId="7D92425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1"/>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2"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2"/>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keepNext w:val="0"/>
              <w:keepLines w:val="0"/>
              <w:pageBreakBefore w:val="0"/>
              <w:suppressLineNumbers w:val="0"/>
              <w:kinsoku/>
              <w:wordWrap/>
              <w:overflowPunct/>
              <w:bidi w:val="0"/>
              <w:adjustRightInd/>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29A50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（1）招标人设置投标报价最高限价为《收费标准》计算费用的60%（报价</w:t>
            </w:r>
            <w:r>
              <w:rPr>
                <w:rFonts w:hint="eastAsia" w:ascii="宋体" w:hAnsi="宋体" w:cs="宋体"/>
                <w:color w:val="auto"/>
                <w:sz w:val="21"/>
                <w:szCs w:val="21"/>
                <w:highlight w:val="none"/>
                <w:lang w:val="en-US" w:eastAsia="zh-CN"/>
              </w:rPr>
              <w:t>最多</w:t>
            </w:r>
            <w:r>
              <w:rPr>
                <w:rFonts w:hint="eastAsia" w:ascii="宋体" w:hAnsi="宋体" w:eastAsia="宋体" w:cs="宋体"/>
                <w:color w:val="auto"/>
                <w:sz w:val="21"/>
                <w:szCs w:val="21"/>
                <w:highlight w:val="none"/>
              </w:rPr>
              <w:t>保留两位小数，小数点后第三位将四舍五入进行修正），各投标人有效报价不得高于最高限价，否则，其投标文件按无效标处理。（投标报价不可以填报0或负数，否则按无效标处理）</w:t>
            </w:r>
          </w:p>
          <w:p w14:paraId="02C5CB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（2）评标基准值=所有有效投标人投标报价的算术平均值（小数点后保留两位小数，小数点后第三位四舍五入）。</w:t>
            </w:r>
          </w:p>
          <w:p w14:paraId="2B9E41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（3）计算报价偏差率</w:t>
            </w:r>
          </w:p>
          <w:p w14:paraId="6C7AD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①偏差率=|（投标报价-评标基准价）/评标基准价|×100%</w:t>
            </w:r>
          </w:p>
          <w:p w14:paraId="5CC50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（4）计算报价得分</w:t>
            </w:r>
          </w:p>
          <w:p w14:paraId="1A1E4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26C9B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30315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43C29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注：计算过程中，评标基准值、偏差率、报价得分均保留两位小数，小数点后第三位四舍五入。</w:t>
            </w:r>
          </w:p>
          <w:p w14:paraId="32C8A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highlight w:val="none"/>
              </w:rPr>
            </w:pPr>
            <w:r>
              <w:rPr>
                <w:rFonts w:hint="eastAsia" w:ascii="宋体" w:hAnsi="宋体" w:eastAsia="宋体" w:cs="宋体"/>
                <w:color w:val="auto"/>
                <w:sz w:val="21"/>
                <w:szCs w:val="21"/>
                <w:highlight w:val="none"/>
              </w:rPr>
              <w:t>本项分值由评标委员会计算。</w:t>
            </w:r>
          </w:p>
        </w:tc>
      </w:tr>
    </w:tbl>
    <w:p w14:paraId="003755BC">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p>
    <w:p w14:paraId="1DD67D2D">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bookmarkStart w:id="63"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3"/>
    </w:p>
    <w:p w14:paraId="1BD855F9">
      <w:pPr>
        <w:pStyle w:val="44"/>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小组先对投标报价不高于投标限价的投标人报价按计算标准计算得分，得分按照从高到低进行排序（如总得分相等，以投标报价低的优先，投标报价仍相等，由招标人或评标委员会随机抽取确定排名，不得并列）。对排序前2名的投标人投标文件进行评审并确定中标候选人。若排序前2名的投标人投标文件评审不通过，则按得分排序递补至2家投标人进行投标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未在开标截止时间前通过网上招标投标系统递交有效电子投标文件的，开标系统不予接收，投标将被拒绝。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）其它情形，经评标委员会委提出按无效投标处理，并经公共资源交易监督部门核准的；</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4" w:name="_Toc3848"/>
      <w:r>
        <w:rPr>
          <w:rFonts w:hint="eastAsia" w:ascii="宋体" w:hAnsi="宋体" w:eastAsia="宋体" w:cs="宋体"/>
          <w:color w:val="auto"/>
          <w:sz w:val="44"/>
          <w:szCs w:val="44"/>
          <w:highlight w:val="none"/>
          <w:lang w:val="en-US" w:eastAsia="zh-CN"/>
        </w:rPr>
        <w:t>第三章  合同条款</w:t>
      </w:r>
      <w:bookmarkEnd w:id="54"/>
      <w:bookmarkEnd w:id="55"/>
      <w:bookmarkEnd w:id="64"/>
    </w:p>
    <w:p w14:paraId="209DF1AC">
      <w:pPr>
        <w:rPr>
          <w:rFonts w:hint="eastAsia" w:ascii="宋体" w:hAnsi="宋体" w:eastAsia="宋体" w:cs="宋体"/>
          <w:color w:val="auto"/>
          <w:highlight w:val="none"/>
        </w:rPr>
      </w:pPr>
    </w:p>
    <w:p w14:paraId="7FD58F74">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kern w:val="2"/>
          <w:sz w:val="28"/>
          <w:szCs w:val="28"/>
        </w:rPr>
      </w:pPr>
      <w:r>
        <w:rPr>
          <w:rFonts w:hint="default" w:ascii="汉仪大黑简" w:hAnsi="汉仪大黑简" w:eastAsia="汉仪大黑简" w:cs="汉仪大黑简"/>
          <w:b w:val="0"/>
          <w:kern w:val="2"/>
          <w:sz w:val="28"/>
          <w:szCs w:val="28"/>
          <w:lang w:val="en-US" w:eastAsia="zh-CN" w:bidi="ar"/>
        </w:rPr>
        <w:t>安徽省建设工程造价咨询合同（ＷＦ－2014－05）</w:t>
      </w:r>
    </w:p>
    <w:p w14:paraId="620230A9">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第一部分  合同协议书</w:t>
      </w:r>
    </w:p>
    <w:p w14:paraId="0265C2F9">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kern w:val="2"/>
          <w:sz w:val="24"/>
          <w:szCs w:val="24"/>
        </w:rPr>
      </w:pPr>
      <w:r>
        <w:rPr>
          <w:rFonts w:hint="eastAsia" w:ascii="宋体" w:hAnsi="宋体" w:eastAsia="宋体" w:cs="宋体"/>
          <w:b w:val="0"/>
          <w:kern w:val="2"/>
          <w:sz w:val="24"/>
          <w:szCs w:val="24"/>
          <w:lang w:val="en-US" w:eastAsia="zh-CN" w:bidi="ar"/>
        </w:rPr>
        <w:t>委托人（全称）：</w:t>
      </w:r>
      <w:r>
        <w:rPr>
          <w:rFonts w:hint="eastAsia" w:ascii="宋体" w:hAnsi="宋体" w:eastAsia="宋体" w:cs="宋体"/>
          <w:b w:val="0"/>
          <w:kern w:val="2"/>
          <w:sz w:val="24"/>
          <w:szCs w:val="24"/>
          <w:u w:val="single"/>
          <w:lang w:val="en-US" w:eastAsia="zh-CN" w:bidi="ar"/>
        </w:rPr>
        <w:t xml:space="preserve">                                                                 </w:t>
      </w:r>
    </w:p>
    <w:p w14:paraId="0D1EEF60">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kern w:val="2"/>
          <w:sz w:val="24"/>
          <w:szCs w:val="24"/>
        </w:rPr>
      </w:pPr>
      <w:r>
        <w:rPr>
          <w:rFonts w:hint="eastAsia" w:ascii="宋体" w:hAnsi="宋体" w:eastAsia="宋体" w:cs="宋体"/>
          <w:b w:val="0"/>
          <w:kern w:val="2"/>
          <w:sz w:val="24"/>
          <w:szCs w:val="24"/>
          <w:lang w:val="en-US" w:eastAsia="zh-CN" w:bidi="ar"/>
        </w:rPr>
        <w:t>受托人（全称）：</w:t>
      </w:r>
      <w:r>
        <w:rPr>
          <w:rFonts w:hint="eastAsia" w:ascii="宋体" w:hAnsi="宋体" w:eastAsia="宋体" w:cs="宋体"/>
          <w:b w:val="0"/>
          <w:kern w:val="2"/>
          <w:sz w:val="24"/>
          <w:szCs w:val="24"/>
          <w:u w:val="single"/>
          <w:lang w:val="en-US" w:eastAsia="zh-CN" w:bidi="ar"/>
        </w:rPr>
        <w:t xml:space="preserve">                                  </w:t>
      </w:r>
    </w:p>
    <w:p w14:paraId="21A43932">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根据《中华人民共和国民法典》及有关法律规定，遵循平等、自愿、公平和诚实信用的原则，双方就</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工程造价咨询及有关事项协商一致，共同达成如下协议：</w:t>
      </w:r>
    </w:p>
    <w:p w14:paraId="134C8844">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一、工程概况</w:t>
      </w:r>
    </w:p>
    <w:p w14:paraId="453115FC">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 xml:space="preserve">1. </w:t>
      </w:r>
      <w:r>
        <w:rPr>
          <w:rFonts w:hint="eastAsia" w:ascii="宋体" w:hAnsi="宋体" w:eastAsia="宋体" w:cs="宋体"/>
          <w:bCs w:val="0"/>
          <w:kern w:val="2"/>
          <w:sz w:val="24"/>
          <w:szCs w:val="24"/>
          <w:lang w:val="en-US" w:eastAsia="zh-CN" w:bidi="ar"/>
        </w:rPr>
        <w:t>工程名称</w:t>
      </w:r>
      <w:r>
        <w:rPr>
          <w:rFonts w:hint="eastAsia" w:ascii="宋体" w:hAnsi="宋体" w:eastAsia="宋体" w:cs="宋体"/>
          <w:kern w:val="2"/>
          <w:sz w:val="24"/>
          <w:szCs w:val="24"/>
          <w:lang w:val="en-US" w:eastAsia="zh-CN" w:bidi="ar"/>
        </w:rPr>
        <w:t>：</w:t>
      </w:r>
      <w:r>
        <w:rPr>
          <w:rFonts w:hint="eastAsia" w:ascii="宋体" w:hAnsi="宋体" w:eastAsia="宋体" w:cs="宋体"/>
          <w:kern w:val="2"/>
          <w:sz w:val="24"/>
          <w:szCs w:val="24"/>
          <w:u w:val="single"/>
          <w:lang w:val="en-US" w:eastAsia="zh-CN" w:bidi="ar"/>
        </w:rPr>
        <w:t xml:space="preserve">                                          </w:t>
      </w:r>
      <w:r>
        <w:rPr>
          <w:rFonts w:hint="eastAsia" w:ascii="宋体" w:hAnsi="宋体" w:eastAsia="宋体" w:cs="宋体"/>
          <w:kern w:val="2"/>
          <w:sz w:val="24"/>
          <w:szCs w:val="24"/>
          <w:lang w:val="en-US" w:eastAsia="zh-CN" w:bidi="ar"/>
        </w:rPr>
        <w:t>。</w:t>
      </w:r>
    </w:p>
    <w:p w14:paraId="1250C6B8">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kern w:val="2"/>
          <w:sz w:val="24"/>
          <w:szCs w:val="24"/>
        </w:rPr>
      </w:pPr>
      <w:r>
        <w:rPr>
          <w:rFonts w:hint="eastAsia" w:ascii="宋体" w:hAnsi="宋体" w:eastAsia="宋体" w:cs="宋体"/>
          <w:kern w:val="2"/>
          <w:sz w:val="24"/>
          <w:szCs w:val="24"/>
          <w:lang w:val="en-US" w:eastAsia="zh-CN" w:bidi="ar"/>
        </w:rPr>
        <w:t xml:space="preserve">2. </w:t>
      </w:r>
      <w:r>
        <w:rPr>
          <w:rFonts w:hint="eastAsia" w:ascii="宋体" w:hAnsi="宋体" w:eastAsia="宋体" w:cs="宋体"/>
          <w:bCs w:val="0"/>
          <w:kern w:val="2"/>
          <w:sz w:val="24"/>
          <w:szCs w:val="24"/>
          <w:lang w:val="en-US" w:eastAsia="zh-CN" w:bidi="ar"/>
        </w:rPr>
        <w:t>工程地点：</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73F45147">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kern w:val="2"/>
          <w:sz w:val="24"/>
          <w:szCs w:val="24"/>
        </w:rPr>
      </w:pPr>
      <w:r>
        <w:rPr>
          <w:rFonts w:hint="eastAsia" w:ascii="宋体" w:hAnsi="宋体" w:eastAsia="宋体" w:cs="宋体"/>
          <w:kern w:val="2"/>
          <w:sz w:val="24"/>
          <w:szCs w:val="24"/>
          <w:lang w:val="en-US" w:eastAsia="zh-CN" w:bidi="ar"/>
        </w:rPr>
        <w:t xml:space="preserve">3. </w:t>
      </w:r>
      <w:r>
        <w:rPr>
          <w:rFonts w:hint="eastAsia" w:ascii="宋体" w:hAnsi="宋体" w:eastAsia="宋体" w:cs="宋体"/>
          <w:bCs w:val="0"/>
          <w:kern w:val="2"/>
          <w:sz w:val="24"/>
          <w:szCs w:val="24"/>
          <w:lang w:val="en-US" w:eastAsia="zh-CN" w:bidi="ar"/>
        </w:rPr>
        <w:t>工程规模：</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bCs w:val="0"/>
          <w:kern w:val="2"/>
          <w:sz w:val="24"/>
          <w:szCs w:val="24"/>
          <w:lang w:val="en-US" w:eastAsia="zh-CN" w:bidi="ar"/>
        </w:rPr>
        <w:t>。</w:t>
      </w:r>
    </w:p>
    <w:p w14:paraId="2F158BB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二、咨询业务范围</w:t>
      </w:r>
    </w:p>
    <w:p w14:paraId="5E17EAB1">
      <w:pPr>
        <w:keepNext w:val="0"/>
        <w:keepLines w:val="0"/>
        <w:widowControl w:val="0"/>
        <w:suppressLineNumbers w:val="0"/>
        <w:spacing w:before="0" w:beforeAutospacing="0" w:after="0" w:afterAutospacing="0" w:line="400" w:lineRule="exact"/>
        <w:ind w:left="0" w:right="0" w:firstLine="470" w:firstLineChars="196"/>
        <w:jc w:val="left"/>
        <w:rPr>
          <w:rFonts w:hint="eastAsia" w:ascii="宋体" w:hAnsi="宋体" w:eastAsia="宋体" w:cs="宋体"/>
          <w:bCs w:val="0"/>
          <w:kern w:val="2"/>
          <w:sz w:val="24"/>
          <w:szCs w:val="24"/>
        </w:rPr>
      </w:pP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bCs w:val="0"/>
          <w:kern w:val="2"/>
          <w:sz w:val="24"/>
          <w:szCs w:val="24"/>
          <w:lang w:val="en-US" w:eastAsia="zh-CN" w:bidi="ar"/>
        </w:rPr>
        <w:t>。</w:t>
      </w:r>
    </w:p>
    <w:p w14:paraId="13C42E1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三、咨询期限</w:t>
      </w:r>
    </w:p>
    <w:p w14:paraId="6A74766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kern w:val="2"/>
          <w:sz w:val="24"/>
          <w:szCs w:val="24"/>
        </w:rPr>
      </w:pPr>
      <w:r>
        <w:rPr>
          <w:rFonts w:hint="eastAsia" w:ascii="宋体" w:hAnsi="宋体" w:eastAsia="宋体" w:cs="宋体"/>
          <w:bCs w:val="0"/>
          <w:kern w:val="2"/>
          <w:sz w:val="24"/>
          <w:szCs w:val="24"/>
          <w:lang w:val="en-US" w:eastAsia="zh-CN" w:bidi="ar"/>
        </w:rPr>
        <w:t>计划开始日期：</w:t>
      </w:r>
      <w:r>
        <w:rPr>
          <w:rFonts w:hint="eastAsia" w:ascii="宋体" w:hAnsi="宋体" w:eastAsia="宋体" w:cs="宋体"/>
          <w:bCs w:val="0"/>
          <w:kern w:val="2"/>
          <w:sz w:val="24"/>
          <w:szCs w:val="24"/>
          <w:u w:val="single"/>
          <w:lang w:val="en-US" w:eastAsia="zh-CN" w:bidi="ar"/>
        </w:rPr>
        <w:t xml:space="preserve">      </w:t>
      </w:r>
      <w:r>
        <w:rPr>
          <w:rFonts w:hint="eastAsia" w:ascii="宋体" w:hAnsi="宋体" w:eastAsia="宋体" w:cs="宋体"/>
          <w:bCs w:val="0"/>
          <w:kern w:val="2"/>
          <w:sz w:val="24"/>
          <w:szCs w:val="24"/>
          <w:lang w:val="en-US" w:eastAsia="zh-CN" w:bidi="ar"/>
        </w:rPr>
        <w:t>年</w:t>
      </w:r>
      <w:r>
        <w:rPr>
          <w:rFonts w:hint="eastAsia" w:ascii="宋体" w:hAnsi="宋体" w:eastAsia="宋体" w:cs="宋体"/>
          <w:bCs w:val="0"/>
          <w:kern w:val="2"/>
          <w:sz w:val="24"/>
          <w:szCs w:val="24"/>
          <w:u w:val="single"/>
          <w:lang w:val="en-US" w:eastAsia="zh-CN" w:bidi="ar"/>
        </w:rPr>
        <w:t xml:space="preserve">     </w:t>
      </w:r>
      <w:r>
        <w:rPr>
          <w:rFonts w:hint="eastAsia" w:ascii="宋体" w:hAnsi="宋体" w:eastAsia="宋体" w:cs="宋体"/>
          <w:bCs w:val="0"/>
          <w:kern w:val="2"/>
          <w:sz w:val="24"/>
          <w:szCs w:val="24"/>
          <w:lang w:val="en-US" w:eastAsia="zh-CN" w:bidi="ar"/>
        </w:rPr>
        <w:t>月</w:t>
      </w:r>
      <w:r>
        <w:rPr>
          <w:rFonts w:hint="eastAsia" w:ascii="宋体" w:hAnsi="宋体" w:eastAsia="宋体" w:cs="宋体"/>
          <w:bCs w:val="0"/>
          <w:kern w:val="2"/>
          <w:sz w:val="24"/>
          <w:szCs w:val="24"/>
          <w:u w:val="single"/>
          <w:lang w:val="en-US" w:eastAsia="zh-CN" w:bidi="ar"/>
        </w:rPr>
        <w:t xml:space="preserve">     </w:t>
      </w:r>
      <w:r>
        <w:rPr>
          <w:rFonts w:hint="eastAsia" w:ascii="宋体" w:hAnsi="宋体" w:eastAsia="宋体" w:cs="宋体"/>
          <w:bCs w:val="0"/>
          <w:kern w:val="2"/>
          <w:sz w:val="24"/>
          <w:szCs w:val="24"/>
          <w:lang w:val="en-US" w:eastAsia="zh-CN" w:bidi="ar"/>
        </w:rPr>
        <w:t>日。</w:t>
      </w:r>
    </w:p>
    <w:p w14:paraId="66FA4291">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kern w:val="2"/>
          <w:sz w:val="24"/>
          <w:szCs w:val="24"/>
        </w:rPr>
      </w:pPr>
      <w:r>
        <w:rPr>
          <w:rFonts w:hint="eastAsia" w:ascii="宋体" w:hAnsi="宋体" w:eastAsia="宋体" w:cs="宋体"/>
          <w:bCs w:val="0"/>
          <w:kern w:val="2"/>
          <w:sz w:val="24"/>
          <w:szCs w:val="24"/>
          <w:lang w:val="en-US" w:eastAsia="zh-CN" w:bidi="ar"/>
        </w:rPr>
        <w:t>计划结束日期：</w:t>
      </w:r>
      <w:r>
        <w:rPr>
          <w:rFonts w:hint="eastAsia" w:ascii="宋体" w:hAnsi="宋体" w:eastAsia="宋体" w:cs="宋体"/>
          <w:bCs w:val="0"/>
          <w:kern w:val="2"/>
          <w:sz w:val="24"/>
          <w:szCs w:val="24"/>
          <w:u w:val="single"/>
          <w:lang w:val="en-US" w:eastAsia="zh-CN" w:bidi="ar"/>
        </w:rPr>
        <w:t xml:space="preserve">      </w:t>
      </w:r>
      <w:r>
        <w:rPr>
          <w:rFonts w:hint="eastAsia" w:ascii="宋体" w:hAnsi="宋体" w:eastAsia="宋体" w:cs="宋体"/>
          <w:bCs w:val="0"/>
          <w:kern w:val="2"/>
          <w:sz w:val="24"/>
          <w:szCs w:val="24"/>
          <w:lang w:val="en-US" w:eastAsia="zh-CN" w:bidi="ar"/>
        </w:rPr>
        <w:t>年</w:t>
      </w:r>
      <w:r>
        <w:rPr>
          <w:rFonts w:hint="eastAsia" w:ascii="宋体" w:hAnsi="宋体" w:eastAsia="宋体" w:cs="宋体"/>
          <w:bCs w:val="0"/>
          <w:kern w:val="2"/>
          <w:sz w:val="24"/>
          <w:szCs w:val="24"/>
          <w:u w:val="single"/>
          <w:lang w:val="en-US" w:eastAsia="zh-CN" w:bidi="ar"/>
        </w:rPr>
        <w:t xml:space="preserve">     </w:t>
      </w:r>
      <w:r>
        <w:rPr>
          <w:rFonts w:hint="eastAsia" w:ascii="宋体" w:hAnsi="宋体" w:eastAsia="宋体" w:cs="宋体"/>
          <w:bCs w:val="0"/>
          <w:kern w:val="2"/>
          <w:sz w:val="24"/>
          <w:szCs w:val="24"/>
          <w:lang w:val="en-US" w:eastAsia="zh-CN" w:bidi="ar"/>
        </w:rPr>
        <w:t>月</w:t>
      </w:r>
      <w:r>
        <w:rPr>
          <w:rFonts w:hint="eastAsia" w:ascii="宋体" w:hAnsi="宋体" w:eastAsia="宋体" w:cs="宋体"/>
          <w:bCs w:val="0"/>
          <w:kern w:val="2"/>
          <w:sz w:val="24"/>
          <w:szCs w:val="24"/>
          <w:u w:val="single"/>
          <w:lang w:val="en-US" w:eastAsia="zh-CN" w:bidi="ar"/>
        </w:rPr>
        <w:t xml:space="preserve">     </w:t>
      </w:r>
      <w:r>
        <w:rPr>
          <w:rFonts w:hint="eastAsia" w:ascii="宋体" w:hAnsi="宋体" w:eastAsia="宋体" w:cs="宋体"/>
          <w:bCs w:val="0"/>
          <w:kern w:val="2"/>
          <w:sz w:val="24"/>
          <w:szCs w:val="24"/>
          <w:lang w:val="en-US" w:eastAsia="zh-CN" w:bidi="ar"/>
        </w:rPr>
        <w:t>日。</w:t>
      </w:r>
    </w:p>
    <w:p w14:paraId="7E231C7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四、质量标准</w:t>
      </w:r>
    </w:p>
    <w:p w14:paraId="376D82C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工程造价咨询成果文件质量符合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标准</w:t>
      </w:r>
      <w:r>
        <w:rPr>
          <w:rFonts w:hint="eastAsia" w:ascii="宋体" w:hAnsi="宋体" w:eastAsia="宋体" w:cs="宋体"/>
          <w:kern w:val="0"/>
          <w:sz w:val="24"/>
          <w:szCs w:val="24"/>
          <w:lang w:val="en-US" w:eastAsia="zh-CN" w:bidi="ar"/>
        </w:rPr>
        <w:t>和造价服务合同约定</w:t>
      </w:r>
      <w:r>
        <w:rPr>
          <w:rFonts w:hint="eastAsia" w:ascii="宋体" w:hAnsi="宋体" w:eastAsia="宋体" w:cs="宋体"/>
          <w:kern w:val="2"/>
          <w:sz w:val="24"/>
          <w:szCs w:val="24"/>
          <w:lang w:val="en-US" w:eastAsia="zh-CN" w:bidi="ar"/>
        </w:rPr>
        <w:t>，以及双方约定的允许偏差规定。</w:t>
      </w:r>
    </w:p>
    <w:p w14:paraId="07903EB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五、咨询酬金 </w:t>
      </w:r>
    </w:p>
    <w:p w14:paraId="430A9A8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支付方式：</w:t>
      </w:r>
    </w:p>
    <w:p w14:paraId="4BD8945A">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□总价，人民币（大写）</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元） </w:t>
      </w:r>
    </w:p>
    <w:p w14:paraId="0C136B93">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□费率，</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%的投标费率或</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收费标准的 </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w:t>
      </w:r>
    </w:p>
    <w:p w14:paraId="15AE08FE">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□定价，人民币（大写）</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w:t>
      </w:r>
      <w:r>
        <w:rPr>
          <w:rFonts w:hint="eastAsia" w:ascii="宋体" w:hAnsi="宋体" w:eastAsia="宋体" w:cs="宋体"/>
          <w:kern w:val="2"/>
          <w:sz w:val="24"/>
          <w:szCs w:val="24"/>
          <w:lang w:val="en-US" w:eastAsia="zh-CN" w:bidi="ar"/>
        </w:rPr>
        <w:t>¥</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元）</w:t>
      </w:r>
    </w:p>
    <w:p w14:paraId="43C6E9DB">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六、履约保证金</w:t>
      </w:r>
    </w:p>
    <w:p w14:paraId="5ABC45DA">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b w:val="0"/>
          <w:bCs w:val="0"/>
          <w:kern w:val="2"/>
          <w:sz w:val="24"/>
          <w:szCs w:val="24"/>
          <w:lang w:val="en-US" w:eastAsia="zh-CN" w:bidi="ar"/>
        </w:rPr>
        <w:t xml:space="preserve"> 本项目不需要缴纳履约保证金。</w:t>
      </w:r>
    </w:p>
    <w:p w14:paraId="471E83C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七、合同文件构成</w:t>
      </w:r>
    </w:p>
    <w:p w14:paraId="2DCEBCC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本协议书与下列文件一起构成造价咨询合同文件：</w:t>
      </w:r>
    </w:p>
    <w:p w14:paraId="321081B5">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kern w:val="2"/>
          <w:sz w:val="24"/>
          <w:szCs w:val="24"/>
          <w:lang w:val="en-US" w:eastAsia="zh-CN" w:bidi="ar"/>
        </w:rPr>
        <w:t>中标通知书（如果有）；</w:t>
      </w:r>
    </w:p>
    <w:p w14:paraId="33609FDA">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kern w:val="2"/>
          <w:sz w:val="24"/>
          <w:szCs w:val="24"/>
          <w:lang w:val="en-US" w:eastAsia="zh-CN" w:bidi="ar"/>
        </w:rPr>
        <w:t xml:space="preserve">投标函及其附录（如果有）； </w:t>
      </w:r>
    </w:p>
    <w:p w14:paraId="55A65EC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kern w:val="2"/>
          <w:sz w:val="24"/>
          <w:szCs w:val="24"/>
          <w:lang w:val="en-US" w:eastAsia="zh-CN" w:bidi="ar"/>
        </w:rPr>
        <w:t>通用合同条款；</w:t>
      </w:r>
    </w:p>
    <w:p w14:paraId="1BE9E97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kern w:val="2"/>
          <w:sz w:val="24"/>
          <w:szCs w:val="24"/>
          <w:lang w:val="en-US" w:eastAsia="zh-CN" w:bidi="ar"/>
        </w:rPr>
        <w:t>专用合同条款。</w:t>
      </w:r>
    </w:p>
    <w:p w14:paraId="20ECBA5B">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在合同订立及履行过程中形成的与合同有关的文件均构成合同文件组成部分。</w:t>
      </w:r>
    </w:p>
    <w:p w14:paraId="19742879">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上述各项合同文件包括合同当事人就该项合同文件所作出的补充和修改，属于同一类内容的文件，应以最新签署的为准。</w:t>
      </w:r>
    </w:p>
    <w:p w14:paraId="7657ED5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八、词语含义</w:t>
      </w:r>
    </w:p>
    <w:p w14:paraId="77DE623E">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本协议书中词语含义与第二部分通用合同条款中赋予的含义相同。</w:t>
      </w:r>
    </w:p>
    <w:p w14:paraId="464F9F8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九、本合同于</w:t>
      </w:r>
      <w:r>
        <w:rPr>
          <w:rFonts w:hint="eastAsia" w:ascii="宋体" w:hAnsi="宋体" w:eastAsia="宋体" w:cs="宋体"/>
          <w:b/>
          <w:bCs/>
          <w:kern w:val="2"/>
          <w:sz w:val="24"/>
          <w:szCs w:val="24"/>
          <w:u w:val="single"/>
          <w:lang w:val="en-US" w:eastAsia="zh-CN" w:bidi="ar"/>
        </w:rPr>
        <w:t xml:space="preserve">          </w:t>
      </w:r>
      <w:r>
        <w:rPr>
          <w:rFonts w:hint="eastAsia" w:ascii="宋体" w:hAnsi="宋体" w:eastAsia="宋体" w:cs="宋体"/>
          <w:b/>
          <w:bCs/>
          <w:kern w:val="2"/>
          <w:sz w:val="24"/>
          <w:szCs w:val="24"/>
          <w:lang w:val="en-US" w:eastAsia="zh-CN" w:bidi="ar"/>
        </w:rPr>
        <w:t>年</w:t>
      </w:r>
      <w:r>
        <w:rPr>
          <w:rFonts w:hint="eastAsia" w:ascii="宋体" w:hAnsi="宋体" w:eastAsia="宋体" w:cs="宋体"/>
          <w:b/>
          <w:bCs/>
          <w:kern w:val="2"/>
          <w:sz w:val="24"/>
          <w:szCs w:val="24"/>
          <w:u w:val="single"/>
          <w:lang w:val="en-US" w:eastAsia="zh-CN" w:bidi="ar"/>
        </w:rPr>
        <w:t xml:space="preserve">       </w:t>
      </w:r>
      <w:r>
        <w:rPr>
          <w:rFonts w:hint="eastAsia" w:ascii="宋体" w:hAnsi="宋体" w:eastAsia="宋体" w:cs="宋体"/>
          <w:b/>
          <w:bCs/>
          <w:kern w:val="2"/>
          <w:sz w:val="24"/>
          <w:szCs w:val="24"/>
          <w:lang w:val="en-US" w:eastAsia="zh-CN" w:bidi="ar"/>
        </w:rPr>
        <w:t>月</w:t>
      </w:r>
      <w:r>
        <w:rPr>
          <w:rFonts w:hint="eastAsia" w:ascii="宋体" w:hAnsi="宋体" w:eastAsia="宋体" w:cs="宋体"/>
          <w:b/>
          <w:bCs/>
          <w:kern w:val="2"/>
          <w:sz w:val="24"/>
          <w:szCs w:val="24"/>
          <w:u w:val="single"/>
          <w:lang w:val="en-US" w:eastAsia="zh-CN" w:bidi="ar"/>
        </w:rPr>
        <w:t xml:space="preserve">      </w:t>
      </w:r>
      <w:r>
        <w:rPr>
          <w:rFonts w:hint="eastAsia" w:ascii="宋体" w:hAnsi="宋体" w:eastAsia="宋体" w:cs="宋体"/>
          <w:b/>
          <w:bCs/>
          <w:kern w:val="2"/>
          <w:sz w:val="24"/>
          <w:szCs w:val="24"/>
          <w:lang w:val="en-US" w:eastAsia="zh-CN" w:bidi="ar"/>
        </w:rPr>
        <w:t>日签订。</w:t>
      </w:r>
    </w:p>
    <w:p w14:paraId="76AA4BC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十、签订地点</w:t>
      </w:r>
    </w:p>
    <w:p w14:paraId="311F6482">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bCs w:val="0"/>
          <w:kern w:val="2"/>
          <w:sz w:val="24"/>
          <w:szCs w:val="24"/>
          <w:lang w:val="en-US" w:eastAsia="zh-CN" w:bidi="ar"/>
        </w:rPr>
        <w:t>本合同在</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签订。</w:t>
      </w:r>
    </w:p>
    <w:p w14:paraId="0B2D921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十一、补充协议</w:t>
      </w:r>
    </w:p>
    <w:p w14:paraId="5812EDCD">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合同未尽事宜，合同当事人另行签订补充协议，补充协议是合同的组成部分。</w:t>
      </w:r>
    </w:p>
    <w:p w14:paraId="16D7F0F4">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十二、合同生效</w:t>
      </w:r>
    </w:p>
    <w:p w14:paraId="242F30C9">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本合同自</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生效。</w:t>
      </w:r>
    </w:p>
    <w:p w14:paraId="0FC439B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十三、合同份数</w:t>
      </w:r>
    </w:p>
    <w:p w14:paraId="75620DA7">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本合同一式</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份，均具有同等法律效力，委托人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份，受托人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份。</w:t>
      </w:r>
    </w:p>
    <w:p w14:paraId="74241454">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kern w:val="2"/>
          <w:sz w:val="24"/>
          <w:szCs w:val="24"/>
        </w:rPr>
      </w:pPr>
      <w:r>
        <w:rPr>
          <w:rFonts w:hint="eastAsia" w:ascii="宋体" w:hAnsi="宋体" w:eastAsia="宋体" w:cs="宋体"/>
          <w:bCs w:val="0"/>
          <w:kern w:val="2"/>
          <w:sz w:val="24"/>
          <w:szCs w:val="24"/>
          <w:lang w:val="en-US" w:eastAsia="zh-CN" w:bidi="ar"/>
        </w:rPr>
        <w:t xml:space="preserve"> </w:t>
      </w:r>
    </w:p>
    <w:p w14:paraId="09598340">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委托人：  （公章）                       受托人：  （公章）</w:t>
      </w:r>
    </w:p>
    <w:p w14:paraId="79D166C1">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0B315444">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0AC881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法定代表人或其委托代理人：              法定代表人或其委托代理人：</w:t>
      </w:r>
    </w:p>
    <w:p w14:paraId="46EFF3A9">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（签字）                               （签字）</w:t>
      </w:r>
    </w:p>
    <w:p w14:paraId="23AB105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BD42506">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地    址：</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地    址：</w:t>
      </w:r>
      <w:r>
        <w:rPr>
          <w:rFonts w:hint="eastAsia" w:ascii="宋体" w:hAnsi="宋体" w:eastAsia="宋体" w:cs="宋体"/>
          <w:kern w:val="2"/>
          <w:sz w:val="24"/>
          <w:szCs w:val="24"/>
          <w:u w:val="single"/>
          <w:lang w:val="en-US" w:eastAsia="zh-CN" w:bidi="ar"/>
        </w:rPr>
        <w:t xml:space="preserve">                </w:t>
      </w:r>
    </w:p>
    <w:p w14:paraId="0800AA5B">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邮政编码：</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邮政编码：</w:t>
      </w:r>
      <w:r>
        <w:rPr>
          <w:rFonts w:hint="eastAsia" w:ascii="宋体" w:hAnsi="宋体" w:eastAsia="宋体" w:cs="宋体"/>
          <w:kern w:val="2"/>
          <w:sz w:val="24"/>
          <w:szCs w:val="24"/>
          <w:u w:val="single"/>
          <w:lang w:val="en-US" w:eastAsia="zh-CN" w:bidi="ar"/>
        </w:rPr>
        <w:t xml:space="preserve">                  </w:t>
      </w:r>
    </w:p>
    <w:p w14:paraId="73297301">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电    话：</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电    话：</w:t>
      </w:r>
      <w:r>
        <w:rPr>
          <w:rFonts w:hint="eastAsia" w:ascii="宋体" w:hAnsi="宋体" w:eastAsia="宋体" w:cs="宋体"/>
          <w:kern w:val="2"/>
          <w:sz w:val="24"/>
          <w:szCs w:val="24"/>
          <w:u w:val="single"/>
          <w:lang w:val="en-US" w:eastAsia="zh-CN" w:bidi="ar"/>
        </w:rPr>
        <w:t xml:space="preserve">                  </w:t>
      </w:r>
    </w:p>
    <w:p w14:paraId="185E4DD9">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传    真：</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传    真：</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14:paraId="084CDF10">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电子信箱：</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电子信箱：</w:t>
      </w:r>
      <w:r>
        <w:rPr>
          <w:rFonts w:hint="eastAsia" w:ascii="宋体" w:hAnsi="宋体" w:eastAsia="宋体" w:cs="宋体"/>
          <w:kern w:val="2"/>
          <w:sz w:val="24"/>
          <w:szCs w:val="24"/>
          <w:u w:val="single"/>
          <w:lang w:val="en-US" w:eastAsia="zh-CN" w:bidi="ar"/>
        </w:rPr>
        <w:t xml:space="preserve">                  </w:t>
      </w:r>
    </w:p>
    <w:p w14:paraId="40800AF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开户银行：</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开户银行：</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14:paraId="1536440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账    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账    号：</w:t>
      </w:r>
      <w:r>
        <w:rPr>
          <w:rFonts w:hint="eastAsia" w:ascii="宋体" w:hAnsi="宋体" w:eastAsia="宋体" w:cs="宋体"/>
          <w:kern w:val="2"/>
          <w:sz w:val="24"/>
          <w:szCs w:val="24"/>
          <w:u w:val="single"/>
          <w:lang w:val="en-US" w:eastAsia="zh-CN" w:bidi="ar"/>
        </w:rPr>
        <w:t xml:space="preserve">                                    </w:t>
      </w:r>
    </w:p>
    <w:p w14:paraId="10D46169">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181FAAE">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4DC76786">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kern w:val="2"/>
          <w:sz w:val="24"/>
          <w:szCs w:val="24"/>
        </w:rPr>
      </w:pPr>
      <w:r>
        <w:rPr>
          <w:rFonts w:hint="eastAsia" w:ascii="宋体" w:hAnsi="宋体" w:eastAsia="宋体" w:cs="宋体"/>
          <w:b w:val="0"/>
          <w:kern w:val="2"/>
          <w:sz w:val="24"/>
          <w:szCs w:val="24"/>
          <w:lang w:val="en-US" w:eastAsia="zh-CN" w:bidi="ar"/>
        </w:rPr>
        <w:br w:type="page"/>
      </w:r>
      <w:r>
        <w:rPr>
          <w:rFonts w:hint="eastAsia" w:ascii="宋体" w:hAnsi="宋体" w:eastAsia="宋体" w:cs="宋体"/>
          <w:b/>
          <w:bCs/>
          <w:kern w:val="2"/>
          <w:sz w:val="24"/>
          <w:szCs w:val="24"/>
          <w:lang w:val="en-US" w:eastAsia="zh-CN" w:bidi="ar"/>
        </w:rPr>
        <w:t>第二部分  通用合同条款</w:t>
      </w:r>
    </w:p>
    <w:p w14:paraId="04CD880A">
      <w:pPr>
        <w:pStyle w:val="4"/>
        <w:keepNext w:val="0"/>
        <w:keepLines w:val="0"/>
        <w:widowControl w:val="0"/>
        <w:suppressLineNumbers w:val="0"/>
        <w:spacing w:beforeLines="0" w:beforeAutospacing="0" w:afterLines="0" w:afterAutospacing="0" w:line="49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1. 一般约定</w:t>
      </w:r>
    </w:p>
    <w:p w14:paraId="4907B3C3">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1.1 词语定义与解释</w:t>
      </w:r>
    </w:p>
    <w:p w14:paraId="68F8EA3E">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合同协议书、通用合同条款、专用合同条款中的下列词语具有本款所赋予的含义：</w:t>
      </w:r>
    </w:p>
    <w:p w14:paraId="2F5F1843">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1.1.1 委托人：是指与咨询人签订合同协议书的当事人及取得该当事人资格的合法继承人。</w:t>
      </w:r>
    </w:p>
    <w:p w14:paraId="5198684B">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1.1.2 咨询人：是指与委托人签订合同协议书的，具有相应工程造价咨询资质的当事人及取得该当事人资格的合法继承人。</w:t>
      </w:r>
    </w:p>
    <w:p w14:paraId="1EBBEEC5">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1.1.3 第三人：是指除委托人、咨询人以外与本咨询业务有关的当事人。</w:t>
      </w:r>
    </w:p>
    <w:p w14:paraId="686C6C75">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1.1.4 工程造价咨询：是指咨询人接受委托人的委托，运用工程造价的专业技能，为建设项目决策、设计、交易、实施、结算等各个阶段工程计价和工程造价管理提供的有偿服务。</w:t>
      </w:r>
    </w:p>
    <w:p w14:paraId="00E3E030">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405F4F34">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1.1.6 综合误差率：是指工程造价咨询成果文件中审查出的编制错误的累计金额与最终修正后造价总额的比率。</w:t>
      </w:r>
    </w:p>
    <w:p w14:paraId="6BFEB2A2">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1.1.7 酬金：是指咨询人履行本合同义务，委托人按照本合同约定给付咨询人的金额。</w:t>
      </w:r>
    </w:p>
    <w:p w14:paraId="4454314D">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1.1.8 费用：是指不包含在酬金之内应由委托人承担的经济支出。</w:t>
      </w:r>
    </w:p>
    <w:p w14:paraId="337D382B">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1.1.9 书面形式：是指合同书、信件和数据电文等可以有形地表现所载内容的形式。</w:t>
      </w:r>
    </w:p>
    <w:p w14:paraId="2A123C9E">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1.2 语言文字</w:t>
      </w:r>
    </w:p>
    <w:p w14:paraId="0FB6A76E">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合同以中国的汉语简体文字编写、解释和说明。合同当事人在专用合同条款中约定使用两种以上语言时，汉语为优先解释和说明合同的语言。</w:t>
      </w:r>
    </w:p>
    <w:p w14:paraId="68B00360">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1.3 法律</w:t>
      </w:r>
    </w:p>
    <w:p w14:paraId="615471B4">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合同所称法律是指中华人民共和国法律、行政法规、部门规章，以及本省地方性法规、规章等。</w:t>
      </w:r>
    </w:p>
    <w:p w14:paraId="0AEE15C5">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合同当事人可以在专用合同条款中约定合同适用的其他规范性文件。</w:t>
      </w:r>
    </w:p>
    <w:p w14:paraId="2782C40F">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1.4 标准和规范</w:t>
      </w:r>
    </w:p>
    <w:p w14:paraId="00AC4392">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适用于工程造价咨询的国家标准、行业标准、本省地方性标准，以及相应的规范、规程等，合同当事人有特别要求的，应在专用合同条款中约定。</w:t>
      </w:r>
    </w:p>
    <w:p w14:paraId="5BE1CAE1">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1.5 合同文件的优先顺序</w:t>
      </w:r>
    </w:p>
    <w:p w14:paraId="71760E03">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组成合同的各项文件应互相解释，互为说明。除专用合同条款另有约定外，解释合同文件的优先顺序如下：</w:t>
      </w:r>
    </w:p>
    <w:p w14:paraId="67AA6E9A">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kern w:val="2"/>
          <w:sz w:val="24"/>
          <w:szCs w:val="24"/>
          <w:lang w:val="en-US" w:eastAsia="zh-CN" w:bidi="ar"/>
        </w:rPr>
        <w:t>合同协议书；</w:t>
      </w:r>
    </w:p>
    <w:p w14:paraId="06BE5952">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kern w:val="2"/>
          <w:sz w:val="24"/>
          <w:szCs w:val="24"/>
          <w:lang w:val="en-US" w:eastAsia="zh-CN" w:bidi="ar"/>
        </w:rPr>
        <w:t>中标通知书（如果有）；</w:t>
      </w:r>
    </w:p>
    <w:p w14:paraId="687A2C33">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kern w:val="2"/>
          <w:sz w:val="24"/>
          <w:szCs w:val="24"/>
          <w:lang w:val="en-US" w:eastAsia="zh-CN" w:bidi="ar"/>
        </w:rPr>
        <w:t>投标函及其附录（如果有）；</w:t>
      </w:r>
    </w:p>
    <w:p w14:paraId="67A223C8">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kern w:val="2"/>
          <w:sz w:val="24"/>
          <w:szCs w:val="24"/>
          <w:lang w:val="en-US" w:eastAsia="zh-CN" w:bidi="ar"/>
        </w:rPr>
        <w:t>专用合同条款；</w:t>
      </w:r>
    </w:p>
    <w:p w14:paraId="413B4ED9">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kern w:val="2"/>
          <w:sz w:val="24"/>
          <w:szCs w:val="24"/>
          <w:lang w:val="en-US" w:eastAsia="zh-CN" w:bidi="ar"/>
        </w:rPr>
        <w:t>通用合同条款。</w:t>
      </w:r>
    </w:p>
    <w:p w14:paraId="229272D4">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上述各项合同文件包括合同当事人就该项合同文件所作出的补充和修改，属于同一类内容的文件，应以最新签署的为准。</w:t>
      </w:r>
    </w:p>
    <w:p w14:paraId="2709FCEA">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在合同订立及履行过程中形成的与合同有关的文件均构成合同文件组成部分，并根据其性质确定优先解释顺序。</w:t>
      </w:r>
    </w:p>
    <w:p w14:paraId="6CF548DD">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1.6 联络</w:t>
      </w:r>
    </w:p>
    <w:p w14:paraId="76955F30">
      <w:pPr>
        <w:keepNext w:val="0"/>
        <w:keepLines w:val="0"/>
        <w:widowControl w:val="0"/>
        <w:suppressLineNumbers w:val="0"/>
        <w:autoSpaceDE w:val="0"/>
        <w:autoSpaceDN w:val="0"/>
        <w:adjustRightInd w:val="0"/>
        <w:spacing w:before="0" w:beforeLines="0" w:beforeAutospacing="0" w:after="0" w:afterLines="0" w:afterAutospacing="0" w:line="49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
        </w:rPr>
        <w:t>1.6.1</w:t>
      </w:r>
      <w:r>
        <w:rPr>
          <w:rFonts w:hint="eastAsia" w:ascii="宋体" w:hAnsi="宋体" w:eastAsia="宋体" w:cs="宋体"/>
          <w:kern w:val="0"/>
          <w:sz w:val="24"/>
          <w:szCs w:val="24"/>
          <w:lang w:val="en-US" w:eastAsia="zh-CN" w:bidi="ar"/>
        </w:rPr>
        <w:t xml:space="preserve"> 与合同有关的通知、批准、证明、证书、指示、指令、要求、请求、同意、意见、确定和决定等，均应采用书面形式，并应在合同约定的期限内送达接收人和送达地点。</w:t>
      </w:r>
    </w:p>
    <w:p w14:paraId="419AB70E">
      <w:pPr>
        <w:keepNext w:val="0"/>
        <w:keepLines w:val="0"/>
        <w:widowControl w:val="0"/>
        <w:suppressLineNumbers w:val="0"/>
        <w:autoSpaceDE w:val="0"/>
        <w:autoSpaceDN w:val="0"/>
        <w:adjustRightInd w:val="0"/>
        <w:spacing w:before="0" w:beforeLines="0" w:beforeAutospacing="0" w:after="0" w:afterLines="0" w:afterAutospacing="0" w:line="49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
        </w:rPr>
        <w:t>1.6.2</w:t>
      </w:r>
      <w:r>
        <w:rPr>
          <w:rFonts w:hint="eastAsia" w:ascii="宋体" w:hAnsi="宋体" w:eastAsia="宋体" w:cs="宋体"/>
          <w:kern w:val="0"/>
          <w:sz w:val="24"/>
          <w:szCs w:val="24"/>
          <w:lang w:val="en-US" w:eastAsia="zh-CN" w:bidi="ar"/>
        </w:rPr>
        <w:t xml:space="preserve"> 委托人和咨询人应在专用合同条款中约定各自的送达接收人、送达地点、电子邮箱。任何一方合同当事人指定的接收人或送达地点或电子邮箱发生变动的，应提前3天以书面形式通知对方。</w:t>
      </w:r>
    </w:p>
    <w:p w14:paraId="5A67F10D">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1.6.3</w:t>
      </w:r>
      <w:r>
        <w:rPr>
          <w:rFonts w:hint="eastAsia" w:ascii="宋体" w:hAnsi="宋体" w:eastAsia="宋体" w:cs="宋体"/>
          <w:kern w:val="0"/>
          <w:sz w:val="24"/>
          <w:szCs w:val="24"/>
          <w:lang w:val="en-US" w:eastAsia="zh-CN" w:bidi="ar"/>
        </w:rPr>
        <w:t xml:space="preserve"> 委托人和咨询人应当及时签收另一方送达至送达地点和指定接收人的来往信函。拒不签收的，由此增加的费用和延误的咨询期限由拒绝接收一方承担。</w:t>
      </w:r>
    </w:p>
    <w:p w14:paraId="4AA8DF3E">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1.7 守法诚信</w:t>
      </w:r>
    </w:p>
    <w:p w14:paraId="6805A6BE">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3F8D5F0C">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1.8 保密</w:t>
      </w:r>
    </w:p>
    <w:p w14:paraId="35166BA2">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双方不得泄露对方申明的保密资料，亦不得泄露与实施工程造价咨询业务有关的第三人所提供的保密资料，保密事项在专用合同条款中约定。</w:t>
      </w:r>
    </w:p>
    <w:p w14:paraId="63A8AECA">
      <w:pPr>
        <w:pStyle w:val="4"/>
        <w:keepNext w:val="0"/>
        <w:keepLines w:val="0"/>
        <w:widowControl w:val="0"/>
        <w:suppressLineNumbers w:val="0"/>
        <w:spacing w:beforeLines="0" w:beforeAutospacing="0" w:afterLines="0" w:afterAutospacing="0" w:line="49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2. 委托人</w:t>
      </w:r>
    </w:p>
    <w:p w14:paraId="7D35CFDF">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2.1 委托人代表</w:t>
      </w:r>
    </w:p>
    <w:p w14:paraId="06566543">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1F90BE6B">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2.2 提供资料</w:t>
      </w:r>
    </w:p>
    <w:p w14:paraId="6E4AA6CB">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委托人向咨询人提供的工程造价咨询所需要的资料名称及提供时间在专用合同条款中约定，委托人对其提供资料的真实性、准确性和完整性负责。</w:t>
      </w:r>
    </w:p>
    <w:p w14:paraId="00EC7CCD">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79485678">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委托人未能按合同约定及时向咨询人提供咨询资料的，由委托人承担由此增加的费用和延误的咨询期限。</w:t>
      </w:r>
    </w:p>
    <w:p w14:paraId="272BB7DD">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2.3 提供工作条件</w:t>
      </w:r>
    </w:p>
    <w:p w14:paraId="4BF2360B">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2.3.1 委托人应负责与本工程造价咨询业务有关的第三人的协调，为咨询人履行本合同提供必要的外部条件。</w:t>
      </w:r>
    </w:p>
    <w:p w14:paraId="27AF0CEB">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2.3.2 咨询人接受委托实施施工阶段全过程造价管理咨询工作的，委托人应当在施工现场为咨询人提供必要的办公用房、办公家具，供咨询人使用。</w:t>
      </w:r>
    </w:p>
    <w:p w14:paraId="13E0C5E9">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2.4 答复</w:t>
      </w:r>
    </w:p>
    <w:p w14:paraId="783144CA">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4A18C460">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45F986EC">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2.5 支付酬金</w:t>
      </w:r>
    </w:p>
    <w:p w14:paraId="70DC19BB">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委托人应按合同约定，向咨询人支付酬金。</w:t>
      </w:r>
    </w:p>
    <w:p w14:paraId="288D185C">
      <w:pPr>
        <w:pStyle w:val="4"/>
        <w:keepNext w:val="0"/>
        <w:keepLines w:val="0"/>
        <w:widowControl w:val="0"/>
        <w:suppressLineNumbers w:val="0"/>
        <w:spacing w:beforeLines="0" w:beforeAutospacing="0" w:afterLines="0" w:afterAutospacing="0" w:line="49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3. 咨询人</w:t>
      </w:r>
    </w:p>
    <w:p w14:paraId="0613865F">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3.1 咨询人的一般义务</w:t>
      </w:r>
    </w:p>
    <w:p w14:paraId="23B18AF3">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3.1.1 向委托人提供与工程造价咨询业务有关的资料，包括工程造价咨询企业资质证书、承担本合同咨询业务的工程造价专业人员任命文件、工程造价咨询实施方案等。</w:t>
      </w:r>
    </w:p>
    <w:p w14:paraId="62314E0C">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3.1.2 踏勘现场，了解情况，收集、整理工程造价咨询项目有关的基础资料和编制依据，进行有效性、合规性核对，保证工程计价基础资料和编制依据的全面性、真实性和有效性。</w:t>
      </w:r>
    </w:p>
    <w:p w14:paraId="11A121F9">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3.1.3 按照咨询合同约定的工作范围和内容，编制、审核、审定工程造价咨询成果文件，并在专用合同条款约定的时间内，向委托人提交符合国家、行业规定及合同约定的工程造价咨询成果文件。</w:t>
      </w:r>
    </w:p>
    <w:p w14:paraId="0C1D6015">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3.1.4 组织咨询服务回访，听取委托人对服务质量的评价意见，及时进行总结，提出相应的改进措施。</w:t>
      </w:r>
    </w:p>
    <w:p w14:paraId="599F1075">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3.1.5 收集工程造价咨询业务中形成的工程造价咨询过程文件和工程造价咨询成果文件，整理立卷后建立档案。</w:t>
      </w:r>
    </w:p>
    <w:p w14:paraId="7D99AE21">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3.2 项目负责人</w:t>
      </w:r>
    </w:p>
    <w:p w14:paraId="38823F25">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78A1FC5F">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3.3 工程造价专业人员</w:t>
      </w:r>
    </w:p>
    <w:p w14:paraId="5273E179">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43163BDF">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6E1D7641">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kern w:val="0"/>
          <w:sz w:val="24"/>
          <w:szCs w:val="24"/>
          <w:lang w:val="en-US" w:eastAsia="zh-CN" w:bidi="ar"/>
        </w:rPr>
        <w:t>确需离开施工现场时，应征得委托人同意。</w:t>
      </w:r>
      <w:r>
        <w:rPr>
          <w:rFonts w:hint="eastAsia" w:ascii="宋体" w:hAnsi="宋体" w:eastAsia="宋体" w:cs="宋体"/>
          <w:kern w:val="2"/>
          <w:sz w:val="24"/>
          <w:szCs w:val="24"/>
          <w:lang w:val="en-US" w:eastAsia="zh-CN" w:bidi="ar"/>
        </w:rPr>
        <w:t>咨询人违反约定的，应按照专用合同条款的约定，承担违约责任。</w:t>
      </w:r>
    </w:p>
    <w:p w14:paraId="1A547391">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3.3.4 委托人要求咨询人撤换不能按照合同约定履行职责及义务的工程造价专业人员的，咨询人应当撤换。咨询人无正当理由拒绝撤换的，应按照专用合同条款的约定，承担违约责任。</w:t>
      </w:r>
    </w:p>
    <w:p w14:paraId="6413753A">
      <w:pPr>
        <w:pStyle w:val="4"/>
        <w:keepNext w:val="0"/>
        <w:keepLines w:val="0"/>
        <w:widowControl w:val="0"/>
        <w:suppressLineNumbers w:val="0"/>
        <w:spacing w:beforeLines="0" w:beforeAutospacing="0" w:afterLines="0" w:afterAutospacing="0" w:line="49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4. 咨询业务范围和工作内容</w:t>
      </w:r>
    </w:p>
    <w:p w14:paraId="7EA6B8DA">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4.1 咨询业务范围</w:t>
      </w:r>
    </w:p>
    <w:p w14:paraId="3F018AA6">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合同当事人应在合同协议书中约定选择下列工程造价咨询业务中的一项或数项业务，并可在合同协议书中约定其他工程造价咨询业务。</w:t>
      </w:r>
    </w:p>
    <w:p w14:paraId="7E72F57A">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kern w:val="2"/>
          <w:sz w:val="24"/>
          <w:szCs w:val="24"/>
          <w:lang w:val="en-US" w:eastAsia="zh-CN" w:bidi="ar"/>
        </w:rPr>
        <w:t>投资估算的编制或审核；</w:t>
      </w:r>
    </w:p>
    <w:p w14:paraId="2060B201">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kern w:val="2"/>
          <w:sz w:val="24"/>
          <w:szCs w:val="24"/>
          <w:lang w:val="en-US" w:eastAsia="zh-CN" w:bidi="ar"/>
        </w:rPr>
        <w:t>设计概算的编制或审核；</w:t>
      </w:r>
    </w:p>
    <w:p w14:paraId="589BF2DD">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kern w:val="2"/>
          <w:sz w:val="24"/>
          <w:szCs w:val="24"/>
          <w:lang w:val="en-US" w:eastAsia="zh-CN" w:bidi="ar"/>
        </w:rPr>
        <w:t>施工图预算的编制或审核；</w:t>
      </w:r>
    </w:p>
    <w:p w14:paraId="378E9DDE">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kern w:val="2"/>
          <w:sz w:val="24"/>
          <w:szCs w:val="24"/>
          <w:lang w:val="en-US" w:eastAsia="zh-CN" w:bidi="ar"/>
        </w:rPr>
        <w:t>工程量清单的编制或审核；</w:t>
      </w:r>
    </w:p>
    <w:p w14:paraId="3F7ABC2C">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kern w:val="2"/>
          <w:sz w:val="24"/>
          <w:szCs w:val="24"/>
          <w:lang w:val="en-US" w:eastAsia="zh-CN" w:bidi="ar"/>
        </w:rPr>
        <w:t>招标控制价的编制或审核；</w:t>
      </w:r>
    </w:p>
    <w:p w14:paraId="51A891F4">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kern w:val="2"/>
          <w:sz w:val="24"/>
          <w:szCs w:val="24"/>
          <w:lang w:val="en-US" w:eastAsia="zh-CN" w:bidi="ar"/>
        </w:rPr>
        <w:t>投标报价的编制；</w:t>
      </w:r>
    </w:p>
    <w:p w14:paraId="7870D2AF">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（7）</w:t>
      </w:r>
      <w:r>
        <w:rPr>
          <w:rFonts w:hint="eastAsia" w:ascii="宋体" w:hAnsi="宋体" w:eastAsia="宋体" w:cs="宋体"/>
          <w:kern w:val="2"/>
          <w:sz w:val="24"/>
          <w:szCs w:val="24"/>
          <w:lang w:val="en-US" w:eastAsia="zh-CN" w:bidi="ar"/>
        </w:rPr>
        <w:t>工程结算的编制或审核；</w:t>
      </w:r>
    </w:p>
    <w:p w14:paraId="0F38C70A">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（8）</w:t>
      </w:r>
      <w:r>
        <w:rPr>
          <w:rFonts w:hint="eastAsia" w:ascii="宋体" w:hAnsi="宋体" w:eastAsia="宋体" w:cs="宋体"/>
          <w:kern w:val="2"/>
          <w:sz w:val="24"/>
          <w:szCs w:val="24"/>
          <w:lang w:val="en-US" w:eastAsia="zh-CN" w:bidi="ar"/>
        </w:rPr>
        <w:t>竣工决算的编制或审核；</w:t>
      </w:r>
    </w:p>
    <w:p w14:paraId="2CDD955D">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（9）</w:t>
      </w:r>
      <w:r>
        <w:rPr>
          <w:rFonts w:hint="eastAsia" w:ascii="宋体" w:hAnsi="宋体" w:eastAsia="宋体" w:cs="宋体"/>
          <w:kern w:val="2"/>
          <w:sz w:val="24"/>
          <w:szCs w:val="24"/>
          <w:lang w:val="en-US" w:eastAsia="zh-CN" w:bidi="ar"/>
        </w:rPr>
        <w:t>施工阶段全过程造价管理咨询；</w:t>
      </w:r>
    </w:p>
    <w:p w14:paraId="7D97C68A">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（10）</w:t>
      </w:r>
      <w:r>
        <w:rPr>
          <w:rFonts w:hint="eastAsia" w:ascii="宋体" w:hAnsi="宋体" w:eastAsia="宋体" w:cs="宋体"/>
          <w:kern w:val="2"/>
          <w:sz w:val="24"/>
          <w:szCs w:val="24"/>
          <w:lang w:val="en-US" w:eastAsia="zh-CN" w:bidi="ar"/>
        </w:rPr>
        <w:t>工程造价鉴定。</w:t>
      </w:r>
    </w:p>
    <w:p w14:paraId="24D5DEA4">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4.2 咨询工作内容</w:t>
      </w:r>
    </w:p>
    <w:p w14:paraId="2B622115">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工程造价咨询工作内容，由合同当事人在专用合同条款中约定。</w:t>
      </w:r>
    </w:p>
    <w:p w14:paraId="31389518">
      <w:pPr>
        <w:pStyle w:val="4"/>
        <w:keepNext w:val="0"/>
        <w:keepLines w:val="0"/>
        <w:widowControl w:val="0"/>
        <w:suppressLineNumbers w:val="0"/>
        <w:spacing w:beforeLines="0" w:beforeAutospacing="0" w:afterLines="0" w:afterAutospacing="0" w:line="49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5. 咨询期限</w:t>
      </w:r>
    </w:p>
    <w:p w14:paraId="5178112F">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5.1 咨询期限开始</w:t>
      </w:r>
    </w:p>
    <w:p w14:paraId="4621ADE4">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咨询人应按照合同约定的时间开展咨询工作，因委托人提供咨询资料延后等原因，导致咨询工作未能按照计划开始日期开展的，咨询开始日期和结束日期相应顺延。</w:t>
      </w:r>
    </w:p>
    <w:p w14:paraId="57B8169C">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5.2 咨询期限延误</w:t>
      </w:r>
    </w:p>
    <w:p w14:paraId="0F7413C5">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5.2.1 因委托人原因导致咨询期限延误</w:t>
      </w:r>
    </w:p>
    <w:p w14:paraId="7B1122E9">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在合同履行过程中，因下列情况导致咨询期限延误和费用增加的，由委托人承担由此延误的期限和增加的费用：</w:t>
      </w:r>
    </w:p>
    <w:p w14:paraId="5733F1C0">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kern w:val="2"/>
          <w:sz w:val="24"/>
          <w:szCs w:val="24"/>
          <w:lang w:val="en-US" w:eastAsia="zh-CN" w:bidi="ar"/>
        </w:rPr>
        <w:t>委托人未能按合同约定向咨询人提供工程造价咨询所需要的资料或所提供咨询资料不符合合同约定的；</w:t>
      </w:r>
    </w:p>
    <w:p w14:paraId="507CC208">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kern w:val="2"/>
          <w:sz w:val="24"/>
          <w:szCs w:val="24"/>
          <w:lang w:val="en-US" w:eastAsia="zh-CN" w:bidi="ar"/>
        </w:rPr>
        <w:t>委托人未能按合同约定提供咨询工作条件，影响咨询工作正常开展的；</w:t>
      </w:r>
    </w:p>
    <w:p w14:paraId="1094E4B7">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kern w:val="2"/>
          <w:sz w:val="24"/>
          <w:szCs w:val="24"/>
          <w:lang w:val="en-US" w:eastAsia="zh-CN" w:bidi="ar"/>
        </w:rPr>
        <w:t>委托人未能在合理期限内对咨询人以书面形式提交并要求作出决定的事宜，给予书面答复，影响咨询工作正常开展的；</w:t>
      </w:r>
    </w:p>
    <w:p w14:paraId="5EAF7283">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kern w:val="2"/>
          <w:sz w:val="24"/>
          <w:szCs w:val="24"/>
          <w:lang w:val="en-US" w:eastAsia="zh-CN" w:bidi="ar"/>
        </w:rPr>
        <w:t>委托人未能按合同约定分段支付酬金的；</w:t>
      </w:r>
    </w:p>
    <w:p w14:paraId="6D41C702">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（5）</w:t>
      </w:r>
      <w:r>
        <w:rPr>
          <w:rFonts w:hint="eastAsia" w:ascii="宋体" w:hAnsi="宋体" w:eastAsia="宋体" w:cs="宋体"/>
          <w:kern w:val="2"/>
          <w:sz w:val="24"/>
          <w:szCs w:val="24"/>
          <w:lang w:val="en-US" w:eastAsia="zh-CN" w:bidi="ar"/>
        </w:rPr>
        <w:t>工程暂停施工或工期延误，影响咨询工作正常开展的；</w:t>
      </w:r>
    </w:p>
    <w:p w14:paraId="4B6E30A4">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kern w:val="2"/>
          <w:sz w:val="24"/>
          <w:szCs w:val="24"/>
          <w:lang w:val="en-US" w:eastAsia="zh-CN" w:bidi="ar"/>
        </w:rPr>
        <w:t>专用合同条款中约定的其他情形。</w:t>
      </w:r>
    </w:p>
    <w:p w14:paraId="02635BE9">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5.2.2 因咨询人原因导致咨询期限延误</w:t>
      </w:r>
    </w:p>
    <w:p w14:paraId="6D500312">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5F6C3483">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5.2.3 因第三人原因导致咨询期限延误</w:t>
      </w:r>
    </w:p>
    <w:p w14:paraId="3C42A02C">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在合同履行过程中，因下列情况导致咨询期限延误和费用增加的，由委托人承担由此延误的期限和增加的费用：</w:t>
      </w:r>
    </w:p>
    <w:p w14:paraId="7DACD830">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kern w:val="2"/>
          <w:sz w:val="24"/>
          <w:szCs w:val="24"/>
          <w:lang w:val="en-US" w:eastAsia="zh-CN" w:bidi="ar"/>
        </w:rPr>
        <w:t>第三人未能在合理期限内提供工程造价咨询所需要的资料或所提供咨询资料不符合合同约定的；</w:t>
      </w:r>
    </w:p>
    <w:p w14:paraId="7EA0BA09">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kern w:val="2"/>
          <w:sz w:val="24"/>
          <w:szCs w:val="24"/>
          <w:lang w:val="en-US" w:eastAsia="zh-CN" w:bidi="ar"/>
        </w:rPr>
        <w:t>第三人未能在合理期限内对咨询人以书面形式提交并要求作出决定的事宜，给予书面答复，影响咨询工作正常开展的；</w:t>
      </w:r>
    </w:p>
    <w:p w14:paraId="4DEB289C">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kern w:val="2"/>
          <w:sz w:val="24"/>
          <w:szCs w:val="24"/>
          <w:lang w:val="en-US" w:eastAsia="zh-CN" w:bidi="ar"/>
        </w:rPr>
        <w:t>专用合同条款中约定的其他情形。</w:t>
      </w:r>
    </w:p>
    <w:p w14:paraId="6052B5A0">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5.3 工程造价咨询成果文件交付期限</w:t>
      </w:r>
    </w:p>
    <w:p w14:paraId="56AC0E62">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453988FF">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5.3.2 在施工阶段全过程造价管理咨询工作中，因咨询人原因未能在合理的期限内完成工程计量与支付、合同价款调整等文件编制或审核，给委托人造成损失的，应按照专用合同条款的约定，承担违约责任。</w:t>
      </w:r>
    </w:p>
    <w:p w14:paraId="4706FE1D">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5.3.3 咨询人提交的工程造价咨询成果文件需要第三人共同确认的，确因特殊原因不能共同签署时，咨询人应单独出具工程造价咨询成果文件，并承担相应法律责任。</w:t>
      </w:r>
    </w:p>
    <w:p w14:paraId="41D8D1BE">
      <w:pPr>
        <w:pStyle w:val="4"/>
        <w:keepNext w:val="0"/>
        <w:keepLines w:val="0"/>
        <w:widowControl w:val="0"/>
        <w:suppressLineNumbers w:val="0"/>
        <w:spacing w:beforeLines="0" w:beforeAutospacing="0" w:afterLines="0" w:afterAutospacing="0" w:line="49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6. 咨询质量</w:t>
      </w:r>
    </w:p>
    <w:p w14:paraId="730D2EEA">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6.1 质量要求</w:t>
      </w:r>
    </w:p>
    <w:p w14:paraId="149DE6B1">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咨询人出具的工程造价咨询成果文件质量应符合现行国家或行业工程计价有关规定、标准、规范的要求。</w:t>
      </w:r>
    </w:p>
    <w:p w14:paraId="7ABE80B9">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委托人要求的工程造价咨询成果文件质量标准高于现行国家或行业标准的，应在专用合同条款中约定具体的质量标准，并相应增加咨询酬金。</w:t>
      </w:r>
    </w:p>
    <w:p w14:paraId="633FE301">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6.2 质量保证措施</w:t>
      </w:r>
    </w:p>
    <w:p w14:paraId="3D8AB8BC">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咨询人应建立相应的质量管理体系，并通过计划管理、流程控制保证工程造价咨询成果文件质量。</w:t>
      </w:r>
    </w:p>
    <w:p w14:paraId="6BE4FC45">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6.3 质量不合格处理</w:t>
      </w:r>
    </w:p>
    <w:p w14:paraId="26444377">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73800021">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因咨询人原因造成工程造价咨询成果文件质量未达到合同约定标准给委托人造成损失的，咨询人应承担违约责任，合同双方可在专用合同条款中约定因质量不合格产生的损失赔偿额的计算方法。</w:t>
      </w:r>
    </w:p>
    <w:p w14:paraId="6A18A568">
      <w:pPr>
        <w:pStyle w:val="4"/>
        <w:keepNext w:val="0"/>
        <w:keepLines w:val="0"/>
        <w:widowControl w:val="0"/>
        <w:suppressLineNumbers w:val="0"/>
        <w:spacing w:beforeLines="0" w:beforeAutospacing="0" w:afterLines="0" w:afterAutospacing="0" w:line="49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7. 咨询酬金</w:t>
      </w:r>
    </w:p>
    <w:p w14:paraId="235CBB28">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7.1 酬金计算方式</w:t>
      </w:r>
    </w:p>
    <w:p w14:paraId="1B2D7D60">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除专用合同条款另有约定外，合同当事人应在</w:t>
      </w:r>
      <w:r>
        <w:rPr>
          <w:rFonts w:hint="eastAsia" w:ascii="宋体" w:hAnsi="宋体" w:eastAsia="宋体" w:cs="宋体"/>
          <w:kern w:val="0"/>
          <w:sz w:val="24"/>
          <w:szCs w:val="24"/>
          <w:lang w:val="en-US" w:eastAsia="zh-CN" w:bidi="ar"/>
        </w:rPr>
        <w:t>合同协议书或</w:t>
      </w:r>
      <w:r>
        <w:rPr>
          <w:rFonts w:hint="eastAsia" w:ascii="宋体" w:hAnsi="宋体" w:eastAsia="宋体" w:cs="宋体"/>
          <w:kern w:val="2"/>
          <w:sz w:val="24"/>
          <w:szCs w:val="24"/>
          <w:lang w:val="en-US" w:eastAsia="zh-CN" w:bidi="ar"/>
        </w:rPr>
        <w:t>专用合同条款</w:t>
      </w:r>
      <w:r>
        <w:rPr>
          <w:rFonts w:hint="eastAsia" w:ascii="宋体" w:hAnsi="宋体" w:eastAsia="宋体" w:cs="宋体"/>
          <w:kern w:val="0"/>
          <w:sz w:val="24"/>
          <w:szCs w:val="24"/>
          <w:lang w:val="en-US" w:eastAsia="zh-CN" w:bidi="ar"/>
        </w:rPr>
        <w:t>中选择下列</w:t>
      </w:r>
      <w:r>
        <w:rPr>
          <w:rFonts w:hint="eastAsia" w:ascii="宋体" w:hAnsi="宋体" w:eastAsia="宋体" w:cs="宋体"/>
          <w:kern w:val="2"/>
          <w:sz w:val="24"/>
          <w:szCs w:val="24"/>
          <w:lang w:val="en-US" w:eastAsia="zh-CN" w:bidi="ar"/>
        </w:rPr>
        <w:t>酬金计算方式之一：</w:t>
      </w:r>
    </w:p>
    <w:p w14:paraId="2E1CF836">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7.1.1 固定酬金</w:t>
      </w:r>
    </w:p>
    <w:p w14:paraId="6E3B5BC4">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合同当事人在合同协议书中约定咨询酬金金额。</w:t>
      </w:r>
    </w:p>
    <w:p w14:paraId="14CFED92">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7.1.2 基本酬金加绩效酬金</w:t>
      </w:r>
    </w:p>
    <w:p w14:paraId="31F9343F">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合同当事人可以在专用合同条款中约定按以下计算方式确定委托人支付给咨询人的基本酬金和绩效酬金金额：</w:t>
      </w:r>
    </w:p>
    <w:p w14:paraId="5084B0EB">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kern w:val="2"/>
          <w:sz w:val="24"/>
          <w:szCs w:val="24"/>
          <w:lang w:val="en-US" w:eastAsia="zh-CN" w:bidi="ar"/>
        </w:rPr>
        <w:t>以咨询人编审的工程造价咨询成果文件总价为基数，乘以专用合同条款约定的基本酬金比例，计算确定基本酬金金额。</w:t>
      </w:r>
    </w:p>
    <w:p w14:paraId="4C219FE8">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（2）委托人除支付咨询人基本酬金外，如咨询人审核的工程造价成果文件有审减（增）额的，可以审减（增）额为基数，乘以专用合同条款约定的绩效酬金比例，计算确定绩效酬金金额。</w:t>
      </w:r>
    </w:p>
    <w:p w14:paraId="1DCBDFA8">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7.2 预付酬金</w:t>
      </w:r>
    </w:p>
    <w:p w14:paraId="13BC29F3">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2BC10737">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7.3 酬金分段结算与支付</w:t>
      </w:r>
    </w:p>
    <w:p w14:paraId="77402B17">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7.3.1合同当事人应在</w:t>
      </w:r>
      <w:r>
        <w:rPr>
          <w:rFonts w:hint="eastAsia" w:ascii="宋体" w:hAnsi="宋体" w:eastAsia="宋体" w:cs="宋体"/>
          <w:kern w:val="0"/>
          <w:sz w:val="24"/>
          <w:szCs w:val="24"/>
          <w:lang w:val="en-US" w:eastAsia="zh-CN" w:bidi="ar"/>
        </w:rPr>
        <w:t>专用合同条款中约定</w:t>
      </w:r>
      <w:r>
        <w:rPr>
          <w:rFonts w:hint="eastAsia" w:ascii="宋体" w:hAnsi="宋体" w:eastAsia="宋体" w:cs="宋体"/>
          <w:kern w:val="2"/>
          <w:sz w:val="24"/>
          <w:szCs w:val="24"/>
          <w:lang w:val="en-US" w:eastAsia="zh-CN" w:bidi="ar"/>
        </w:rPr>
        <w:t>酬金分段结算与支付的比例或金额。咨询人应</w:t>
      </w:r>
      <w:r>
        <w:rPr>
          <w:rFonts w:hint="eastAsia" w:ascii="宋体" w:hAnsi="宋体" w:eastAsia="宋体" w:cs="宋体"/>
          <w:kern w:val="0"/>
          <w:sz w:val="24"/>
          <w:szCs w:val="24"/>
          <w:lang w:val="en-US" w:eastAsia="zh-CN" w:bidi="ar"/>
        </w:rPr>
        <w:t>按照专用合同条款约定的</w:t>
      </w:r>
      <w:r>
        <w:rPr>
          <w:rFonts w:hint="eastAsia" w:ascii="宋体" w:hAnsi="宋体" w:eastAsia="宋体" w:cs="宋体"/>
          <w:kern w:val="2"/>
          <w:sz w:val="24"/>
          <w:szCs w:val="24"/>
          <w:lang w:val="en-US" w:eastAsia="zh-CN" w:bidi="ar"/>
        </w:rPr>
        <w:t>期限或咨询业务进度节点向委托人提交酬金分段结算与支付申请书。</w:t>
      </w:r>
    </w:p>
    <w:p w14:paraId="3F5C3334">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7.3.2 </w:t>
      </w:r>
      <w:r>
        <w:rPr>
          <w:rFonts w:hint="eastAsia" w:ascii="宋体" w:hAnsi="宋体" w:eastAsia="宋体" w:cs="宋体"/>
          <w:kern w:val="0"/>
          <w:sz w:val="24"/>
          <w:szCs w:val="24"/>
          <w:lang w:val="en-US" w:eastAsia="zh-CN" w:bidi="ar"/>
        </w:rPr>
        <w:t>除专用合同条款另有约定外，</w:t>
      </w:r>
      <w:r>
        <w:rPr>
          <w:rFonts w:hint="eastAsia" w:ascii="宋体" w:hAnsi="宋体" w:eastAsia="宋体" w:cs="宋体"/>
          <w:kern w:val="2"/>
          <w:sz w:val="24"/>
          <w:szCs w:val="24"/>
          <w:lang w:val="en-US" w:eastAsia="zh-CN" w:bidi="ar"/>
        </w:rPr>
        <w:t>委托人应自收到咨询人提交的酬金分段结算与支付申请书之日起14天内审核确认，</w:t>
      </w:r>
      <w:r>
        <w:rPr>
          <w:rFonts w:hint="eastAsia" w:ascii="宋体" w:hAnsi="宋体" w:eastAsia="宋体" w:cs="宋体"/>
          <w:kern w:val="0"/>
          <w:sz w:val="24"/>
          <w:szCs w:val="24"/>
          <w:lang w:val="en-US" w:eastAsia="zh-CN" w:bidi="ar"/>
        </w:rPr>
        <w:t>并完成</w:t>
      </w:r>
      <w:r>
        <w:rPr>
          <w:rFonts w:hint="eastAsia" w:ascii="宋体" w:hAnsi="宋体" w:eastAsia="宋体" w:cs="宋体"/>
          <w:kern w:val="2"/>
          <w:sz w:val="24"/>
          <w:szCs w:val="24"/>
          <w:lang w:val="en-US" w:eastAsia="zh-CN" w:bidi="ar"/>
        </w:rPr>
        <w:t>支付。委托人逾期支付的，按照中国人民银行发布的同期同类贷款基准利率支付违约金。</w:t>
      </w:r>
    </w:p>
    <w:p w14:paraId="141E3C30">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7.4 酬金结清与支付</w:t>
      </w:r>
    </w:p>
    <w:p w14:paraId="735E4152">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7.4.1 除专用合同条款另有约定外，咨询人应自提交的工程造价咨询成果文件经委托人确认后14天内，向委托人提交酬金结清与支付申请书。</w:t>
      </w:r>
    </w:p>
    <w:p w14:paraId="685B9BD7">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7.4.2 除专用合同条款另有约定外，委托人应自收到咨询人提交的酬金结清与支付申请书之日起14天内审核确认，委托人逾期未审核确认也未提出异议的, 酬金结清与支付申请视为已被认可。</w:t>
      </w:r>
    </w:p>
    <w:p w14:paraId="1BC594E1">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7.4.3 除专用合同条款另有约定外，委托人应自审核确认酬金结清与支付申请书之日起14天内</w:t>
      </w:r>
      <w:r>
        <w:rPr>
          <w:rFonts w:hint="eastAsia" w:ascii="宋体" w:hAnsi="宋体" w:eastAsia="宋体" w:cs="宋体"/>
          <w:kern w:val="0"/>
          <w:sz w:val="24"/>
          <w:szCs w:val="24"/>
          <w:lang w:val="en-US" w:eastAsia="zh-CN" w:bidi="ar"/>
        </w:rPr>
        <w:t>将结清未支付的</w:t>
      </w:r>
      <w:r>
        <w:rPr>
          <w:rFonts w:hint="eastAsia" w:ascii="宋体" w:hAnsi="宋体" w:eastAsia="宋体" w:cs="宋体"/>
          <w:kern w:val="2"/>
          <w:sz w:val="24"/>
          <w:szCs w:val="24"/>
          <w:lang w:val="en-US" w:eastAsia="zh-CN" w:bidi="ar"/>
        </w:rPr>
        <w:t>酬金</w:t>
      </w:r>
      <w:r>
        <w:rPr>
          <w:rFonts w:hint="eastAsia" w:ascii="宋体" w:hAnsi="宋体" w:eastAsia="宋体" w:cs="宋体"/>
          <w:kern w:val="0"/>
          <w:sz w:val="24"/>
          <w:szCs w:val="24"/>
          <w:lang w:val="en-US" w:eastAsia="zh-CN" w:bidi="ar"/>
        </w:rPr>
        <w:t>一次性支付给咨询人</w:t>
      </w:r>
      <w:r>
        <w:rPr>
          <w:rFonts w:hint="eastAsia" w:ascii="宋体" w:hAnsi="宋体" w:eastAsia="宋体" w:cs="宋体"/>
          <w:kern w:val="2"/>
          <w:sz w:val="24"/>
          <w:szCs w:val="24"/>
          <w:lang w:val="en-US" w:eastAsia="zh-CN" w:bidi="ar"/>
        </w:rPr>
        <w:t>。委托人逾期支付的，按照中国人民银行发布的同期同类贷款基准利率支付违约金。</w:t>
      </w:r>
    </w:p>
    <w:p w14:paraId="709A5211">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1CA6D86C">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7.5 费用支付</w:t>
      </w:r>
    </w:p>
    <w:p w14:paraId="2C1B1599">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因工程建设需要，由咨询人配合委托人组织的外出询价、考察以及聘请相关专家等发生的费用由委托人支付。</w:t>
      </w:r>
    </w:p>
    <w:p w14:paraId="73122BDD">
      <w:pPr>
        <w:pStyle w:val="4"/>
        <w:keepNext w:val="0"/>
        <w:keepLines w:val="0"/>
        <w:widowControl w:val="0"/>
        <w:suppressLineNumbers w:val="0"/>
        <w:spacing w:beforeLines="0" w:beforeAutospacing="0" w:afterLines="0" w:afterAutospacing="0" w:line="49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8. 变更</w:t>
      </w:r>
    </w:p>
    <w:p w14:paraId="0240E472">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8.1 变更的范围</w:t>
      </w:r>
    </w:p>
    <w:p w14:paraId="78AC1052">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合同履行过程中发生以下情形的，应按照本条约定进行变更：</w:t>
      </w:r>
    </w:p>
    <w:p w14:paraId="62A7EE60">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kern w:val="2"/>
          <w:sz w:val="24"/>
          <w:szCs w:val="24"/>
          <w:lang w:val="en-US" w:eastAsia="zh-CN" w:bidi="ar"/>
        </w:rPr>
        <w:t>扩大或缩小工程规模的；</w:t>
      </w:r>
    </w:p>
    <w:p w14:paraId="3FFFF6EE">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kern w:val="2"/>
          <w:sz w:val="24"/>
          <w:szCs w:val="24"/>
          <w:lang w:val="en-US" w:eastAsia="zh-CN" w:bidi="ar"/>
        </w:rPr>
        <w:t>增加或减少咨询业务范围和工作内容的；</w:t>
      </w:r>
    </w:p>
    <w:p w14:paraId="3206F9BF">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kern w:val="2"/>
          <w:sz w:val="24"/>
          <w:szCs w:val="24"/>
          <w:lang w:val="en-US" w:eastAsia="zh-CN" w:bidi="ar"/>
        </w:rPr>
        <w:t>提高或降低咨询质量标准的；</w:t>
      </w:r>
    </w:p>
    <w:p w14:paraId="14E8394A">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kern w:val="2"/>
          <w:sz w:val="24"/>
          <w:szCs w:val="24"/>
          <w:lang w:val="en-US" w:eastAsia="zh-CN" w:bidi="ar"/>
        </w:rPr>
        <w:t>专用合同条款中约定的其他情形。</w:t>
      </w:r>
    </w:p>
    <w:p w14:paraId="0BA65CE6">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8.2 变更引起的咨询酬金和期限调整</w:t>
      </w:r>
    </w:p>
    <w:p w14:paraId="727B9540">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8.2.1 变更引起的咨询酬金和期限调整，由咨询人根据变更导致咨询工作量变化大小，与委托人协商后</w:t>
      </w:r>
      <w:r>
        <w:rPr>
          <w:rFonts w:hint="eastAsia" w:ascii="宋体" w:hAnsi="宋体" w:eastAsia="宋体" w:cs="宋体"/>
          <w:kern w:val="0"/>
          <w:sz w:val="24"/>
          <w:szCs w:val="24"/>
          <w:lang w:val="en-US" w:eastAsia="zh-CN" w:bidi="ar"/>
        </w:rPr>
        <w:t>做可共同接受的修改。</w:t>
      </w:r>
      <w:r>
        <w:rPr>
          <w:rFonts w:hint="eastAsia" w:ascii="宋体" w:hAnsi="宋体" w:eastAsia="宋体" w:cs="宋体"/>
          <w:kern w:val="2"/>
          <w:sz w:val="24"/>
          <w:szCs w:val="24"/>
          <w:lang w:val="en-US" w:eastAsia="zh-CN" w:bidi="ar"/>
        </w:rPr>
        <w:t>合同当事人也可在专用合同条款中约定变更引起的咨询酬金和期限调整的计算方法。</w:t>
      </w:r>
    </w:p>
    <w:p w14:paraId="7624FD02">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6152DA3A">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8.3 咨询人的合理化建议</w:t>
      </w:r>
    </w:p>
    <w:p w14:paraId="3388BEC0">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咨询人可以向委托人提出合理化建议并说明实施该建议对工程造价和工期的影响。</w:t>
      </w:r>
    </w:p>
    <w:p w14:paraId="0141C717">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44197FB">
      <w:pPr>
        <w:pStyle w:val="4"/>
        <w:keepNext w:val="0"/>
        <w:keepLines w:val="0"/>
        <w:widowControl w:val="0"/>
        <w:suppressLineNumbers w:val="0"/>
        <w:spacing w:beforeLines="0" w:beforeAutospacing="0" w:afterLines="0" w:afterAutospacing="0" w:line="49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9. 违约</w:t>
      </w:r>
    </w:p>
    <w:p w14:paraId="51AF3326">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9.1 委托人违约</w:t>
      </w:r>
    </w:p>
    <w:p w14:paraId="401F2EAE">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118576B6">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3074B8E2">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9.2 咨询人违约</w:t>
      </w:r>
    </w:p>
    <w:p w14:paraId="02F1F90B">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5CCAD550">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2E141198">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9.3 第三人造成的违约</w:t>
      </w:r>
    </w:p>
    <w:p w14:paraId="6BE1F779">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在合同履行过程中，一方当事人因第三人的原因造成违约的，应当向对方当事人承担违约责任。一方当事人和第三人之间的纠纷，依照法律规定或者按照约定解决。</w:t>
      </w:r>
    </w:p>
    <w:p w14:paraId="12FEBF3E">
      <w:pPr>
        <w:pStyle w:val="4"/>
        <w:keepNext w:val="0"/>
        <w:keepLines w:val="0"/>
        <w:widowControl w:val="0"/>
        <w:suppressLineNumbers w:val="0"/>
        <w:spacing w:beforeLines="0" w:beforeAutospacing="0" w:afterLines="0" w:afterAutospacing="0" w:line="49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10. 争议解决</w:t>
      </w:r>
    </w:p>
    <w:p w14:paraId="4F5A0C9F">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10.1 和解</w:t>
      </w:r>
    </w:p>
    <w:p w14:paraId="43755BE3">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合同当事人可以就争议自行和解，自行和解达成协议的经双方签字并盖章后作为合同补充文件，双方均应遵照执行。</w:t>
      </w:r>
    </w:p>
    <w:p w14:paraId="38E765AF">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10.2 调解</w:t>
      </w:r>
    </w:p>
    <w:p w14:paraId="52052346">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合同当事人可以就争议请求工程造价管理部门、行业协会或其他第三方进行调解，调解达成协议的，经双方签字并盖章后作为合同补充文件，双方均应遵照执行。</w:t>
      </w:r>
    </w:p>
    <w:p w14:paraId="762B5C17">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10.3 仲裁或诉讼</w:t>
      </w:r>
    </w:p>
    <w:p w14:paraId="7A99F25D">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因合同及合同有关事项产生的争议，合同当事人可以在专用合同条款中约定下列任意一种方式解决争议：</w:t>
      </w:r>
    </w:p>
    <w:p w14:paraId="2623FE20">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kern w:val="2"/>
          <w:sz w:val="24"/>
          <w:szCs w:val="24"/>
          <w:lang w:val="en-US" w:eastAsia="zh-CN" w:bidi="ar"/>
        </w:rPr>
        <w:t>向约定的仲裁委员会申请仲裁；</w:t>
      </w:r>
    </w:p>
    <w:p w14:paraId="02A179D8">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kern w:val="2"/>
          <w:sz w:val="24"/>
          <w:szCs w:val="24"/>
          <w:lang w:val="en-US" w:eastAsia="zh-CN" w:bidi="ar"/>
        </w:rPr>
        <w:t>向有管辖权的人民法院起诉。</w:t>
      </w:r>
    </w:p>
    <w:p w14:paraId="28FCE53C">
      <w:pPr>
        <w:pStyle w:val="5"/>
        <w:keepNext w:val="0"/>
        <w:keepLines w:val="0"/>
        <w:widowControl w:val="0"/>
        <w:suppressLineNumbers w:val="0"/>
        <w:spacing w:beforeLines="0" w:beforeAutospacing="0" w:afterLines="0" w:afterAutospacing="0" w:line="490" w:lineRule="exact"/>
        <w:rPr>
          <w:rFonts w:hint="eastAsia" w:ascii="宋体" w:hAnsi="宋体" w:eastAsia="宋体" w:cs="宋体"/>
          <w:b/>
          <w:bCs/>
          <w:kern w:val="2"/>
          <w:sz w:val="24"/>
          <w:szCs w:val="24"/>
        </w:rPr>
      </w:pPr>
      <w:r>
        <w:rPr>
          <w:rFonts w:hint="eastAsia" w:ascii="宋体" w:hAnsi="宋体" w:eastAsia="宋体" w:cs="宋体"/>
          <w:b/>
          <w:bCs/>
          <w:kern w:val="2"/>
          <w:sz w:val="24"/>
          <w:szCs w:val="24"/>
        </w:rPr>
        <w:t>10.4 争议解决条款效力</w:t>
      </w:r>
    </w:p>
    <w:p w14:paraId="34EAE07D">
      <w:pPr>
        <w:keepNext w:val="0"/>
        <w:keepLines w:val="0"/>
        <w:widowControl w:val="0"/>
        <w:suppressLineNumbers w:val="0"/>
        <w:spacing w:before="0" w:beforeLines="0" w:beforeAutospacing="0" w:after="0" w:afterLines="0" w:afterAutospacing="0" w:line="490" w:lineRule="exact"/>
        <w:ind w:left="0" w:right="0" w:firstLine="480" w:firstLineChars="200"/>
        <w:jc w:val="both"/>
        <w:rPr>
          <w:rFonts w:hint="eastAsia" w:ascii="宋体" w:hAnsi="宋体" w:eastAsia="宋体" w:cs="宋体"/>
          <w:b/>
          <w:bCs w:val="0"/>
          <w:kern w:val="44"/>
          <w:sz w:val="24"/>
          <w:szCs w:val="24"/>
        </w:rPr>
      </w:pPr>
      <w:r>
        <w:rPr>
          <w:rFonts w:hint="eastAsia" w:ascii="宋体" w:hAnsi="宋体" w:eastAsia="宋体" w:cs="宋体"/>
          <w:kern w:val="2"/>
          <w:sz w:val="24"/>
          <w:szCs w:val="24"/>
          <w:lang w:val="en-US" w:eastAsia="zh-CN" w:bidi="ar"/>
        </w:rPr>
        <w:t>合同有关争议解决的条款独立存在，合同的变更、解除、终止、无效或者被撤销均不影响其效力。</w:t>
      </w:r>
    </w:p>
    <w:p w14:paraId="1E7E95E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3EFD61CC">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7D6D7C26">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70BAB8D8">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6438CC6D">
      <w:pPr>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br w:type="page"/>
      </w:r>
    </w:p>
    <w:p w14:paraId="69DD48AD">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第三部分  专用合同条款</w:t>
      </w:r>
    </w:p>
    <w:p w14:paraId="79FEE02C">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3A9AAE20">
      <w:pPr>
        <w:pStyle w:val="4"/>
        <w:widowControl/>
        <w:spacing w:beforeLines="0" w:beforeAutospacing="0" w:afterLines="0" w:afterAutospacing="0" w:line="50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1. 一般约定</w:t>
      </w:r>
    </w:p>
    <w:p w14:paraId="0A9CE556">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1.3法律</w:t>
      </w:r>
    </w:p>
    <w:p w14:paraId="38BAD036">
      <w:pPr>
        <w:keepNext w:val="0"/>
        <w:keepLines w:val="0"/>
        <w:widowControl w:val="0"/>
        <w:suppressLineNumbers w:val="0"/>
        <w:autoSpaceDE w:val="0"/>
        <w:autoSpaceDN w:val="0"/>
        <w:adjustRightInd w:val="0"/>
        <w:spacing w:before="0" w:beforeLines="0" w:beforeAutospacing="0" w:after="0" w:afterLines="0" w:afterAutospacing="0" w:line="500" w:lineRule="exact"/>
        <w:ind w:left="596" w:leftChars="284"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适用于合同的其他规范性文件：</w:t>
      </w:r>
      <w:r>
        <w:rPr>
          <w:rFonts w:hint="eastAsia" w:ascii="宋体" w:hAnsi="宋体" w:eastAsia="宋体" w:cs="宋体"/>
          <w:kern w:val="2"/>
          <w:sz w:val="24"/>
          <w:szCs w:val="24"/>
          <w:u w:val="single"/>
          <w:lang w:val="en-US" w:eastAsia="zh-CN" w:bidi="ar"/>
        </w:rPr>
        <w:t xml:space="preserve">/        </w:t>
      </w:r>
    </w:p>
    <w:p w14:paraId="146D74A1">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1.4 标准和规范</w:t>
      </w:r>
    </w:p>
    <w:p w14:paraId="0AEBAC3F">
      <w:pPr>
        <w:keepNext w:val="0"/>
        <w:keepLines w:val="0"/>
        <w:widowControl w:val="0"/>
        <w:suppressLineNumbers w:val="0"/>
        <w:spacing w:before="0" w:beforeLines="0" w:beforeAutospacing="0" w:after="0" w:afterLines="0" w:afterAutospacing="0" w:line="500" w:lineRule="exact"/>
        <w:ind w:left="596" w:leftChars="284"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适用于工程造价咨询的标准规范包括：</w:t>
      </w:r>
      <w:r>
        <w:rPr>
          <w:rFonts w:hint="eastAsia" w:ascii="宋体" w:hAnsi="宋体" w:eastAsia="宋体" w:cs="宋体"/>
          <w:kern w:val="2"/>
          <w:sz w:val="24"/>
          <w:szCs w:val="24"/>
          <w:u w:val="single"/>
          <w:lang w:val="en-US" w:eastAsia="zh-CN" w:bidi="ar"/>
        </w:rPr>
        <w:t>现行行业工程计价有关规程、标准等</w:t>
      </w:r>
      <w:r>
        <w:rPr>
          <w:rFonts w:hint="eastAsia" w:ascii="宋体" w:hAnsi="宋体" w:eastAsia="宋体" w:cs="宋体"/>
          <w:kern w:val="2"/>
          <w:sz w:val="24"/>
          <w:szCs w:val="24"/>
          <w:lang w:val="en-US" w:eastAsia="zh-CN" w:bidi="ar"/>
        </w:rPr>
        <w:t>。</w:t>
      </w:r>
    </w:p>
    <w:p w14:paraId="062FB10B">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1.5 合同文件的优先顺序</w:t>
      </w:r>
    </w:p>
    <w:p w14:paraId="3711A56C">
      <w:pPr>
        <w:keepNext w:val="0"/>
        <w:keepLines w:val="0"/>
        <w:widowControl w:val="0"/>
        <w:suppressLineNumbers w:val="0"/>
        <w:spacing w:before="0" w:beforeLines="0" w:beforeAutospacing="0" w:after="0" w:afterLines="0" w:afterAutospacing="0" w:line="50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合同文件组成及优先顺序为：</w:t>
      </w:r>
      <w:r>
        <w:rPr>
          <w:rFonts w:hint="eastAsia" w:ascii="宋体" w:hAnsi="宋体" w:eastAsia="宋体" w:cs="宋体"/>
          <w:kern w:val="2"/>
          <w:sz w:val="24"/>
          <w:szCs w:val="24"/>
          <w:u w:val="single"/>
          <w:lang w:val="en-US" w:eastAsia="zh-CN" w:bidi="ar"/>
        </w:rPr>
        <w:t>执行通用合同条款</w:t>
      </w:r>
      <w:r>
        <w:rPr>
          <w:rFonts w:hint="eastAsia" w:ascii="宋体" w:hAnsi="宋体" w:eastAsia="宋体" w:cs="宋体"/>
          <w:kern w:val="2"/>
          <w:sz w:val="24"/>
          <w:szCs w:val="24"/>
          <w:lang w:val="en-US" w:eastAsia="zh-CN" w:bidi="ar"/>
        </w:rPr>
        <w:t>。</w:t>
      </w:r>
    </w:p>
    <w:p w14:paraId="46E1475D">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1.6 联络</w:t>
      </w:r>
    </w:p>
    <w:p w14:paraId="4D36542D">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
        </w:rPr>
        <w:t>1.6.1</w:t>
      </w:r>
      <w:r>
        <w:rPr>
          <w:rFonts w:hint="eastAsia" w:ascii="宋体" w:hAnsi="宋体" w:eastAsia="宋体" w:cs="宋体"/>
          <w:kern w:val="0"/>
          <w:sz w:val="24"/>
          <w:szCs w:val="24"/>
          <w:lang w:val="en-US" w:eastAsia="zh-CN" w:bidi="ar"/>
        </w:rPr>
        <w:t>委托人和咨询人应当在</w:t>
      </w:r>
      <w:r>
        <w:rPr>
          <w:rFonts w:hint="eastAsia" w:ascii="宋体" w:hAnsi="宋体" w:eastAsia="宋体" w:cs="宋体"/>
          <w:kern w:val="2"/>
          <w:sz w:val="24"/>
          <w:szCs w:val="24"/>
          <w:u w:val="single"/>
          <w:lang w:val="en-US" w:eastAsia="zh-CN" w:bidi="ar"/>
        </w:rPr>
        <w:t xml:space="preserve">3  </w:t>
      </w:r>
      <w:r>
        <w:rPr>
          <w:rFonts w:hint="eastAsia" w:ascii="宋体" w:hAnsi="宋体" w:eastAsia="宋体" w:cs="宋体"/>
          <w:kern w:val="0"/>
          <w:sz w:val="24"/>
          <w:szCs w:val="24"/>
          <w:lang w:val="en-US" w:eastAsia="zh-CN" w:bidi="ar"/>
        </w:rPr>
        <w:t>天内将与合同有关的通知、批准、证明、证书、指示、指令、要求、请求、同意、意见、确定和决定等书面函件送达对方当事人。</w:t>
      </w:r>
    </w:p>
    <w:p w14:paraId="7F910FF0">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
        </w:rPr>
        <w:t>1.6.2</w:t>
      </w:r>
      <w:r>
        <w:rPr>
          <w:rFonts w:hint="eastAsia" w:ascii="宋体" w:hAnsi="宋体" w:eastAsia="宋体" w:cs="宋体"/>
          <w:kern w:val="0"/>
          <w:sz w:val="24"/>
          <w:szCs w:val="24"/>
          <w:lang w:val="en-US" w:eastAsia="zh-CN" w:bidi="ar"/>
        </w:rPr>
        <w:t xml:space="preserve"> 委托人接收文件的地点：</w:t>
      </w:r>
      <w:r>
        <w:rPr>
          <w:rFonts w:hint="eastAsia" w:ascii="宋体" w:hAnsi="宋体" w:eastAsia="宋体" w:cs="宋体"/>
          <w:kern w:val="0"/>
          <w:sz w:val="24"/>
          <w:szCs w:val="24"/>
          <w:u w:val="single"/>
          <w:lang w:val="en-US" w:eastAsia="zh-CN" w:bidi="ar"/>
        </w:rPr>
        <w:t xml:space="preserve">滁州市重点工程建设管理处 </w:t>
      </w:r>
      <w:r>
        <w:rPr>
          <w:rFonts w:hint="eastAsia" w:ascii="宋体" w:hAnsi="宋体" w:eastAsia="宋体" w:cs="宋体"/>
          <w:kern w:val="0"/>
          <w:sz w:val="24"/>
          <w:szCs w:val="24"/>
          <w:lang w:val="en-US" w:eastAsia="zh-CN" w:bidi="ar"/>
        </w:rPr>
        <w:t>；</w:t>
      </w:r>
    </w:p>
    <w:p w14:paraId="0C492589">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u w:val="single"/>
        </w:rPr>
      </w:pPr>
      <w:r>
        <w:rPr>
          <w:rFonts w:hint="eastAsia" w:ascii="宋体" w:hAnsi="宋体" w:eastAsia="宋体" w:cs="宋体"/>
          <w:kern w:val="0"/>
          <w:sz w:val="24"/>
          <w:szCs w:val="24"/>
          <w:lang w:val="en-US" w:eastAsia="zh-CN" w:bidi="ar"/>
        </w:rPr>
        <w:t>委托人指定的接收人为：</w:t>
      </w:r>
      <w:r>
        <w:rPr>
          <w:rFonts w:hint="eastAsia" w:ascii="宋体" w:hAnsi="宋体" w:eastAsia="宋体" w:cs="宋体"/>
          <w:kern w:val="2"/>
          <w:sz w:val="24"/>
          <w:szCs w:val="24"/>
          <w:u w:val="single"/>
          <w:lang w:val="en-US" w:eastAsia="zh-CN" w:bidi="ar"/>
        </w:rPr>
        <w:t>                  </w:t>
      </w:r>
      <w:r>
        <w:rPr>
          <w:rFonts w:hint="eastAsia" w:ascii="宋体" w:hAnsi="宋体" w:eastAsia="宋体" w:cs="宋体"/>
          <w:kern w:val="2"/>
          <w:sz w:val="24"/>
          <w:szCs w:val="24"/>
          <w:lang w:val="en-US" w:eastAsia="zh-CN" w:bidi="ar"/>
        </w:rPr>
        <w:t>；</w:t>
      </w:r>
    </w:p>
    <w:p w14:paraId="72522277">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委托人指定的电子邮箱：</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w:t>
      </w:r>
    </w:p>
    <w:p w14:paraId="26F81703">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咨询人接收文件的地点：</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0"/>
          <w:sz w:val="24"/>
          <w:szCs w:val="24"/>
          <w:lang w:val="en-US" w:eastAsia="zh-CN" w:bidi="ar"/>
        </w:rPr>
        <w:t>；</w:t>
      </w:r>
    </w:p>
    <w:p w14:paraId="4FF9CD9F">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u w:val="single"/>
        </w:rPr>
      </w:pPr>
      <w:r>
        <w:rPr>
          <w:rFonts w:hint="eastAsia" w:ascii="宋体" w:hAnsi="宋体" w:eastAsia="宋体" w:cs="宋体"/>
          <w:kern w:val="0"/>
          <w:sz w:val="24"/>
          <w:szCs w:val="24"/>
          <w:lang w:val="en-US" w:eastAsia="zh-CN" w:bidi="ar"/>
        </w:rPr>
        <w:t>咨询人指定的接收人为：</w:t>
      </w:r>
      <w:r>
        <w:rPr>
          <w:rFonts w:hint="eastAsia" w:ascii="宋体" w:hAnsi="宋体" w:eastAsia="宋体" w:cs="宋体"/>
          <w:kern w:val="2"/>
          <w:sz w:val="24"/>
          <w:szCs w:val="24"/>
          <w:u w:val="single"/>
          <w:lang w:val="en-US" w:eastAsia="zh-CN" w:bidi="ar"/>
        </w:rPr>
        <w:t>                    </w:t>
      </w:r>
      <w:r>
        <w:rPr>
          <w:rFonts w:hint="eastAsia" w:ascii="宋体" w:hAnsi="宋体" w:eastAsia="宋体" w:cs="宋体"/>
          <w:kern w:val="2"/>
          <w:sz w:val="24"/>
          <w:szCs w:val="24"/>
          <w:lang w:val="en-US" w:eastAsia="zh-CN" w:bidi="ar"/>
        </w:rPr>
        <w:t>；</w:t>
      </w:r>
    </w:p>
    <w:p w14:paraId="0E7DC524">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咨询</w:t>
      </w:r>
      <w:r>
        <w:rPr>
          <w:rFonts w:hint="eastAsia" w:ascii="宋体" w:hAnsi="宋体" w:eastAsia="宋体" w:cs="宋体"/>
          <w:kern w:val="2"/>
          <w:sz w:val="24"/>
          <w:szCs w:val="24"/>
          <w:lang w:val="en-US" w:eastAsia="zh-CN" w:bidi="ar"/>
        </w:rPr>
        <w:t>人</w:t>
      </w:r>
      <w:r>
        <w:rPr>
          <w:rFonts w:hint="eastAsia" w:ascii="宋体" w:hAnsi="宋体" w:eastAsia="宋体" w:cs="宋体"/>
          <w:kern w:val="0"/>
          <w:sz w:val="24"/>
          <w:szCs w:val="24"/>
          <w:lang w:val="en-US" w:eastAsia="zh-CN" w:bidi="ar"/>
        </w:rPr>
        <w:t>指定的电子邮箱：</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w:t>
      </w:r>
    </w:p>
    <w:p w14:paraId="32B66294">
      <w:pPr>
        <w:pStyle w:val="4"/>
        <w:widowControl/>
        <w:spacing w:beforeLines="0" w:beforeAutospacing="0" w:afterLines="0" w:afterAutospacing="0" w:line="50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2. 委托人</w:t>
      </w:r>
    </w:p>
    <w:p w14:paraId="2FEBAE68">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2.1 委托人代表</w:t>
      </w:r>
    </w:p>
    <w:p w14:paraId="101C93C4">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姓    名：</w:t>
      </w:r>
      <w:r>
        <w:rPr>
          <w:rFonts w:hint="eastAsia" w:ascii="宋体" w:hAnsi="宋体" w:eastAsia="宋体" w:cs="宋体"/>
          <w:kern w:val="2"/>
          <w:sz w:val="24"/>
          <w:szCs w:val="24"/>
          <w:u w:val="single"/>
          <w:lang w:val="en-US" w:eastAsia="zh-CN" w:bidi="ar"/>
        </w:rPr>
        <w:t>                         </w:t>
      </w:r>
      <w:r>
        <w:rPr>
          <w:rFonts w:hint="eastAsia" w:ascii="宋体" w:hAnsi="宋体" w:eastAsia="宋体" w:cs="宋体"/>
          <w:kern w:val="2"/>
          <w:sz w:val="24"/>
          <w:szCs w:val="24"/>
          <w:lang w:val="en-US" w:eastAsia="zh-CN" w:bidi="ar"/>
        </w:rPr>
        <w:t>；</w:t>
      </w:r>
    </w:p>
    <w:p w14:paraId="44105795">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身份证号：</w:t>
      </w:r>
      <w:r>
        <w:rPr>
          <w:rFonts w:hint="eastAsia" w:ascii="宋体" w:hAnsi="宋体" w:eastAsia="宋体" w:cs="宋体"/>
          <w:kern w:val="2"/>
          <w:sz w:val="24"/>
          <w:szCs w:val="24"/>
          <w:u w:val="single"/>
          <w:lang w:val="en-US" w:eastAsia="zh-CN" w:bidi="ar"/>
        </w:rPr>
        <w:t>                     </w:t>
      </w:r>
      <w:r>
        <w:rPr>
          <w:rFonts w:hint="eastAsia" w:ascii="宋体" w:hAnsi="宋体" w:eastAsia="宋体" w:cs="宋体"/>
          <w:kern w:val="2"/>
          <w:sz w:val="24"/>
          <w:szCs w:val="24"/>
          <w:lang w:val="en-US" w:eastAsia="zh-CN" w:bidi="ar"/>
        </w:rPr>
        <w:t>；</w:t>
      </w:r>
    </w:p>
    <w:p w14:paraId="1B72CC93">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职    务：</w:t>
      </w:r>
      <w:r>
        <w:rPr>
          <w:rFonts w:hint="eastAsia" w:ascii="宋体" w:hAnsi="宋体" w:eastAsia="宋体" w:cs="宋体"/>
          <w:kern w:val="2"/>
          <w:sz w:val="24"/>
          <w:szCs w:val="24"/>
          <w:u w:val="single"/>
          <w:lang w:val="en-US" w:eastAsia="zh-CN" w:bidi="ar"/>
        </w:rPr>
        <w:t>                     </w:t>
      </w:r>
      <w:r>
        <w:rPr>
          <w:rFonts w:hint="eastAsia" w:ascii="宋体" w:hAnsi="宋体" w:eastAsia="宋体" w:cs="宋体"/>
          <w:kern w:val="2"/>
          <w:sz w:val="24"/>
          <w:szCs w:val="24"/>
          <w:lang w:val="en-US" w:eastAsia="zh-CN" w:bidi="ar"/>
        </w:rPr>
        <w:t>；</w:t>
      </w:r>
    </w:p>
    <w:p w14:paraId="0E17B869">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联系电话：</w:t>
      </w:r>
      <w:r>
        <w:rPr>
          <w:rFonts w:hint="eastAsia" w:ascii="宋体" w:hAnsi="宋体" w:eastAsia="宋体" w:cs="宋体"/>
          <w:kern w:val="2"/>
          <w:sz w:val="24"/>
          <w:szCs w:val="24"/>
          <w:u w:val="single"/>
          <w:lang w:val="en-US" w:eastAsia="zh-CN" w:bidi="ar"/>
        </w:rPr>
        <w:t>                     </w:t>
      </w:r>
      <w:r>
        <w:rPr>
          <w:rFonts w:hint="eastAsia" w:ascii="宋体" w:hAnsi="宋体" w:eastAsia="宋体" w:cs="宋体"/>
          <w:kern w:val="2"/>
          <w:sz w:val="24"/>
          <w:szCs w:val="24"/>
          <w:lang w:val="en-US" w:eastAsia="zh-CN" w:bidi="ar"/>
        </w:rPr>
        <w:t>；</w:t>
      </w:r>
    </w:p>
    <w:p w14:paraId="358B6FE6">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电子信箱：</w:t>
      </w:r>
      <w:r>
        <w:rPr>
          <w:rFonts w:hint="eastAsia" w:ascii="宋体" w:hAnsi="宋体" w:eastAsia="宋体" w:cs="宋体"/>
          <w:kern w:val="2"/>
          <w:sz w:val="24"/>
          <w:szCs w:val="24"/>
          <w:u w:val="single"/>
          <w:lang w:val="en-US" w:eastAsia="zh-CN" w:bidi="ar"/>
        </w:rPr>
        <w:t>                         </w:t>
      </w:r>
      <w:r>
        <w:rPr>
          <w:rFonts w:hint="eastAsia" w:ascii="宋体" w:hAnsi="宋体" w:eastAsia="宋体" w:cs="宋体"/>
          <w:kern w:val="2"/>
          <w:sz w:val="24"/>
          <w:szCs w:val="24"/>
          <w:lang w:val="en-US" w:eastAsia="zh-CN" w:bidi="ar"/>
        </w:rPr>
        <w:t>；</w:t>
      </w:r>
    </w:p>
    <w:p w14:paraId="4A3A8373">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通信地址：</w:t>
      </w:r>
      <w:r>
        <w:rPr>
          <w:rFonts w:hint="eastAsia" w:ascii="宋体" w:hAnsi="宋体" w:eastAsia="宋体" w:cs="宋体"/>
          <w:kern w:val="2"/>
          <w:sz w:val="24"/>
          <w:szCs w:val="24"/>
          <w:u w:val="single"/>
          <w:lang w:val="en-US" w:eastAsia="zh-CN" w:bidi="ar"/>
        </w:rPr>
        <w:t xml:space="preserve">滁州市重点工程建设管理处                 </w:t>
      </w:r>
      <w:r>
        <w:rPr>
          <w:rFonts w:hint="eastAsia" w:ascii="宋体" w:hAnsi="宋体" w:eastAsia="宋体" w:cs="宋体"/>
          <w:kern w:val="2"/>
          <w:sz w:val="24"/>
          <w:szCs w:val="24"/>
          <w:lang w:val="en-US" w:eastAsia="zh-CN" w:bidi="ar"/>
        </w:rPr>
        <w:t>。</w:t>
      </w:r>
    </w:p>
    <w:p w14:paraId="19F3658C">
      <w:pPr>
        <w:keepNext w:val="0"/>
        <w:keepLines w:val="0"/>
        <w:widowControl w:val="0"/>
        <w:suppressLineNumbers w:val="0"/>
        <w:spacing w:before="0" w:beforeLines="0" w:beforeAutospacing="0" w:after="0" w:afterLines="0" w:afterAutospacing="0" w:line="500" w:lineRule="exact"/>
        <w:ind w:left="0" w:right="0"/>
        <w:jc w:val="both"/>
        <w:rPr>
          <w:rFonts w:hint="eastAsia" w:ascii="宋体" w:hAnsi="宋体" w:eastAsia="宋体" w:cs="宋体"/>
          <w:b/>
          <w:bCs w:val="0"/>
          <w:kern w:val="2"/>
          <w:sz w:val="24"/>
          <w:szCs w:val="24"/>
        </w:rPr>
      </w:pPr>
      <w:r>
        <w:rPr>
          <w:rFonts w:hint="eastAsia" w:ascii="宋体" w:hAnsi="宋体" w:eastAsia="宋体" w:cs="宋体"/>
          <w:kern w:val="2"/>
          <w:sz w:val="24"/>
          <w:szCs w:val="24"/>
          <w:lang w:val="en-US" w:eastAsia="zh-CN" w:bidi="ar"/>
        </w:rPr>
        <w:t xml:space="preserve">  委托人对委托人代表的授权范围如下</w:t>
      </w:r>
      <w:r>
        <w:rPr>
          <w:rFonts w:hint="eastAsia" w:ascii="宋体" w:hAnsi="宋体" w:eastAsia="宋体" w:cs="宋体"/>
          <w:kern w:val="2"/>
          <w:sz w:val="24"/>
          <w:szCs w:val="24"/>
          <w:u w:val="single"/>
          <w:lang w:val="en-US" w:eastAsia="zh-CN" w:bidi="ar"/>
        </w:rPr>
        <w:t>负责本工程工程量清单和最高投标限价编制及资料收集、提供、协调、沟通、确认、备案等相关事宜</w:t>
      </w:r>
      <w:r>
        <w:rPr>
          <w:rFonts w:hint="eastAsia" w:ascii="宋体" w:hAnsi="宋体" w:eastAsia="宋体" w:cs="宋体"/>
          <w:kern w:val="2"/>
          <w:sz w:val="24"/>
          <w:szCs w:val="24"/>
          <w:lang w:val="en-US" w:eastAsia="zh-CN" w:bidi="ar"/>
        </w:rPr>
        <w:t>。</w:t>
      </w:r>
    </w:p>
    <w:p w14:paraId="354CC936">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2.2 提供资料</w:t>
      </w:r>
    </w:p>
    <w:p w14:paraId="37354F48">
      <w:pPr>
        <w:keepNext w:val="0"/>
        <w:keepLines w:val="0"/>
        <w:widowControl w:val="0"/>
        <w:suppressLineNumbers w:val="0"/>
        <w:spacing w:before="0" w:beforeLines="0" w:beforeAutospacing="0" w:after="0" w:afterLines="0" w:afterAutospacing="0" w:line="500" w:lineRule="exact"/>
        <w:ind w:left="0" w:right="0"/>
        <w:jc w:val="both"/>
        <w:rPr>
          <w:rFonts w:hint="eastAsia" w:ascii="宋体" w:hAnsi="宋体" w:eastAsia="宋体" w:cs="宋体"/>
          <w:b/>
          <w:bCs w:val="0"/>
          <w:kern w:val="2"/>
          <w:sz w:val="24"/>
          <w:szCs w:val="24"/>
        </w:rPr>
      </w:pPr>
      <w:r>
        <w:rPr>
          <w:rFonts w:hint="eastAsia" w:ascii="宋体" w:hAnsi="宋体" w:eastAsia="宋体" w:cs="宋体"/>
          <w:kern w:val="2"/>
          <w:sz w:val="24"/>
          <w:szCs w:val="24"/>
          <w:lang w:val="en-US" w:eastAsia="zh-CN" w:bidi="ar"/>
        </w:rPr>
        <w:t>委托人向咨询人提供的资料包括：</w:t>
      </w:r>
      <w:r>
        <w:rPr>
          <w:rFonts w:hint="eastAsia" w:ascii="宋体" w:hAnsi="宋体" w:eastAsia="宋体" w:cs="宋体"/>
          <w:kern w:val="2"/>
          <w:sz w:val="24"/>
          <w:szCs w:val="24"/>
          <w:u w:val="single"/>
          <w:lang w:val="en-US" w:eastAsia="zh-CN" w:bidi="ar"/>
        </w:rPr>
        <w:t xml:space="preserve">本工程招标文件、图审后的设计图纸、设计答疑等 </w:t>
      </w:r>
      <w:r>
        <w:rPr>
          <w:rFonts w:hint="eastAsia" w:ascii="宋体" w:hAnsi="宋体" w:eastAsia="宋体" w:cs="宋体"/>
          <w:kern w:val="2"/>
          <w:sz w:val="24"/>
          <w:szCs w:val="24"/>
          <w:lang w:val="en-US" w:eastAsia="zh-CN" w:bidi="ar"/>
        </w:rPr>
        <w:t>。</w:t>
      </w:r>
    </w:p>
    <w:p w14:paraId="0B3697C1">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委托人向咨询人提供资料的期限为：</w:t>
      </w:r>
      <w:r>
        <w:rPr>
          <w:rFonts w:hint="eastAsia" w:ascii="宋体" w:hAnsi="宋体" w:eastAsia="宋体" w:cs="宋体"/>
          <w:kern w:val="2"/>
          <w:sz w:val="24"/>
          <w:szCs w:val="24"/>
          <w:u w:val="single"/>
          <w:lang w:val="en-US" w:eastAsia="zh-CN" w:bidi="ar"/>
        </w:rPr>
        <w:t>  年 月  日</w:t>
      </w:r>
      <w:r>
        <w:rPr>
          <w:rFonts w:hint="eastAsia" w:ascii="宋体" w:hAnsi="宋体" w:eastAsia="宋体" w:cs="宋体"/>
          <w:kern w:val="2"/>
          <w:sz w:val="24"/>
          <w:szCs w:val="24"/>
          <w:lang w:val="en-US" w:eastAsia="zh-CN" w:bidi="ar"/>
        </w:rPr>
        <w:t>。</w:t>
      </w:r>
    </w:p>
    <w:p w14:paraId="2D8E4991">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关于委托人向咨询人提供资料的特别约定：</w:t>
      </w:r>
      <w:r>
        <w:rPr>
          <w:rFonts w:hint="eastAsia" w:ascii="宋体" w:hAnsi="宋体" w:eastAsia="宋体" w:cs="宋体"/>
          <w:kern w:val="0"/>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5845B2FB">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2.4 答复</w:t>
      </w:r>
    </w:p>
    <w:p w14:paraId="308DB25A">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2.4.1 委托人对咨询人以书面形式提交并要求作出决定事宜的答复期限为：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14:paraId="2308B3A2">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2.4.2 关于咨询人以书面形式提交并要求第三人作出决定的事宜，由委托人送达第三人的特别约定：</w:t>
      </w:r>
      <w:r>
        <w:rPr>
          <w:rFonts w:hint="eastAsia" w:ascii="宋体" w:hAnsi="宋体" w:eastAsia="宋体" w:cs="宋体"/>
          <w:kern w:val="2"/>
          <w:sz w:val="24"/>
          <w:szCs w:val="24"/>
          <w:u w:val="single"/>
          <w:lang w:val="en-US" w:eastAsia="zh-CN" w:bidi="ar"/>
        </w:rPr>
        <w:t xml:space="preserve">   执行合同通用条款   </w:t>
      </w:r>
      <w:r>
        <w:rPr>
          <w:rFonts w:hint="eastAsia" w:ascii="宋体" w:hAnsi="宋体" w:eastAsia="宋体" w:cs="宋体"/>
          <w:kern w:val="2"/>
          <w:sz w:val="24"/>
          <w:szCs w:val="24"/>
          <w:lang w:val="en-US" w:eastAsia="zh-CN" w:bidi="ar"/>
        </w:rPr>
        <w:t>。</w:t>
      </w:r>
    </w:p>
    <w:p w14:paraId="13929091">
      <w:pPr>
        <w:pStyle w:val="4"/>
        <w:widowControl/>
        <w:spacing w:beforeLines="0" w:beforeAutospacing="0" w:afterLines="0" w:afterAutospacing="0" w:line="50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3. 咨询人</w:t>
      </w:r>
    </w:p>
    <w:p w14:paraId="63E1F1A9">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3.2 项目负责人</w:t>
      </w:r>
    </w:p>
    <w:p w14:paraId="67C77197">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姓    名：</w:t>
      </w:r>
      <w:r>
        <w:rPr>
          <w:rFonts w:hint="eastAsia" w:ascii="宋体" w:hAnsi="宋体" w:eastAsia="宋体" w:cs="宋体"/>
          <w:kern w:val="2"/>
          <w:sz w:val="24"/>
          <w:szCs w:val="24"/>
          <w:u w:val="single"/>
          <w:lang w:val="en-US" w:eastAsia="zh-CN" w:bidi="ar"/>
        </w:rPr>
        <w:t>                   </w:t>
      </w:r>
      <w:r>
        <w:rPr>
          <w:rFonts w:hint="eastAsia" w:ascii="宋体" w:hAnsi="宋体" w:eastAsia="宋体" w:cs="宋体"/>
          <w:kern w:val="2"/>
          <w:sz w:val="24"/>
          <w:szCs w:val="24"/>
          <w:lang w:val="en-US" w:eastAsia="zh-CN" w:bidi="ar"/>
        </w:rPr>
        <w:t>；</w:t>
      </w:r>
    </w:p>
    <w:p w14:paraId="0B7A2CC1">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身份证号：</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698A9898">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造价工程师注册证书号：</w:t>
      </w:r>
      <w:r>
        <w:rPr>
          <w:rFonts w:hint="eastAsia" w:ascii="宋体" w:hAnsi="宋体" w:eastAsia="宋体" w:cs="宋体"/>
          <w:kern w:val="2"/>
          <w:sz w:val="24"/>
          <w:szCs w:val="24"/>
          <w:u w:val="single"/>
          <w:lang w:val="en-US" w:eastAsia="zh-CN" w:bidi="ar"/>
        </w:rPr>
        <w:t>   </w:t>
      </w:r>
      <w:r>
        <w:rPr>
          <w:rFonts w:hint="eastAsia" w:ascii="宋体" w:hAnsi="宋体" w:eastAsia="宋体" w:cs="宋体"/>
          <w:kern w:val="2"/>
          <w:sz w:val="24"/>
          <w:szCs w:val="24"/>
          <w:lang w:val="en-US" w:eastAsia="zh-CN" w:bidi="ar"/>
        </w:rPr>
        <w:t>；</w:t>
      </w:r>
    </w:p>
    <w:p w14:paraId="5394BF88">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联系电话：</w:t>
      </w:r>
      <w:r>
        <w:rPr>
          <w:rFonts w:hint="eastAsia" w:ascii="宋体" w:hAnsi="宋体" w:eastAsia="宋体" w:cs="宋体"/>
          <w:kern w:val="2"/>
          <w:sz w:val="24"/>
          <w:szCs w:val="24"/>
          <w:u w:val="single"/>
          <w:lang w:val="en-US" w:eastAsia="zh-CN" w:bidi="ar"/>
        </w:rPr>
        <w:t>             </w:t>
      </w:r>
      <w:r>
        <w:rPr>
          <w:rFonts w:hint="eastAsia" w:ascii="宋体" w:hAnsi="宋体" w:eastAsia="宋体" w:cs="宋体"/>
          <w:kern w:val="2"/>
          <w:sz w:val="24"/>
          <w:szCs w:val="24"/>
          <w:lang w:val="en-US" w:eastAsia="zh-CN" w:bidi="ar"/>
        </w:rPr>
        <w:t>；</w:t>
      </w:r>
    </w:p>
    <w:p w14:paraId="7E228D1B">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电子信箱：</w:t>
      </w:r>
      <w:r>
        <w:rPr>
          <w:rFonts w:hint="eastAsia" w:ascii="宋体" w:hAnsi="宋体" w:eastAsia="宋体" w:cs="宋体"/>
          <w:kern w:val="2"/>
          <w:sz w:val="24"/>
          <w:szCs w:val="24"/>
          <w:u w:val="single"/>
          <w:lang w:val="en-US" w:eastAsia="zh-CN" w:bidi="ar"/>
        </w:rPr>
        <w:t>    </w:t>
      </w:r>
      <w:r>
        <w:rPr>
          <w:rFonts w:hint="eastAsia" w:ascii="宋体" w:hAnsi="宋体" w:eastAsia="宋体" w:cs="宋体"/>
          <w:kern w:val="2"/>
          <w:sz w:val="24"/>
          <w:szCs w:val="24"/>
          <w:lang w:val="en-US" w:eastAsia="zh-CN" w:bidi="ar"/>
        </w:rPr>
        <w:t>；</w:t>
      </w:r>
    </w:p>
    <w:p w14:paraId="72B0F9A4">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通信地址：</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14:paraId="291933EF">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咨询人对项目负责人的授权范围如下：</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4D62F8FB">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3.3 工程造价专业人员</w:t>
      </w:r>
    </w:p>
    <w:p w14:paraId="10B681FA">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3.3.1 咨询人提交工程造价专业人员任命文件及其注册证书或资格证书的期限：</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14:paraId="354E1814">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咨询人未提交</w:t>
      </w:r>
      <w:r>
        <w:rPr>
          <w:rFonts w:hint="eastAsia" w:ascii="宋体" w:hAnsi="宋体" w:eastAsia="宋体" w:cs="宋体"/>
          <w:kern w:val="2"/>
          <w:sz w:val="24"/>
          <w:szCs w:val="24"/>
          <w:lang w:val="en-US" w:eastAsia="zh-CN" w:bidi="ar"/>
        </w:rPr>
        <w:t>为工程造价专业人员缴纳的社会保险有效证明</w:t>
      </w:r>
      <w:r>
        <w:rPr>
          <w:rFonts w:hint="eastAsia" w:ascii="宋体" w:hAnsi="宋体" w:eastAsia="宋体" w:cs="宋体"/>
          <w:kern w:val="0"/>
          <w:sz w:val="24"/>
          <w:szCs w:val="24"/>
          <w:lang w:val="en-US" w:eastAsia="zh-CN" w:bidi="ar"/>
        </w:rPr>
        <w:t>的违约责任：</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67506A05">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3.3.2 咨询人擅自更换工程造价专业人员的违约责任：</w:t>
      </w:r>
      <w:r>
        <w:rPr>
          <w:rFonts w:hint="eastAsia" w:ascii="宋体" w:hAnsi="宋体" w:eastAsia="宋体" w:cs="宋体"/>
          <w:kern w:val="2"/>
          <w:sz w:val="24"/>
          <w:szCs w:val="24"/>
          <w:u w:val="single"/>
          <w:lang w:val="en-US" w:eastAsia="zh-CN" w:bidi="ar"/>
        </w:rPr>
        <w:t xml:space="preserve">   /</w:t>
      </w:r>
    </w:p>
    <w:p w14:paraId="2F54DB5A">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3.3.3 咨询人安排的工程造价专业人员</w:t>
      </w:r>
      <w:r>
        <w:rPr>
          <w:rFonts w:hint="eastAsia" w:ascii="宋体" w:hAnsi="宋体" w:eastAsia="宋体" w:cs="宋体"/>
          <w:kern w:val="0"/>
          <w:sz w:val="24"/>
          <w:szCs w:val="24"/>
          <w:lang w:val="en-US" w:eastAsia="zh-CN" w:bidi="ar"/>
        </w:rPr>
        <w:t>每月在施工现场的时间要求：</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13DCAEE5">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工程造价专业人员</w:t>
      </w:r>
      <w:r>
        <w:rPr>
          <w:rFonts w:hint="eastAsia" w:ascii="宋体" w:hAnsi="宋体" w:eastAsia="宋体" w:cs="宋体"/>
          <w:kern w:val="0"/>
          <w:sz w:val="24"/>
          <w:szCs w:val="24"/>
          <w:lang w:val="en-US" w:eastAsia="zh-CN" w:bidi="ar"/>
        </w:rPr>
        <w:t>未经批准，擅自离开施工现场的违约责任：</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4D5B4425">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3.3.4 咨询人无正当理由拒绝撤换工程造价专业人员的违约责任：</w:t>
      </w:r>
      <w:r>
        <w:rPr>
          <w:rFonts w:hint="eastAsia" w:ascii="宋体" w:hAnsi="宋体" w:eastAsia="宋体" w:cs="宋体"/>
          <w:kern w:val="2"/>
          <w:sz w:val="24"/>
          <w:szCs w:val="24"/>
          <w:u w:val="single"/>
          <w:lang w:val="en-US" w:eastAsia="zh-CN" w:bidi="ar"/>
        </w:rPr>
        <w:t xml:space="preserve">     /          </w:t>
      </w:r>
      <w:r>
        <w:rPr>
          <w:rFonts w:hint="eastAsia" w:ascii="宋体" w:hAnsi="宋体" w:eastAsia="宋体" w:cs="宋体"/>
          <w:kern w:val="2"/>
          <w:sz w:val="24"/>
          <w:szCs w:val="24"/>
          <w:lang w:val="en-US" w:eastAsia="zh-CN" w:bidi="ar"/>
        </w:rPr>
        <w:t>。</w:t>
      </w:r>
    </w:p>
    <w:p w14:paraId="42A5CF9D">
      <w:pPr>
        <w:pStyle w:val="4"/>
        <w:widowControl/>
        <w:spacing w:beforeLines="0" w:beforeAutospacing="0" w:afterLines="0" w:afterAutospacing="0" w:line="50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4. 咨询业务范围和工作内容</w:t>
      </w:r>
    </w:p>
    <w:p w14:paraId="1AC34666">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4.2 咨询工作内容</w:t>
      </w:r>
    </w:p>
    <w:p w14:paraId="6B3C525D">
      <w:pPr>
        <w:keepNext w:val="0"/>
        <w:keepLines w:val="0"/>
        <w:widowControl w:val="0"/>
        <w:suppressLineNumbers w:val="0"/>
        <w:spacing w:before="0" w:beforeLines="0" w:beforeAutospacing="0" w:after="0" w:afterLines="0" w:afterAutospacing="0" w:line="500" w:lineRule="exact"/>
        <w:ind w:left="596" w:leftChars="284"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工程造价咨询工作内容包括：</w:t>
      </w:r>
      <w:r>
        <w:rPr>
          <w:rFonts w:hint="eastAsia" w:ascii="宋体" w:hAnsi="宋体" w:eastAsia="宋体" w:cs="宋体"/>
          <w:kern w:val="2"/>
          <w:sz w:val="24"/>
          <w:szCs w:val="24"/>
          <w:u w:val="single"/>
          <w:lang w:val="en-US" w:eastAsia="zh-CN" w:bidi="ar"/>
        </w:rPr>
        <w:t>工程量清单和最高投标限价编制</w:t>
      </w:r>
      <w:r>
        <w:rPr>
          <w:rFonts w:hint="eastAsia" w:ascii="宋体" w:hAnsi="宋体" w:eastAsia="宋体" w:cs="宋体"/>
          <w:kern w:val="2"/>
          <w:sz w:val="24"/>
          <w:szCs w:val="24"/>
          <w:lang w:val="en-US" w:eastAsia="zh-CN" w:bidi="ar"/>
        </w:rPr>
        <w:t>。</w:t>
      </w:r>
    </w:p>
    <w:p w14:paraId="1C8FF6E2">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5.2 咨询期限延误</w:t>
      </w:r>
    </w:p>
    <w:p w14:paraId="7C48D224">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5.2.1 因委托人原因导致咨询期限延误</w:t>
      </w:r>
    </w:p>
    <w:p w14:paraId="46A06301">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（6）</w:t>
      </w:r>
      <w:r>
        <w:rPr>
          <w:rFonts w:hint="eastAsia" w:ascii="宋体" w:hAnsi="宋体" w:eastAsia="宋体" w:cs="宋体"/>
          <w:kern w:val="2"/>
          <w:sz w:val="24"/>
          <w:szCs w:val="24"/>
          <w:lang w:val="en-US" w:eastAsia="zh-CN" w:bidi="ar"/>
        </w:rPr>
        <w:t>因委托人原因导致咨询期限延误的其他情形：</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53278872">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5.2.2 因咨询人原因导致咨询期限延误</w:t>
      </w:r>
    </w:p>
    <w:p w14:paraId="77A7D05E">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因咨询人原因造成咨询期限延误，逾期完成咨询业务违约金的计算方法为：</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7ACB7932">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因咨询人原因造成咨询期限延误，逾期完成咨询业务违约金的上限：</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6FED9F00">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5.2.3 因第三人原因导致咨询期限延误</w:t>
      </w:r>
    </w:p>
    <w:p w14:paraId="21115E87">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kern w:val="2"/>
          <w:sz w:val="24"/>
          <w:szCs w:val="24"/>
          <w:lang w:val="en-US" w:eastAsia="zh-CN" w:bidi="ar"/>
        </w:rPr>
        <w:t>因第三人原因导致咨询期限延误的其他情形：</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3E63DDE9">
      <w:pPr>
        <w:keepNext w:val="0"/>
        <w:keepLines w:val="0"/>
        <w:widowControl w:val="0"/>
        <w:suppressLineNumbers w:val="0"/>
        <w:spacing w:before="0" w:beforeLines="0" w:beforeAutospacing="0" w:after="0" w:afterLines="0" w:afterAutospacing="0" w:line="500" w:lineRule="exact"/>
        <w:ind w:left="0" w:right="0" w:firstLine="241" w:firstLineChars="1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5.3 工程造价咨询成果文件交付期限</w:t>
      </w:r>
    </w:p>
    <w:p w14:paraId="40B1DF51">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5.3.1咨询人向委托人提交工程造价咨询成果文件的份数</w:t>
      </w:r>
      <w:r>
        <w:rPr>
          <w:rFonts w:hint="eastAsia" w:ascii="宋体" w:hAnsi="宋体" w:eastAsia="宋体" w:cs="宋体"/>
          <w:kern w:val="2"/>
          <w:sz w:val="24"/>
          <w:szCs w:val="24"/>
          <w:u w:val="single"/>
          <w:lang w:val="en-US" w:eastAsia="zh-CN" w:bidi="ar"/>
        </w:rPr>
        <w:t xml:space="preserve">各捌份 </w:t>
      </w:r>
      <w:r>
        <w:rPr>
          <w:rFonts w:hint="eastAsia" w:ascii="宋体" w:hAnsi="宋体" w:eastAsia="宋体" w:cs="宋体"/>
          <w:kern w:val="2"/>
          <w:sz w:val="24"/>
          <w:szCs w:val="24"/>
          <w:lang w:val="en-US" w:eastAsia="zh-CN" w:bidi="ar"/>
        </w:rPr>
        <w:t>。</w:t>
      </w:r>
    </w:p>
    <w:p w14:paraId="6FE8B6A7">
      <w:pPr>
        <w:keepNext w:val="0"/>
        <w:keepLines w:val="0"/>
        <w:widowControl w:val="0"/>
        <w:suppressLineNumbers w:val="0"/>
        <w:wordWrap w:val="0"/>
        <w:autoSpaceDE w:val="0"/>
        <w:autoSpaceDN/>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委托人在收到咨询人提交的工程造价咨询成果文件后确认或提出修改意见的期限：</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14:paraId="6B04E67B">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5.3.2因咨询人原因未能在合理的期限内完成工程计量与支付、合同价款调整等文件编制或审核，给委托人造成损失的违约责任</w:t>
      </w:r>
      <w:r>
        <w:rPr>
          <w:rFonts w:hint="eastAsia" w:ascii="宋体" w:hAnsi="宋体" w:eastAsia="宋体" w:cs="宋体"/>
          <w:kern w:val="2"/>
          <w:sz w:val="24"/>
          <w:szCs w:val="24"/>
          <w:u w:val="single"/>
          <w:lang w:val="en-US" w:eastAsia="zh-CN" w:bidi="ar"/>
        </w:rPr>
        <w:t xml:space="preserve">  /   </w:t>
      </w:r>
    </w:p>
    <w:p w14:paraId="31A928C2">
      <w:pPr>
        <w:pStyle w:val="4"/>
        <w:widowControl/>
        <w:spacing w:beforeLines="0" w:beforeAutospacing="0" w:afterLines="0" w:afterAutospacing="0" w:line="50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6. 咨询质量</w:t>
      </w:r>
    </w:p>
    <w:p w14:paraId="706AFD1D">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6.1 质量要求</w:t>
      </w:r>
    </w:p>
    <w:p w14:paraId="294DF0A4">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工程造价咨询成果文件质量标准：</w:t>
      </w:r>
      <w:r>
        <w:rPr>
          <w:rFonts w:hint="eastAsia" w:ascii="宋体" w:hAnsi="宋体" w:eastAsia="宋体" w:cs="宋体"/>
          <w:kern w:val="2"/>
          <w:sz w:val="24"/>
          <w:szCs w:val="24"/>
          <w:u w:val="single"/>
          <w:lang w:val="en-US" w:eastAsia="zh-CN" w:bidi="ar"/>
        </w:rPr>
        <w:t xml:space="preserve">《建设工程造价咨询成果文件质量标准》（CECA/GCF2012） </w:t>
      </w:r>
      <w:r>
        <w:rPr>
          <w:rFonts w:hint="eastAsia" w:ascii="宋体" w:hAnsi="宋体" w:eastAsia="宋体" w:cs="宋体"/>
          <w:kern w:val="2"/>
          <w:sz w:val="24"/>
          <w:szCs w:val="24"/>
          <w:lang w:val="en-US" w:eastAsia="zh-CN" w:bidi="ar"/>
        </w:rPr>
        <w:t>。</w:t>
      </w:r>
    </w:p>
    <w:p w14:paraId="5E478C76">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6.3 质量不合格处理</w:t>
      </w:r>
    </w:p>
    <w:p w14:paraId="2FFFF863">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因咨询人原因造成工程造价咨询成果文件质量未达到合同约定标准，委托人相应减少咨询酬金的计算方法为：</w:t>
      </w:r>
      <w:r>
        <w:rPr>
          <w:rFonts w:hint="eastAsia" w:ascii="宋体" w:hAnsi="宋体" w:eastAsia="宋体" w:cs="宋体"/>
          <w:kern w:val="2"/>
          <w:sz w:val="24"/>
          <w:szCs w:val="24"/>
          <w:u w:val="single"/>
          <w:lang w:val="en-US" w:eastAsia="zh-CN" w:bidi="ar"/>
        </w:rPr>
        <w:t xml:space="preserve">  项目施工过程中发现清单错漏项，累计1万元（含）-3万元（不含）的，给予企业1000元的违约金处罚；累计3万元（含）-5万元（不含）的，给予企业2000元的违约金处罚；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  </w:t>
      </w:r>
      <w:r>
        <w:rPr>
          <w:rFonts w:hint="eastAsia" w:ascii="宋体" w:hAnsi="宋体" w:eastAsia="宋体" w:cs="宋体"/>
          <w:kern w:val="2"/>
          <w:sz w:val="24"/>
          <w:szCs w:val="24"/>
          <w:lang w:val="en-US" w:eastAsia="zh-CN" w:bidi="ar"/>
        </w:rPr>
        <w:t>。</w:t>
      </w:r>
    </w:p>
    <w:p w14:paraId="383A4F38">
      <w:pPr>
        <w:keepNext w:val="0"/>
        <w:keepLines w:val="0"/>
        <w:widowControl w:val="0"/>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因咨询人原因造成工程造价咨询成果文件质量不合格产生的损失赔偿额的计算方法为：</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589DF330">
      <w:pPr>
        <w:pStyle w:val="4"/>
        <w:widowControl/>
        <w:spacing w:beforeLines="0" w:beforeAutospacing="0" w:afterLines="0" w:afterAutospacing="0" w:line="500" w:lineRule="exac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7. 咨询酬金</w:t>
      </w:r>
    </w:p>
    <w:p w14:paraId="6AA5A71B">
      <w:pPr>
        <w:keepNext w:val="0"/>
        <w:keepLines w:val="0"/>
        <w:widowControl w:val="0"/>
        <w:suppressLineNumbers w:val="0"/>
        <w:spacing w:before="0" w:beforeLines="0" w:beforeAutospacing="0" w:after="0" w:afterLines="0" w:afterAutospacing="0" w:line="50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7.1 酬金计算方式</w:t>
      </w:r>
    </w:p>
    <w:p w14:paraId="47ED6A1F">
      <w:pPr>
        <w:keepNext w:val="0"/>
        <w:keepLines w:val="0"/>
        <w:widowControl/>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咨询酬金其他计算方式：</w:t>
      </w:r>
      <w:r>
        <w:rPr>
          <w:rFonts w:hint="eastAsia" w:ascii="宋体" w:hAnsi="宋体" w:eastAsia="宋体" w:cs="宋体"/>
          <w:kern w:val="2"/>
          <w:sz w:val="24"/>
          <w:szCs w:val="24"/>
          <w:u w:val="single"/>
          <w:lang w:val="en-US" w:eastAsia="zh-CN" w:bidi="ar"/>
        </w:rPr>
        <w:t xml:space="preserve">  工程量清单和最高投标限价编制费用=【施工中标价-（暂列金+暂估价）】*相应费率*    %。请款时暂列金和暂估价均需扣除相应税金。</w:t>
      </w:r>
    </w:p>
    <w:p w14:paraId="1672130D">
      <w:pPr>
        <w:keepNext w:val="0"/>
        <w:keepLines w:val="0"/>
        <w:widowControl w:val="0"/>
        <w:suppressLineNumbers w:val="0"/>
        <w:spacing w:before="0" w:beforeLines="0" w:beforeAutospacing="0" w:after="0" w:afterLines="0" w:afterAutospacing="0" w:line="500" w:lineRule="exact"/>
        <w:ind w:left="0" w:right="0"/>
        <w:jc w:val="left"/>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7.1.2 基本酬金加绩效酬金</w:t>
      </w:r>
    </w:p>
    <w:p w14:paraId="16D2607E">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kern w:val="2"/>
          <w:sz w:val="24"/>
          <w:szCs w:val="24"/>
          <w:lang w:val="en-US" w:eastAsia="zh-CN" w:bidi="ar"/>
        </w:rPr>
        <w:t>基本酬金比率：</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477CF893">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kern w:val="2"/>
          <w:sz w:val="24"/>
          <w:szCs w:val="24"/>
          <w:lang w:val="en-US" w:eastAsia="zh-CN" w:bidi="ar"/>
        </w:rPr>
        <w:t>绩效酬金比率：</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654CFC73">
      <w:pPr>
        <w:keepNext w:val="0"/>
        <w:keepLines w:val="0"/>
        <w:widowControl w:val="0"/>
        <w:suppressLineNumbers w:val="0"/>
        <w:spacing w:before="0" w:beforeLines="0" w:beforeAutospacing="0" w:after="0" w:afterLines="0" w:afterAutospacing="0" w:line="500" w:lineRule="exact"/>
        <w:ind w:left="0" w:right="0" w:firstLine="482" w:firstLineChars="20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7.2 预付酬金</w:t>
      </w:r>
    </w:p>
    <w:p w14:paraId="51C5A550">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预付酬金支付比例或金额：</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50A88C05">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预付酬金支付期限：</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2DEC6373">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委托人逾期支付预付酬金的违约金的计算方式：</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6926DA90">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7.3.1 酬金分段结算与支付的比例或金额：</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1F33B10F">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咨询人提交酬金分段结算与支付申请书的期限：</w:t>
      </w:r>
      <w:r>
        <w:rPr>
          <w:rFonts w:hint="eastAsia" w:ascii="宋体" w:hAnsi="宋体" w:eastAsia="宋体" w:cs="宋体"/>
          <w:kern w:val="2"/>
          <w:sz w:val="24"/>
          <w:szCs w:val="24"/>
          <w:u w:val="single"/>
          <w:lang w:val="en-US" w:eastAsia="zh-CN" w:bidi="ar"/>
        </w:rPr>
        <w:t xml:space="preserve">             </w:t>
      </w:r>
    </w:p>
    <w:p w14:paraId="50D4CC50">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7.3.2 委托人审核确认酬金分段结算与支付申请书并完成酬金支付的期限：</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2D59F1DE">
      <w:pPr>
        <w:keepNext w:val="0"/>
        <w:keepLines w:val="0"/>
        <w:widowControl w:val="0"/>
        <w:suppressLineNumbers w:val="0"/>
        <w:spacing w:before="0" w:beforeLines="0" w:beforeAutospacing="0" w:after="0" w:afterLines="0" w:afterAutospacing="0" w:line="500" w:lineRule="exact"/>
        <w:ind w:left="0" w:right="0" w:firstLine="482" w:firstLineChars="20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7.4 酬金结清与支付</w:t>
      </w:r>
    </w:p>
    <w:p w14:paraId="441E20D1">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7.4.1 咨询人提交酬金结清与支付申请书的期限：</w:t>
      </w:r>
      <w:r>
        <w:rPr>
          <w:rFonts w:hint="eastAsia" w:ascii="宋体" w:hAnsi="宋体" w:eastAsia="宋体" w:cs="宋体"/>
          <w:kern w:val="2"/>
          <w:sz w:val="24"/>
          <w:szCs w:val="24"/>
          <w:u w:val="single"/>
          <w:lang w:val="en-US" w:eastAsia="zh-CN" w:bidi="ar"/>
        </w:rPr>
        <w:t xml:space="preserve">     /      </w:t>
      </w:r>
    </w:p>
    <w:p w14:paraId="7FF92F40">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7.4.2 委托人审核确认酬金结清与支付申请书的期限：</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6A4B8A38">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7.4.3 委托人完成酬金支付的期限：</w:t>
      </w:r>
      <w:r>
        <w:rPr>
          <w:rFonts w:hint="eastAsia" w:ascii="宋体" w:hAnsi="宋体" w:eastAsia="宋体" w:cs="宋体"/>
          <w:kern w:val="2"/>
          <w:sz w:val="24"/>
          <w:szCs w:val="24"/>
          <w:u w:val="single"/>
          <w:lang w:val="en-US" w:eastAsia="zh-CN" w:bidi="ar"/>
        </w:rPr>
        <w:t xml:space="preserve">  最终出具编制报告后一次性付清合同价款。若出具多个报告的，最终汇总按一个总价进行请款。</w:t>
      </w:r>
    </w:p>
    <w:p w14:paraId="7BB1BEA6">
      <w:pPr>
        <w:pStyle w:val="4"/>
        <w:widowControl/>
        <w:spacing w:beforeLines="0" w:beforeAutospacing="0" w:afterLines="0" w:afterAutospacing="0" w:line="500" w:lineRule="exact"/>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8. 变更</w:t>
      </w:r>
    </w:p>
    <w:p w14:paraId="2565011B">
      <w:pPr>
        <w:keepNext w:val="0"/>
        <w:keepLines w:val="0"/>
        <w:widowControl w:val="0"/>
        <w:suppressLineNumbers w:val="0"/>
        <w:spacing w:before="0" w:beforeLines="0" w:beforeAutospacing="0" w:after="0" w:afterLines="0" w:afterAutospacing="0" w:line="500" w:lineRule="exact"/>
        <w:ind w:left="0" w:right="0" w:firstLine="482" w:firstLineChars="20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8.1 变更的范围</w:t>
      </w:r>
    </w:p>
    <w:p w14:paraId="228052AA">
      <w:pPr>
        <w:keepNext w:val="0"/>
        <w:keepLines w:val="0"/>
        <w:widowControl w:val="0"/>
        <w:suppressLineNumbers w:val="0"/>
        <w:spacing w:before="0" w:beforeLines="0" w:beforeAutospacing="0" w:after="0" w:afterLines="0" w:afterAutospacing="0" w:line="500" w:lineRule="exact"/>
        <w:ind w:left="0" w:right="0" w:firstLine="6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（4）</w:t>
      </w:r>
      <w:r>
        <w:rPr>
          <w:rFonts w:hint="eastAsia" w:ascii="宋体" w:hAnsi="宋体" w:eastAsia="宋体" w:cs="宋体"/>
          <w:kern w:val="2"/>
          <w:sz w:val="24"/>
          <w:szCs w:val="24"/>
          <w:lang w:val="en-US" w:eastAsia="zh-CN" w:bidi="ar"/>
        </w:rPr>
        <w:t>变更的其他情形：</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678170E9">
      <w:pPr>
        <w:keepNext w:val="0"/>
        <w:keepLines w:val="0"/>
        <w:widowControl w:val="0"/>
        <w:suppressLineNumbers w:val="0"/>
        <w:spacing w:before="0" w:beforeLines="0" w:beforeAutospacing="0" w:after="0" w:afterLines="0" w:afterAutospacing="0" w:line="500" w:lineRule="exact"/>
        <w:ind w:left="0" w:right="0" w:firstLine="482" w:firstLineChars="20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8.2 变更引起的咨询酬金和期限调整</w:t>
      </w:r>
    </w:p>
    <w:p w14:paraId="28B2D52F">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 xml:space="preserve">8.2.1 变更引起咨询酬金调整的计算方法: </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2FE76042">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 xml:space="preserve">变更引起咨询期限调整的计算方法: </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30650C4D">
      <w:pPr>
        <w:keepNext w:val="0"/>
        <w:keepLines w:val="0"/>
        <w:widowControl w:val="0"/>
        <w:suppressLineNumbers w:val="0"/>
        <w:spacing w:before="0" w:beforeLines="0" w:beforeAutospacing="0" w:after="0" w:afterLines="0" w:afterAutospacing="0" w:line="500" w:lineRule="exact"/>
        <w:ind w:left="0" w:right="0" w:firstLine="482" w:firstLineChars="20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8.3 咨询人的合理化建议</w:t>
      </w:r>
    </w:p>
    <w:p w14:paraId="5B24C07A">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合理化建议奖励金额的比率：</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65DE4044">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合理化建议奖励的其他计算方法：</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4BAC0B93">
      <w:pPr>
        <w:pStyle w:val="4"/>
        <w:widowControl/>
        <w:spacing w:beforeLines="0" w:beforeAutospacing="0" w:afterLines="0" w:afterAutospacing="0" w:line="500" w:lineRule="exact"/>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9. 违约</w:t>
      </w:r>
    </w:p>
    <w:p w14:paraId="15735687">
      <w:pPr>
        <w:keepNext w:val="0"/>
        <w:keepLines w:val="0"/>
        <w:widowControl w:val="0"/>
        <w:suppressLineNumbers w:val="0"/>
        <w:spacing w:before="0" w:beforeLines="0" w:beforeAutospacing="0" w:after="0" w:afterLines="0" w:afterAutospacing="0" w:line="500" w:lineRule="exact"/>
        <w:ind w:left="0" w:right="0" w:firstLine="482" w:firstLineChars="20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9.1 委托人违约</w:t>
      </w:r>
    </w:p>
    <w:p w14:paraId="5F393CE6">
      <w:pPr>
        <w:keepNext w:val="0"/>
        <w:keepLines w:val="0"/>
        <w:widowControl w:val="0"/>
        <w:suppressLineNumbers w:val="0"/>
        <w:spacing w:before="120" w:beforeLines="0" w:beforeAutospacing="0" w:after="120" w:afterLines="0" w:afterAutospacing="0" w:line="5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关于委托人违约解除合同的特别约定：</w:t>
      </w:r>
      <w:r>
        <w:rPr>
          <w:rFonts w:hint="eastAsia" w:ascii="宋体" w:hAnsi="宋体" w:eastAsia="宋体" w:cs="宋体"/>
          <w:kern w:val="0"/>
          <w:sz w:val="24"/>
          <w:szCs w:val="24"/>
          <w:u w:val="single"/>
          <w:lang w:val="en-US" w:eastAsia="zh-CN" w:bidi="ar"/>
        </w:rPr>
        <w:t xml:space="preserve">    /          </w:t>
      </w:r>
      <w:r>
        <w:rPr>
          <w:rFonts w:hint="eastAsia" w:ascii="宋体" w:hAnsi="宋体" w:eastAsia="宋体" w:cs="宋体"/>
          <w:kern w:val="0"/>
          <w:sz w:val="24"/>
          <w:szCs w:val="24"/>
          <w:lang w:val="en-US" w:eastAsia="zh-CN" w:bidi="ar"/>
        </w:rPr>
        <w:t>。</w:t>
      </w:r>
    </w:p>
    <w:p w14:paraId="57ABB3C9">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因委托人违约解除合同的，关于已完咨询业务酬金结算和付款的约定：</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28DE863E">
      <w:pPr>
        <w:keepNext w:val="0"/>
        <w:keepLines w:val="0"/>
        <w:widowControl w:val="0"/>
        <w:suppressLineNumbers w:val="0"/>
        <w:spacing w:before="0" w:beforeLines="0" w:beforeAutospacing="0" w:after="0" w:afterLines="0" w:afterAutospacing="0" w:line="500" w:lineRule="exact"/>
        <w:ind w:left="0" w:right="0" w:firstLine="482" w:firstLineChars="20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9.2 咨询人违约</w:t>
      </w:r>
    </w:p>
    <w:p w14:paraId="66473C2D">
      <w:pPr>
        <w:keepNext w:val="0"/>
        <w:keepLines w:val="0"/>
        <w:widowControl w:val="0"/>
        <w:suppressLineNumbers w:val="0"/>
        <w:spacing w:before="120" w:beforeLines="0" w:beforeAutospacing="0" w:after="120" w:afterLines="0" w:afterAutospacing="0" w:line="500" w:lineRule="exact"/>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关于咨询人违约解除合同的特别约定：</w:t>
      </w:r>
      <w:r>
        <w:rPr>
          <w:rFonts w:hint="eastAsia" w:ascii="宋体" w:hAnsi="宋体" w:eastAsia="宋体" w:cs="宋体"/>
          <w:kern w:val="0"/>
          <w:sz w:val="24"/>
          <w:szCs w:val="24"/>
          <w:u w:val="single"/>
          <w:lang w:val="en-US" w:eastAsia="zh-CN" w:bidi="ar"/>
        </w:rPr>
        <w:t xml:space="preserve">       /        </w:t>
      </w:r>
      <w:r>
        <w:rPr>
          <w:rFonts w:hint="eastAsia" w:ascii="宋体" w:hAnsi="宋体" w:eastAsia="宋体" w:cs="宋体"/>
          <w:kern w:val="0"/>
          <w:sz w:val="24"/>
          <w:szCs w:val="24"/>
          <w:lang w:val="en-US" w:eastAsia="zh-CN" w:bidi="ar"/>
        </w:rPr>
        <w:t>。</w:t>
      </w:r>
    </w:p>
    <w:p w14:paraId="528DB2F6">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因咨询人违约解除合同的，关于已完咨询业务酬金结算和付款的约定：</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w:t>
      </w:r>
    </w:p>
    <w:p w14:paraId="56C74927">
      <w:pPr>
        <w:pStyle w:val="4"/>
        <w:widowControl/>
        <w:spacing w:beforeLines="0" w:beforeAutospacing="0" w:afterLines="0" w:afterAutospacing="0" w:line="500" w:lineRule="exact"/>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10. 争议解决</w:t>
      </w:r>
    </w:p>
    <w:p w14:paraId="7940C8D3">
      <w:pPr>
        <w:keepNext w:val="0"/>
        <w:keepLines w:val="0"/>
        <w:widowControl w:val="0"/>
        <w:suppressLineNumbers w:val="0"/>
        <w:spacing w:before="0" w:beforeLines="0" w:beforeAutospacing="0" w:after="0" w:afterLines="0" w:afterAutospacing="0" w:line="500" w:lineRule="exact"/>
        <w:ind w:left="0" w:right="0" w:firstLine="482" w:firstLineChars="20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10.3 仲裁或诉讼</w:t>
      </w:r>
    </w:p>
    <w:p w14:paraId="11B2F4C6">
      <w:pPr>
        <w:keepNext w:val="0"/>
        <w:keepLines w:val="0"/>
        <w:widowControl w:val="0"/>
        <w:suppressLineNumbers w:val="0"/>
        <w:spacing w:before="0" w:beforeLines="0" w:beforeAutospacing="0" w:after="12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因合同及合同有关事项发生的争议，按下列第</w:t>
      </w:r>
      <w:r>
        <w:rPr>
          <w:rFonts w:hint="eastAsia" w:ascii="宋体" w:hAnsi="宋体" w:eastAsia="宋体" w:cs="宋体"/>
          <w:kern w:val="2"/>
          <w:sz w:val="24"/>
          <w:szCs w:val="24"/>
          <w:u w:val="single"/>
          <w:lang w:val="en-US" w:eastAsia="zh-CN" w:bidi="ar"/>
        </w:rPr>
        <w:t xml:space="preserve"> （1） </w:t>
      </w:r>
      <w:r>
        <w:rPr>
          <w:rFonts w:hint="eastAsia" w:ascii="宋体" w:hAnsi="宋体" w:eastAsia="宋体" w:cs="宋体"/>
          <w:kern w:val="2"/>
          <w:sz w:val="24"/>
          <w:szCs w:val="24"/>
          <w:lang w:val="en-US" w:eastAsia="zh-CN" w:bidi="ar"/>
        </w:rPr>
        <w:t>种方式解决：</w:t>
      </w:r>
    </w:p>
    <w:p w14:paraId="6ED80233">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（1）</w:t>
      </w:r>
      <w:r>
        <w:rPr>
          <w:rFonts w:hint="eastAsia" w:ascii="宋体" w:hAnsi="宋体" w:eastAsia="宋体" w:cs="宋体"/>
          <w:kern w:val="2"/>
          <w:sz w:val="24"/>
          <w:szCs w:val="24"/>
          <w:lang w:val="en-US" w:eastAsia="zh-CN" w:bidi="ar"/>
        </w:rPr>
        <w:t>向</w:t>
      </w:r>
      <w:r>
        <w:rPr>
          <w:rFonts w:hint="eastAsia" w:ascii="宋体" w:hAnsi="宋体" w:eastAsia="宋体" w:cs="宋体"/>
          <w:kern w:val="2"/>
          <w:sz w:val="24"/>
          <w:szCs w:val="24"/>
          <w:u w:val="single"/>
          <w:lang w:val="en-US" w:eastAsia="zh-CN" w:bidi="ar"/>
        </w:rPr>
        <w:t xml:space="preserve">     滁州市        </w:t>
      </w:r>
      <w:r>
        <w:rPr>
          <w:rFonts w:hint="eastAsia" w:ascii="宋体" w:hAnsi="宋体" w:eastAsia="宋体" w:cs="宋体"/>
          <w:kern w:val="2"/>
          <w:sz w:val="24"/>
          <w:szCs w:val="24"/>
          <w:lang w:val="en-US" w:eastAsia="zh-CN" w:bidi="ar"/>
        </w:rPr>
        <w:t>仲裁委员会申请仲裁；</w:t>
      </w:r>
    </w:p>
    <w:p w14:paraId="0E2214A0">
      <w:pPr>
        <w:keepNext w:val="0"/>
        <w:keepLines w:val="0"/>
        <w:widowControl w:val="0"/>
        <w:suppressLineNumbers w:val="0"/>
        <w:spacing w:before="0" w:beforeLines="0" w:beforeAutospacing="0" w:after="0" w:afterLines="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（2）</w:t>
      </w:r>
      <w:r>
        <w:rPr>
          <w:rFonts w:hint="eastAsia" w:ascii="宋体" w:hAnsi="宋体" w:eastAsia="宋体" w:cs="宋体"/>
          <w:kern w:val="2"/>
          <w:sz w:val="24"/>
          <w:szCs w:val="24"/>
          <w:lang w:val="en-US" w:eastAsia="zh-CN" w:bidi="ar"/>
        </w:rPr>
        <w:t>向</w:t>
      </w:r>
      <w:r>
        <w:rPr>
          <w:rFonts w:hint="eastAsia" w:ascii="宋体" w:hAnsi="宋体" w:eastAsia="宋体" w:cs="宋体"/>
          <w:kern w:val="2"/>
          <w:sz w:val="24"/>
          <w:szCs w:val="24"/>
          <w:u w:val="single"/>
          <w:lang w:val="en-US" w:eastAsia="zh-CN" w:bidi="ar"/>
        </w:rPr>
        <w:t xml:space="preserve">          /           </w:t>
      </w:r>
      <w:r>
        <w:rPr>
          <w:rFonts w:hint="eastAsia" w:ascii="宋体" w:hAnsi="宋体" w:eastAsia="宋体" w:cs="宋体"/>
          <w:kern w:val="2"/>
          <w:sz w:val="24"/>
          <w:szCs w:val="24"/>
          <w:lang w:val="en-US" w:eastAsia="zh-CN" w:bidi="ar"/>
        </w:rPr>
        <w:t>人民法院起诉。</w:t>
      </w:r>
    </w:p>
    <w:p w14:paraId="15F0C1BF">
      <w:pPr>
        <w:pStyle w:val="4"/>
        <w:widowControl/>
        <w:spacing w:beforeLines="0" w:beforeAutospacing="0" w:afterLines="0" w:afterAutospacing="0" w:line="500" w:lineRule="exact"/>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rPr>
        <w:t>11. 补充条款</w:t>
      </w:r>
    </w:p>
    <w:p w14:paraId="32DE8EE8">
      <w:pPr>
        <w:keepNext w:val="0"/>
        <w:keepLines w:val="0"/>
        <w:widowControl/>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1、严格执行《工程量清单及最高限价编制管理办法》规定。</w:t>
      </w:r>
    </w:p>
    <w:p w14:paraId="0D6F3263">
      <w:pPr>
        <w:keepNext w:val="0"/>
        <w:keepLines w:val="0"/>
        <w:widowControl/>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2、咨询人须为本项目预留足够人员并驻场服务，确保服务质量及不耽误项目建设进度。咨询人中标后须按照委托人要求及时完成工程量清单及最高限价编制，并积极配合委托人开展工程的招投标工作。</w:t>
      </w:r>
    </w:p>
    <w:p w14:paraId="00D491E5">
      <w:pPr>
        <w:keepNext w:val="0"/>
        <w:keepLines w:val="0"/>
        <w:widowControl/>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3、工程量清单最高投标限价编制及复核过程中，咨询人应与委托人充分及时沟通，及时踏勘项目现场，以使清单项目特征描述尽可能详尽,满足委托人要求。</w:t>
      </w:r>
    </w:p>
    <w:p w14:paraId="2C975A91">
      <w:pPr>
        <w:keepNext w:val="0"/>
        <w:keepLines w:val="0"/>
        <w:widowControl/>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4、当完成工程量清单及最高投标限价编制及复核时，投标人根据自己的工作经验向委托人提出有关造价及工作管理等方面的建议性意见。</w:t>
      </w:r>
    </w:p>
    <w:p w14:paraId="357128B1">
      <w:pPr>
        <w:keepNext w:val="0"/>
        <w:keepLines w:val="0"/>
        <w:widowControl/>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咨询品牌不应少于3家。</w:t>
      </w:r>
    </w:p>
    <w:p w14:paraId="181C8F2C">
      <w:pPr>
        <w:keepNext w:val="0"/>
        <w:keepLines w:val="0"/>
        <w:widowControl/>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6、委托人安排的其他合理事项，咨询人应予以配合完成；咨询人有错、漏项的必须及时配合补充编制、复审。否则业主有权上报有关主管部门给予处罚。</w:t>
      </w:r>
    </w:p>
    <w:p w14:paraId="6B482BFD">
      <w:pPr>
        <w:keepNext w:val="0"/>
        <w:keepLines w:val="0"/>
        <w:widowControl/>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7、根据委托人安排，通知中标单位项目负责人及编制人员到场开会，如有一次不到场，每一次处以5000元违约金。</w:t>
      </w:r>
    </w:p>
    <w:p w14:paraId="122BC145">
      <w:pPr>
        <w:keepNext w:val="0"/>
        <w:keepLines w:val="0"/>
        <w:widowControl/>
        <w:suppressLineNumbers w:val="0"/>
        <w:spacing w:before="0" w:beforeLines="0" w:beforeAutospacing="0" w:after="0" w:afterLines="0" w:afterAutospacing="0" w:line="500" w:lineRule="exact"/>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8、本项目在实施过程中可能存在减少（或增加）楼层导致的编制工作量减少（或增加）时，咨询人须无条件配合工作。</w:t>
      </w:r>
    </w:p>
    <w:p w14:paraId="6A57C254">
      <w:pPr>
        <w:keepNext w:val="0"/>
        <w:keepLines w:val="0"/>
        <w:widowControl w:val="0"/>
        <w:suppressLineNumbers w:val="0"/>
        <w:spacing w:before="0" w:beforeLines="0" w:beforeAutospacing="0" w:after="0" w:afterLines="0" w:afterAutospacing="0" w:line="500" w:lineRule="exact"/>
        <w:ind w:left="0" w:right="0"/>
        <w:jc w:val="both"/>
        <w:rPr>
          <w:rFonts w:hint="eastAsia" w:ascii="仿宋_GB2312" w:eastAsia="仿宋_GB2312" w:cs="仿宋_GB2312"/>
          <w:kern w:val="2"/>
          <w:sz w:val="30"/>
          <w:szCs w:val="30"/>
        </w:rPr>
      </w:pPr>
      <w:r>
        <w:rPr>
          <w:rFonts w:hint="eastAsia" w:ascii="仿宋_GB2312" w:hAnsi="Times New Roman" w:eastAsia="仿宋_GB2312" w:cs="仿宋_GB2312"/>
          <w:kern w:val="2"/>
          <w:sz w:val="30"/>
          <w:szCs w:val="30"/>
          <w:lang w:val="en-US" w:eastAsia="zh-CN" w:bidi="ar"/>
        </w:rPr>
        <w:t xml:space="preserve"> </w:t>
      </w:r>
    </w:p>
    <w:p w14:paraId="4E45D55D">
      <w:pPr>
        <w:pStyle w:val="41"/>
        <w:keepNext w:val="0"/>
        <w:keepLines w:val="0"/>
        <w:widowControl w:val="0"/>
        <w:suppressLineNumbers w:val="0"/>
        <w:spacing w:before="0" w:beforeLines="0" w:beforeAutospacing="0" w:after="0" w:afterLines="0" w:afterAutospacing="0" w:line="500" w:lineRule="exact"/>
        <w:ind w:left="0" w:right="0" w:firstLine="600" w:firstLineChars="200"/>
        <w:jc w:val="both"/>
        <w:rPr>
          <w:rFonts w:hint="eastAsia" w:ascii="仿宋_GB2312" w:eastAsia="仿宋_GB2312" w:cs="仿宋_GB2312"/>
          <w:kern w:val="2"/>
          <w:sz w:val="30"/>
          <w:szCs w:val="30"/>
        </w:rPr>
      </w:pPr>
    </w:p>
    <w:p w14:paraId="50CBD3E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6FCA7EF8">
      <w:pP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br w:type="page"/>
      </w:r>
    </w:p>
    <w:p w14:paraId="72411626">
      <w:pPr>
        <w:pStyle w:val="41"/>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kern w:val="2"/>
          <w:sz w:val="28"/>
          <w:szCs w:val="28"/>
          <w:lang w:val="en-US" w:eastAsia="zh-CN" w:bidi="ar"/>
        </w:rPr>
        <w:sectPr>
          <w:footerReference r:id="rId9" w:type="default"/>
          <w:pgSz w:w="11906" w:h="16838"/>
          <w:pgMar w:top="935" w:right="1106" w:bottom="936" w:left="1259" w:header="680" w:footer="680" w:gutter="0"/>
          <w:pgNumType w:fmt="decimal"/>
          <w:cols w:space="0" w:num="1"/>
          <w:docGrid w:type="lines" w:linePitch="318" w:charSpace="0"/>
        </w:sectPr>
      </w:pPr>
    </w:p>
    <w:p w14:paraId="738BBB55">
      <w:pPr>
        <w:pStyle w:val="41"/>
        <w:keepNext w:val="0"/>
        <w:keepLines w:val="0"/>
        <w:widowControl/>
        <w:suppressLineNumbers w:val="0"/>
        <w:spacing w:before="0" w:beforeAutospacing="0" w:after="0" w:afterAutospacing="0" w:line="500" w:lineRule="exact"/>
        <w:ind w:left="0" w:right="0" w:firstLine="562" w:firstLineChars="20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附表</w:t>
      </w:r>
    </w:p>
    <w:p w14:paraId="040D9C54">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费率：</w:t>
      </w:r>
      <w:r>
        <w:rPr>
          <w:rFonts w:hint="default" w:ascii="Times New Roman" w:hAnsi="Times New Roman" w:eastAsia="宋体" w:cs="Times New Roman"/>
          <w:kern w:val="2"/>
          <w:sz w:val="21"/>
          <w:szCs w:val="21"/>
          <w:lang w:val="en-US" w:eastAsia="zh-CN" w:bidi="ar"/>
        </w:rPr>
        <w:t>‰</w:t>
      </w:r>
    </w:p>
    <w:tbl>
      <w:tblPr>
        <w:tblStyle w:val="45"/>
        <w:tblW w:w="14038" w:type="dxa"/>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1E8B3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1E78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序号</w:t>
            </w:r>
          </w:p>
        </w:tc>
        <w:tc>
          <w:tcPr>
            <w:tcW w:w="2131"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7FFB13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咨询项目</w:t>
            </w:r>
          </w:p>
        </w:tc>
        <w:tc>
          <w:tcPr>
            <w:tcW w:w="755" w:type="dxa"/>
            <w:vMerge w:val="restart"/>
            <w:tcBorders>
              <w:top w:val="single" w:color="000000" w:sz="4" w:space="0"/>
              <w:left w:val="nil"/>
              <w:bottom w:val="single" w:color="000000" w:sz="4" w:space="0"/>
              <w:right w:val="single" w:color="000000" w:sz="4" w:space="0"/>
            </w:tcBorders>
            <w:shd w:val="clear" w:color="auto" w:fill="auto"/>
            <w:vAlign w:val="center"/>
          </w:tcPr>
          <w:p w14:paraId="169ACF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收费</w:t>
            </w:r>
          </w:p>
          <w:p w14:paraId="15F1DD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基础</w:t>
            </w:r>
          </w:p>
        </w:tc>
        <w:tc>
          <w:tcPr>
            <w:tcW w:w="1745"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48DF23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工程类型</w:t>
            </w:r>
          </w:p>
        </w:tc>
        <w:tc>
          <w:tcPr>
            <w:tcW w:w="4465" w:type="dxa"/>
            <w:gridSpan w:val="14"/>
            <w:tcBorders>
              <w:top w:val="single" w:color="000000" w:sz="4" w:space="0"/>
              <w:left w:val="nil"/>
              <w:bottom w:val="single" w:color="000000" w:sz="4" w:space="0"/>
              <w:right w:val="single" w:color="000000" w:sz="4" w:space="0"/>
            </w:tcBorders>
            <w:shd w:val="clear" w:color="auto" w:fill="auto"/>
            <w:vAlign w:val="center"/>
          </w:tcPr>
          <w:p w14:paraId="629433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单位工程金额(万元)</w:t>
            </w:r>
          </w:p>
        </w:tc>
        <w:tc>
          <w:tcPr>
            <w:tcW w:w="4226" w:type="dxa"/>
            <w:vMerge w:val="restart"/>
            <w:tcBorders>
              <w:top w:val="single" w:color="000000" w:sz="4" w:space="0"/>
              <w:left w:val="nil"/>
              <w:bottom w:val="single" w:color="000000" w:sz="4" w:space="0"/>
              <w:right w:val="single" w:color="000000" w:sz="4" w:space="0"/>
            </w:tcBorders>
            <w:shd w:val="clear" w:color="auto" w:fill="auto"/>
            <w:vAlign w:val="center"/>
          </w:tcPr>
          <w:p w14:paraId="07FD63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服务内容</w:t>
            </w:r>
          </w:p>
        </w:tc>
      </w:tr>
      <w:tr w14:paraId="57527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93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31"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002374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5" w:type="dxa"/>
            <w:vMerge w:val="continue"/>
            <w:tcBorders>
              <w:top w:val="single" w:color="000000" w:sz="4" w:space="0"/>
              <w:left w:val="nil"/>
              <w:bottom w:val="single" w:color="000000" w:sz="4" w:space="0"/>
              <w:right w:val="single" w:color="000000" w:sz="4" w:space="0"/>
            </w:tcBorders>
            <w:shd w:val="clear" w:color="auto" w:fill="auto"/>
            <w:vAlign w:val="center"/>
          </w:tcPr>
          <w:p w14:paraId="6A54C4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5"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53F1FB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8" w:type="dxa"/>
            <w:tcBorders>
              <w:top w:val="single" w:color="000000" w:sz="4" w:space="0"/>
              <w:left w:val="nil"/>
              <w:bottom w:val="single" w:color="000000" w:sz="4" w:space="0"/>
              <w:right w:val="single" w:color="000000" w:sz="4" w:space="0"/>
            </w:tcBorders>
            <w:shd w:val="clear" w:color="auto" w:fill="auto"/>
            <w:vAlign w:val="center"/>
          </w:tcPr>
          <w:p w14:paraId="01DE58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100</w:t>
            </w:r>
          </w:p>
          <w:p w14:paraId="43E25F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以内</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15CFE3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200</w:t>
            </w:r>
          </w:p>
          <w:p w14:paraId="572680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以内</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40753EB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500</w:t>
            </w:r>
          </w:p>
          <w:p w14:paraId="0CFA91E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以内</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1B56BA1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1000</w:t>
            </w:r>
          </w:p>
          <w:p w14:paraId="425C838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以内</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005EF7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2000</w:t>
            </w:r>
          </w:p>
          <w:p w14:paraId="336E48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以内</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39ADA3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5000</w:t>
            </w:r>
          </w:p>
          <w:p w14:paraId="0B1075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以内</w:t>
            </w:r>
          </w:p>
        </w:tc>
        <w:tc>
          <w:tcPr>
            <w:tcW w:w="562" w:type="dxa"/>
            <w:gridSpan w:val="3"/>
            <w:tcBorders>
              <w:top w:val="single" w:color="000000" w:sz="4" w:space="0"/>
              <w:left w:val="nil"/>
              <w:bottom w:val="single" w:color="000000" w:sz="4" w:space="0"/>
              <w:right w:val="single" w:color="000000" w:sz="4" w:space="0"/>
            </w:tcBorders>
            <w:shd w:val="clear" w:color="auto" w:fill="auto"/>
            <w:vAlign w:val="center"/>
          </w:tcPr>
          <w:p w14:paraId="4AC652B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10000</w:t>
            </w:r>
          </w:p>
          <w:p w14:paraId="26DC0D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以内</w:t>
            </w:r>
          </w:p>
        </w:tc>
        <w:tc>
          <w:tcPr>
            <w:tcW w:w="684" w:type="dxa"/>
            <w:gridSpan w:val="2"/>
            <w:tcBorders>
              <w:top w:val="single" w:color="000000" w:sz="4" w:space="0"/>
              <w:left w:val="nil"/>
              <w:bottom w:val="single" w:color="000000" w:sz="4" w:space="0"/>
              <w:right w:val="single" w:color="000000" w:sz="4" w:space="0"/>
            </w:tcBorders>
            <w:shd w:val="clear" w:color="auto" w:fill="auto"/>
            <w:vAlign w:val="center"/>
          </w:tcPr>
          <w:p w14:paraId="04437BB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10000</w:t>
            </w:r>
          </w:p>
          <w:p w14:paraId="4F9C5D6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以上</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6AA33C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5E54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9F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一</w:t>
            </w:r>
          </w:p>
        </w:tc>
        <w:tc>
          <w:tcPr>
            <w:tcW w:w="2131" w:type="dxa"/>
            <w:gridSpan w:val="2"/>
            <w:tcBorders>
              <w:top w:val="single" w:color="000000" w:sz="4" w:space="0"/>
              <w:left w:val="nil"/>
              <w:bottom w:val="single" w:color="000000" w:sz="4" w:space="0"/>
              <w:right w:val="single" w:color="000000" w:sz="4" w:space="0"/>
            </w:tcBorders>
            <w:shd w:val="clear" w:color="auto" w:fill="auto"/>
            <w:vAlign w:val="center"/>
          </w:tcPr>
          <w:p w14:paraId="60BBF1D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可行性项目投资估算</w:t>
            </w:r>
          </w:p>
        </w:tc>
        <w:tc>
          <w:tcPr>
            <w:tcW w:w="755" w:type="dxa"/>
            <w:tcBorders>
              <w:top w:val="single" w:color="000000" w:sz="4" w:space="0"/>
              <w:left w:val="nil"/>
              <w:bottom w:val="single" w:color="000000" w:sz="4" w:space="0"/>
              <w:right w:val="single" w:color="000000" w:sz="4" w:space="0"/>
            </w:tcBorders>
            <w:shd w:val="clear" w:color="auto" w:fill="auto"/>
            <w:vAlign w:val="center"/>
          </w:tcPr>
          <w:p w14:paraId="18EB488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估算价</w:t>
            </w: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384DECA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c>
          <w:tcPr>
            <w:tcW w:w="558" w:type="dxa"/>
            <w:tcBorders>
              <w:top w:val="single" w:color="000000" w:sz="4" w:space="0"/>
              <w:left w:val="nil"/>
              <w:bottom w:val="single" w:color="000000" w:sz="4" w:space="0"/>
              <w:right w:val="single" w:color="000000" w:sz="4" w:space="0"/>
            </w:tcBorders>
            <w:shd w:val="clear" w:color="auto" w:fill="auto"/>
            <w:vAlign w:val="center"/>
          </w:tcPr>
          <w:p w14:paraId="3A1F64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0EFE784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1D4D64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1.7</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6329D3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1.5</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1281CF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1.3</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C84E8E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1.1</w:t>
            </w:r>
          </w:p>
        </w:tc>
        <w:tc>
          <w:tcPr>
            <w:tcW w:w="562" w:type="dxa"/>
            <w:gridSpan w:val="3"/>
            <w:tcBorders>
              <w:top w:val="single" w:color="000000" w:sz="4" w:space="0"/>
              <w:left w:val="nil"/>
              <w:bottom w:val="single" w:color="000000" w:sz="4" w:space="0"/>
              <w:right w:val="single" w:color="000000" w:sz="4" w:space="0"/>
            </w:tcBorders>
            <w:shd w:val="clear" w:color="auto" w:fill="auto"/>
            <w:vAlign w:val="center"/>
          </w:tcPr>
          <w:p w14:paraId="655FB69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0.9</w:t>
            </w:r>
          </w:p>
        </w:tc>
        <w:tc>
          <w:tcPr>
            <w:tcW w:w="684" w:type="dxa"/>
            <w:gridSpan w:val="2"/>
            <w:tcBorders>
              <w:top w:val="single" w:color="000000" w:sz="4" w:space="0"/>
              <w:left w:val="nil"/>
              <w:bottom w:val="single" w:color="000000" w:sz="4" w:space="0"/>
              <w:right w:val="single" w:color="000000" w:sz="4" w:space="0"/>
            </w:tcBorders>
            <w:shd w:val="clear" w:color="auto" w:fill="auto"/>
            <w:vAlign w:val="center"/>
          </w:tcPr>
          <w:p w14:paraId="0A4363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0.7</w:t>
            </w:r>
          </w:p>
        </w:tc>
        <w:tc>
          <w:tcPr>
            <w:tcW w:w="4226" w:type="dxa"/>
            <w:vMerge w:val="restart"/>
            <w:tcBorders>
              <w:top w:val="nil"/>
              <w:left w:val="nil"/>
              <w:bottom w:val="single" w:color="000000" w:sz="4" w:space="0"/>
              <w:right w:val="single" w:color="000000" w:sz="4" w:space="0"/>
            </w:tcBorders>
            <w:shd w:val="clear" w:color="auto" w:fill="auto"/>
            <w:vAlign w:val="center"/>
          </w:tcPr>
          <w:p w14:paraId="2A622B3D">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调查、收集资料，完成和出具投资估算或可行性经济评价报告</w:t>
            </w:r>
          </w:p>
        </w:tc>
      </w:tr>
      <w:tr w14:paraId="2C060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CA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二</w:t>
            </w:r>
          </w:p>
        </w:tc>
        <w:tc>
          <w:tcPr>
            <w:tcW w:w="2131" w:type="dxa"/>
            <w:gridSpan w:val="2"/>
            <w:tcBorders>
              <w:top w:val="single" w:color="000000" w:sz="4" w:space="0"/>
              <w:left w:val="nil"/>
              <w:bottom w:val="single" w:color="000000" w:sz="4" w:space="0"/>
              <w:right w:val="single" w:color="000000" w:sz="4" w:space="0"/>
            </w:tcBorders>
            <w:shd w:val="clear" w:color="auto" w:fill="auto"/>
            <w:vAlign w:val="center"/>
          </w:tcPr>
          <w:p w14:paraId="4FBA8D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项目经济评价</w:t>
            </w:r>
          </w:p>
        </w:tc>
        <w:tc>
          <w:tcPr>
            <w:tcW w:w="755" w:type="dxa"/>
            <w:tcBorders>
              <w:top w:val="single" w:color="000000" w:sz="4" w:space="0"/>
              <w:left w:val="nil"/>
              <w:bottom w:val="single" w:color="000000" w:sz="4" w:space="0"/>
              <w:right w:val="single" w:color="000000" w:sz="4" w:space="0"/>
            </w:tcBorders>
            <w:shd w:val="clear" w:color="auto" w:fill="auto"/>
            <w:vAlign w:val="center"/>
          </w:tcPr>
          <w:p w14:paraId="5A1EDAD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估算价</w:t>
            </w: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25A2D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c>
          <w:tcPr>
            <w:tcW w:w="558" w:type="dxa"/>
            <w:tcBorders>
              <w:top w:val="single" w:color="000000" w:sz="4" w:space="0"/>
              <w:left w:val="nil"/>
              <w:bottom w:val="single" w:color="000000" w:sz="4" w:space="0"/>
              <w:right w:val="single" w:color="000000" w:sz="4" w:space="0"/>
            </w:tcBorders>
            <w:shd w:val="clear" w:color="auto" w:fill="auto"/>
            <w:vAlign w:val="center"/>
          </w:tcPr>
          <w:p w14:paraId="3478F5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73C96F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011B8DB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1.8</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59BADD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1.6</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0F66A7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1.4</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3E8CFB0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1.2</w:t>
            </w:r>
          </w:p>
        </w:tc>
        <w:tc>
          <w:tcPr>
            <w:tcW w:w="562" w:type="dxa"/>
            <w:gridSpan w:val="3"/>
            <w:tcBorders>
              <w:top w:val="single" w:color="000000" w:sz="4" w:space="0"/>
              <w:left w:val="nil"/>
              <w:bottom w:val="single" w:color="000000" w:sz="4" w:space="0"/>
              <w:right w:val="single" w:color="000000" w:sz="4" w:space="0"/>
            </w:tcBorders>
            <w:shd w:val="clear" w:color="auto" w:fill="auto"/>
            <w:vAlign w:val="center"/>
          </w:tcPr>
          <w:p w14:paraId="6A512E0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w:t>
            </w:r>
          </w:p>
        </w:tc>
        <w:tc>
          <w:tcPr>
            <w:tcW w:w="684" w:type="dxa"/>
            <w:gridSpan w:val="2"/>
            <w:tcBorders>
              <w:top w:val="single" w:color="000000" w:sz="4" w:space="0"/>
              <w:left w:val="nil"/>
              <w:bottom w:val="single" w:color="000000" w:sz="4" w:space="0"/>
              <w:right w:val="single" w:color="000000" w:sz="4" w:space="0"/>
            </w:tcBorders>
            <w:shd w:val="clear" w:color="auto" w:fill="auto"/>
            <w:vAlign w:val="center"/>
          </w:tcPr>
          <w:p w14:paraId="587044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0.8</w:t>
            </w:r>
          </w:p>
        </w:tc>
        <w:tc>
          <w:tcPr>
            <w:tcW w:w="4226" w:type="dxa"/>
            <w:vMerge w:val="continue"/>
            <w:tcBorders>
              <w:top w:val="nil"/>
              <w:left w:val="nil"/>
              <w:bottom w:val="single" w:color="000000" w:sz="4" w:space="0"/>
              <w:right w:val="single" w:color="000000" w:sz="4" w:space="0"/>
            </w:tcBorders>
            <w:shd w:val="clear" w:color="auto" w:fill="auto"/>
            <w:vAlign w:val="center"/>
          </w:tcPr>
          <w:p w14:paraId="17E71D2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5741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93F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三</w:t>
            </w:r>
          </w:p>
        </w:tc>
        <w:tc>
          <w:tcPr>
            <w:tcW w:w="2131" w:type="dxa"/>
            <w:gridSpan w:val="2"/>
            <w:tcBorders>
              <w:top w:val="single" w:color="000000" w:sz="4" w:space="0"/>
              <w:left w:val="nil"/>
              <w:bottom w:val="single" w:color="000000" w:sz="4" w:space="0"/>
              <w:right w:val="single" w:color="000000" w:sz="4" w:space="0"/>
            </w:tcBorders>
            <w:shd w:val="clear" w:color="auto" w:fill="auto"/>
            <w:vAlign w:val="center"/>
          </w:tcPr>
          <w:p w14:paraId="6940938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工程项目设计概算</w:t>
            </w:r>
          </w:p>
        </w:tc>
        <w:tc>
          <w:tcPr>
            <w:tcW w:w="755" w:type="dxa"/>
            <w:tcBorders>
              <w:top w:val="single" w:color="000000" w:sz="4" w:space="0"/>
              <w:left w:val="nil"/>
              <w:bottom w:val="single" w:color="000000" w:sz="4" w:space="0"/>
              <w:right w:val="single" w:color="000000" w:sz="4" w:space="0"/>
            </w:tcBorders>
            <w:shd w:val="clear" w:color="auto" w:fill="auto"/>
            <w:vAlign w:val="center"/>
          </w:tcPr>
          <w:p w14:paraId="196E3B8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概算价</w:t>
            </w: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15F5C1F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c>
          <w:tcPr>
            <w:tcW w:w="558" w:type="dxa"/>
            <w:tcBorders>
              <w:top w:val="single" w:color="000000" w:sz="4" w:space="0"/>
              <w:left w:val="nil"/>
              <w:bottom w:val="single" w:color="000000" w:sz="4" w:space="0"/>
              <w:right w:val="single" w:color="000000" w:sz="4" w:space="0"/>
            </w:tcBorders>
            <w:shd w:val="clear" w:color="auto" w:fill="auto"/>
            <w:vAlign w:val="center"/>
          </w:tcPr>
          <w:p w14:paraId="0237EC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78E6E54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2C11BBE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0BB504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1.8</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5F29ED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1.6</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3BAD392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1.4</w:t>
            </w:r>
          </w:p>
        </w:tc>
        <w:tc>
          <w:tcPr>
            <w:tcW w:w="562" w:type="dxa"/>
            <w:gridSpan w:val="3"/>
            <w:tcBorders>
              <w:top w:val="single" w:color="000000" w:sz="4" w:space="0"/>
              <w:left w:val="nil"/>
              <w:bottom w:val="single" w:color="000000" w:sz="4" w:space="0"/>
              <w:right w:val="single" w:color="000000" w:sz="4" w:space="0"/>
            </w:tcBorders>
            <w:shd w:val="clear" w:color="auto" w:fill="auto"/>
            <w:vAlign w:val="center"/>
          </w:tcPr>
          <w:p w14:paraId="4C372FD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1.2</w:t>
            </w:r>
          </w:p>
        </w:tc>
        <w:tc>
          <w:tcPr>
            <w:tcW w:w="684" w:type="dxa"/>
            <w:gridSpan w:val="2"/>
            <w:tcBorders>
              <w:top w:val="single" w:color="000000" w:sz="4" w:space="0"/>
              <w:left w:val="nil"/>
              <w:bottom w:val="single" w:color="000000" w:sz="4" w:space="0"/>
              <w:right w:val="single" w:color="000000" w:sz="4" w:space="0"/>
            </w:tcBorders>
            <w:shd w:val="clear" w:color="auto" w:fill="auto"/>
            <w:vAlign w:val="center"/>
          </w:tcPr>
          <w:p w14:paraId="77287D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w:t>
            </w:r>
          </w:p>
        </w:tc>
        <w:tc>
          <w:tcPr>
            <w:tcW w:w="4226" w:type="dxa"/>
            <w:tcBorders>
              <w:top w:val="single" w:color="000000" w:sz="4" w:space="0"/>
              <w:left w:val="nil"/>
              <w:bottom w:val="single" w:color="000000" w:sz="4" w:space="0"/>
              <w:right w:val="single" w:color="000000" w:sz="4" w:space="0"/>
            </w:tcBorders>
            <w:shd w:val="clear" w:color="auto" w:fill="auto"/>
            <w:vAlign w:val="center"/>
          </w:tcPr>
          <w:p w14:paraId="409DADC3">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收集资料，根据初步设计图计算或复核工程量进行工料分析，出具工程概算书或审核报告</w:t>
            </w:r>
          </w:p>
        </w:tc>
      </w:tr>
      <w:tr w14:paraId="24540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7FE521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四</w:t>
            </w:r>
          </w:p>
        </w:tc>
        <w:tc>
          <w:tcPr>
            <w:tcW w:w="448" w:type="dxa"/>
            <w:vMerge w:val="restart"/>
            <w:tcBorders>
              <w:top w:val="nil"/>
              <w:left w:val="nil"/>
              <w:bottom w:val="single" w:color="000000" w:sz="4" w:space="0"/>
              <w:right w:val="single" w:color="000000" w:sz="4" w:space="0"/>
            </w:tcBorders>
            <w:shd w:val="clear" w:color="auto" w:fill="auto"/>
            <w:vAlign w:val="center"/>
          </w:tcPr>
          <w:p w14:paraId="3489FAB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定</w:t>
            </w:r>
          </w:p>
          <w:p w14:paraId="25622E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额</w:t>
            </w:r>
          </w:p>
          <w:p w14:paraId="66C24D6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计</w:t>
            </w:r>
          </w:p>
          <w:p w14:paraId="7F93E6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价</w:t>
            </w:r>
          </w:p>
        </w:tc>
        <w:tc>
          <w:tcPr>
            <w:tcW w:w="1683" w:type="dxa"/>
            <w:vMerge w:val="restart"/>
            <w:tcBorders>
              <w:top w:val="nil"/>
              <w:left w:val="nil"/>
              <w:bottom w:val="single" w:color="000000" w:sz="4" w:space="0"/>
              <w:right w:val="single" w:color="000000" w:sz="4" w:space="0"/>
            </w:tcBorders>
            <w:shd w:val="clear" w:color="auto" w:fill="auto"/>
            <w:vAlign w:val="center"/>
          </w:tcPr>
          <w:p w14:paraId="18662D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工程预算、结算、标底编制</w:t>
            </w:r>
          </w:p>
        </w:tc>
        <w:tc>
          <w:tcPr>
            <w:tcW w:w="755" w:type="dxa"/>
            <w:vMerge w:val="restart"/>
            <w:tcBorders>
              <w:top w:val="nil"/>
              <w:left w:val="nil"/>
              <w:bottom w:val="single" w:color="000000" w:sz="4" w:space="0"/>
              <w:right w:val="single" w:color="000000" w:sz="4" w:space="0"/>
            </w:tcBorders>
            <w:shd w:val="clear" w:color="auto" w:fill="auto"/>
            <w:vAlign w:val="center"/>
          </w:tcPr>
          <w:p w14:paraId="2396DE2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工程造价</w:t>
            </w: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0A766F06">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建筑工程</w:t>
            </w:r>
          </w:p>
        </w:tc>
        <w:tc>
          <w:tcPr>
            <w:tcW w:w="558" w:type="dxa"/>
            <w:tcBorders>
              <w:top w:val="single" w:color="000000" w:sz="4" w:space="0"/>
              <w:left w:val="nil"/>
              <w:bottom w:val="single" w:color="000000" w:sz="4" w:space="0"/>
              <w:right w:val="single" w:color="000000" w:sz="4" w:space="0"/>
            </w:tcBorders>
            <w:shd w:val="clear" w:color="auto" w:fill="auto"/>
            <w:vAlign w:val="center"/>
          </w:tcPr>
          <w:p w14:paraId="2B093B1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4</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53782E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3.6</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748D3D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3.2</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646609A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2.8</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6A3B05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2.5</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3CBF82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2.3</w:t>
            </w:r>
          </w:p>
        </w:tc>
        <w:tc>
          <w:tcPr>
            <w:tcW w:w="562" w:type="dxa"/>
            <w:gridSpan w:val="3"/>
            <w:tcBorders>
              <w:top w:val="single" w:color="000000" w:sz="4" w:space="0"/>
              <w:left w:val="nil"/>
              <w:bottom w:val="single" w:color="000000" w:sz="4" w:space="0"/>
              <w:right w:val="single" w:color="000000" w:sz="4" w:space="0"/>
            </w:tcBorders>
            <w:shd w:val="clear" w:color="auto" w:fill="auto"/>
            <w:vAlign w:val="center"/>
          </w:tcPr>
          <w:p w14:paraId="699CED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2.1</w:t>
            </w:r>
          </w:p>
        </w:tc>
        <w:tc>
          <w:tcPr>
            <w:tcW w:w="684" w:type="dxa"/>
            <w:gridSpan w:val="2"/>
            <w:tcBorders>
              <w:top w:val="single" w:color="000000" w:sz="4" w:space="0"/>
              <w:left w:val="nil"/>
              <w:bottom w:val="single" w:color="000000" w:sz="4" w:space="0"/>
              <w:right w:val="single" w:color="000000" w:sz="4" w:space="0"/>
            </w:tcBorders>
            <w:shd w:val="clear" w:color="auto" w:fill="auto"/>
            <w:vAlign w:val="center"/>
          </w:tcPr>
          <w:p w14:paraId="664850B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1.9</w:t>
            </w:r>
          </w:p>
        </w:tc>
        <w:tc>
          <w:tcPr>
            <w:tcW w:w="4226" w:type="dxa"/>
            <w:vMerge w:val="restart"/>
            <w:tcBorders>
              <w:top w:val="single" w:color="000000" w:sz="4" w:space="0"/>
              <w:left w:val="nil"/>
              <w:bottom w:val="single" w:color="000000" w:sz="4" w:space="0"/>
              <w:right w:val="single" w:color="000000" w:sz="4" w:space="0"/>
            </w:tcBorders>
            <w:shd w:val="clear" w:color="auto" w:fill="auto"/>
            <w:vAlign w:val="center"/>
          </w:tcPr>
          <w:p w14:paraId="3A7943E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收集资料，根据施工图或施工技术规范计算工程量，进行工料分析，</w:t>
            </w:r>
          </w:p>
          <w:p w14:paraId="31614AD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完成计价，出具工程概算书或工程结算书</w:t>
            </w:r>
          </w:p>
        </w:tc>
      </w:tr>
      <w:tr w14:paraId="228FB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16B0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 w:type="dxa"/>
            <w:vMerge w:val="continue"/>
            <w:tcBorders>
              <w:top w:val="nil"/>
              <w:left w:val="nil"/>
              <w:bottom w:val="single" w:color="000000" w:sz="4" w:space="0"/>
              <w:right w:val="single" w:color="000000" w:sz="4" w:space="0"/>
            </w:tcBorders>
            <w:shd w:val="clear" w:color="auto" w:fill="auto"/>
            <w:vAlign w:val="center"/>
          </w:tcPr>
          <w:p w14:paraId="0CB83EE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continue"/>
            <w:tcBorders>
              <w:top w:val="nil"/>
              <w:left w:val="nil"/>
              <w:bottom w:val="single" w:color="000000" w:sz="4" w:space="0"/>
              <w:right w:val="single" w:color="000000" w:sz="4" w:space="0"/>
            </w:tcBorders>
            <w:shd w:val="clear" w:color="auto" w:fill="auto"/>
            <w:vAlign w:val="center"/>
          </w:tcPr>
          <w:p w14:paraId="10B2A0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5" w:type="dxa"/>
            <w:vMerge w:val="continue"/>
            <w:tcBorders>
              <w:top w:val="nil"/>
              <w:left w:val="nil"/>
              <w:bottom w:val="single" w:color="000000" w:sz="4" w:space="0"/>
              <w:right w:val="single" w:color="000000" w:sz="4" w:space="0"/>
            </w:tcBorders>
            <w:shd w:val="clear" w:color="auto" w:fill="auto"/>
            <w:vAlign w:val="center"/>
          </w:tcPr>
          <w:p w14:paraId="7D7B583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04F148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安装工程</w:t>
            </w:r>
          </w:p>
        </w:tc>
        <w:tc>
          <w:tcPr>
            <w:tcW w:w="558" w:type="dxa"/>
            <w:tcBorders>
              <w:top w:val="single" w:color="000000" w:sz="4" w:space="0"/>
              <w:left w:val="nil"/>
              <w:bottom w:val="single" w:color="000000" w:sz="4" w:space="0"/>
              <w:right w:val="single" w:color="000000" w:sz="4" w:space="0"/>
            </w:tcBorders>
            <w:shd w:val="clear" w:color="auto" w:fill="auto"/>
            <w:vAlign w:val="center"/>
          </w:tcPr>
          <w:p w14:paraId="36B3044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4.2</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31D29D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3.8</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7168CD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3.3</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2FFC107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3.0</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5E71075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2.6</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788C1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2.4</w:t>
            </w:r>
          </w:p>
        </w:tc>
        <w:tc>
          <w:tcPr>
            <w:tcW w:w="562" w:type="dxa"/>
            <w:gridSpan w:val="3"/>
            <w:tcBorders>
              <w:top w:val="single" w:color="000000" w:sz="4" w:space="0"/>
              <w:left w:val="nil"/>
              <w:bottom w:val="single" w:color="000000" w:sz="4" w:space="0"/>
              <w:right w:val="single" w:color="000000" w:sz="4" w:space="0"/>
            </w:tcBorders>
            <w:shd w:val="clear" w:color="auto" w:fill="auto"/>
            <w:vAlign w:val="center"/>
          </w:tcPr>
          <w:p w14:paraId="06184D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2.2</w:t>
            </w:r>
          </w:p>
        </w:tc>
        <w:tc>
          <w:tcPr>
            <w:tcW w:w="684" w:type="dxa"/>
            <w:gridSpan w:val="2"/>
            <w:tcBorders>
              <w:top w:val="single" w:color="000000" w:sz="4" w:space="0"/>
              <w:left w:val="nil"/>
              <w:bottom w:val="single" w:color="000000" w:sz="4" w:space="0"/>
              <w:right w:val="single" w:color="000000" w:sz="4" w:space="0"/>
            </w:tcBorders>
            <w:shd w:val="clear" w:color="auto" w:fill="auto"/>
            <w:vAlign w:val="center"/>
          </w:tcPr>
          <w:p w14:paraId="1C8BCA6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2.0</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0267C88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939E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182224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五</w:t>
            </w:r>
          </w:p>
        </w:tc>
        <w:tc>
          <w:tcPr>
            <w:tcW w:w="448" w:type="dxa"/>
            <w:vMerge w:val="continue"/>
            <w:tcBorders>
              <w:top w:val="nil"/>
              <w:left w:val="nil"/>
              <w:bottom w:val="single" w:color="000000" w:sz="4" w:space="0"/>
              <w:right w:val="single" w:color="000000" w:sz="4" w:space="0"/>
            </w:tcBorders>
            <w:shd w:val="clear" w:color="auto" w:fill="auto"/>
            <w:vAlign w:val="center"/>
          </w:tcPr>
          <w:p w14:paraId="11543A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restart"/>
            <w:tcBorders>
              <w:top w:val="nil"/>
              <w:left w:val="nil"/>
              <w:bottom w:val="single" w:color="000000" w:sz="4" w:space="0"/>
              <w:right w:val="single" w:color="000000" w:sz="4" w:space="0"/>
            </w:tcBorders>
            <w:shd w:val="clear" w:color="auto" w:fill="auto"/>
            <w:vAlign w:val="center"/>
          </w:tcPr>
          <w:p w14:paraId="76B80C2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工程预算、结算、标底审核</w:t>
            </w:r>
          </w:p>
        </w:tc>
        <w:tc>
          <w:tcPr>
            <w:tcW w:w="755" w:type="dxa"/>
            <w:vMerge w:val="restart"/>
            <w:tcBorders>
              <w:top w:val="nil"/>
              <w:left w:val="nil"/>
              <w:bottom w:val="single" w:color="000000" w:sz="4" w:space="0"/>
              <w:right w:val="single" w:color="000000" w:sz="4" w:space="0"/>
            </w:tcBorders>
            <w:shd w:val="clear" w:color="auto" w:fill="auto"/>
            <w:vAlign w:val="center"/>
          </w:tcPr>
          <w:p w14:paraId="14CEC7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工程造价</w:t>
            </w:r>
          </w:p>
        </w:tc>
        <w:tc>
          <w:tcPr>
            <w:tcW w:w="630" w:type="dxa"/>
            <w:vMerge w:val="restart"/>
            <w:tcBorders>
              <w:top w:val="nil"/>
              <w:left w:val="nil"/>
              <w:bottom w:val="single" w:color="000000" w:sz="4" w:space="0"/>
              <w:right w:val="single" w:color="000000" w:sz="4" w:space="0"/>
            </w:tcBorders>
            <w:shd w:val="clear" w:color="auto" w:fill="auto"/>
            <w:vAlign w:val="center"/>
          </w:tcPr>
          <w:p w14:paraId="23FD6B2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w:t>
            </w:r>
          </w:p>
          <w:p w14:paraId="42ED2B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基本收费</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173B7A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建筑工程</w:t>
            </w:r>
          </w:p>
        </w:tc>
        <w:tc>
          <w:tcPr>
            <w:tcW w:w="558" w:type="dxa"/>
            <w:tcBorders>
              <w:top w:val="single" w:color="000000" w:sz="4" w:space="0"/>
              <w:left w:val="nil"/>
              <w:bottom w:val="single" w:color="000000" w:sz="4" w:space="0"/>
              <w:right w:val="single" w:color="000000" w:sz="4" w:space="0"/>
            </w:tcBorders>
            <w:shd w:val="clear" w:color="auto" w:fill="auto"/>
            <w:vAlign w:val="center"/>
          </w:tcPr>
          <w:p w14:paraId="0AC304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3.0</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7EE359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2.6</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72E2BE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2.1</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171179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1.6</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4F9FEF1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1.4</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9F65A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1.2</w:t>
            </w:r>
          </w:p>
        </w:tc>
        <w:tc>
          <w:tcPr>
            <w:tcW w:w="562" w:type="dxa"/>
            <w:gridSpan w:val="3"/>
            <w:tcBorders>
              <w:top w:val="single" w:color="000000" w:sz="4" w:space="0"/>
              <w:left w:val="nil"/>
              <w:bottom w:val="single" w:color="000000" w:sz="4" w:space="0"/>
              <w:right w:val="single" w:color="000000" w:sz="4" w:space="0"/>
            </w:tcBorders>
            <w:shd w:val="clear" w:color="auto" w:fill="auto"/>
            <w:vAlign w:val="center"/>
          </w:tcPr>
          <w:p w14:paraId="6A90A13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w:t>
            </w:r>
          </w:p>
        </w:tc>
        <w:tc>
          <w:tcPr>
            <w:tcW w:w="684" w:type="dxa"/>
            <w:gridSpan w:val="2"/>
            <w:tcBorders>
              <w:top w:val="single" w:color="000000" w:sz="4" w:space="0"/>
              <w:left w:val="nil"/>
              <w:bottom w:val="single" w:color="000000" w:sz="4" w:space="0"/>
              <w:right w:val="single" w:color="000000" w:sz="4" w:space="0"/>
            </w:tcBorders>
            <w:shd w:val="clear" w:color="auto" w:fill="auto"/>
            <w:vAlign w:val="center"/>
          </w:tcPr>
          <w:p w14:paraId="4013B9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0.9</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305649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686E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4D24343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 w:type="dxa"/>
            <w:vMerge w:val="continue"/>
            <w:tcBorders>
              <w:top w:val="nil"/>
              <w:left w:val="nil"/>
              <w:bottom w:val="single" w:color="000000" w:sz="4" w:space="0"/>
              <w:right w:val="single" w:color="000000" w:sz="4" w:space="0"/>
            </w:tcBorders>
            <w:shd w:val="clear" w:color="auto" w:fill="auto"/>
            <w:vAlign w:val="center"/>
          </w:tcPr>
          <w:p w14:paraId="64AFDD5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continue"/>
            <w:tcBorders>
              <w:top w:val="nil"/>
              <w:left w:val="nil"/>
              <w:bottom w:val="single" w:color="000000" w:sz="4" w:space="0"/>
              <w:right w:val="single" w:color="000000" w:sz="4" w:space="0"/>
            </w:tcBorders>
            <w:shd w:val="clear" w:color="auto" w:fill="auto"/>
            <w:vAlign w:val="center"/>
          </w:tcPr>
          <w:p w14:paraId="3A99C2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5" w:type="dxa"/>
            <w:vMerge w:val="continue"/>
            <w:tcBorders>
              <w:top w:val="nil"/>
              <w:left w:val="nil"/>
              <w:bottom w:val="single" w:color="000000" w:sz="4" w:space="0"/>
              <w:right w:val="single" w:color="000000" w:sz="4" w:space="0"/>
            </w:tcBorders>
            <w:shd w:val="clear" w:color="auto" w:fill="auto"/>
            <w:vAlign w:val="center"/>
          </w:tcPr>
          <w:p w14:paraId="13B8A32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30" w:type="dxa"/>
            <w:vMerge w:val="continue"/>
            <w:tcBorders>
              <w:top w:val="nil"/>
              <w:left w:val="nil"/>
              <w:bottom w:val="single" w:color="000000" w:sz="4" w:space="0"/>
              <w:right w:val="single" w:color="000000" w:sz="4" w:space="0"/>
            </w:tcBorders>
            <w:shd w:val="clear" w:color="auto" w:fill="auto"/>
            <w:vAlign w:val="center"/>
          </w:tcPr>
          <w:p w14:paraId="379D618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19A4A58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安装工程</w:t>
            </w:r>
          </w:p>
        </w:tc>
        <w:tc>
          <w:tcPr>
            <w:tcW w:w="558" w:type="dxa"/>
            <w:tcBorders>
              <w:top w:val="single" w:color="000000" w:sz="4" w:space="0"/>
              <w:left w:val="nil"/>
              <w:bottom w:val="nil"/>
              <w:right w:val="single" w:color="000000" w:sz="4" w:space="0"/>
            </w:tcBorders>
            <w:shd w:val="clear" w:color="auto" w:fill="auto"/>
            <w:vAlign w:val="center"/>
          </w:tcPr>
          <w:p w14:paraId="55EDAA6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3.2</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156174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2.8</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031CD4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2.3</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1A7D8E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1.8</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2B6EBEC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1.6</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49CBA05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1.4</w:t>
            </w:r>
          </w:p>
        </w:tc>
        <w:tc>
          <w:tcPr>
            <w:tcW w:w="562" w:type="dxa"/>
            <w:gridSpan w:val="3"/>
            <w:tcBorders>
              <w:top w:val="single" w:color="000000" w:sz="4" w:space="0"/>
              <w:left w:val="nil"/>
              <w:bottom w:val="single" w:color="000000" w:sz="4" w:space="0"/>
              <w:right w:val="single" w:color="000000" w:sz="4" w:space="0"/>
            </w:tcBorders>
            <w:shd w:val="clear" w:color="auto" w:fill="auto"/>
            <w:vAlign w:val="center"/>
          </w:tcPr>
          <w:p w14:paraId="5914BFC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1.2</w:t>
            </w:r>
          </w:p>
        </w:tc>
        <w:tc>
          <w:tcPr>
            <w:tcW w:w="684" w:type="dxa"/>
            <w:gridSpan w:val="2"/>
            <w:tcBorders>
              <w:top w:val="single" w:color="000000" w:sz="4" w:space="0"/>
              <w:left w:val="nil"/>
              <w:bottom w:val="single" w:color="000000" w:sz="4" w:space="0"/>
              <w:right w:val="single" w:color="000000" w:sz="4" w:space="0"/>
            </w:tcBorders>
            <w:shd w:val="clear" w:color="auto" w:fill="auto"/>
            <w:vAlign w:val="center"/>
          </w:tcPr>
          <w:p w14:paraId="66A6DF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66AB76A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24E6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457DEE3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 w:type="dxa"/>
            <w:vMerge w:val="continue"/>
            <w:tcBorders>
              <w:top w:val="nil"/>
              <w:left w:val="nil"/>
              <w:bottom w:val="single" w:color="000000" w:sz="4" w:space="0"/>
              <w:right w:val="single" w:color="000000" w:sz="4" w:space="0"/>
            </w:tcBorders>
            <w:shd w:val="clear" w:color="auto" w:fill="auto"/>
            <w:vAlign w:val="center"/>
          </w:tcPr>
          <w:p w14:paraId="0D4432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continue"/>
            <w:tcBorders>
              <w:top w:val="nil"/>
              <w:left w:val="nil"/>
              <w:bottom w:val="single" w:color="000000" w:sz="4" w:space="0"/>
              <w:right w:val="single" w:color="000000" w:sz="4" w:space="0"/>
            </w:tcBorders>
            <w:shd w:val="clear" w:color="auto" w:fill="auto"/>
            <w:vAlign w:val="center"/>
          </w:tcPr>
          <w:p w14:paraId="721BA04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5" w:type="dxa"/>
            <w:vMerge w:val="continue"/>
            <w:tcBorders>
              <w:top w:val="nil"/>
              <w:left w:val="nil"/>
              <w:bottom w:val="single" w:color="000000" w:sz="4" w:space="0"/>
              <w:right w:val="single" w:color="000000" w:sz="4" w:space="0"/>
            </w:tcBorders>
            <w:shd w:val="clear" w:color="auto" w:fill="auto"/>
            <w:vAlign w:val="center"/>
          </w:tcPr>
          <w:p w14:paraId="2CB259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7992BF27">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(2)审核增减额</w:t>
            </w:r>
          </w:p>
        </w:tc>
        <w:tc>
          <w:tcPr>
            <w:tcW w:w="4465" w:type="dxa"/>
            <w:gridSpan w:val="14"/>
            <w:tcBorders>
              <w:top w:val="single" w:color="000000" w:sz="4" w:space="0"/>
              <w:left w:val="nil"/>
              <w:bottom w:val="single" w:color="000000" w:sz="4" w:space="0"/>
              <w:right w:val="single" w:color="000000" w:sz="4" w:space="0"/>
            </w:tcBorders>
            <w:shd w:val="clear" w:color="auto" w:fill="auto"/>
            <w:vAlign w:val="center"/>
          </w:tcPr>
          <w:p w14:paraId="4157E8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5%</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149CEA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6EBE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4FD87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六</w:t>
            </w:r>
          </w:p>
        </w:tc>
        <w:tc>
          <w:tcPr>
            <w:tcW w:w="448" w:type="dxa"/>
            <w:vMerge w:val="restart"/>
            <w:tcBorders>
              <w:top w:val="nil"/>
              <w:left w:val="nil"/>
              <w:bottom w:val="single" w:color="000000" w:sz="4" w:space="0"/>
              <w:right w:val="single" w:color="000000" w:sz="4" w:space="0"/>
            </w:tcBorders>
            <w:shd w:val="clear" w:color="auto" w:fill="auto"/>
            <w:vAlign w:val="center"/>
          </w:tcPr>
          <w:p w14:paraId="5AB00E7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清</w:t>
            </w:r>
          </w:p>
          <w:p w14:paraId="13AFD7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单</w:t>
            </w:r>
          </w:p>
          <w:p w14:paraId="510AA9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计</w:t>
            </w:r>
          </w:p>
          <w:p w14:paraId="20650D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价</w:t>
            </w:r>
          </w:p>
        </w:tc>
        <w:tc>
          <w:tcPr>
            <w:tcW w:w="1683" w:type="dxa"/>
            <w:vMerge w:val="restart"/>
            <w:tcBorders>
              <w:top w:val="nil"/>
              <w:left w:val="nil"/>
              <w:bottom w:val="single" w:color="000000" w:sz="4" w:space="0"/>
              <w:right w:val="single" w:color="000000" w:sz="4" w:space="0"/>
            </w:tcBorders>
            <w:shd w:val="clear" w:color="auto" w:fill="auto"/>
            <w:vAlign w:val="center"/>
          </w:tcPr>
          <w:p w14:paraId="7E04A45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工程量清单编制</w:t>
            </w:r>
          </w:p>
        </w:tc>
        <w:tc>
          <w:tcPr>
            <w:tcW w:w="755" w:type="dxa"/>
            <w:vMerge w:val="restart"/>
            <w:tcBorders>
              <w:top w:val="nil"/>
              <w:left w:val="nil"/>
              <w:bottom w:val="single" w:color="000000" w:sz="4" w:space="0"/>
              <w:right w:val="single" w:color="000000" w:sz="4" w:space="0"/>
            </w:tcBorders>
            <w:shd w:val="clear" w:color="auto" w:fill="auto"/>
            <w:vAlign w:val="center"/>
          </w:tcPr>
          <w:p w14:paraId="3644BBA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中标价</w:t>
            </w: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4EEB20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建筑工程</w:t>
            </w:r>
          </w:p>
        </w:tc>
        <w:tc>
          <w:tcPr>
            <w:tcW w:w="558" w:type="dxa"/>
            <w:tcBorders>
              <w:top w:val="single" w:color="000000" w:sz="4" w:space="0"/>
              <w:left w:val="nil"/>
              <w:bottom w:val="single" w:color="000000" w:sz="4" w:space="0"/>
              <w:right w:val="single" w:color="000000" w:sz="4" w:space="0"/>
            </w:tcBorders>
            <w:shd w:val="clear" w:color="auto" w:fill="auto"/>
            <w:vAlign w:val="center"/>
          </w:tcPr>
          <w:p w14:paraId="2AE887E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4.8</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6C5994D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4.3</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346E4A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3.8</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080FF8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3.4</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264438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3.0</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C584D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2.8</w:t>
            </w:r>
          </w:p>
        </w:tc>
        <w:tc>
          <w:tcPr>
            <w:tcW w:w="544" w:type="dxa"/>
            <w:gridSpan w:val="2"/>
            <w:tcBorders>
              <w:top w:val="single" w:color="000000" w:sz="4" w:space="0"/>
              <w:left w:val="nil"/>
              <w:bottom w:val="single" w:color="000000" w:sz="4" w:space="0"/>
              <w:right w:val="single" w:color="000000" w:sz="4" w:space="0"/>
            </w:tcBorders>
            <w:shd w:val="clear" w:color="auto" w:fill="auto"/>
            <w:vAlign w:val="center"/>
          </w:tcPr>
          <w:p w14:paraId="7157E50A">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2.5</w:t>
            </w:r>
          </w:p>
        </w:tc>
        <w:tc>
          <w:tcPr>
            <w:tcW w:w="702" w:type="dxa"/>
            <w:gridSpan w:val="3"/>
            <w:tcBorders>
              <w:top w:val="single" w:color="000000" w:sz="4" w:space="0"/>
              <w:left w:val="nil"/>
              <w:bottom w:val="single" w:color="000000" w:sz="4" w:space="0"/>
              <w:right w:val="single" w:color="000000" w:sz="4" w:space="0"/>
            </w:tcBorders>
            <w:shd w:val="clear" w:color="auto" w:fill="auto"/>
            <w:vAlign w:val="center"/>
          </w:tcPr>
          <w:p w14:paraId="3231F07E">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2.3</w:t>
            </w:r>
          </w:p>
        </w:tc>
        <w:tc>
          <w:tcPr>
            <w:tcW w:w="4226" w:type="dxa"/>
            <w:vMerge w:val="restart"/>
            <w:tcBorders>
              <w:top w:val="single" w:color="000000" w:sz="4" w:space="0"/>
              <w:left w:val="nil"/>
              <w:bottom w:val="single" w:color="000000" w:sz="4" w:space="0"/>
              <w:right w:val="single" w:color="000000" w:sz="4" w:space="0"/>
            </w:tcBorders>
            <w:shd w:val="clear" w:color="auto" w:fill="auto"/>
            <w:vAlign w:val="center"/>
          </w:tcPr>
          <w:p w14:paraId="75DB20AA">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bidi="ar"/>
              </w:rPr>
              <w:t>1</w:t>
            </w:r>
            <w:r>
              <w:rPr>
                <w:rFonts w:hint="eastAsia" w:ascii="宋体" w:hAnsi="宋体" w:eastAsia="宋体" w:cs="宋体"/>
                <w:kern w:val="2"/>
                <w:sz w:val="18"/>
                <w:szCs w:val="18"/>
                <w:lang w:val="en-US" w:eastAsia="zh-CN" w:bidi="ar"/>
              </w:rPr>
              <w:t>、工程量清单编制。根据“计价规范”及施工图编制拟建工程的分部分项项目、措施项目、项目编码、项目名称、单位和数量明细清单；</w:t>
            </w:r>
          </w:p>
          <w:p w14:paraId="28792DAD">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bidi="ar"/>
              </w:rPr>
              <w:t>2</w:t>
            </w:r>
            <w:r>
              <w:rPr>
                <w:rFonts w:hint="eastAsia" w:ascii="宋体" w:hAnsi="宋体" w:eastAsia="宋体" w:cs="宋体"/>
                <w:kern w:val="2"/>
                <w:sz w:val="18"/>
                <w:szCs w:val="18"/>
                <w:lang w:val="en-US" w:eastAsia="zh-CN" w:bidi="ar"/>
              </w:rPr>
              <w:t>、控制价</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标底价</w:t>
            </w:r>
            <w:r>
              <w:rPr>
                <w:rFonts w:hint="default" w:ascii="Times New Roman" w:hAnsi="Times New Roman"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应根据招标文件及提供的工程量清单，进行分部分项综合单价分析、措施项目分析，各项合价、总价等，完成工程量清单所需的全部费用；</w:t>
            </w:r>
          </w:p>
          <w:p w14:paraId="41AB270A">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bidi="ar"/>
              </w:rPr>
              <w:t>3</w:t>
            </w:r>
            <w:r>
              <w:rPr>
                <w:rFonts w:hint="eastAsia" w:ascii="宋体" w:hAnsi="宋体" w:eastAsia="宋体" w:cs="宋体"/>
                <w:kern w:val="2"/>
                <w:sz w:val="18"/>
                <w:szCs w:val="18"/>
                <w:lang w:val="en-US" w:eastAsia="zh-CN" w:bidi="ar"/>
              </w:rPr>
              <w:t>、工程结算编制，根据合同条款及投标报价、工程实施过程是发生的设计变更、现场签证、设备的价格变化及建筑经济政策的变化行编制；</w:t>
            </w:r>
          </w:p>
          <w:p w14:paraId="2041C1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18"/>
                <w:szCs w:val="18"/>
                <w:lang w:val="en-US" w:eastAsia="zh-CN" w:bidi="ar"/>
              </w:rPr>
              <w:t>4</w:t>
            </w:r>
            <w:r>
              <w:rPr>
                <w:rFonts w:hint="eastAsia" w:ascii="宋体" w:hAnsi="宋体" w:eastAsia="宋体" w:cs="宋体"/>
                <w:kern w:val="2"/>
                <w:sz w:val="18"/>
                <w:szCs w:val="18"/>
                <w:lang w:val="en-US" w:eastAsia="zh-CN" w:bidi="ar"/>
              </w:rPr>
              <w:t>、工程结算审核，可提供的工程结算资料，特别是综合单价的分析、设计变更及经济签证进行真实性、合理性审核；</w:t>
            </w:r>
          </w:p>
        </w:tc>
      </w:tr>
      <w:tr w14:paraId="55A97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E2DF5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 w:type="dxa"/>
            <w:vMerge w:val="continue"/>
            <w:tcBorders>
              <w:top w:val="nil"/>
              <w:left w:val="nil"/>
              <w:bottom w:val="single" w:color="000000" w:sz="4" w:space="0"/>
              <w:right w:val="single" w:color="000000" w:sz="4" w:space="0"/>
            </w:tcBorders>
            <w:shd w:val="clear" w:color="auto" w:fill="auto"/>
            <w:vAlign w:val="center"/>
          </w:tcPr>
          <w:p w14:paraId="450CC7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continue"/>
            <w:tcBorders>
              <w:top w:val="nil"/>
              <w:left w:val="nil"/>
              <w:bottom w:val="single" w:color="000000" w:sz="4" w:space="0"/>
              <w:right w:val="single" w:color="000000" w:sz="4" w:space="0"/>
            </w:tcBorders>
            <w:shd w:val="clear" w:color="auto" w:fill="auto"/>
            <w:vAlign w:val="center"/>
          </w:tcPr>
          <w:p w14:paraId="5653888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5" w:type="dxa"/>
            <w:vMerge w:val="continue"/>
            <w:tcBorders>
              <w:top w:val="nil"/>
              <w:left w:val="nil"/>
              <w:bottom w:val="single" w:color="000000" w:sz="4" w:space="0"/>
              <w:right w:val="single" w:color="000000" w:sz="4" w:space="0"/>
            </w:tcBorders>
            <w:shd w:val="clear" w:color="auto" w:fill="auto"/>
            <w:vAlign w:val="center"/>
          </w:tcPr>
          <w:p w14:paraId="009607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204A95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安装工程</w:t>
            </w:r>
          </w:p>
        </w:tc>
        <w:tc>
          <w:tcPr>
            <w:tcW w:w="558" w:type="dxa"/>
            <w:tcBorders>
              <w:top w:val="single" w:color="000000" w:sz="4" w:space="0"/>
              <w:left w:val="nil"/>
              <w:bottom w:val="single" w:color="000000" w:sz="4" w:space="0"/>
              <w:right w:val="single" w:color="000000" w:sz="4" w:space="0"/>
            </w:tcBorders>
            <w:shd w:val="clear" w:color="auto" w:fill="auto"/>
            <w:vAlign w:val="center"/>
          </w:tcPr>
          <w:p w14:paraId="6D93B52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5.0</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1B142BD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4.6</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1363F8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4.0</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3F9AC0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3.6</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558BE24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3.1</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7FB156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2.9</w:t>
            </w:r>
          </w:p>
        </w:tc>
        <w:tc>
          <w:tcPr>
            <w:tcW w:w="544" w:type="dxa"/>
            <w:gridSpan w:val="2"/>
            <w:tcBorders>
              <w:top w:val="single" w:color="000000" w:sz="4" w:space="0"/>
              <w:left w:val="nil"/>
              <w:bottom w:val="single" w:color="000000" w:sz="4" w:space="0"/>
              <w:right w:val="single" w:color="000000" w:sz="4" w:space="0"/>
            </w:tcBorders>
            <w:shd w:val="clear" w:color="auto" w:fill="auto"/>
            <w:vAlign w:val="center"/>
          </w:tcPr>
          <w:p w14:paraId="18BE0024">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2.6</w:t>
            </w:r>
          </w:p>
        </w:tc>
        <w:tc>
          <w:tcPr>
            <w:tcW w:w="702" w:type="dxa"/>
            <w:gridSpan w:val="3"/>
            <w:tcBorders>
              <w:top w:val="single" w:color="000000" w:sz="4" w:space="0"/>
              <w:left w:val="nil"/>
              <w:bottom w:val="single" w:color="000000" w:sz="4" w:space="0"/>
              <w:right w:val="single" w:color="000000" w:sz="4" w:space="0"/>
            </w:tcBorders>
            <w:shd w:val="clear" w:color="auto" w:fill="auto"/>
            <w:vAlign w:val="center"/>
          </w:tcPr>
          <w:p w14:paraId="0EC2A7A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2.4</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66D40B0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6F26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FA6074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 w:type="dxa"/>
            <w:vMerge w:val="continue"/>
            <w:tcBorders>
              <w:top w:val="nil"/>
              <w:left w:val="nil"/>
              <w:bottom w:val="single" w:color="000000" w:sz="4" w:space="0"/>
              <w:right w:val="single" w:color="000000" w:sz="4" w:space="0"/>
            </w:tcBorders>
            <w:shd w:val="clear" w:color="auto" w:fill="auto"/>
            <w:vAlign w:val="center"/>
          </w:tcPr>
          <w:p w14:paraId="059E00B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restart"/>
            <w:tcBorders>
              <w:top w:val="nil"/>
              <w:left w:val="nil"/>
              <w:bottom w:val="single" w:color="000000" w:sz="4" w:space="0"/>
              <w:right w:val="single" w:color="000000" w:sz="4" w:space="0"/>
            </w:tcBorders>
            <w:shd w:val="clear" w:color="auto" w:fill="auto"/>
            <w:vAlign w:val="center"/>
          </w:tcPr>
          <w:p w14:paraId="622FB8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控制价(标底价)</w:t>
            </w:r>
          </w:p>
        </w:tc>
        <w:tc>
          <w:tcPr>
            <w:tcW w:w="755" w:type="dxa"/>
            <w:vMerge w:val="restart"/>
            <w:tcBorders>
              <w:top w:val="nil"/>
              <w:left w:val="nil"/>
              <w:bottom w:val="single" w:color="000000" w:sz="4" w:space="0"/>
              <w:right w:val="single" w:color="000000" w:sz="4" w:space="0"/>
            </w:tcBorders>
            <w:shd w:val="clear" w:color="auto" w:fill="auto"/>
            <w:vAlign w:val="center"/>
          </w:tcPr>
          <w:p w14:paraId="4C0A21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中标价</w:t>
            </w: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49954A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建筑工程</w:t>
            </w:r>
          </w:p>
        </w:tc>
        <w:tc>
          <w:tcPr>
            <w:tcW w:w="558" w:type="dxa"/>
            <w:tcBorders>
              <w:top w:val="single" w:color="000000" w:sz="4" w:space="0"/>
              <w:left w:val="nil"/>
              <w:bottom w:val="single" w:color="000000" w:sz="4" w:space="0"/>
              <w:right w:val="single" w:color="000000" w:sz="4" w:space="0"/>
            </w:tcBorders>
            <w:shd w:val="clear" w:color="auto" w:fill="auto"/>
            <w:vAlign w:val="center"/>
          </w:tcPr>
          <w:p w14:paraId="214163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2.0</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1BA0043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1.8</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057438C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1.6</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43AD9A7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1.4</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56957F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1.3</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0C46D8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1.2</w:t>
            </w:r>
          </w:p>
        </w:tc>
        <w:tc>
          <w:tcPr>
            <w:tcW w:w="544" w:type="dxa"/>
            <w:gridSpan w:val="2"/>
            <w:tcBorders>
              <w:top w:val="single" w:color="000000" w:sz="4" w:space="0"/>
              <w:left w:val="nil"/>
              <w:bottom w:val="single" w:color="000000" w:sz="4" w:space="0"/>
              <w:right w:val="single" w:color="000000" w:sz="4" w:space="0"/>
            </w:tcBorders>
            <w:shd w:val="clear" w:color="auto" w:fill="auto"/>
            <w:vAlign w:val="center"/>
          </w:tcPr>
          <w:p w14:paraId="5BBE6B3F">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1.1</w:t>
            </w:r>
          </w:p>
        </w:tc>
        <w:tc>
          <w:tcPr>
            <w:tcW w:w="702" w:type="dxa"/>
            <w:gridSpan w:val="3"/>
            <w:tcBorders>
              <w:top w:val="single" w:color="000000" w:sz="4" w:space="0"/>
              <w:left w:val="nil"/>
              <w:bottom w:val="single" w:color="000000" w:sz="4" w:space="0"/>
              <w:right w:val="single" w:color="000000" w:sz="4" w:space="0"/>
            </w:tcBorders>
            <w:shd w:val="clear" w:color="auto" w:fill="auto"/>
            <w:vAlign w:val="center"/>
          </w:tcPr>
          <w:p w14:paraId="059F6A3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151506E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EAD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5BC3D45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 w:type="dxa"/>
            <w:vMerge w:val="continue"/>
            <w:tcBorders>
              <w:top w:val="nil"/>
              <w:left w:val="nil"/>
              <w:bottom w:val="single" w:color="000000" w:sz="4" w:space="0"/>
              <w:right w:val="single" w:color="000000" w:sz="4" w:space="0"/>
            </w:tcBorders>
            <w:shd w:val="clear" w:color="auto" w:fill="auto"/>
            <w:vAlign w:val="center"/>
          </w:tcPr>
          <w:p w14:paraId="1DEE5B4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continue"/>
            <w:tcBorders>
              <w:top w:val="nil"/>
              <w:left w:val="nil"/>
              <w:bottom w:val="single" w:color="000000" w:sz="4" w:space="0"/>
              <w:right w:val="single" w:color="000000" w:sz="4" w:space="0"/>
            </w:tcBorders>
            <w:shd w:val="clear" w:color="auto" w:fill="auto"/>
            <w:vAlign w:val="center"/>
          </w:tcPr>
          <w:p w14:paraId="06B4A46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5" w:type="dxa"/>
            <w:vMerge w:val="continue"/>
            <w:tcBorders>
              <w:top w:val="nil"/>
              <w:left w:val="nil"/>
              <w:bottom w:val="single" w:color="000000" w:sz="4" w:space="0"/>
              <w:right w:val="single" w:color="000000" w:sz="4" w:space="0"/>
            </w:tcBorders>
            <w:shd w:val="clear" w:color="auto" w:fill="auto"/>
            <w:vAlign w:val="center"/>
          </w:tcPr>
          <w:p w14:paraId="2794B7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7ABF865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安装工程</w:t>
            </w:r>
          </w:p>
        </w:tc>
        <w:tc>
          <w:tcPr>
            <w:tcW w:w="558" w:type="dxa"/>
            <w:tcBorders>
              <w:top w:val="single" w:color="000000" w:sz="4" w:space="0"/>
              <w:left w:val="nil"/>
              <w:bottom w:val="single" w:color="000000" w:sz="4" w:space="0"/>
              <w:right w:val="single" w:color="000000" w:sz="4" w:space="0"/>
            </w:tcBorders>
            <w:shd w:val="clear" w:color="auto" w:fill="auto"/>
            <w:vAlign w:val="center"/>
          </w:tcPr>
          <w:p w14:paraId="577AD0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2.1</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3FC5E3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1.9</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3D3071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1.7</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195865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1.6</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2F8514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1.4</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212E31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1.3</w:t>
            </w:r>
          </w:p>
        </w:tc>
        <w:tc>
          <w:tcPr>
            <w:tcW w:w="544" w:type="dxa"/>
            <w:gridSpan w:val="2"/>
            <w:tcBorders>
              <w:top w:val="single" w:color="000000" w:sz="4" w:space="0"/>
              <w:left w:val="nil"/>
              <w:bottom w:val="single" w:color="000000" w:sz="4" w:space="0"/>
              <w:right w:val="single" w:color="000000" w:sz="4" w:space="0"/>
            </w:tcBorders>
            <w:shd w:val="clear" w:color="auto" w:fill="auto"/>
            <w:vAlign w:val="center"/>
          </w:tcPr>
          <w:p w14:paraId="54EA2C2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1.2</w:t>
            </w:r>
          </w:p>
        </w:tc>
        <w:tc>
          <w:tcPr>
            <w:tcW w:w="702" w:type="dxa"/>
            <w:gridSpan w:val="3"/>
            <w:tcBorders>
              <w:top w:val="single" w:color="000000" w:sz="4" w:space="0"/>
              <w:left w:val="nil"/>
              <w:bottom w:val="single" w:color="000000" w:sz="4" w:space="0"/>
              <w:right w:val="single" w:color="000000" w:sz="4" w:space="0"/>
            </w:tcBorders>
            <w:shd w:val="clear" w:color="auto" w:fill="auto"/>
            <w:vAlign w:val="center"/>
          </w:tcPr>
          <w:p w14:paraId="2E988A5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1.1</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1A36B1B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C88E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D8D80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 w:type="dxa"/>
            <w:vMerge w:val="continue"/>
            <w:tcBorders>
              <w:top w:val="nil"/>
              <w:left w:val="nil"/>
              <w:bottom w:val="single" w:color="000000" w:sz="4" w:space="0"/>
              <w:right w:val="single" w:color="000000" w:sz="4" w:space="0"/>
            </w:tcBorders>
            <w:shd w:val="clear" w:color="auto" w:fill="auto"/>
            <w:vAlign w:val="center"/>
          </w:tcPr>
          <w:p w14:paraId="24C80FF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restart"/>
            <w:tcBorders>
              <w:top w:val="nil"/>
              <w:left w:val="nil"/>
              <w:bottom w:val="single" w:color="000000" w:sz="4" w:space="0"/>
              <w:right w:val="single" w:color="000000" w:sz="4" w:space="0"/>
            </w:tcBorders>
            <w:shd w:val="clear" w:color="auto" w:fill="auto"/>
            <w:vAlign w:val="center"/>
          </w:tcPr>
          <w:p w14:paraId="4C75AB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工程结算编制</w:t>
            </w:r>
          </w:p>
        </w:tc>
        <w:tc>
          <w:tcPr>
            <w:tcW w:w="755" w:type="dxa"/>
            <w:vMerge w:val="restart"/>
            <w:tcBorders>
              <w:top w:val="nil"/>
              <w:left w:val="nil"/>
              <w:bottom w:val="single" w:color="000000" w:sz="4" w:space="0"/>
              <w:right w:val="single" w:color="000000" w:sz="4" w:space="0"/>
            </w:tcBorders>
            <w:shd w:val="clear" w:color="auto" w:fill="auto"/>
            <w:vAlign w:val="center"/>
          </w:tcPr>
          <w:p w14:paraId="6986BCB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工程造价</w:t>
            </w: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65CBF8F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建筑工程</w:t>
            </w:r>
          </w:p>
        </w:tc>
        <w:tc>
          <w:tcPr>
            <w:tcW w:w="558" w:type="dxa"/>
            <w:tcBorders>
              <w:top w:val="single" w:color="000000" w:sz="4" w:space="0"/>
              <w:left w:val="nil"/>
              <w:bottom w:val="single" w:color="000000" w:sz="4" w:space="0"/>
              <w:right w:val="single" w:color="000000" w:sz="4" w:space="0"/>
            </w:tcBorders>
            <w:shd w:val="clear" w:color="auto" w:fill="auto"/>
            <w:vAlign w:val="center"/>
          </w:tcPr>
          <w:p w14:paraId="78D799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3.0</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5355B5F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2.6</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206CD2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2.1</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5D3BBD3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1.6</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0DC708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1.4</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5EEF656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1.2</w:t>
            </w:r>
          </w:p>
        </w:tc>
        <w:tc>
          <w:tcPr>
            <w:tcW w:w="544" w:type="dxa"/>
            <w:gridSpan w:val="2"/>
            <w:tcBorders>
              <w:top w:val="single" w:color="000000" w:sz="4" w:space="0"/>
              <w:left w:val="nil"/>
              <w:bottom w:val="single" w:color="000000" w:sz="4" w:space="0"/>
              <w:right w:val="single" w:color="000000" w:sz="4" w:space="0"/>
            </w:tcBorders>
            <w:shd w:val="clear" w:color="auto" w:fill="auto"/>
            <w:vAlign w:val="center"/>
          </w:tcPr>
          <w:p w14:paraId="282B210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w:t>
            </w:r>
          </w:p>
        </w:tc>
        <w:tc>
          <w:tcPr>
            <w:tcW w:w="702" w:type="dxa"/>
            <w:gridSpan w:val="3"/>
            <w:tcBorders>
              <w:top w:val="single" w:color="000000" w:sz="4" w:space="0"/>
              <w:left w:val="nil"/>
              <w:bottom w:val="single" w:color="000000" w:sz="4" w:space="0"/>
              <w:right w:val="single" w:color="000000" w:sz="4" w:space="0"/>
            </w:tcBorders>
            <w:shd w:val="clear" w:color="auto" w:fill="auto"/>
            <w:vAlign w:val="center"/>
          </w:tcPr>
          <w:p w14:paraId="5AC7476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0.9</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63A375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38A9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5E47BA5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 w:type="dxa"/>
            <w:vMerge w:val="continue"/>
            <w:tcBorders>
              <w:top w:val="nil"/>
              <w:left w:val="nil"/>
              <w:bottom w:val="single" w:color="000000" w:sz="4" w:space="0"/>
              <w:right w:val="single" w:color="000000" w:sz="4" w:space="0"/>
            </w:tcBorders>
            <w:shd w:val="clear" w:color="auto" w:fill="auto"/>
            <w:vAlign w:val="center"/>
          </w:tcPr>
          <w:p w14:paraId="689524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continue"/>
            <w:tcBorders>
              <w:top w:val="nil"/>
              <w:left w:val="nil"/>
              <w:bottom w:val="single" w:color="000000" w:sz="4" w:space="0"/>
              <w:right w:val="single" w:color="000000" w:sz="4" w:space="0"/>
            </w:tcBorders>
            <w:shd w:val="clear" w:color="auto" w:fill="auto"/>
            <w:vAlign w:val="center"/>
          </w:tcPr>
          <w:p w14:paraId="648836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5" w:type="dxa"/>
            <w:vMerge w:val="continue"/>
            <w:tcBorders>
              <w:top w:val="nil"/>
              <w:left w:val="nil"/>
              <w:bottom w:val="single" w:color="000000" w:sz="4" w:space="0"/>
              <w:right w:val="single" w:color="000000" w:sz="4" w:space="0"/>
            </w:tcBorders>
            <w:shd w:val="clear" w:color="auto" w:fill="auto"/>
            <w:vAlign w:val="center"/>
          </w:tcPr>
          <w:p w14:paraId="6CD196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54FCFB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安装工程</w:t>
            </w:r>
          </w:p>
        </w:tc>
        <w:tc>
          <w:tcPr>
            <w:tcW w:w="558" w:type="dxa"/>
            <w:tcBorders>
              <w:top w:val="single" w:color="000000" w:sz="4" w:space="0"/>
              <w:left w:val="nil"/>
              <w:bottom w:val="single" w:color="000000" w:sz="4" w:space="0"/>
              <w:right w:val="single" w:color="000000" w:sz="4" w:space="0"/>
            </w:tcBorders>
            <w:shd w:val="clear" w:color="auto" w:fill="auto"/>
            <w:vAlign w:val="center"/>
          </w:tcPr>
          <w:p w14:paraId="500E4C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3.2</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74CE031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2.8</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7DE27A3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2.3</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544C0A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1.8</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46803EE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1.6</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044B295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1.4</w:t>
            </w:r>
          </w:p>
        </w:tc>
        <w:tc>
          <w:tcPr>
            <w:tcW w:w="544" w:type="dxa"/>
            <w:gridSpan w:val="2"/>
            <w:tcBorders>
              <w:top w:val="single" w:color="000000" w:sz="4" w:space="0"/>
              <w:left w:val="nil"/>
              <w:bottom w:val="single" w:color="000000" w:sz="4" w:space="0"/>
              <w:right w:val="single" w:color="000000" w:sz="4" w:space="0"/>
            </w:tcBorders>
            <w:shd w:val="clear" w:color="auto" w:fill="auto"/>
            <w:vAlign w:val="center"/>
          </w:tcPr>
          <w:p w14:paraId="081D544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1.2</w:t>
            </w:r>
          </w:p>
        </w:tc>
        <w:tc>
          <w:tcPr>
            <w:tcW w:w="702" w:type="dxa"/>
            <w:gridSpan w:val="3"/>
            <w:tcBorders>
              <w:top w:val="single" w:color="000000" w:sz="4" w:space="0"/>
              <w:left w:val="nil"/>
              <w:bottom w:val="single" w:color="000000" w:sz="4" w:space="0"/>
              <w:right w:val="single" w:color="000000" w:sz="4" w:space="0"/>
            </w:tcBorders>
            <w:shd w:val="clear" w:color="auto" w:fill="auto"/>
            <w:vAlign w:val="center"/>
          </w:tcPr>
          <w:p w14:paraId="6422F8C5">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7681C1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C4CB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4824C7A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 w:type="dxa"/>
            <w:vMerge w:val="continue"/>
            <w:tcBorders>
              <w:top w:val="nil"/>
              <w:left w:val="nil"/>
              <w:bottom w:val="single" w:color="000000" w:sz="4" w:space="0"/>
              <w:right w:val="single" w:color="000000" w:sz="4" w:space="0"/>
            </w:tcBorders>
            <w:shd w:val="clear" w:color="auto" w:fill="auto"/>
            <w:vAlign w:val="center"/>
          </w:tcPr>
          <w:p w14:paraId="13605B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restart"/>
            <w:tcBorders>
              <w:top w:val="nil"/>
              <w:left w:val="nil"/>
              <w:bottom w:val="single" w:color="000000" w:sz="4" w:space="0"/>
              <w:right w:val="single" w:color="000000" w:sz="4" w:space="0"/>
            </w:tcBorders>
            <w:shd w:val="clear" w:color="auto" w:fill="auto"/>
            <w:vAlign w:val="center"/>
          </w:tcPr>
          <w:p w14:paraId="4C9884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工程量清单</w:t>
            </w:r>
          </w:p>
          <w:p w14:paraId="03F536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结算审核</w:t>
            </w:r>
          </w:p>
        </w:tc>
        <w:tc>
          <w:tcPr>
            <w:tcW w:w="755" w:type="dxa"/>
            <w:vMerge w:val="restart"/>
            <w:tcBorders>
              <w:top w:val="nil"/>
              <w:left w:val="nil"/>
              <w:bottom w:val="single" w:color="000000" w:sz="4" w:space="0"/>
              <w:right w:val="single" w:color="000000" w:sz="4" w:space="0"/>
            </w:tcBorders>
            <w:shd w:val="clear" w:color="auto" w:fill="auto"/>
            <w:vAlign w:val="center"/>
          </w:tcPr>
          <w:p w14:paraId="2A3A335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送审工程</w:t>
            </w:r>
          </w:p>
          <w:p w14:paraId="1FB15D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造价</w:t>
            </w:r>
          </w:p>
        </w:tc>
        <w:tc>
          <w:tcPr>
            <w:tcW w:w="630" w:type="dxa"/>
            <w:vMerge w:val="restart"/>
            <w:tcBorders>
              <w:top w:val="nil"/>
              <w:left w:val="nil"/>
              <w:bottom w:val="single" w:color="000000" w:sz="4" w:space="0"/>
              <w:right w:val="single" w:color="000000" w:sz="4" w:space="0"/>
            </w:tcBorders>
            <w:shd w:val="clear" w:color="auto" w:fill="auto"/>
            <w:vAlign w:val="center"/>
          </w:tcPr>
          <w:p w14:paraId="7DF30A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(1)基本收费</w:t>
            </w: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4A5BD53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建筑工程</w:t>
            </w:r>
          </w:p>
        </w:tc>
        <w:tc>
          <w:tcPr>
            <w:tcW w:w="558" w:type="dxa"/>
            <w:tcBorders>
              <w:top w:val="single" w:color="000000" w:sz="4" w:space="0"/>
              <w:left w:val="nil"/>
              <w:bottom w:val="single" w:color="000000" w:sz="4" w:space="0"/>
              <w:right w:val="single" w:color="000000" w:sz="4" w:space="0"/>
            </w:tcBorders>
            <w:shd w:val="clear" w:color="auto" w:fill="auto"/>
            <w:vAlign w:val="center"/>
          </w:tcPr>
          <w:p w14:paraId="458BB2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3.4</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50C852D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3.1</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2DFD72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2.7</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055F05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2.4</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46CEEC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2.1</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C5824B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1.9</w:t>
            </w:r>
          </w:p>
        </w:tc>
        <w:tc>
          <w:tcPr>
            <w:tcW w:w="544" w:type="dxa"/>
            <w:gridSpan w:val="2"/>
            <w:tcBorders>
              <w:top w:val="single" w:color="000000" w:sz="4" w:space="0"/>
              <w:left w:val="nil"/>
              <w:bottom w:val="single" w:color="000000" w:sz="4" w:space="0"/>
              <w:right w:val="single" w:color="000000" w:sz="4" w:space="0"/>
            </w:tcBorders>
            <w:shd w:val="clear" w:color="auto" w:fill="auto"/>
            <w:vAlign w:val="center"/>
          </w:tcPr>
          <w:p w14:paraId="22BB8F9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1.8</w:t>
            </w:r>
          </w:p>
        </w:tc>
        <w:tc>
          <w:tcPr>
            <w:tcW w:w="702" w:type="dxa"/>
            <w:gridSpan w:val="3"/>
            <w:tcBorders>
              <w:top w:val="single" w:color="000000" w:sz="4" w:space="0"/>
              <w:left w:val="nil"/>
              <w:bottom w:val="single" w:color="000000" w:sz="4" w:space="0"/>
              <w:right w:val="single" w:color="000000" w:sz="4" w:space="0"/>
            </w:tcBorders>
            <w:shd w:val="clear" w:color="auto" w:fill="auto"/>
            <w:vAlign w:val="center"/>
          </w:tcPr>
          <w:p w14:paraId="16453E8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1.6</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5E5113A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6A0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1B85EE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 w:type="dxa"/>
            <w:vMerge w:val="continue"/>
            <w:tcBorders>
              <w:top w:val="nil"/>
              <w:left w:val="nil"/>
              <w:bottom w:val="single" w:color="000000" w:sz="4" w:space="0"/>
              <w:right w:val="single" w:color="000000" w:sz="4" w:space="0"/>
            </w:tcBorders>
            <w:shd w:val="clear" w:color="auto" w:fill="auto"/>
            <w:vAlign w:val="center"/>
          </w:tcPr>
          <w:p w14:paraId="2FC34D4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continue"/>
            <w:tcBorders>
              <w:top w:val="nil"/>
              <w:left w:val="nil"/>
              <w:bottom w:val="single" w:color="000000" w:sz="4" w:space="0"/>
              <w:right w:val="single" w:color="000000" w:sz="4" w:space="0"/>
            </w:tcBorders>
            <w:shd w:val="clear" w:color="auto" w:fill="auto"/>
            <w:vAlign w:val="center"/>
          </w:tcPr>
          <w:p w14:paraId="4FAD098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5" w:type="dxa"/>
            <w:vMerge w:val="continue"/>
            <w:tcBorders>
              <w:top w:val="nil"/>
              <w:left w:val="nil"/>
              <w:bottom w:val="single" w:color="000000" w:sz="4" w:space="0"/>
              <w:right w:val="single" w:color="000000" w:sz="4" w:space="0"/>
            </w:tcBorders>
            <w:shd w:val="clear" w:color="auto" w:fill="auto"/>
            <w:vAlign w:val="center"/>
          </w:tcPr>
          <w:p w14:paraId="47224B5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30" w:type="dxa"/>
            <w:vMerge w:val="continue"/>
            <w:tcBorders>
              <w:top w:val="nil"/>
              <w:left w:val="nil"/>
              <w:bottom w:val="single" w:color="000000" w:sz="4" w:space="0"/>
              <w:right w:val="single" w:color="000000" w:sz="4" w:space="0"/>
            </w:tcBorders>
            <w:shd w:val="clear" w:color="auto" w:fill="auto"/>
            <w:vAlign w:val="center"/>
          </w:tcPr>
          <w:p w14:paraId="7CA357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5" w:type="dxa"/>
            <w:tcBorders>
              <w:top w:val="single" w:color="000000" w:sz="4" w:space="0"/>
              <w:left w:val="nil"/>
              <w:bottom w:val="single" w:color="000000" w:sz="4" w:space="0"/>
              <w:right w:val="single" w:color="000000" w:sz="4" w:space="0"/>
            </w:tcBorders>
            <w:shd w:val="clear" w:color="auto" w:fill="auto"/>
            <w:vAlign w:val="center"/>
          </w:tcPr>
          <w:p w14:paraId="754E0F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安装工程</w:t>
            </w:r>
          </w:p>
        </w:tc>
        <w:tc>
          <w:tcPr>
            <w:tcW w:w="558" w:type="dxa"/>
            <w:tcBorders>
              <w:top w:val="single" w:color="000000" w:sz="4" w:space="0"/>
              <w:left w:val="nil"/>
              <w:bottom w:val="nil"/>
              <w:right w:val="single" w:color="000000" w:sz="4" w:space="0"/>
            </w:tcBorders>
            <w:shd w:val="clear" w:color="auto" w:fill="auto"/>
            <w:vAlign w:val="center"/>
          </w:tcPr>
          <w:p w14:paraId="31BBA5D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3.6</w:t>
            </w:r>
          </w:p>
        </w:tc>
        <w:tc>
          <w:tcPr>
            <w:tcW w:w="597" w:type="dxa"/>
            <w:gridSpan w:val="2"/>
            <w:tcBorders>
              <w:top w:val="single" w:color="000000" w:sz="4" w:space="0"/>
              <w:left w:val="nil"/>
              <w:bottom w:val="single" w:color="000000" w:sz="4" w:space="0"/>
              <w:right w:val="single" w:color="000000" w:sz="4" w:space="0"/>
            </w:tcBorders>
            <w:shd w:val="clear" w:color="auto" w:fill="auto"/>
            <w:vAlign w:val="center"/>
          </w:tcPr>
          <w:p w14:paraId="1FB41AD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3.2</w:t>
            </w:r>
          </w:p>
        </w:tc>
        <w:tc>
          <w:tcPr>
            <w:tcW w:w="550" w:type="dxa"/>
            <w:gridSpan w:val="2"/>
            <w:tcBorders>
              <w:top w:val="single" w:color="000000" w:sz="4" w:space="0"/>
              <w:left w:val="nil"/>
              <w:bottom w:val="single" w:color="000000" w:sz="4" w:space="0"/>
              <w:right w:val="single" w:color="000000" w:sz="4" w:space="0"/>
            </w:tcBorders>
            <w:shd w:val="clear" w:color="auto" w:fill="auto"/>
            <w:vAlign w:val="center"/>
          </w:tcPr>
          <w:p w14:paraId="3D9617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2.8</w:t>
            </w:r>
          </w:p>
        </w:tc>
        <w:tc>
          <w:tcPr>
            <w:tcW w:w="512" w:type="dxa"/>
            <w:gridSpan w:val="2"/>
            <w:tcBorders>
              <w:top w:val="single" w:color="000000" w:sz="4" w:space="0"/>
              <w:left w:val="nil"/>
              <w:bottom w:val="single" w:color="000000" w:sz="4" w:space="0"/>
              <w:right w:val="single" w:color="000000" w:sz="4" w:space="0"/>
            </w:tcBorders>
            <w:shd w:val="clear" w:color="auto" w:fill="auto"/>
            <w:vAlign w:val="center"/>
          </w:tcPr>
          <w:p w14:paraId="62AC1F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2.6</w:t>
            </w:r>
          </w:p>
        </w:tc>
        <w:tc>
          <w:tcPr>
            <w:tcW w:w="492" w:type="dxa"/>
            <w:tcBorders>
              <w:top w:val="single" w:color="000000" w:sz="4" w:space="0"/>
              <w:left w:val="nil"/>
              <w:bottom w:val="single" w:color="000000" w:sz="4" w:space="0"/>
              <w:right w:val="single" w:color="000000" w:sz="4" w:space="0"/>
            </w:tcBorders>
            <w:shd w:val="clear" w:color="auto" w:fill="auto"/>
            <w:vAlign w:val="center"/>
          </w:tcPr>
          <w:p w14:paraId="698117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2.3</w:t>
            </w:r>
          </w:p>
        </w:tc>
        <w:tc>
          <w:tcPr>
            <w:tcW w:w="510" w:type="dxa"/>
            <w:tcBorders>
              <w:top w:val="single" w:color="000000" w:sz="4" w:space="0"/>
              <w:left w:val="nil"/>
              <w:bottom w:val="single" w:color="000000" w:sz="4" w:space="0"/>
              <w:right w:val="single" w:color="000000" w:sz="4" w:space="0"/>
            </w:tcBorders>
            <w:shd w:val="clear" w:color="auto" w:fill="auto"/>
            <w:vAlign w:val="center"/>
          </w:tcPr>
          <w:p w14:paraId="66188DD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2.1</w:t>
            </w:r>
          </w:p>
        </w:tc>
        <w:tc>
          <w:tcPr>
            <w:tcW w:w="544" w:type="dxa"/>
            <w:gridSpan w:val="2"/>
            <w:tcBorders>
              <w:top w:val="single" w:color="000000" w:sz="4" w:space="0"/>
              <w:left w:val="nil"/>
              <w:bottom w:val="single" w:color="000000" w:sz="4" w:space="0"/>
              <w:right w:val="single" w:color="000000" w:sz="4" w:space="0"/>
            </w:tcBorders>
            <w:shd w:val="clear" w:color="auto" w:fill="auto"/>
            <w:vAlign w:val="center"/>
          </w:tcPr>
          <w:p w14:paraId="2BD6E8E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1.9</w:t>
            </w:r>
          </w:p>
        </w:tc>
        <w:tc>
          <w:tcPr>
            <w:tcW w:w="702" w:type="dxa"/>
            <w:gridSpan w:val="3"/>
            <w:tcBorders>
              <w:top w:val="single" w:color="000000" w:sz="4" w:space="0"/>
              <w:left w:val="nil"/>
              <w:bottom w:val="single" w:color="000000" w:sz="4" w:space="0"/>
              <w:right w:val="single" w:color="000000" w:sz="4" w:space="0"/>
            </w:tcBorders>
            <w:shd w:val="clear" w:color="auto" w:fill="auto"/>
            <w:vAlign w:val="center"/>
          </w:tcPr>
          <w:p w14:paraId="21BC3B32">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1.8</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448EA9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356D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2550EBC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8" w:type="dxa"/>
            <w:vMerge w:val="continue"/>
            <w:tcBorders>
              <w:top w:val="nil"/>
              <w:left w:val="nil"/>
              <w:bottom w:val="single" w:color="000000" w:sz="4" w:space="0"/>
              <w:right w:val="single" w:color="000000" w:sz="4" w:space="0"/>
            </w:tcBorders>
            <w:shd w:val="clear" w:color="auto" w:fill="auto"/>
            <w:vAlign w:val="center"/>
          </w:tcPr>
          <w:p w14:paraId="1A7D18E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3" w:type="dxa"/>
            <w:vMerge w:val="continue"/>
            <w:tcBorders>
              <w:top w:val="nil"/>
              <w:left w:val="nil"/>
              <w:bottom w:val="single" w:color="000000" w:sz="4" w:space="0"/>
              <w:right w:val="single" w:color="000000" w:sz="4" w:space="0"/>
            </w:tcBorders>
            <w:shd w:val="clear" w:color="auto" w:fill="auto"/>
            <w:vAlign w:val="center"/>
          </w:tcPr>
          <w:p w14:paraId="53025AD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5" w:type="dxa"/>
            <w:vMerge w:val="continue"/>
            <w:tcBorders>
              <w:top w:val="nil"/>
              <w:left w:val="nil"/>
              <w:bottom w:val="single" w:color="000000" w:sz="4" w:space="0"/>
              <w:right w:val="single" w:color="000000" w:sz="4" w:space="0"/>
            </w:tcBorders>
            <w:shd w:val="clear" w:color="auto" w:fill="auto"/>
            <w:vAlign w:val="center"/>
          </w:tcPr>
          <w:p w14:paraId="1DFB3F2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6B6F3A1C">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(2)审核增减额</w:t>
            </w:r>
          </w:p>
        </w:tc>
        <w:tc>
          <w:tcPr>
            <w:tcW w:w="4465" w:type="dxa"/>
            <w:gridSpan w:val="14"/>
            <w:tcBorders>
              <w:top w:val="single" w:color="000000" w:sz="4" w:space="0"/>
              <w:left w:val="nil"/>
              <w:bottom w:val="single" w:color="000000" w:sz="4" w:space="0"/>
              <w:right w:val="single" w:color="000000" w:sz="4" w:space="0"/>
            </w:tcBorders>
            <w:shd w:val="clear" w:color="auto" w:fill="auto"/>
            <w:vAlign w:val="center"/>
          </w:tcPr>
          <w:p w14:paraId="1C75229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5%</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02114A0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DD30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6A908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七</w:t>
            </w:r>
          </w:p>
        </w:tc>
        <w:tc>
          <w:tcPr>
            <w:tcW w:w="2131" w:type="dxa"/>
            <w:gridSpan w:val="2"/>
            <w:vMerge w:val="restart"/>
            <w:tcBorders>
              <w:top w:val="nil"/>
              <w:left w:val="nil"/>
              <w:bottom w:val="single" w:color="000000" w:sz="4" w:space="0"/>
              <w:right w:val="single" w:color="000000" w:sz="4" w:space="0"/>
            </w:tcBorders>
            <w:shd w:val="clear" w:color="auto" w:fill="auto"/>
            <w:vAlign w:val="center"/>
          </w:tcPr>
          <w:p w14:paraId="0D397E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施工阶段全过程工程</w:t>
            </w:r>
          </w:p>
          <w:p w14:paraId="2474B9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造价控制</w:t>
            </w:r>
          </w:p>
        </w:tc>
        <w:tc>
          <w:tcPr>
            <w:tcW w:w="755" w:type="dxa"/>
            <w:vMerge w:val="restart"/>
            <w:tcBorders>
              <w:top w:val="nil"/>
              <w:left w:val="nil"/>
              <w:bottom w:val="single" w:color="000000" w:sz="4" w:space="0"/>
              <w:right w:val="single" w:color="000000" w:sz="4" w:space="0"/>
            </w:tcBorders>
            <w:shd w:val="clear" w:color="auto" w:fill="auto"/>
            <w:vAlign w:val="center"/>
          </w:tcPr>
          <w:p w14:paraId="34D68C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工程造价</w:t>
            </w: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36D05F1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建筑工程</w:t>
            </w:r>
          </w:p>
        </w:tc>
        <w:tc>
          <w:tcPr>
            <w:tcW w:w="1095" w:type="dxa"/>
            <w:gridSpan w:val="2"/>
            <w:tcBorders>
              <w:top w:val="single" w:color="000000" w:sz="4" w:space="0"/>
              <w:left w:val="nil"/>
              <w:bottom w:val="single" w:color="000000" w:sz="4" w:space="0"/>
              <w:right w:val="single" w:color="000000" w:sz="4" w:space="0"/>
            </w:tcBorders>
            <w:shd w:val="clear" w:color="auto" w:fill="auto"/>
            <w:vAlign w:val="center"/>
          </w:tcPr>
          <w:p w14:paraId="513BF847">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面议</w:t>
            </w:r>
          </w:p>
        </w:tc>
        <w:tc>
          <w:tcPr>
            <w:tcW w:w="538" w:type="dxa"/>
            <w:gridSpan w:val="2"/>
            <w:tcBorders>
              <w:top w:val="single" w:color="000000" w:sz="4" w:space="0"/>
              <w:left w:val="nil"/>
              <w:bottom w:val="single" w:color="000000" w:sz="4" w:space="0"/>
              <w:right w:val="single" w:color="000000" w:sz="4" w:space="0"/>
            </w:tcBorders>
            <w:shd w:val="clear" w:color="auto" w:fill="auto"/>
            <w:vAlign w:val="center"/>
          </w:tcPr>
          <w:p w14:paraId="039420E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w:t>
            </w:r>
          </w:p>
        </w:tc>
        <w:tc>
          <w:tcPr>
            <w:tcW w:w="538" w:type="dxa"/>
            <w:gridSpan w:val="2"/>
            <w:tcBorders>
              <w:top w:val="single" w:color="000000" w:sz="4" w:space="0"/>
              <w:left w:val="nil"/>
              <w:bottom w:val="single" w:color="000000" w:sz="4" w:space="0"/>
              <w:right w:val="single" w:color="000000" w:sz="4" w:space="0"/>
            </w:tcBorders>
            <w:shd w:val="clear" w:color="auto" w:fill="auto"/>
            <w:vAlign w:val="center"/>
          </w:tcPr>
          <w:p w14:paraId="1B45214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9</w:t>
            </w:r>
          </w:p>
        </w:tc>
        <w:tc>
          <w:tcPr>
            <w:tcW w:w="538" w:type="dxa"/>
            <w:gridSpan w:val="2"/>
            <w:tcBorders>
              <w:top w:val="single" w:color="000000" w:sz="4" w:space="0"/>
              <w:left w:val="nil"/>
              <w:bottom w:val="single" w:color="000000" w:sz="4" w:space="0"/>
              <w:right w:val="single" w:color="000000" w:sz="4" w:space="0"/>
            </w:tcBorders>
            <w:shd w:val="clear" w:color="auto" w:fill="auto"/>
            <w:vAlign w:val="center"/>
          </w:tcPr>
          <w:p w14:paraId="635CF0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8</w:t>
            </w:r>
          </w:p>
        </w:tc>
        <w:tc>
          <w:tcPr>
            <w:tcW w:w="538" w:type="dxa"/>
            <w:gridSpan w:val="2"/>
            <w:tcBorders>
              <w:top w:val="single" w:color="000000" w:sz="4" w:space="0"/>
              <w:left w:val="nil"/>
              <w:bottom w:val="single" w:color="000000" w:sz="4" w:space="0"/>
              <w:right w:val="single" w:color="000000" w:sz="4" w:space="0"/>
            </w:tcBorders>
            <w:shd w:val="clear" w:color="auto" w:fill="auto"/>
            <w:vAlign w:val="center"/>
          </w:tcPr>
          <w:p w14:paraId="1C1F81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7</w:t>
            </w:r>
          </w:p>
        </w:tc>
        <w:tc>
          <w:tcPr>
            <w:tcW w:w="537" w:type="dxa"/>
            <w:gridSpan w:val="3"/>
            <w:tcBorders>
              <w:top w:val="single" w:color="000000" w:sz="4" w:space="0"/>
              <w:left w:val="nil"/>
              <w:bottom w:val="single" w:color="000000" w:sz="4" w:space="0"/>
              <w:right w:val="single" w:color="000000" w:sz="4" w:space="0"/>
            </w:tcBorders>
            <w:shd w:val="clear" w:color="auto" w:fill="auto"/>
            <w:vAlign w:val="center"/>
          </w:tcPr>
          <w:p w14:paraId="39DE9E65">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6</w:t>
            </w:r>
          </w:p>
        </w:tc>
        <w:tc>
          <w:tcPr>
            <w:tcW w:w="681" w:type="dxa"/>
            <w:tcBorders>
              <w:top w:val="single" w:color="000000" w:sz="4" w:space="0"/>
              <w:left w:val="nil"/>
              <w:bottom w:val="single" w:color="000000" w:sz="4" w:space="0"/>
              <w:right w:val="single" w:color="000000" w:sz="4" w:space="0"/>
            </w:tcBorders>
            <w:shd w:val="clear" w:color="auto" w:fill="auto"/>
            <w:vAlign w:val="center"/>
          </w:tcPr>
          <w:p w14:paraId="2C0A2DE2">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 xml:space="preserve">5 </w:t>
            </w:r>
          </w:p>
        </w:tc>
        <w:tc>
          <w:tcPr>
            <w:tcW w:w="4226" w:type="dxa"/>
            <w:vMerge w:val="restart"/>
            <w:tcBorders>
              <w:top w:val="single" w:color="000000" w:sz="4" w:space="0"/>
              <w:left w:val="nil"/>
              <w:bottom w:val="single" w:color="000000" w:sz="4" w:space="0"/>
              <w:right w:val="single" w:color="000000" w:sz="4" w:space="0"/>
            </w:tcBorders>
            <w:shd w:val="clear" w:color="auto" w:fill="auto"/>
            <w:vAlign w:val="center"/>
          </w:tcPr>
          <w:p w14:paraId="6FD6FB4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kern w:val="2"/>
                <w:sz w:val="18"/>
                <w:szCs w:val="18"/>
              </w:rPr>
            </w:pPr>
            <w:r>
              <w:rPr>
                <w:rFonts w:hint="default" w:ascii="Times New Roman" w:hAnsi="Times New Roman" w:eastAsia="宋体" w:cs="Times New Roman"/>
                <w:kern w:val="2"/>
                <w:sz w:val="18"/>
                <w:szCs w:val="18"/>
                <w:lang w:val="en-US" w:eastAsia="zh-CN" w:bidi="ar"/>
              </w:rPr>
              <w:t>1</w:t>
            </w:r>
            <w:r>
              <w:rPr>
                <w:rFonts w:hint="eastAsia" w:ascii="宋体" w:hAnsi="宋体" w:eastAsia="宋体" w:cs="宋体"/>
                <w:kern w:val="2"/>
                <w:sz w:val="18"/>
                <w:szCs w:val="18"/>
                <w:lang w:val="en-US" w:eastAsia="zh-CN" w:bidi="ar"/>
              </w:rPr>
              <w:t>、根据施工承包合同价、进度计划，编制工程用款计划书；</w:t>
            </w:r>
            <w:r>
              <w:rPr>
                <w:rFonts w:hint="default" w:ascii="Times New Roman" w:hAnsi="Times New Roman" w:eastAsia="宋体" w:cs="Times New Roman"/>
                <w:kern w:val="2"/>
                <w:sz w:val="18"/>
                <w:szCs w:val="18"/>
                <w:lang w:val="en-US" w:eastAsia="zh-CN" w:bidi="ar"/>
              </w:rPr>
              <w:t>2</w:t>
            </w:r>
            <w:r>
              <w:rPr>
                <w:rFonts w:hint="eastAsia" w:ascii="宋体" w:hAnsi="宋体" w:eastAsia="宋体" w:cs="宋体"/>
                <w:kern w:val="2"/>
                <w:sz w:val="18"/>
                <w:szCs w:val="18"/>
                <w:lang w:val="en-US" w:eastAsia="zh-CN" w:bidi="ar"/>
              </w:rPr>
              <w:t>、参与工程造价控制的有关会议；</w:t>
            </w:r>
            <w:r>
              <w:rPr>
                <w:rFonts w:hint="default" w:ascii="Times New Roman" w:hAnsi="Times New Roman" w:eastAsia="宋体" w:cs="Times New Roman"/>
                <w:kern w:val="2"/>
                <w:sz w:val="18"/>
                <w:szCs w:val="18"/>
                <w:lang w:val="en-US" w:eastAsia="zh-CN" w:bidi="ar"/>
              </w:rPr>
              <w:t>3</w:t>
            </w:r>
            <w:r>
              <w:rPr>
                <w:rFonts w:hint="eastAsia" w:ascii="宋体" w:hAnsi="宋体" w:eastAsia="宋体" w:cs="宋体"/>
                <w:kern w:val="2"/>
                <w:sz w:val="18"/>
                <w:szCs w:val="18"/>
                <w:lang w:val="en-US" w:eastAsia="zh-CN" w:bidi="ar"/>
              </w:rPr>
              <w:t>、负责对施工单位上报的已完成工作量月报进行审核，提供当月付款建议书；</w:t>
            </w:r>
            <w:r>
              <w:rPr>
                <w:rFonts w:hint="default" w:ascii="Times New Roman" w:hAnsi="Times New Roman" w:eastAsia="宋体" w:cs="Times New Roman"/>
                <w:kern w:val="2"/>
                <w:sz w:val="18"/>
                <w:szCs w:val="18"/>
                <w:lang w:val="en-US" w:eastAsia="zh-CN" w:bidi="ar"/>
              </w:rPr>
              <w:t>4</w:t>
            </w:r>
            <w:r>
              <w:rPr>
                <w:rFonts w:hint="eastAsia" w:ascii="宋体" w:hAnsi="宋体" w:eastAsia="宋体" w:cs="宋体"/>
                <w:kern w:val="2"/>
                <w:sz w:val="18"/>
                <w:szCs w:val="18"/>
                <w:lang w:val="en-US" w:eastAsia="zh-CN" w:bidi="ar"/>
              </w:rPr>
              <w:t>、承、发包双方提出索赔时，为委托方提供咨询意见；</w:t>
            </w:r>
            <w:r>
              <w:rPr>
                <w:rFonts w:hint="default" w:ascii="Times New Roman" w:hAnsi="Times New Roman" w:eastAsia="宋体" w:cs="Times New Roman"/>
                <w:kern w:val="2"/>
                <w:sz w:val="18"/>
                <w:szCs w:val="18"/>
                <w:lang w:val="en-US" w:eastAsia="zh-CN" w:bidi="ar"/>
              </w:rPr>
              <w:t>5</w:t>
            </w:r>
            <w:r>
              <w:rPr>
                <w:rFonts w:hint="eastAsia" w:ascii="宋体" w:hAnsi="宋体" w:eastAsia="宋体" w:cs="宋体"/>
                <w:kern w:val="2"/>
                <w:sz w:val="18"/>
                <w:szCs w:val="18"/>
                <w:lang w:val="en-US" w:eastAsia="zh-CN" w:bidi="ar"/>
              </w:rPr>
              <w:t>、协助业主及时审核设计变更、现场签证等发生的费用，调整造价控制目标；</w:t>
            </w:r>
            <w:r>
              <w:rPr>
                <w:rFonts w:hint="default" w:ascii="Times New Roman" w:hAnsi="Times New Roman" w:eastAsia="宋体" w:cs="Times New Roman"/>
                <w:kern w:val="2"/>
                <w:sz w:val="18"/>
                <w:szCs w:val="18"/>
                <w:lang w:val="en-US" w:eastAsia="zh-CN" w:bidi="ar"/>
              </w:rPr>
              <w:t>6</w:t>
            </w:r>
            <w:r>
              <w:rPr>
                <w:rFonts w:hint="eastAsia" w:ascii="宋体" w:hAnsi="宋体" w:eastAsia="宋体" w:cs="宋体"/>
                <w:kern w:val="2"/>
                <w:sz w:val="18"/>
                <w:szCs w:val="18"/>
                <w:lang w:val="en-US" w:eastAsia="zh-CN" w:bidi="ar"/>
              </w:rPr>
              <w:t>、及时核定分阶段完工的分部工程结算，提供完整结算报告</w:t>
            </w:r>
          </w:p>
        </w:tc>
      </w:tr>
      <w:tr w14:paraId="58CF7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DD0A6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31" w:type="dxa"/>
            <w:gridSpan w:val="2"/>
            <w:vMerge w:val="continue"/>
            <w:tcBorders>
              <w:top w:val="nil"/>
              <w:left w:val="nil"/>
              <w:bottom w:val="single" w:color="000000" w:sz="4" w:space="0"/>
              <w:right w:val="single" w:color="000000" w:sz="4" w:space="0"/>
            </w:tcBorders>
            <w:shd w:val="clear" w:color="auto" w:fill="auto"/>
            <w:vAlign w:val="center"/>
          </w:tcPr>
          <w:p w14:paraId="10C281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5" w:type="dxa"/>
            <w:vMerge w:val="continue"/>
            <w:tcBorders>
              <w:top w:val="nil"/>
              <w:left w:val="nil"/>
              <w:bottom w:val="single" w:color="000000" w:sz="4" w:space="0"/>
              <w:right w:val="single" w:color="000000" w:sz="4" w:space="0"/>
            </w:tcBorders>
            <w:shd w:val="clear" w:color="auto" w:fill="auto"/>
            <w:vAlign w:val="center"/>
          </w:tcPr>
          <w:p w14:paraId="5BC316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2599DC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安装工程</w:t>
            </w:r>
          </w:p>
        </w:tc>
        <w:tc>
          <w:tcPr>
            <w:tcW w:w="1095" w:type="dxa"/>
            <w:gridSpan w:val="2"/>
            <w:tcBorders>
              <w:top w:val="single" w:color="000000" w:sz="4" w:space="0"/>
              <w:left w:val="nil"/>
              <w:bottom w:val="single" w:color="000000" w:sz="4" w:space="0"/>
              <w:right w:val="single" w:color="000000" w:sz="4" w:space="0"/>
            </w:tcBorders>
            <w:shd w:val="clear" w:color="auto" w:fill="auto"/>
            <w:vAlign w:val="center"/>
          </w:tcPr>
          <w:p w14:paraId="675A616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面议</w:t>
            </w:r>
          </w:p>
        </w:tc>
        <w:tc>
          <w:tcPr>
            <w:tcW w:w="538" w:type="dxa"/>
            <w:gridSpan w:val="2"/>
            <w:tcBorders>
              <w:top w:val="single" w:color="000000" w:sz="4" w:space="0"/>
              <w:left w:val="nil"/>
              <w:bottom w:val="single" w:color="000000" w:sz="4" w:space="0"/>
              <w:right w:val="single" w:color="000000" w:sz="4" w:space="0"/>
            </w:tcBorders>
            <w:shd w:val="clear" w:color="auto" w:fill="auto"/>
            <w:vAlign w:val="center"/>
          </w:tcPr>
          <w:p w14:paraId="662373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11</w:t>
            </w:r>
          </w:p>
        </w:tc>
        <w:tc>
          <w:tcPr>
            <w:tcW w:w="538" w:type="dxa"/>
            <w:gridSpan w:val="2"/>
            <w:tcBorders>
              <w:top w:val="single" w:color="000000" w:sz="4" w:space="0"/>
              <w:left w:val="nil"/>
              <w:bottom w:val="single" w:color="000000" w:sz="4" w:space="0"/>
              <w:right w:val="single" w:color="000000" w:sz="4" w:space="0"/>
            </w:tcBorders>
            <w:shd w:val="clear" w:color="auto" w:fill="auto"/>
            <w:vAlign w:val="center"/>
          </w:tcPr>
          <w:p w14:paraId="1256B2C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w:t>
            </w:r>
          </w:p>
        </w:tc>
        <w:tc>
          <w:tcPr>
            <w:tcW w:w="538" w:type="dxa"/>
            <w:gridSpan w:val="2"/>
            <w:tcBorders>
              <w:top w:val="single" w:color="000000" w:sz="4" w:space="0"/>
              <w:left w:val="nil"/>
              <w:bottom w:val="single" w:color="000000" w:sz="4" w:space="0"/>
              <w:right w:val="single" w:color="000000" w:sz="4" w:space="0"/>
            </w:tcBorders>
            <w:shd w:val="clear" w:color="auto" w:fill="auto"/>
            <w:vAlign w:val="center"/>
          </w:tcPr>
          <w:p w14:paraId="5F05C8D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9</w:t>
            </w:r>
          </w:p>
        </w:tc>
        <w:tc>
          <w:tcPr>
            <w:tcW w:w="538" w:type="dxa"/>
            <w:gridSpan w:val="2"/>
            <w:tcBorders>
              <w:top w:val="single" w:color="000000" w:sz="4" w:space="0"/>
              <w:left w:val="nil"/>
              <w:bottom w:val="single" w:color="000000" w:sz="4" w:space="0"/>
              <w:right w:val="single" w:color="000000" w:sz="4" w:space="0"/>
            </w:tcBorders>
            <w:shd w:val="clear" w:color="auto" w:fill="auto"/>
            <w:vAlign w:val="center"/>
          </w:tcPr>
          <w:p w14:paraId="7DF60F2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8</w:t>
            </w:r>
          </w:p>
        </w:tc>
        <w:tc>
          <w:tcPr>
            <w:tcW w:w="537" w:type="dxa"/>
            <w:gridSpan w:val="3"/>
            <w:tcBorders>
              <w:top w:val="single" w:color="000000" w:sz="4" w:space="0"/>
              <w:left w:val="nil"/>
              <w:bottom w:val="single" w:color="000000" w:sz="4" w:space="0"/>
              <w:right w:val="single" w:color="000000" w:sz="4" w:space="0"/>
            </w:tcBorders>
            <w:shd w:val="clear" w:color="auto" w:fill="auto"/>
            <w:vAlign w:val="center"/>
          </w:tcPr>
          <w:p w14:paraId="2158C17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7</w:t>
            </w:r>
          </w:p>
        </w:tc>
        <w:tc>
          <w:tcPr>
            <w:tcW w:w="681" w:type="dxa"/>
            <w:tcBorders>
              <w:top w:val="single" w:color="000000" w:sz="4" w:space="0"/>
              <w:left w:val="nil"/>
              <w:bottom w:val="single" w:color="000000" w:sz="4" w:space="0"/>
              <w:right w:val="single" w:color="000000" w:sz="4" w:space="0"/>
            </w:tcBorders>
            <w:shd w:val="clear" w:color="auto" w:fill="auto"/>
            <w:vAlign w:val="center"/>
          </w:tcPr>
          <w:p w14:paraId="409B07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6</w:t>
            </w:r>
          </w:p>
        </w:tc>
        <w:tc>
          <w:tcPr>
            <w:tcW w:w="4226" w:type="dxa"/>
            <w:vMerge w:val="continue"/>
            <w:tcBorders>
              <w:top w:val="single" w:color="000000" w:sz="4" w:space="0"/>
              <w:left w:val="nil"/>
              <w:bottom w:val="single" w:color="000000" w:sz="4" w:space="0"/>
              <w:right w:val="single" w:color="000000" w:sz="4" w:space="0"/>
            </w:tcBorders>
            <w:shd w:val="clear" w:color="auto" w:fill="auto"/>
            <w:vAlign w:val="center"/>
          </w:tcPr>
          <w:p w14:paraId="607C4FE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EFDD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8F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八</w:t>
            </w:r>
          </w:p>
        </w:tc>
        <w:tc>
          <w:tcPr>
            <w:tcW w:w="2131" w:type="dxa"/>
            <w:gridSpan w:val="2"/>
            <w:tcBorders>
              <w:top w:val="single" w:color="000000" w:sz="4" w:space="0"/>
              <w:left w:val="nil"/>
              <w:bottom w:val="single" w:color="000000" w:sz="4" w:space="0"/>
              <w:right w:val="single" w:color="000000" w:sz="4" w:space="0"/>
            </w:tcBorders>
            <w:shd w:val="clear" w:color="auto" w:fill="auto"/>
            <w:vAlign w:val="center"/>
          </w:tcPr>
          <w:p w14:paraId="7DB7B38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钢筋及预埋件计算</w:t>
            </w:r>
          </w:p>
        </w:tc>
        <w:tc>
          <w:tcPr>
            <w:tcW w:w="2500" w:type="dxa"/>
            <w:gridSpan w:val="3"/>
            <w:tcBorders>
              <w:top w:val="single" w:color="000000" w:sz="4" w:space="0"/>
              <w:left w:val="nil"/>
              <w:bottom w:val="single" w:color="000000" w:sz="4" w:space="0"/>
              <w:right w:val="single" w:color="000000" w:sz="4" w:space="0"/>
            </w:tcBorders>
            <w:shd w:val="clear" w:color="auto" w:fill="auto"/>
            <w:vAlign w:val="center"/>
          </w:tcPr>
          <w:p w14:paraId="086791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c>
          <w:tcPr>
            <w:tcW w:w="4465" w:type="dxa"/>
            <w:gridSpan w:val="14"/>
            <w:tcBorders>
              <w:top w:val="single" w:color="000000" w:sz="4" w:space="0"/>
              <w:left w:val="nil"/>
              <w:bottom w:val="single" w:color="000000" w:sz="4" w:space="0"/>
              <w:right w:val="single" w:color="000000" w:sz="4" w:space="0"/>
            </w:tcBorders>
            <w:shd w:val="clear" w:color="auto" w:fill="auto"/>
            <w:vAlign w:val="center"/>
          </w:tcPr>
          <w:p w14:paraId="1D083C4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10元/吨</w:t>
            </w:r>
          </w:p>
        </w:tc>
        <w:tc>
          <w:tcPr>
            <w:tcW w:w="4226" w:type="dxa"/>
            <w:tcBorders>
              <w:top w:val="single" w:color="000000" w:sz="4" w:space="0"/>
              <w:left w:val="nil"/>
              <w:bottom w:val="single" w:color="000000" w:sz="4" w:space="0"/>
              <w:right w:val="single" w:color="000000" w:sz="4" w:space="0"/>
            </w:tcBorders>
            <w:shd w:val="clear" w:color="auto" w:fill="auto"/>
            <w:vAlign w:val="center"/>
          </w:tcPr>
          <w:p w14:paraId="08DA8FE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r>
      <w:tr w14:paraId="1E7A3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6C3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九</w:t>
            </w:r>
          </w:p>
        </w:tc>
        <w:tc>
          <w:tcPr>
            <w:tcW w:w="2131" w:type="dxa"/>
            <w:gridSpan w:val="2"/>
            <w:tcBorders>
              <w:top w:val="single" w:color="000000" w:sz="4" w:space="0"/>
              <w:left w:val="nil"/>
              <w:bottom w:val="single" w:color="000000" w:sz="4" w:space="0"/>
              <w:right w:val="single" w:color="000000" w:sz="4" w:space="0"/>
            </w:tcBorders>
            <w:shd w:val="clear" w:color="auto" w:fill="auto"/>
            <w:vAlign w:val="center"/>
          </w:tcPr>
          <w:p w14:paraId="3AF646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工程经济纠纷案件鉴证</w:t>
            </w:r>
          </w:p>
        </w:tc>
        <w:tc>
          <w:tcPr>
            <w:tcW w:w="755" w:type="dxa"/>
            <w:tcBorders>
              <w:top w:val="single" w:color="000000" w:sz="4" w:space="0"/>
              <w:left w:val="nil"/>
              <w:bottom w:val="single" w:color="000000" w:sz="4" w:space="0"/>
              <w:right w:val="single" w:color="000000" w:sz="4" w:space="0"/>
            </w:tcBorders>
            <w:shd w:val="clear" w:color="auto" w:fill="auto"/>
            <w:vAlign w:val="center"/>
          </w:tcPr>
          <w:p w14:paraId="0D4AC6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涉案金额</w:t>
            </w:r>
          </w:p>
        </w:tc>
        <w:tc>
          <w:tcPr>
            <w:tcW w:w="1745" w:type="dxa"/>
            <w:gridSpan w:val="2"/>
            <w:tcBorders>
              <w:top w:val="single" w:color="000000" w:sz="4" w:space="0"/>
              <w:left w:val="nil"/>
              <w:bottom w:val="single" w:color="000000" w:sz="4" w:space="0"/>
              <w:right w:val="single" w:color="000000" w:sz="4" w:space="0"/>
            </w:tcBorders>
            <w:shd w:val="clear" w:color="auto" w:fill="auto"/>
            <w:vAlign w:val="center"/>
          </w:tcPr>
          <w:p w14:paraId="52AA12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c>
          <w:tcPr>
            <w:tcW w:w="4465" w:type="dxa"/>
            <w:gridSpan w:val="14"/>
            <w:tcBorders>
              <w:top w:val="single" w:color="000000" w:sz="4" w:space="0"/>
              <w:left w:val="nil"/>
              <w:bottom w:val="single" w:color="000000" w:sz="4" w:space="0"/>
              <w:right w:val="single" w:color="000000" w:sz="4" w:space="0"/>
            </w:tcBorders>
            <w:shd w:val="clear" w:color="auto" w:fill="auto"/>
            <w:vAlign w:val="center"/>
          </w:tcPr>
          <w:p w14:paraId="016B33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按涉案金额的10%～3%计算</w:t>
            </w:r>
          </w:p>
        </w:tc>
        <w:tc>
          <w:tcPr>
            <w:tcW w:w="4226" w:type="dxa"/>
            <w:tcBorders>
              <w:top w:val="single" w:color="000000" w:sz="4" w:space="0"/>
              <w:left w:val="nil"/>
              <w:bottom w:val="single" w:color="000000" w:sz="4" w:space="0"/>
              <w:right w:val="single" w:color="000000" w:sz="4" w:space="0"/>
            </w:tcBorders>
            <w:shd w:val="clear" w:color="auto" w:fill="auto"/>
            <w:vAlign w:val="center"/>
          </w:tcPr>
          <w:p w14:paraId="37B306D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调查取证，最终做出具体工程造价鉴证结论报告等工作</w:t>
            </w:r>
          </w:p>
        </w:tc>
      </w:tr>
      <w:tr w14:paraId="4CD4E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56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十</w:t>
            </w:r>
          </w:p>
        </w:tc>
        <w:tc>
          <w:tcPr>
            <w:tcW w:w="2131" w:type="dxa"/>
            <w:gridSpan w:val="2"/>
            <w:tcBorders>
              <w:top w:val="single" w:color="000000" w:sz="4" w:space="0"/>
              <w:left w:val="nil"/>
              <w:bottom w:val="single" w:color="000000" w:sz="4" w:space="0"/>
              <w:right w:val="single" w:color="000000" w:sz="4" w:space="0"/>
            </w:tcBorders>
            <w:shd w:val="clear" w:color="auto" w:fill="auto"/>
            <w:vAlign w:val="center"/>
          </w:tcPr>
          <w:p w14:paraId="3D3C90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计时收费</w:t>
            </w:r>
          </w:p>
        </w:tc>
        <w:tc>
          <w:tcPr>
            <w:tcW w:w="6965" w:type="dxa"/>
            <w:gridSpan w:val="17"/>
            <w:tcBorders>
              <w:top w:val="single" w:color="000000" w:sz="4" w:space="0"/>
              <w:left w:val="nil"/>
              <w:bottom w:val="single" w:color="000000" w:sz="4" w:space="0"/>
              <w:right w:val="single" w:color="000000" w:sz="4" w:space="0"/>
            </w:tcBorders>
            <w:shd w:val="clear" w:color="auto" w:fill="auto"/>
            <w:vAlign w:val="center"/>
          </w:tcPr>
          <w:p w14:paraId="736596F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注册造价师为：200元/人小时  造价员为：160元/人小时</w:t>
            </w:r>
          </w:p>
        </w:tc>
        <w:tc>
          <w:tcPr>
            <w:tcW w:w="4226" w:type="dxa"/>
            <w:tcBorders>
              <w:top w:val="single" w:color="000000" w:sz="4" w:space="0"/>
              <w:left w:val="nil"/>
              <w:bottom w:val="single" w:color="000000" w:sz="4" w:space="0"/>
              <w:right w:val="single" w:color="000000" w:sz="4" w:space="0"/>
            </w:tcBorders>
            <w:shd w:val="clear" w:color="auto" w:fill="auto"/>
            <w:vAlign w:val="center"/>
          </w:tcPr>
          <w:p w14:paraId="36955D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kern w:val="2"/>
                <w:sz w:val="18"/>
                <w:szCs w:val="18"/>
              </w:rPr>
            </w:pPr>
          </w:p>
        </w:tc>
      </w:tr>
    </w:tbl>
    <w:p w14:paraId="698E1449">
      <w:pPr>
        <w:keepNext w:val="0"/>
        <w:keepLines w:val="0"/>
        <w:widowControl/>
        <w:suppressLineNumbers w:val="0"/>
        <w:autoSpaceDE w:val="0"/>
        <w:autoSpaceDN/>
        <w:spacing w:before="0" w:beforeAutospacing="0" w:after="0" w:afterAutospacing="0"/>
        <w:ind w:left="0" w:right="0" w:firstLine="360" w:firstLineChars="200"/>
        <w:jc w:val="both"/>
        <w:rPr>
          <w:rFonts w:hint="eastAsia" w:ascii="宋体" w:hAnsi="宋体" w:eastAsia="宋体" w:cs="宋体"/>
          <w:b w:val="0"/>
          <w:bCs w:val="0"/>
          <w:kern w:val="44"/>
          <w:sz w:val="18"/>
          <w:szCs w:val="18"/>
        </w:rPr>
      </w:pPr>
      <w:r>
        <w:rPr>
          <w:rFonts w:hint="eastAsia" w:ascii="宋体" w:hAnsi="宋体" w:eastAsia="宋体" w:cs="宋体"/>
          <w:b w:val="0"/>
          <w:bCs w:val="0"/>
          <w:kern w:val="44"/>
          <w:sz w:val="18"/>
          <w:szCs w:val="18"/>
          <w:lang w:val="en-US" w:eastAsia="zh-CN" w:bidi="ar"/>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336AF48A">
      <w:pPr>
        <w:keepNext w:val="0"/>
        <w:keepLines w:val="0"/>
        <w:widowControl/>
        <w:suppressLineNumbers w:val="0"/>
        <w:autoSpaceDE w:val="0"/>
        <w:autoSpaceDN/>
        <w:spacing w:before="0" w:beforeAutospacing="0" w:after="0" w:afterAutospacing="0"/>
        <w:ind w:left="0" w:right="0" w:firstLine="360" w:firstLineChars="200"/>
        <w:jc w:val="both"/>
        <w:rPr>
          <w:rFonts w:hint="eastAsia" w:ascii="宋体" w:hAnsi="宋体" w:eastAsia="宋体" w:cs="宋体"/>
          <w:b w:val="0"/>
          <w:bCs w:val="0"/>
          <w:kern w:val="44"/>
          <w:sz w:val="18"/>
          <w:szCs w:val="18"/>
        </w:rPr>
      </w:pPr>
      <w:r>
        <w:rPr>
          <w:rFonts w:hint="eastAsia" w:ascii="宋体" w:hAnsi="宋体" w:eastAsia="宋体" w:cs="宋体"/>
          <w:b w:val="0"/>
          <w:bCs w:val="0"/>
          <w:kern w:val="44"/>
          <w:sz w:val="18"/>
          <w:szCs w:val="18"/>
          <w:lang w:val="en-US" w:eastAsia="zh-CN" w:bidi="ar"/>
        </w:rPr>
        <w:t>2、按基本收费标准不足1000元的，按1000元计费，计时收费按耗用工时计费。</w:t>
      </w:r>
    </w:p>
    <w:p w14:paraId="3390FD29">
      <w:pPr>
        <w:keepNext w:val="0"/>
        <w:keepLines w:val="0"/>
        <w:widowControl/>
        <w:suppressLineNumbers w:val="0"/>
        <w:autoSpaceDE w:val="0"/>
        <w:autoSpaceDN/>
        <w:spacing w:before="0" w:beforeAutospacing="0" w:after="0" w:afterAutospacing="0"/>
        <w:ind w:left="0" w:right="0" w:firstLine="360" w:firstLineChars="200"/>
        <w:jc w:val="both"/>
        <w:rPr>
          <w:rFonts w:hint="eastAsia" w:ascii="宋体" w:hAnsi="宋体" w:eastAsia="宋体" w:cs="宋体"/>
          <w:b w:val="0"/>
          <w:bCs w:val="0"/>
          <w:kern w:val="44"/>
          <w:sz w:val="18"/>
          <w:szCs w:val="18"/>
        </w:rPr>
      </w:pPr>
      <w:r>
        <w:rPr>
          <w:rFonts w:hint="eastAsia" w:ascii="宋体" w:hAnsi="宋体" w:eastAsia="宋体" w:cs="宋体"/>
          <w:b w:val="0"/>
          <w:bCs w:val="0"/>
          <w:kern w:val="44"/>
          <w:sz w:val="18"/>
          <w:szCs w:val="18"/>
          <w:lang w:val="en-US" w:eastAsia="zh-CN" w:bidi="ar"/>
        </w:rPr>
        <w:t>3、计费基数以单位工程金额计算；合同包干加签证项目，包干价部分应计入计费基数。</w:t>
      </w:r>
    </w:p>
    <w:p w14:paraId="11EB9D9D">
      <w:pPr>
        <w:keepNext w:val="0"/>
        <w:keepLines w:val="0"/>
        <w:widowControl/>
        <w:suppressLineNumbers w:val="0"/>
        <w:autoSpaceDE w:val="0"/>
        <w:autoSpaceDN/>
        <w:spacing w:before="0" w:beforeAutospacing="0" w:after="0" w:afterAutospacing="0"/>
        <w:ind w:left="0" w:right="0" w:firstLine="360" w:firstLineChars="200"/>
        <w:jc w:val="both"/>
        <w:rPr>
          <w:rFonts w:hint="eastAsia" w:ascii="宋体" w:hAnsi="宋体" w:eastAsia="宋体" w:cs="宋体"/>
          <w:b w:val="0"/>
          <w:bCs w:val="0"/>
          <w:kern w:val="44"/>
          <w:sz w:val="18"/>
          <w:szCs w:val="18"/>
        </w:rPr>
      </w:pPr>
      <w:r>
        <w:rPr>
          <w:rFonts w:hint="eastAsia" w:ascii="宋体" w:hAnsi="宋体" w:eastAsia="宋体" w:cs="宋体"/>
          <w:b w:val="0"/>
          <w:bCs w:val="0"/>
          <w:kern w:val="44"/>
          <w:sz w:val="18"/>
          <w:szCs w:val="18"/>
          <w:lang w:val="en-US" w:eastAsia="zh-CN" w:bidi="ar"/>
        </w:rPr>
        <w:t>4、复审是指工程造价咨询单位接受委托，对经承、发包双方确认的工程造价成果文件进行再次审核，其收费率可在初审基础上啬20%。初资审核金额以承包方提交工程造价为准。</w:t>
      </w:r>
    </w:p>
    <w:p w14:paraId="61CF4058">
      <w:pPr>
        <w:keepNext w:val="0"/>
        <w:keepLines w:val="0"/>
        <w:widowControl/>
        <w:suppressLineNumbers w:val="0"/>
        <w:autoSpaceDE w:val="0"/>
        <w:autoSpaceDN/>
        <w:spacing w:before="0" w:beforeAutospacing="0" w:after="0" w:afterAutospacing="0"/>
        <w:ind w:left="0" w:right="0" w:firstLine="360" w:firstLineChars="200"/>
        <w:jc w:val="both"/>
        <w:rPr>
          <w:rFonts w:hint="eastAsia" w:ascii="宋体" w:hAnsi="宋体" w:eastAsia="宋体" w:cs="宋体"/>
          <w:b w:val="0"/>
          <w:bCs w:val="0"/>
          <w:kern w:val="44"/>
          <w:sz w:val="18"/>
          <w:szCs w:val="18"/>
        </w:rPr>
      </w:pPr>
      <w:r>
        <w:rPr>
          <w:rFonts w:hint="eastAsia" w:ascii="宋体" w:hAnsi="宋体" w:eastAsia="宋体" w:cs="宋体"/>
          <w:b w:val="0"/>
          <w:bCs w:val="0"/>
          <w:kern w:val="44"/>
          <w:sz w:val="18"/>
          <w:szCs w:val="18"/>
          <w:lang w:val="en-US" w:eastAsia="zh-CN" w:bidi="ar"/>
        </w:rPr>
        <w:t>5、安装工程主材按规定都应列入造价，标底要求不列的，可以扣除但不得减少编制费用。</w:t>
      </w:r>
    </w:p>
    <w:p w14:paraId="4864AFDB">
      <w:pPr>
        <w:keepNext w:val="0"/>
        <w:keepLines w:val="0"/>
        <w:widowControl/>
        <w:suppressLineNumbers w:val="0"/>
        <w:autoSpaceDE w:val="0"/>
        <w:autoSpaceDN/>
        <w:spacing w:before="0" w:beforeAutospacing="0" w:after="0" w:afterAutospacing="0"/>
        <w:ind w:left="0" w:right="0" w:firstLine="360" w:firstLineChars="200"/>
        <w:jc w:val="both"/>
        <w:rPr>
          <w:rFonts w:hint="eastAsia" w:ascii="宋体" w:hAnsi="宋体" w:eastAsia="宋体" w:cs="宋体"/>
          <w:b w:val="0"/>
          <w:bCs w:val="0"/>
          <w:kern w:val="44"/>
          <w:sz w:val="18"/>
          <w:szCs w:val="18"/>
        </w:rPr>
      </w:pPr>
      <w:r>
        <w:rPr>
          <w:rFonts w:hint="eastAsia" w:ascii="宋体" w:hAnsi="宋体" w:eastAsia="宋体" w:cs="宋体"/>
          <w:b w:val="0"/>
          <w:bCs w:val="0"/>
          <w:kern w:val="44"/>
          <w:sz w:val="18"/>
          <w:szCs w:val="18"/>
          <w:lang w:val="en-US" w:eastAsia="zh-CN" w:bidi="ar"/>
        </w:rPr>
        <w:t>6、本收费标准中的“建筑工程”适用建筑工程及配套的装饰工程、安装工程；市政工程等。“安装工程”适用单独安装工程、装饰工程（含二次装饰装修）；房屋修缮；园林绿化及仿古建筑工程等。</w:t>
      </w:r>
    </w:p>
    <w:p w14:paraId="51E2B937">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44"/>
          <w:sz w:val="18"/>
          <w:szCs w:val="18"/>
        </w:rPr>
      </w:pPr>
      <w:r>
        <w:rPr>
          <w:rFonts w:hint="eastAsia" w:ascii="宋体" w:hAnsi="宋体" w:eastAsia="宋体" w:cs="宋体"/>
          <w:b w:val="0"/>
          <w:bCs w:val="0"/>
          <w:kern w:val="44"/>
          <w:sz w:val="18"/>
          <w:szCs w:val="18"/>
          <w:lang w:val="en-US" w:eastAsia="zh-CN" w:bidi="ar"/>
        </w:rPr>
        <w:t xml:space="preserve"> </w:t>
      </w:r>
    </w:p>
    <w:p w14:paraId="2D2147E1">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44"/>
          <w:sz w:val="18"/>
          <w:szCs w:val="18"/>
        </w:rPr>
      </w:pPr>
    </w:p>
    <w:p w14:paraId="72B18565">
      <w:pPr>
        <w:pStyle w:val="3"/>
        <w:spacing w:before="0" w:after="0"/>
        <w:rPr>
          <w:rFonts w:hint="eastAsia" w:ascii="宋体" w:hAnsi="宋体" w:eastAsia="宋体" w:cs="宋体"/>
          <w:color w:val="auto"/>
          <w:highlight w:val="none"/>
          <w:lang w:val="en-US" w:eastAsia="zh-CN"/>
        </w:rPr>
      </w:pPr>
    </w:p>
    <w:p w14:paraId="60066C57">
      <w:pPr>
        <w:rPr>
          <w:rFonts w:hint="eastAsia" w:ascii="宋体" w:hAnsi="宋体" w:eastAsia="宋体" w:cs="宋体"/>
          <w:color w:val="auto"/>
          <w:highlight w:val="none"/>
          <w:lang w:val="en-US" w:eastAsia="zh-CN"/>
        </w:rPr>
      </w:pPr>
    </w:p>
    <w:p w14:paraId="38ED02D7">
      <w:pPr>
        <w:pStyle w:val="44"/>
        <w:rPr>
          <w:rFonts w:hint="eastAsia" w:ascii="宋体" w:hAnsi="宋体" w:eastAsia="宋体" w:cs="宋体"/>
          <w:color w:val="auto"/>
          <w:highlight w:val="none"/>
          <w:lang w:val="en-US" w:eastAsia="zh-CN"/>
        </w:rPr>
      </w:pPr>
    </w:p>
    <w:p w14:paraId="7E1EBAFE">
      <w:pPr>
        <w:rPr>
          <w:rFonts w:hint="eastAsia" w:ascii="宋体" w:hAnsi="宋体" w:eastAsia="宋体" w:cs="宋体"/>
          <w:color w:val="auto"/>
          <w:highlight w:val="none"/>
          <w:lang w:val="en-US" w:eastAsia="zh-CN"/>
        </w:rPr>
      </w:pPr>
    </w:p>
    <w:p w14:paraId="79E78C80">
      <w:pPr>
        <w:pStyle w:val="44"/>
        <w:rPr>
          <w:rFonts w:hint="eastAsia" w:ascii="宋体" w:hAnsi="宋体" w:eastAsia="宋体" w:cs="宋体"/>
          <w:color w:val="auto"/>
          <w:highlight w:val="none"/>
          <w:lang w:val="en-US" w:eastAsia="zh-CN"/>
        </w:rPr>
      </w:pPr>
    </w:p>
    <w:p w14:paraId="6377864B">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sectPr>
          <w:pgSz w:w="16838" w:h="11906" w:orient="landscape"/>
          <w:pgMar w:top="1259" w:right="935" w:bottom="1106" w:left="936" w:header="680" w:footer="680" w:gutter="0"/>
          <w:pgNumType w:fmt="decimal"/>
          <w:cols w:space="0" w:num="1"/>
          <w:rtlGutter w:val="0"/>
          <w:docGrid w:type="lines" w:linePitch="318" w:charSpace="0"/>
        </w:sectPr>
      </w:pPr>
      <w:bookmarkStart w:id="65" w:name="_Toc30675"/>
    </w:p>
    <w:p w14:paraId="6BCD3E8E">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第四章  投标文件格式</w:t>
      </w:r>
      <w:bookmarkEnd w:id="65"/>
    </w:p>
    <w:p w14:paraId="0E6ABB34">
      <w:pPr>
        <w:jc w:val="center"/>
        <w:rPr>
          <w:rFonts w:hint="eastAsia" w:ascii="宋体" w:hAnsi="宋体" w:eastAsia="宋体" w:cs="宋体"/>
          <w:color w:val="auto"/>
          <w:sz w:val="28"/>
          <w:szCs w:val="28"/>
          <w:highlight w:val="none"/>
          <w:u w:val="single"/>
        </w:rPr>
      </w:pPr>
    </w:p>
    <w:p w14:paraId="60EA8196">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5EB4534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5413767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（2）企业法人营业执照； </w:t>
      </w:r>
    </w:p>
    <w:p w14:paraId="7406D9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（3）拟派项目负责人身份证和注册造价师证书（若注册证书上无法体现专业的，还需另行提供证明专业的证明材料）； </w:t>
      </w:r>
    </w:p>
    <w:p w14:paraId="1D67CEC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（4）项目人员配备表；（格式见附件）</w:t>
      </w:r>
    </w:p>
    <w:p w14:paraId="1BFAA03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（5）项目组其他成员（不含项目负责人）：有效身份证及证书； </w:t>
      </w:r>
    </w:p>
    <w:p w14:paraId="775520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1B936A0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（7）投标函；</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（8）投标人认为需要提供的其他材料</w:t>
      </w:r>
      <w:r>
        <w:rPr>
          <w:rFonts w:hint="eastAsia" w:ascii="宋体" w:hAnsi="宋体" w:eastAsia="宋体" w:cs="宋体"/>
          <w:color w:val="auto"/>
          <w:sz w:val="21"/>
          <w:szCs w:val="21"/>
          <w:highlight w:val="none"/>
          <w:lang w:val="en-US" w:eastAsia="zh-CN"/>
        </w:rPr>
        <w:t>。</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keepNext w:val="0"/>
        <w:keepLines w:val="0"/>
        <w:pageBreakBefore w:val="0"/>
        <w:widowControl/>
        <w:kinsoku/>
        <w:wordWrap/>
        <w:overflowPunct/>
        <w:topLinePunct w:val="0"/>
        <w:autoSpaceDE/>
        <w:autoSpaceDN/>
        <w:bidi w:val="0"/>
        <w:adjustRightInd/>
        <w:snapToGrid/>
        <w:spacing w:line="480" w:lineRule="exact"/>
        <w:ind w:firstLine="180" w:firstLineChars="75"/>
        <w:textAlignment w:val="baseline"/>
        <w:rPr>
          <w:rFonts w:hint="eastAsia" w:ascii="宋体" w:hAnsi="宋体" w:eastAsia="宋体" w:cs="宋体"/>
          <w:b/>
          <w:color w:val="auto"/>
          <w:sz w:val="24"/>
          <w:szCs w:val="24"/>
          <w:highlight w:val="none"/>
        </w:rPr>
      </w:pPr>
      <w:bookmarkStart w:id="66"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6"/>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eastAsia="宋体"/>
          <w:color w:val="auto"/>
          <w:sz w:val="24"/>
          <w:highlight w:val="none"/>
          <w:lang w:val="en-US" w:eastAsia="zh-CN"/>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w:t>
      </w:r>
      <w:r>
        <w:rPr>
          <w:rFonts w:hint="eastAsia" w:ascii="宋体"/>
          <w:color w:val="auto"/>
          <w:sz w:val="24"/>
          <w:highlight w:val="none"/>
          <w:lang w:val="en-US" w:eastAsia="zh-CN"/>
        </w:rPr>
        <w:t>复印件</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62537F1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0648E733">
      <w:pPr>
        <w:spacing w:line="480" w:lineRule="exact"/>
        <w:ind w:firstLine="480" w:firstLineChars="200"/>
        <w:jc w:val="center"/>
        <w:rPr>
          <w:rFonts w:hint="eastAsia" w:ascii="宋体" w:hAnsi="Times New Roman" w:eastAsia="宋体" w:cs="Times New Roman"/>
          <w:color w:val="auto"/>
          <w:sz w:val="24"/>
          <w:highlight w:val="none"/>
        </w:rPr>
      </w:pPr>
      <w:r>
        <w:rPr>
          <w:rFonts w:hint="eastAsia" w:ascii="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 xml:space="preserve">委托代理人（身份证号码）：               </w:t>
      </w:r>
    </w:p>
    <w:p w14:paraId="2B8D027D">
      <w:pPr>
        <w:spacing w:line="480" w:lineRule="exact"/>
        <w:ind w:firstLine="5760" w:firstLineChars="2400"/>
        <w:jc w:val="both"/>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4C19285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4" w:type="dxa"/>
            <w:noWrap w:val="0"/>
            <w:vAlign w:val="top"/>
          </w:tcPr>
          <w:p w14:paraId="49CD3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（签章）</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6AB2EB72">
      <w:pPr>
        <w:jc w:val="center"/>
        <w:rPr>
          <w:rFonts w:hint="eastAsia" w:ascii="宋体" w:hAnsi="宋体" w:eastAsia="宋体" w:cs="宋体"/>
          <w:b/>
          <w:bCs/>
          <w:color w:val="auto"/>
          <w:sz w:val="28"/>
          <w:szCs w:val="28"/>
          <w:highlight w:val="none"/>
        </w:rPr>
      </w:pPr>
    </w:p>
    <w:p w14:paraId="43D675BB">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73B4654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w:t>
      </w:r>
      <w:r>
        <w:rPr>
          <w:rFonts w:hint="eastAsia" w:ascii="宋体" w:hAnsi="宋体" w:eastAsia="宋体" w:cs="宋体"/>
          <w:b/>
          <w:bCs/>
          <w:color w:val="auto"/>
          <w:szCs w:val="21"/>
          <w:highlight w:val="none"/>
        </w:rPr>
        <w:t>《收费标准》计算费用的</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eastAsia="zh-CN"/>
        </w:rPr>
        <w:t>领取图纸之日起     日内完成工程量清单和最高投标限价的编制及备案工作</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（签章）</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E1611FF">
      <w:pPr>
        <w:spacing w:line="360" w:lineRule="auto"/>
        <w:rPr>
          <w:rFonts w:hint="eastAsia" w:ascii="宋体" w:hAnsi="宋体" w:cs="宋体"/>
          <w:b/>
          <w:color w:val="auto"/>
          <w:sz w:val="28"/>
          <w:szCs w:val="28"/>
          <w:highlight w:val="none"/>
          <w:lang w:val="en-US" w:eastAsia="zh-CN"/>
        </w:rPr>
      </w:pPr>
    </w:p>
    <w:p w14:paraId="739A9E3E">
      <w:pPr>
        <w:spacing w:line="360" w:lineRule="auto"/>
        <w:rPr>
          <w:rFonts w:hint="eastAsia" w:ascii="宋体" w:hAnsi="宋体" w:cs="宋体"/>
          <w:b/>
          <w:color w:val="auto"/>
          <w:sz w:val="28"/>
          <w:szCs w:val="28"/>
          <w:highlight w:val="none"/>
          <w:lang w:val="en-US" w:eastAsia="zh-CN"/>
        </w:rPr>
      </w:pPr>
    </w:p>
    <w:p w14:paraId="265D13AF">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系统填报的投标费率与本投标函不一致时，以本投标函为准</w:t>
      </w:r>
    </w:p>
    <w:p w14:paraId="3718D3FE">
      <w:pPr>
        <w:pStyle w:val="3"/>
        <w:spacing w:before="0" w:after="0"/>
        <w:rPr>
          <w:rFonts w:hint="eastAsia" w:ascii="宋体" w:hAnsi="宋体" w:eastAsia="宋体" w:cs="宋体"/>
          <w:color w:val="auto"/>
          <w:highlight w:val="none"/>
          <w:lang w:val="en-US" w:eastAsia="zh-CN"/>
        </w:rPr>
      </w:pPr>
      <w:bookmarkStart w:id="67" w:name="_Toc31498"/>
      <w:r>
        <w:rPr>
          <w:rFonts w:hint="eastAsia" w:ascii="宋体" w:hAnsi="宋体" w:eastAsia="宋体" w:cs="宋体"/>
          <w:color w:val="auto"/>
          <w:highlight w:val="none"/>
          <w:lang w:val="en-US" w:eastAsia="zh-CN"/>
        </w:rPr>
        <w:t>第五章  招标单位、招标代理机构对本招标文件的确认</w:t>
      </w:r>
      <w:bookmarkEnd w:id="67"/>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7" w:hRule="atLeast"/>
        </w:trPr>
        <w:tc>
          <w:tcPr>
            <w:tcW w:w="9689" w:type="dxa"/>
          </w:tcPr>
          <w:p w14:paraId="326BAA51">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p>
          <w:p w14:paraId="388A6941">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2026年金桥西路（幼安路-永乐路）沥青路面大中修工程工程量清单及最高投标限价编制服务项目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p>
          <w:p w14:paraId="16EDA7DA">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标</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val="en-US" w:eastAsia="zh-CN"/>
              </w:rPr>
              <w:t>滁州市重点工程建设管理处</w:t>
            </w:r>
          </w:p>
          <w:p w14:paraId="3463F686">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val="en-US" w:eastAsia="zh-CN"/>
              </w:rPr>
              <w:t>李福锟</w:t>
            </w:r>
          </w:p>
          <w:p w14:paraId="0C9165C7">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0550-3046029</w:t>
            </w:r>
          </w:p>
          <w:p w14:paraId="6E5C8EF3">
            <w:pPr>
              <w:keepNext w:val="0"/>
              <w:keepLines w:val="0"/>
              <w:suppressLineNumbers w:val="0"/>
              <w:spacing w:before="0" w:beforeAutospacing="0" w:after="0" w:afterAutospacing="0" w:line="500" w:lineRule="exact"/>
              <w:ind w:left="0" w:right="0" w:firstLine="280" w:firstLineChars="100"/>
              <w:rPr>
                <w:rFonts w:hint="eastAsia" w:ascii="宋体" w:hAnsi="宋体" w:eastAsia="宋体" w:cs="宋体"/>
                <w:color w:val="auto"/>
                <w:sz w:val="28"/>
                <w:szCs w:val="28"/>
                <w:highlight w:val="none"/>
              </w:rPr>
            </w:pPr>
          </w:p>
          <w:p w14:paraId="4C35A76B">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p>
          <w:p w14:paraId="1E3913DA">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33C2043A">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trPr>
        <w:tc>
          <w:tcPr>
            <w:tcW w:w="9689" w:type="dxa"/>
          </w:tcPr>
          <w:p w14:paraId="2D346054">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p>
          <w:p w14:paraId="429FA252">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val="en-US" w:eastAsia="zh-CN"/>
              </w:rPr>
              <w:t>胡国庆</w:t>
            </w:r>
          </w:p>
          <w:p w14:paraId="3E3D785F">
            <w:pPr>
              <w:keepNext w:val="0"/>
              <w:keepLines w:val="0"/>
              <w:suppressLineNumbers w:val="0"/>
              <w:spacing w:before="0" w:beforeAutospacing="0" w:after="0" w:afterAutospacing="0" w:line="320" w:lineRule="atLeas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0550-3519517、</w:t>
            </w:r>
            <w:r>
              <w:rPr>
                <w:rFonts w:hint="eastAsia" w:ascii="宋体" w:hAnsi="宋体" w:cs="宋体"/>
                <w:color w:val="auto"/>
                <w:sz w:val="28"/>
                <w:szCs w:val="28"/>
                <w:highlight w:val="none"/>
                <w:lang w:val="en-US" w:eastAsia="zh-CN"/>
              </w:rPr>
              <w:t>18005500950</w:t>
            </w:r>
          </w:p>
          <w:p w14:paraId="497AA04E">
            <w:pPr>
              <w:keepNext w:val="0"/>
              <w:keepLines w:val="0"/>
              <w:suppressLineNumbers w:val="0"/>
              <w:spacing w:before="0" w:beforeAutospacing="0" w:after="0" w:afterAutospacing="0"/>
              <w:ind w:left="0" w:right="0"/>
              <w:rPr>
                <w:rFonts w:hint="eastAsia" w:ascii="宋体" w:hAnsi="宋体" w:eastAsia="宋体" w:cs="宋体"/>
                <w:color w:val="auto"/>
                <w:sz w:val="28"/>
                <w:szCs w:val="28"/>
                <w:highlight w:val="none"/>
              </w:rPr>
            </w:pPr>
          </w:p>
          <w:p w14:paraId="0E6E788A">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0AF574C">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（单位盖章）</w:t>
            </w:r>
          </w:p>
          <w:p w14:paraId="5AE54977">
            <w:pPr>
              <w:keepNext w:val="0"/>
              <w:keepLines w:val="0"/>
              <w:suppressLineNumbers w:val="0"/>
              <w:spacing w:before="0" w:beforeAutospacing="0" w:after="0" w:afterAutospacing="0" w:line="500" w:lineRule="exact"/>
              <w:ind w:left="0" w:right="0" w:firstLine="6440" w:firstLineChars="2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月</w:t>
            </w:r>
          </w:p>
        </w:tc>
      </w:tr>
    </w:tbl>
    <w:p w14:paraId="63AE5489">
      <w:pPr>
        <w:pStyle w:val="18"/>
        <w:jc w:val="left"/>
        <w:rPr>
          <w:rFonts w:hint="eastAsia" w:ascii="宋体" w:hAnsi="宋体" w:eastAsia="宋体" w:cs="宋体"/>
          <w:color w:val="auto"/>
          <w:kern w:val="0"/>
          <w:sz w:val="24"/>
          <w:szCs w:val="24"/>
          <w:highlight w:val="none"/>
        </w:rPr>
      </w:pPr>
    </w:p>
    <w:p w14:paraId="21A15060">
      <w:pPr>
        <w:pStyle w:val="18"/>
        <w:jc w:val="left"/>
        <w:rPr>
          <w:rFonts w:hint="eastAsia" w:ascii="宋体" w:hAnsi="宋体" w:eastAsia="宋体" w:cs="宋体"/>
          <w:color w:val="auto"/>
          <w:kern w:val="0"/>
          <w:sz w:val="24"/>
          <w:szCs w:val="24"/>
          <w:highlight w:val="none"/>
        </w:rPr>
      </w:pPr>
    </w:p>
    <w:sectPr>
      <w:pgSz w:w="11906" w:h="16838"/>
      <w:pgMar w:top="935" w:right="1106" w:bottom="935" w:left="1259" w:header="680" w:footer="680"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汉仪大黑简">
    <w:altName w:val="黑体"/>
    <w:panose1 w:val="00000000000000000000"/>
    <w:charset w:val="00"/>
    <w:family w:val="auto"/>
    <w:pitch w:val="default"/>
    <w:sig w:usb0="00000000" w:usb1="00000000" w:usb2="00000000" w:usb3="00000000" w:csb0="00000000" w:csb1="00000000"/>
  </w:font>
  <w:font w:name="KSOF2A9ED157">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5762">
    <w:pPr>
      <w:pStyle w:val="29"/>
      <w:rPr>
        <w:rStyle w:val="49"/>
      </w:rPr>
    </w:pPr>
  </w:p>
  <w:p w14:paraId="27617CD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B8F2946"/>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2B8F2946"/>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60B7">
    <w:pPr>
      <w:pStyle w:val="29"/>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EE94">
    <w:pPr>
      <w:pStyle w:val="29"/>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65079">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F65079">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2D3B833F">
    <w:pPr>
      <w:pStyle w:val="29"/>
      <w:ind w:right="360"/>
      <w:rPr>
        <w:kern w:val="0"/>
      </w:rPr>
    </w:pPr>
    <w:r>
      <mc:AlternateContent>
        <mc:Choice Requires="wps">
          <w:drawing>
            <wp:anchor distT="0" distB="0" distL="114300" distR="114300" simplePos="0" relativeHeight="251662336"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9"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071249F7"/>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2336;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e/7c4rkBAAB1AwAADgAAAAAAAAABACAAAAApAQAAZHJzL2Uyb0RvYy54bWxQ&#10;SwUGAAAAAAYABgBZAQAAVAUAAAAA&#10;">
              <v:fill on="f" focussize="0,0"/>
              <v:stroke on="f"/>
              <v:imagedata o:title=""/>
              <o:lock v:ext="edit" aspectratio="f"/>
              <v:textbox inset="0mm,0mm,0mm,0mm">
                <w:txbxContent>
                  <w:p w14:paraId="071249F7"/>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FC55">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4394D"/>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D5986"/>
    <w:rsid w:val="00EE5A0A"/>
    <w:rsid w:val="00EE7AEC"/>
    <w:rsid w:val="00F10FD4"/>
    <w:rsid w:val="00F12999"/>
    <w:rsid w:val="00F16AA1"/>
    <w:rsid w:val="00F407A6"/>
    <w:rsid w:val="00F738CB"/>
    <w:rsid w:val="00F82A9A"/>
    <w:rsid w:val="00F83340"/>
    <w:rsid w:val="00FB2776"/>
    <w:rsid w:val="00FD0DE5"/>
    <w:rsid w:val="00FE4E55"/>
    <w:rsid w:val="00FF64C5"/>
    <w:rsid w:val="010C450B"/>
    <w:rsid w:val="019B1886"/>
    <w:rsid w:val="023C4E17"/>
    <w:rsid w:val="02860CE1"/>
    <w:rsid w:val="028A3325"/>
    <w:rsid w:val="028D0613"/>
    <w:rsid w:val="02A06DF6"/>
    <w:rsid w:val="02AD40CA"/>
    <w:rsid w:val="02C73530"/>
    <w:rsid w:val="03311B51"/>
    <w:rsid w:val="035607B0"/>
    <w:rsid w:val="035A0B08"/>
    <w:rsid w:val="03BE185C"/>
    <w:rsid w:val="03DD3435"/>
    <w:rsid w:val="04814D63"/>
    <w:rsid w:val="04880F3B"/>
    <w:rsid w:val="049251C3"/>
    <w:rsid w:val="04BB1052"/>
    <w:rsid w:val="04C2712A"/>
    <w:rsid w:val="05080FE1"/>
    <w:rsid w:val="052E2468"/>
    <w:rsid w:val="058F191A"/>
    <w:rsid w:val="0591547A"/>
    <w:rsid w:val="061B4D44"/>
    <w:rsid w:val="061C7753"/>
    <w:rsid w:val="064047AA"/>
    <w:rsid w:val="07023E8A"/>
    <w:rsid w:val="073060B3"/>
    <w:rsid w:val="073F34F8"/>
    <w:rsid w:val="07FD79C9"/>
    <w:rsid w:val="084F5179"/>
    <w:rsid w:val="08891FDF"/>
    <w:rsid w:val="08EE1782"/>
    <w:rsid w:val="090619B4"/>
    <w:rsid w:val="090B57DF"/>
    <w:rsid w:val="094625ED"/>
    <w:rsid w:val="098A2126"/>
    <w:rsid w:val="098C0FAE"/>
    <w:rsid w:val="09A07D2B"/>
    <w:rsid w:val="0A1370D9"/>
    <w:rsid w:val="0A426CE3"/>
    <w:rsid w:val="0A783487"/>
    <w:rsid w:val="0A920A74"/>
    <w:rsid w:val="0B1A05CF"/>
    <w:rsid w:val="0B212DFC"/>
    <w:rsid w:val="0B3B4932"/>
    <w:rsid w:val="0B8A5AE2"/>
    <w:rsid w:val="0BB27EF8"/>
    <w:rsid w:val="0C30371E"/>
    <w:rsid w:val="0C47209B"/>
    <w:rsid w:val="0C786EFF"/>
    <w:rsid w:val="0CDE4AF1"/>
    <w:rsid w:val="0CEC2F96"/>
    <w:rsid w:val="0D2F7233"/>
    <w:rsid w:val="0DB0649C"/>
    <w:rsid w:val="0E2234E7"/>
    <w:rsid w:val="0E832759"/>
    <w:rsid w:val="0ECF7747"/>
    <w:rsid w:val="0EF86B0C"/>
    <w:rsid w:val="0F9D46EF"/>
    <w:rsid w:val="1034712E"/>
    <w:rsid w:val="11156CD7"/>
    <w:rsid w:val="124026B6"/>
    <w:rsid w:val="128B0826"/>
    <w:rsid w:val="12C329EB"/>
    <w:rsid w:val="13054DB2"/>
    <w:rsid w:val="132E2ABB"/>
    <w:rsid w:val="137A735A"/>
    <w:rsid w:val="13AC7923"/>
    <w:rsid w:val="13B24508"/>
    <w:rsid w:val="13E54BBD"/>
    <w:rsid w:val="149D101A"/>
    <w:rsid w:val="14D25167"/>
    <w:rsid w:val="14FF0009"/>
    <w:rsid w:val="152F63E2"/>
    <w:rsid w:val="158272E5"/>
    <w:rsid w:val="15D60886"/>
    <w:rsid w:val="163B0AEA"/>
    <w:rsid w:val="16762FA5"/>
    <w:rsid w:val="167A5AB7"/>
    <w:rsid w:val="16A220B2"/>
    <w:rsid w:val="16A677CD"/>
    <w:rsid w:val="16AB249D"/>
    <w:rsid w:val="16E538DC"/>
    <w:rsid w:val="17153410"/>
    <w:rsid w:val="17F802E5"/>
    <w:rsid w:val="1822515D"/>
    <w:rsid w:val="19475149"/>
    <w:rsid w:val="19FB0CBC"/>
    <w:rsid w:val="1A1E40F3"/>
    <w:rsid w:val="1A446E0F"/>
    <w:rsid w:val="1AD87250"/>
    <w:rsid w:val="1AF847D0"/>
    <w:rsid w:val="1BDB6FF7"/>
    <w:rsid w:val="1BE85EDE"/>
    <w:rsid w:val="1C136BB6"/>
    <w:rsid w:val="1C4B5EA8"/>
    <w:rsid w:val="1D305121"/>
    <w:rsid w:val="1DD50EE3"/>
    <w:rsid w:val="1DDD3C3F"/>
    <w:rsid w:val="1E1554ED"/>
    <w:rsid w:val="1E66223E"/>
    <w:rsid w:val="1EC61154"/>
    <w:rsid w:val="1EED050B"/>
    <w:rsid w:val="1F1A1BE5"/>
    <w:rsid w:val="205253AE"/>
    <w:rsid w:val="207B6E01"/>
    <w:rsid w:val="211B1C44"/>
    <w:rsid w:val="21311468"/>
    <w:rsid w:val="21F200C1"/>
    <w:rsid w:val="22124523"/>
    <w:rsid w:val="224A075F"/>
    <w:rsid w:val="22516E18"/>
    <w:rsid w:val="22525B39"/>
    <w:rsid w:val="22E66E8E"/>
    <w:rsid w:val="233D5EA2"/>
    <w:rsid w:val="23647264"/>
    <w:rsid w:val="23816BA4"/>
    <w:rsid w:val="23B802A0"/>
    <w:rsid w:val="23DF30CA"/>
    <w:rsid w:val="25073DF8"/>
    <w:rsid w:val="25E4098B"/>
    <w:rsid w:val="26252182"/>
    <w:rsid w:val="265122FF"/>
    <w:rsid w:val="265E174C"/>
    <w:rsid w:val="2686038F"/>
    <w:rsid w:val="26D11723"/>
    <w:rsid w:val="26EF5515"/>
    <w:rsid w:val="278617E9"/>
    <w:rsid w:val="27AA5AD0"/>
    <w:rsid w:val="281178FD"/>
    <w:rsid w:val="287B03F4"/>
    <w:rsid w:val="289E73E3"/>
    <w:rsid w:val="28C72B2B"/>
    <w:rsid w:val="296F546B"/>
    <w:rsid w:val="29E75E0C"/>
    <w:rsid w:val="29F23E8A"/>
    <w:rsid w:val="2A241E9E"/>
    <w:rsid w:val="2A552F76"/>
    <w:rsid w:val="2B367DA6"/>
    <w:rsid w:val="2C416A03"/>
    <w:rsid w:val="2C7D3C0D"/>
    <w:rsid w:val="2C874AAF"/>
    <w:rsid w:val="2C8E66A6"/>
    <w:rsid w:val="2CAA4AF5"/>
    <w:rsid w:val="2CAF5168"/>
    <w:rsid w:val="2CBB47F9"/>
    <w:rsid w:val="2D0A7F39"/>
    <w:rsid w:val="2D4A1910"/>
    <w:rsid w:val="2DAC07F4"/>
    <w:rsid w:val="2DFF7667"/>
    <w:rsid w:val="2EB45BB2"/>
    <w:rsid w:val="2EE0388D"/>
    <w:rsid w:val="2EE45BBD"/>
    <w:rsid w:val="2EFD1D1D"/>
    <w:rsid w:val="2F1C5505"/>
    <w:rsid w:val="2F3A186E"/>
    <w:rsid w:val="2FE563D7"/>
    <w:rsid w:val="30185CCC"/>
    <w:rsid w:val="30840ACC"/>
    <w:rsid w:val="31FB42D0"/>
    <w:rsid w:val="322C3CB1"/>
    <w:rsid w:val="325A322E"/>
    <w:rsid w:val="32852601"/>
    <w:rsid w:val="32D3700E"/>
    <w:rsid w:val="32F07192"/>
    <w:rsid w:val="332433C5"/>
    <w:rsid w:val="3376156C"/>
    <w:rsid w:val="33DB598F"/>
    <w:rsid w:val="341A34A7"/>
    <w:rsid w:val="348E387D"/>
    <w:rsid w:val="35A46FAE"/>
    <w:rsid w:val="35C6441D"/>
    <w:rsid w:val="366F23BE"/>
    <w:rsid w:val="36C51A8B"/>
    <w:rsid w:val="37026723"/>
    <w:rsid w:val="37526B7E"/>
    <w:rsid w:val="376B26FD"/>
    <w:rsid w:val="37853F58"/>
    <w:rsid w:val="37CC72C2"/>
    <w:rsid w:val="38036F04"/>
    <w:rsid w:val="385F78F9"/>
    <w:rsid w:val="38D96215"/>
    <w:rsid w:val="3902318D"/>
    <w:rsid w:val="398960D8"/>
    <w:rsid w:val="39E8421F"/>
    <w:rsid w:val="3A066436"/>
    <w:rsid w:val="3A1C285D"/>
    <w:rsid w:val="3A2516BB"/>
    <w:rsid w:val="3A5E6F6F"/>
    <w:rsid w:val="3A766411"/>
    <w:rsid w:val="3B3C635C"/>
    <w:rsid w:val="3B575151"/>
    <w:rsid w:val="3C1D466B"/>
    <w:rsid w:val="3C2E61B3"/>
    <w:rsid w:val="3CCB04A6"/>
    <w:rsid w:val="3CD37326"/>
    <w:rsid w:val="3DEB4A20"/>
    <w:rsid w:val="3E7850FA"/>
    <w:rsid w:val="3EED354E"/>
    <w:rsid w:val="3F1410DB"/>
    <w:rsid w:val="3F173AB4"/>
    <w:rsid w:val="3F7A539C"/>
    <w:rsid w:val="3FB112F9"/>
    <w:rsid w:val="3FB5783A"/>
    <w:rsid w:val="3FD11DF9"/>
    <w:rsid w:val="4004001B"/>
    <w:rsid w:val="408338D7"/>
    <w:rsid w:val="411B4DE1"/>
    <w:rsid w:val="41510996"/>
    <w:rsid w:val="42147451"/>
    <w:rsid w:val="428E1E1E"/>
    <w:rsid w:val="42DF08CC"/>
    <w:rsid w:val="43727992"/>
    <w:rsid w:val="43881670"/>
    <w:rsid w:val="438D20D6"/>
    <w:rsid w:val="43E563C8"/>
    <w:rsid w:val="43E82525"/>
    <w:rsid w:val="44592EA6"/>
    <w:rsid w:val="44A8055A"/>
    <w:rsid w:val="44F7334E"/>
    <w:rsid w:val="45303661"/>
    <w:rsid w:val="45AF30FD"/>
    <w:rsid w:val="45B95DC5"/>
    <w:rsid w:val="45C857C3"/>
    <w:rsid w:val="45ED41DB"/>
    <w:rsid w:val="46420BB9"/>
    <w:rsid w:val="465B3014"/>
    <w:rsid w:val="472F5293"/>
    <w:rsid w:val="473A07C7"/>
    <w:rsid w:val="47DB0FE0"/>
    <w:rsid w:val="47DB3D58"/>
    <w:rsid w:val="47EB386F"/>
    <w:rsid w:val="485A4022"/>
    <w:rsid w:val="48986B3F"/>
    <w:rsid w:val="48D507A7"/>
    <w:rsid w:val="48E26B1E"/>
    <w:rsid w:val="492E7EB7"/>
    <w:rsid w:val="494476DB"/>
    <w:rsid w:val="49B66251"/>
    <w:rsid w:val="4A125037"/>
    <w:rsid w:val="4A965D14"/>
    <w:rsid w:val="4AB455FC"/>
    <w:rsid w:val="4AE922E8"/>
    <w:rsid w:val="4B4C6831"/>
    <w:rsid w:val="4BAF24FB"/>
    <w:rsid w:val="4BB93099"/>
    <w:rsid w:val="4C4A1A57"/>
    <w:rsid w:val="4CA21C4A"/>
    <w:rsid w:val="4E87606B"/>
    <w:rsid w:val="4ED1777D"/>
    <w:rsid w:val="4F443F90"/>
    <w:rsid w:val="4F627A2B"/>
    <w:rsid w:val="4F8A1859"/>
    <w:rsid w:val="4FC95B04"/>
    <w:rsid w:val="4FCD4721"/>
    <w:rsid w:val="502D24E4"/>
    <w:rsid w:val="504773D5"/>
    <w:rsid w:val="50EC70D4"/>
    <w:rsid w:val="511E5BAD"/>
    <w:rsid w:val="513918A9"/>
    <w:rsid w:val="517F3DD4"/>
    <w:rsid w:val="51A742B0"/>
    <w:rsid w:val="51BC2AE8"/>
    <w:rsid w:val="51F619A5"/>
    <w:rsid w:val="52244348"/>
    <w:rsid w:val="52CE5689"/>
    <w:rsid w:val="53956485"/>
    <w:rsid w:val="541C54DC"/>
    <w:rsid w:val="558A3D0F"/>
    <w:rsid w:val="559A68B9"/>
    <w:rsid w:val="569E5C28"/>
    <w:rsid w:val="56B17EF3"/>
    <w:rsid w:val="57313D11"/>
    <w:rsid w:val="578D69F6"/>
    <w:rsid w:val="58311B26"/>
    <w:rsid w:val="58B67924"/>
    <w:rsid w:val="58F64A9D"/>
    <w:rsid w:val="59254E33"/>
    <w:rsid w:val="597E4543"/>
    <w:rsid w:val="599A4762"/>
    <w:rsid w:val="59B44408"/>
    <w:rsid w:val="59B94A33"/>
    <w:rsid w:val="59C42C57"/>
    <w:rsid w:val="5A45619F"/>
    <w:rsid w:val="5AA951D5"/>
    <w:rsid w:val="5AFB2C32"/>
    <w:rsid w:val="5AFC7B78"/>
    <w:rsid w:val="5B2F036B"/>
    <w:rsid w:val="5B5877E2"/>
    <w:rsid w:val="5BA9771F"/>
    <w:rsid w:val="5BAC7A1D"/>
    <w:rsid w:val="5BAE0EF6"/>
    <w:rsid w:val="5BE3458F"/>
    <w:rsid w:val="5C3929A3"/>
    <w:rsid w:val="5C7B1A0A"/>
    <w:rsid w:val="5CAF3149"/>
    <w:rsid w:val="5CE21551"/>
    <w:rsid w:val="5DC22821"/>
    <w:rsid w:val="5DD0286D"/>
    <w:rsid w:val="5DF75DF1"/>
    <w:rsid w:val="5E3E24F3"/>
    <w:rsid w:val="5EA41270"/>
    <w:rsid w:val="5ED32B9B"/>
    <w:rsid w:val="5EEA0F2A"/>
    <w:rsid w:val="5EF90385"/>
    <w:rsid w:val="5F9D1CA2"/>
    <w:rsid w:val="5FC627A0"/>
    <w:rsid w:val="5FD300DB"/>
    <w:rsid w:val="5FE25B93"/>
    <w:rsid w:val="603F3AE9"/>
    <w:rsid w:val="608C59E7"/>
    <w:rsid w:val="60B16A2C"/>
    <w:rsid w:val="60FD39DD"/>
    <w:rsid w:val="61051B53"/>
    <w:rsid w:val="61095D5D"/>
    <w:rsid w:val="612754C0"/>
    <w:rsid w:val="61284751"/>
    <w:rsid w:val="629F458E"/>
    <w:rsid w:val="64D37E39"/>
    <w:rsid w:val="64F222D0"/>
    <w:rsid w:val="652A5B5F"/>
    <w:rsid w:val="655541D3"/>
    <w:rsid w:val="65594766"/>
    <w:rsid w:val="65AE22F3"/>
    <w:rsid w:val="65C12033"/>
    <w:rsid w:val="661F2BB1"/>
    <w:rsid w:val="66465782"/>
    <w:rsid w:val="66A743CB"/>
    <w:rsid w:val="66AF6E4C"/>
    <w:rsid w:val="670A4733"/>
    <w:rsid w:val="672F3E8A"/>
    <w:rsid w:val="676520D2"/>
    <w:rsid w:val="678161BB"/>
    <w:rsid w:val="67DE5EA5"/>
    <w:rsid w:val="68420814"/>
    <w:rsid w:val="6885769C"/>
    <w:rsid w:val="68B4049D"/>
    <w:rsid w:val="68E615DD"/>
    <w:rsid w:val="6907286A"/>
    <w:rsid w:val="6908397B"/>
    <w:rsid w:val="696142E5"/>
    <w:rsid w:val="696A0640"/>
    <w:rsid w:val="697274F4"/>
    <w:rsid w:val="69855479"/>
    <w:rsid w:val="6A16299D"/>
    <w:rsid w:val="6A22501A"/>
    <w:rsid w:val="6A446B8F"/>
    <w:rsid w:val="6B080110"/>
    <w:rsid w:val="6BE75F78"/>
    <w:rsid w:val="6CC00CAD"/>
    <w:rsid w:val="6D0B604A"/>
    <w:rsid w:val="6DAC05BE"/>
    <w:rsid w:val="6E2337BB"/>
    <w:rsid w:val="6E802F39"/>
    <w:rsid w:val="6E861244"/>
    <w:rsid w:val="6EF17676"/>
    <w:rsid w:val="6F5F3A74"/>
    <w:rsid w:val="6F8373FF"/>
    <w:rsid w:val="6FDE7145"/>
    <w:rsid w:val="701268B7"/>
    <w:rsid w:val="7025059A"/>
    <w:rsid w:val="708446DD"/>
    <w:rsid w:val="713E6246"/>
    <w:rsid w:val="7181008E"/>
    <w:rsid w:val="71D05043"/>
    <w:rsid w:val="72275593"/>
    <w:rsid w:val="725809D6"/>
    <w:rsid w:val="72CB1E47"/>
    <w:rsid w:val="73840989"/>
    <w:rsid w:val="73875405"/>
    <w:rsid w:val="73A163EC"/>
    <w:rsid w:val="73B74532"/>
    <w:rsid w:val="73D80A04"/>
    <w:rsid w:val="742E508B"/>
    <w:rsid w:val="744228E5"/>
    <w:rsid w:val="74425F26"/>
    <w:rsid w:val="74CC7CBB"/>
    <w:rsid w:val="75847F67"/>
    <w:rsid w:val="76D62696"/>
    <w:rsid w:val="76D96158"/>
    <w:rsid w:val="77185B7F"/>
    <w:rsid w:val="774E2667"/>
    <w:rsid w:val="77910BE3"/>
    <w:rsid w:val="78270463"/>
    <w:rsid w:val="789918CC"/>
    <w:rsid w:val="78EA3B59"/>
    <w:rsid w:val="79652BD2"/>
    <w:rsid w:val="797A042B"/>
    <w:rsid w:val="7A141457"/>
    <w:rsid w:val="7A6E38A0"/>
    <w:rsid w:val="7AF01661"/>
    <w:rsid w:val="7B2726C7"/>
    <w:rsid w:val="7B360113"/>
    <w:rsid w:val="7C016BE2"/>
    <w:rsid w:val="7C621C44"/>
    <w:rsid w:val="7C8660BD"/>
    <w:rsid w:val="7C8B1F44"/>
    <w:rsid w:val="7C934347"/>
    <w:rsid w:val="7CA05978"/>
    <w:rsid w:val="7E9B156F"/>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4">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66"/>
    <w:qFormat/>
    <w:uiPriority w:val="99"/>
    <w:pPr>
      <w:keepNext/>
      <w:keepLines/>
      <w:spacing w:before="260" w:after="260" w:line="416" w:lineRule="auto"/>
      <w:outlineLvl w:val="2"/>
    </w:pPr>
    <w:rPr>
      <w:b/>
      <w:bCs/>
      <w:sz w:val="32"/>
      <w:szCs w:val="32"/>
    </w:rPr>
  </w:style>
  <w:style w:type="paragraph" w:styleId="6">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7">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9">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0">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1">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2"/>
    <w:basedOn w:val="1"/>
    <w:link w:val="80"/>
    <w:qFormat/>
    <w:uiPriority w:val="99"/>
    <w:pPr>
      <w:spacing w:line="360" w:lineRule="exact"/>
      <w:ind w:firstLine="600" w:firstLineChars="250"/>
      <w:jc w:val="left"/>
    </w:pPr>
    <w:rPr>
      <w:sz w:val="24"/>
      <w:szCs w:val="24"/>
    </w:rPr>
  </w:style>
  <w:style w:type="paragraph" w:styleId="12">
    <w:name w:val="toc 7"/>
    <w:basedOn w:val="1"/>
    <w:next w:val="1"/>
    <w:semiHidden/>
    <w:qFormat/>
    <w:uiPriority w:val="99"/>
    <w:pPr>
      <w:ind w:left="2520" w:leftChars="1200"/>
    </w:pPr>
    <w:rPr>
      <w:rFonts w:ascii="Calibri" w:hAnsi="Calibri" w:cs="Calibri"/>
    </w:rPr>
  </w:style>
  <w:style w:type="paragraph" w:styleId="13">
    <w:name w:val="Normal Indent"/>
    <w:basedOn w:val="1"/>
    <w:qFormat/>
    <w:uiPriority w:val="99"/>
    <w:pPr>
      <w:adjustRightInd w:val="0"/>
      <w:spacing w:line="360" w:lineRule="atLeast"/>
      <w:ind w:firstLine="482"/>
      <w:textAlignment w:val="baseline"/>
    </w:pPr>
    <w:rPr>
      <w:kern w:val="0"/>
      <w:sz w:val="24"/>
      <w:szCs w:val="24"/>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73"/>
    <w:semiHidden/>
    <w:qFormat/>
    <w:uiPriority w:val="99"/>
    <w:pPr>
      <w:shd w:val="clear" w:color="auto" w:fill="000080"/>
    </w:pPr>
    <w:rPr>
      <w:kern w:val="0"/>
      <w:sz w:val="20"/>
      <w:szCs w:val="20"/>
      <w:shd w:val="clear" w:color="auto" w:fill="000080"/>
    </w:rPr>
  </w:style>
  <w:style w:type="paragraph" w:styleId="16">
    <w:name w:val="annotation text"/>
    <w:basedOn w:val="1"/>
    <w:link w:val="74"/>
    <w:semiHidden/>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17">
    <w:name w:val="Body Text 3"/>
    <w:basedOn w:val="1"/>
    <w:link w:val="75"/>
    <w:qFormat/>
    <w:uiPriority w:val="99"/>
    <w:rPr>
      <w:rFonts w:ascii="宋体" w:cs="宋体"/>
      <w:sz w:val="24"/>
      <w:szCs w:val="24"/>
    </w:rPr>
  </w:style>
  <w:style w:type="paragraph" w:styleId="18">
    <w:name w:val="Body Text"/>
    <w:basedOn w:val="1"/>
    <w:link w:val="76"/>
    <w:qFormat/>
    <w:uiPriority w:val="99"/>
    <w:pPr>
      <w:jc w:val="center"/>
    </w:pPr>
    <w:rPr>
      <w:b/>
      <w:bCs/>
      <w:sz w:val="44"/>
      <w:szCs w:val="44"/>
    </w:rPr>
  </w:style>
  <w:style w:type="paragraph" w:styleId="19">
    <w:name w:val="Body Text Indent"/>
    <w:basedOn w:val="1"/>
    <w:next w:val="20"/>
    <w:link w:val="77"/>
    <w:qFormat/>
    <w:uiPriority w:val="99"/>
    <w:pPr>
      <w:spacing w:line="500" w:lineRule="exact"/>
      <w:ind w:firstLine="538"/>
    </w:pPr>
    <w:rPr>
      <w:sz w:val="28"/>
      <w:szCs w:val="28"/>
    </w:rPr>
  </w:style>
  <w:style w:type="paragraph" w:styleId="20">
    <w:name w:val="envelope return"/>
    <w:basedOn w:val="1"/>
    <w:next w:val="12"/>
    <w:qFormat/>
    <w:uiPriority w:val="99"/>
    <w:pPr>
      <w:snapToGrid w:val="0"/>
    </w:pPr>
    <w:rPr>
      <w:rFonts w:ascii="Arial" w:hAnsi="Arial"/>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6"/>
    <w:next w:val="16"/>
    <w:link w:val="89"/>
    <w:semiHidden/>
    <w:qFormat/>
    <w:uiPriority w:val="99"/>
    <w:rPr>
      <w:rFonts w:ascii="宋体" w:cs="宋体"/>
      <w:b/>
      <w:bCs/>
      <w:kern w:val="0"/>
      <w:sz w:val="28"/>
      <w:szCs w:val="28"/>
    </w:rPr>
  </w:style>
  <w:style w:type="paragraph" w:styleId="44">
    <w:name w:val="Body Text First Indent 2"/>
    <w:next w:val="1"/>
    <w:link w:val="90"/>
    <w:qFormat/>
    <w:uiPriority w:val="99"/>
    <w:pPr>
      <w:keepNext w:val="0"/>
      <w:keepLines w:val="0"/>
      <w:widowControl w:val="0"/>
      <w:suppressLineNumbers w:val="0"/>
      <w:spacing w:before="0" w:beforeAutospacing="0" w:after="0" w:afterAutospacing="0" w:line="500" w:lineRule="exact"/>
      <w:ind w:left="0" w:right="0" w:firstLine="420" w:firstLineChars="200"/>
      <w:jc w:val="both"/>
    </w:pPr>
    <w:rPr>
      <w:rFonts w:hint="default" w:ascii="Times New Roman" w:hAnsi="Times New Roman" w:eastAsia="宋体" w:cs="Times New Roman"/>
      <w:kern w:val="2"/>
      <w:sz w:val="28"/>
      <w:szCs w:val="28"/>
      <w:lang w:val="en-US" w:eastAsia="zh-CN" w:bidi="ar"/>
    </w:rPr>
  </w:style>
  <w:style w:type="table" w:styleId="46">
    <w:name w:val="Table Grid"/>
    <w:basedOn w:val="45"/>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3"/>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4"/>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5"/>
    <w:qFormat/>
    <w:locked/>
    <w:uiPriority w:val="99"/>
    <w:rPr>
      <w:rFonts w:eastAsia="宋体" w:cs="Times New Roman"/>
      <w:b/>
      <w:bCs/>
      <w:kern w:val="2"/>
      <w:sz w:val="32"/>
      <w:szCs w:val="32"/>
      <w:lang w:val="en-US" w:eastAsia="zh-CN"/>
    </w:rPr>
  </w:style>
  <w:style w:type="character" w:customStyle="1" w:styleId="67">
    <w:name w:val="Heading 4 Char"/>
    <w:basedOn w:val="47"/>
    <w:link w:val="6"/>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7"/>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8"/>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9"/>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0"/>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1"/>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5"/>
    <w:qFormat/>
    <w:locked/>
    <w:uiPriority w:val="99"/>
    <w:rPr>
      <w:rFonts w:cs="Times New Roman"/>
      <w:sz w:val="24"/>
      <w:szCs w:val="24"/>
      <w:shd w:val="clear" w:color="auto" w:fill="000080"/>
    </w:rPr>
  </w:style>
  <w:style w:type="character" w:customStyle="1" w:styleId="74">
    <w:name w:val="Comment Text Char"/>
    <w:basedOn w:val="47"/>
    <w:link w:val="16"/>
    <w:qFormat/>
    <w:locked/>
    <w:uiPriority w:val="99"/>
    <w:rPr>
      <w:rFonts w:cs="Times New Roman"/>
      <w:kern w:val="2"/>
      <w:sz w:val="22"/>
      <w:szCs w:val="22"/>
    </w:rPr>
  </w:style>
  <w:style w:type="character" w:customStyle="1" w:styleId="75">
    <w:name w:val="Body Text 3 Char"/>
    <w:basedOn w:val="47"/>
    <w:link w:val="17"/>
    <w:semiHidden/>
    <w:qFormat/>
    <w:locked/>
    <w:uiPriority w:val="99"/>
    <w:rPr>
      <w:rFonts w:cs="Times New Roman"/>
      <w:sz w:val="16"/>
      <w:szCs w:val="16"/>
    </w:rPr>
  </w:style>
  <w:style w:type="character" w:customStyle="1" w:styleId="76">
    <w:name w:val="Body Text Char"/>
    <w:basedOn w:val="47"/>
    <w:link w:val="18"/>
    <w:qFormat/>
    <w:locked/>
    <w:uiPriority w:val="99"/>
    <w:rPr>
      <w:rFonts w:eastAsia="宋体" w:cs="Times New Roman"/>
      <w:b/>
      <w:bCs/>
      <w:kern w:val="2"/>
      <w:sz w:val="44"/>
      <w:szCs w:val="44"/>
      <w:lang w:val="en-US" w:eastAsia="zh-CN"/>
    </w:rPr>
  </w:style>
  <w:style w:type="character" w:customStyle="1" w:styleId="77">
    <w:name w:val="Body Text Indent Char"/>
    <w:basedOn w:val="47"/>
    <w:link w:val="19"/>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4"/>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5"/>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5"/>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5"/>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5"/>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5"/>
    <w:qFormat/>
    <w:uiPriority w:val="99"/>
    <w:pPr>
      <w:spacing w:line="413" w:lineRule="auto"/>
    </w:pPr>
  </w:style>
  <w:style w:type="paragraph" w:customStyle="1" w:styleId="134">
    <w:name w:val="TOC 标题1"/>
    <w:basedOn w:val="3"/>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3"/>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4"/>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5"/>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5"/>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time"/>
    <w:basedOn w:val="47"/>
    <w:qFormat/>
    <w:uiPriority w:val="0"/>
  </w:style>
  <w:style w:type="character" w:customStyle="1" w:styleId="159">
    <w:name w:val="status"/>
    <w:basedOn w:val="47"/>
    <w:qFormat/>
    <w:uiPriority w:val="0"/>
    <w:rPr>
      <w:color w:val="0776DD"/>
    </w:rPr>
  </w:style>
  <w:style w:type="character" w:customStyle="1" w:styleId="160">
    <w:name w:val="19"/>
    <w:basedOn w:val="47"/>
    <w:qFormat/>
    <w:uiPriority w:val="0"/>
    <w:rPr>
      <w:rFonts w:hint="eastAsia" w:ascii="仿宋_GB2312" w:eastAsia="仿宋_GB2312" w:cs="仿宋_GB2312"/>
      <w:color w:val="000000"/>
      <w:sz w:val="24"/>
      <w:szCs w:val="24"/>
    </w:rPr>
  </w:style>
  <w:style w:type="character" w:customStyle="1" w:styleId="161">
    <w:name w:val="16"/>
    <w:basedOn w:val="47"/>
    <w:qFormat/>
    <w:uiPriority w:val="0"/>
    <w:rPr>
      <w:rFonts w:hint="eastAsia" w:ascii="仿宋" w:hAnsi="仿宋" w:eastAsia="仿宋" w:cs="仿宋"/>
      <w:b/>
      <w:color w:val="000000"/>
      <w:sz w:val="32"/>
      <w:szCs w:val="32"/>
    </w:rPr>
  </w:style>
  <w:style w:type="character" w:customStyle="1" w:styleId="162">
    <w:name w:val="17"/>
    <w:basedOn w:val="47"/>
    <w:qFormat/>
    <w:uiPriority w:val="0"/>
    <w:rPr>
      <w:rFonts w:hint="eastAsia" w:ascii="仿宋" w:hAnsi="仿宋" w:eastAsia="仿宋" w:cs="仿宋"/>
      <w:color w:val="000000"/>
      <w:sz w:val="24"/>
      <w:szCs w:val="24"/>
      <w:u w:val="single"/>
    </w:rPr>
  </w:style>
  <w:style w:type="character" w:customStyle="1" w:styleId="163">
    <w:name w:val="10"/>
    <w:basedOn w:val="47"/>
    <w:qFormat/>
    <w:uiPriority w:val="0"/>
    <w:rPr>
      <w:rFonts w:hint="default" w:ascii="Times New Roman" w:hAnsi="Times New Roman" w:cs="Times New Roman"/>
    </w:rPr>
  </w:style>
  <w:style w:type="character" w:customStyle="1" w:styleId="164">
    <w:name w:val="23"/>
    <w:basedOn w:val="47"/>
    <w:qFormat/>
    <w:uiPriority w:val="0"/>
    <w:rPr>
      <w:rFonts w:hint="default" w:ascii="Times New Roman" w:hAnsi="Times New Roman" w:cs="Times New Roman"/>
    </w:rPr>
  </w:style>
  <w:style w:type="character" w:customStyle="1" w:styleId="165">
    <w:name w:val="15"/>
    <w:basedOn w:val="47"/>
    <w:qFormat/>
    <w:uiPriority w:val="0"/>
    <w:rPr>
      <w:rFonts w:hint="default" w:ascii="Times New Roman" w:hAnsi="Times New Roman" w:cs="Times New Roman"/>
      <w:color w:val="000000"/>
      <w:sz w:val="24"/>
      <w:szCs w:val="24"/>
    </w:rPr>
  </w:style>
  <w:style w:type="character" w:customStyle="1" w:styleId="166">
    <w:name w:val="18"/>
    <w:basedOn w:val="47"/>
    <w:qFormat/>
    <w:uiPriority w:val="0"/>
    <w:rPr>
      <w:rFonts w:hint="eastAsia" w:ascii="仿宋" w:hAnsi="仿宋" w:eastAsia="仿宋" w:cs="仿宋"/>
      <w:b/>
      <w:color w:val="000000"/>
      <w:sz w:val="32"/>
      <w:szCs w:val="32"/>
    </w:rPr>
  </w:style>
  <w:style w:type="character" w:customStyle="1" w:styleId="167">
    <w:name w:val="20"/>
    <w:basedOn w:val="47"/>
    <w:qFormat/>
    <w:uiPriority w:val="0"/>
    <w:rPr>
      <w:rFonts w:hint="eastAsia" w:ascii="仿宋" w:hAnsi="仿宋" w:eastAsia="仿宋" w:cs="仿宋"/>
      <w:color w:val="000000"/>
      <w:sz w:val="24"/>
      <w:szCs w:val="24"/>
    </w:rPr>
  </w:style>
  <w:style w:type="character" w:customStyle="1" w:styleId="168">
    <w:name w:val="21"/>
    <w:basedOn w:val="47"/>
    <w:qFormat/>
    <w:uiPriority w:val="0"/>
    <w:rPr>
      <w:rFonts w:hint="eastAsia" w:ascii="仿宋" w:hAnsi="仿宋" w:eastAsia="仿宋" w:cs="仿宋"/>
      <w:color w:val="000000"/>
      <w:sz w:val="24"/>
      <w:szCs w:val="24"/>
    </w:rPr>
  </w:style>
  <w:style w:type="character" w:customStyle="1" w:styleId="169">
    <w:name w:val="22"/>
    <w:basedOn w:val="47"/>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54</Pages>
  <Words>5172</Words>
  <Characters>6012</Characters>
  <Lines>1</Lines>
  <Paragraphs>1</Paragraphs>
  <TotalTime>18</TotalTime>
  <ScaleCrop>false</ScaleCrop>
  <LinksUpToDate>false</LinksUpToDate>
  <CharactersWithSpaces>6093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这不科学</cp:lastModifiedBy>
  <cp:lastPrinted>2024-12-19T02:48:00Z</cp:lastPrinted>
  <dcterms:modified xsi:type="dcterms:W3CDTF">2026-06-24T07:30:58Z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86717CE9608D47DFB7D00BC0CB6E8D85_13</vt:lpwstr>
  </property>
  <property fmtid="{D5CDD505-2E9C-101B-9397-08002B2CF9AE}" pid="4" name="KSOTemplateDocerSaveRecord">
    <vt:lpwstr>eyJoZGlkIjoiZmI5ZDY5ZDNjMmE2ZDcxYTFkMDY0Zjg5Mjg3YTE0YTgiLCJ1c2VySWQiOiI1MDM3MjkwOTMifQ==</vt:lpwstr>
  </property>
</Properties>
</file>