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294CD">
      <w:pPr>
        <w:pStyle w:val="19"/>
        <w:ind w:left="0" w:leftChars="0" w:firstLine="0" w:firstLineChars="0"/>
        <w:rPr>
          <w:rFonts w:hint="eastAsia"/>
          <w:color w:val="auto"/>
          <w:highlight w:val="none"/>
        </w:rPr>
      </w:pPr>
      <w:bookmarkStart w:id="0" w:name="_Toc144974479"/>
      <w:bookmarkStart w:id="1" w:name="_Toc152042287"/>
      <w:bookmarkStart w:id="2" w:name="_Toc179632527"/>
      <w:bookmarkStart w:id="3" w:name="_Toc152045511"/>
      <w:bookmarkStart w:id="4" w:name="OLE_LINK4"/>
      <w:bookmarkStart w:id="5" w:name="OLE_LINK1"/>
      <w:bookmarkStart w:id="6" w:name="OLE_LINK2"/>
      <w:bookmarkStart w:id="7" w:name="OLE_LINK5"/>
      <w:bookmarkStart w:id="8" w:name="OLE_LINK3"/>
    </w:p>
    <w:p w14:paraId="358D16D4">
      <w:pPr>
        <w:rPr>
          <w:rFonts w:hint="eastAsia"/>
          <w:color w:val="auto"/>
          <w:highlight w:val="none"/>
        </w:rPr>
      </w:pPr>
    </w:p>
    <w:p w14:paraId="5641E6DC">
      <w:pPr>
        <w:adjustRightInd w:val="0"/>
        <w:snapToGrid w:val="0"/>
        <w:spacing w:line="360" w:lineRule="auto"/>
        <w:jc w:val="center"/>
        <w:rPr>
          <w:rFonts w:hint="eastAsia" w:ascii="宋体" w:hAnsi="宋体" w:cs="宋体"/>
          <w:b/>
          <w:bCs/>
          <w:color w:val="auto"/>
          <w:sz w:val="72"/>
          <w:szCs w:val="72"/>
          <w:highlight w:val="none"/>
        </w:rPr>
      </w:pPr>
      <w:r>
        <w:rPr>
          <w:rFonts w:hint="eastAsia" w:ascii="宋体" w:hAnsi="宋体" w:cs="宋体"/>
          <w:b/>
          <w:bCs/>
          <w:color w:val="auto"/>
          <w:sz w:val="44"/>
          <w:szCs w:val="44"/>
          <w:highlight w:val="none"/>
          <w:u w:val="none"/>
          <w:lang w:val="en-US" w:eastAsia="zh-CN"/>
        </w:rPr>
        <w:t>滁州经开区智能家电产业园施工项目</w:t>
      </w:r>
    </w:p>
    <w:p w14:paraId="4F663508">
      <w:pPr>
        <w:adjustRightInd w:val="0"/>
        <w:snapToGrid w:val="0"/>
        <w:spacing w:line="360" w:lineRule="auto"/>
        <w:jc w:val="center"/>
        <w:rPr>
          <w:rFonts w:hint="eastAsia" w:ascii="宋体" w:hAnsi="宋体" w:cs="宋体"/>
          <w:b/>
          <w:bCs/>
          <w:color w:val="auto"/>
          <w:sz w:val="72"/>
          <w:szCs w:val="72"/>
          <w:highlight w:val="none"/>
        </w:rPr>
      </w:pPr>
    </w:p>
    <w:p w14:paraId="57397166">
      <w:pPr>
        <w:adjustRightInd w:val="0"/>
        <w:snapToGrid w:val="0"/>
        <w:spacing w:line="360" w:lineRule="auto"/>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招 标 文 件</w:t>
      </w:r>
    </w:p>
    <w:p w14:paraId="4BA77DEE">
      <w:pPr>
        <w:adjustRightInd w:val="0"/>
        <w:snapToGrid w:val="0"/>
        <w:spacing w:line="360" w:lineRule="auto"/>
        <w:ind w:firstLine="2550" w:firstLineChars="850"/>
        <w:jc w:val="both"/>
        <w:rPr>
          <w:rFonts w:hint="default" w:ascii="宋体" w:hAnsi="宋体" w:cs="宋体"/>
          <w:color w:val="auto"/>
          <w:spacing w:val="140"/>
          <w:sz w:val="28"/>
          <w:szCs w:val="28"/>
          <w:highlight w:val="none"/>
          <w:lang w:val="en-US"/>
        </w:rPr>
      </w:pPr>
      <w:r>
        <w:rPr>
          <w:rFonts w:hint="eastAsia" w:ascii="宋体" w:hAnsi="宋体" w:cs="宋体"/>
          <w:color w:val="auto"/>
          <w:sz w:val="30"/>
          <w:szCs w:val="30"/>
          <w:highlight w:val="none"/>
        </w:rPr>
        <w:t>招标项目编号：</w:t>
      </w:r>
      <w:r>
        <w:rPr>
          <w:rFonts w:hint="eastAsia" w:ascii="宋体" w:hAnsi="宋体" w:cs="宋体"/>
          <w:color w:val="auto"/>
          <w:sz w:val="30"/>
          <w:szCs w:val="30"/>
          <w:highlight w:val="none"/>
          <w:lang w:val="en-US" w:eastAsia="zh-CN"/>
        </w:rPr>
        <w:t>czsjgc202607-011</w:t>
      </w:r>
    </w:p>
    <w:p w14:paraId="1D0E95A4">
      <w:pPr>
        <w:adjustRightInd w:val="0"/>
        <w:snapToGrid w:val="0"/>
        <w:spacing w:line="360" w:lineRule="auto"/>
        <w:ind w:firstLine="4760" w:firstLineChars="850"/>
        <w:rPr>
          <w:rFonts w:hint="eastAsia" w:ascii="宋体" w:hAnsi="宋体" w:cs="宋体"/>
          <w:color w:val="auto"/>
          <w:spacing w:val="140"/>
          <w:sz w:val="28"/>
          <w:szCs w:val="28"/>
          <w:highlight w:val="none"/>
        </w:rPr>
      </w:pPr>
      <w:r>
        <w:rPr>
          <w:rFonts w:hint="eastAsia" w:ascii="宋体" w:hAnsi="宋体" w:cs="宋体"/>
          <w:color w:val="auto"/>
          <w:spacing w:val="140"/>
          <w:sz w:val="28"/>
          <w:szCs w:val="28"/>
          <w:highlight w:val="none"/>
        </w:rPr>
        <w:t xml:space="preserve">     </w:t>
      </w:r>
    </w:p>
    <w:p w14:paraId="3F85F7CB">
      <w:pPr>
        <w:jc w:val="center"/>
        <w:rPr>
          <w:rFonts w:hint="eastAsia" w:ascii="宋体" w:hAnsi="宋体" w:cs="宋体"/>
          <w:color w:val="auto"/>
          <w:sz w:val="72"/>
          <w:szCs w:val="72"/>
          <w:highlight w:val="none"/>
        </w:rPr>
      </w:pPr>
    </w:p>
    <w:p w14:paraId="0052EB8A">
      <w:pPr>
        <w:spacing w:line="540" w:lineRule="exact"/>
        <w:ind w:firstLine="437"/>
        <w:jc w:val="right"/>
        <w:rPr>
          <w:rFonts w:hint="eastAsia" w:ascii="宋体" w:hAnsi="宋体" w:cs="宋体"/>
          <w:color w:val="auto"/>
          <w:szCs w:val="21"/>
          <w:highlight w:val="none"/>
        </w:rPr>
      </w:pPr>
    </w:p>
    <w:p w14:paraId="742ACB1A">
      <w:pPr>
        <w:spacing w:line="540" w:lineRule="exact"/>
        <w:ind w:firstLine="437"/>
        <w:rPr>
          <w:rFonts w:hint="eastAsia" w:ascii="宋体" w:hAnsi="宋体" w:cs="宋体"/>
          <w:color w:val="auto"/>
          <w:szCs w:val="21"/>
          <w:highlight w:val="none"/>
        </w:rPr>
      </w:pPr>
    </w:p>
    <w:p w14:paraId="5ACBE1F4">
      <w:pPr>
        <w:spacing w:line="540" w:lineRule="exact"/>
        <w:rPr>
          <w:rFonts w:hint="eastAsia" w:ascii="宋体" w:hAnsi="宋体" w:cs="宋体"/>
          <w:color w:val="auto"/>
          <w:szCs w:val="21"/>
          <w:highlight w:val="none"/>
        </w:rPr>
      </w:pPr>
    </w:p>
    <w:p w14:paraId="6B22A7EE">
      <w:pPr>
        <w:pStyle w:val="19"/>
        <w:rPr>
          <w:rFonts w:hint="eastAsia"/>
          <w:color w:val="auto"/>
          <w:highlight w:val="none"/>
        </w:rPr>
      </w:pPr>
    </w:p>
    <w:p w14:paraId="60B49396">
      <w:pPr>
        <w:rPr>
          <w:rFonts w:hint="eastAsia"/>
          <w:color w:val="auto"/>
          <w:highlight w:val="none"/>
        </w:rPr>
      </w:pPr>
    </w:p>
    <w:p w14:paraId="0B3470D4">
      <w:pPr>
        <w:spacing w:line="540" w:lineRule="exact"/>
        <w:rPr>
          <w:rFonts w:hint="eastAsia" w:ascii="宋体" w:hAnsi="宋体" w:cs="宋体"/>
          <w:color w:val="auto"/>
          <w:szCs w:val="21"/>
          <w:highlight w:val="none"/>
        </w:rPr>
      </w:pPr>
    </w:p>
    <w:p w14:paraId="65DF9CFF">
      <w:pPr>
        <w:pStyle w:val="19"/>
        <w:rPr>
          <w:rFonts w:hint="eastAsia" w:ascii="宋体" w:hAnsi="宋体" w:cs="宋体"/>
          <w:color w:val="auto"/>
          <w:szCs w:val="21"/>
          <w:highlight w:val="none"/>
        </w:rPr>
      </w:pPr>
    </w:p>
    <w:p w14:paraId="35EAB796">
      <w:pPr>
        <w:rPr>
          <w:rFonts w:hint="eastAsia"/>
          <w:color w:val="auto"/>
          <w:highlight w:val="none"/>
        </w:rPr>
      </w:pPr>
    </w:p>
    <w:p w14:paraId="15F3B046">
      <w:pPr>
        <w:adjustRightInd w:val="0"/>
        <w:snapToGrid w:val="0"/>
        <w:spacing w:line="480" w:lineRule="auto"/>
        <w:ind w:firstLine="437"/>
        <w:rPr>
          <w:rFonts w:hint="eastAsia" w:ascii="宋体" w:hAnsi="宋体" w:cs="宋体"/>
          <w:color w:val="auto"/>
          <w:szCs w:val="21"/>
          <w:highlight w:val="none"/>
        </w:rPr>
      </w:pPr>
    </w:p>
    <w:p w14:paraId="67246503">
      <w:pPr>
        <w:adjustRightInd w:val="0"/>
        <w:snapToGrid w:val="0"/>
        <w:spacing w:line="480" w:lineRule="auto"/>
        <w:ind w:firstLine="960" w:firstLineChars="300"/>
        <w:rPr>
          <w:rFonts w:hint="eastAsia" w:ascii="宋体" w:hAnsi="宋体" w:cs="宋体"/>
          <w:color w:val="auto"/>
          <w:sz w:val="32"/>
          <w:szCs w:val="32"/>
          <w:highlight w:val="none"/>
        </w:rPr>
      </w:pPr>
      <w:r>
        <w:rPr>
          <w:rFonts w:hint="eastAsia" w:ascii="宋体" w:hAnsi="宋体" w:cs="宋体"/>
          <w:color w:val="auto"/>
          <w:sz w:val="32"/>
          <w:szCs w:val="32"/>
          <w:highlight w:val="none"/>
        </w:rPr>
        <w:t>招   标   人：</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r>
        <w:rPr>
          <w:rFonts w:hint="eastAsia" w:ascii="宋体" w:hAnsi="宋体" w:cs="宋体"/>
          <w:color w:val="auto"/>
          <w:sz w:val="32"/>
          <w:szCs w:val="32"/>
          <w:highlight w:val="none"/>
          <w:u w:val="single"/>
        </w:rPr>
        <w:t>滁州同业投资发展有限公司</w:t>
      </w:r>
      <w:r>
        <w:rPr>
          <w:rFonts w:hint="eastAsia" w:ascii="宋体" w:hAnsi="宋体" w:cs="宋体"/>
          <w:color w:val="auto"/>
          <w:sz w:val="32"/>
          <w:szCs w:val="32"/>
          <w:highlight w:val="none"/>
          <w:u w:val="single"/>
          <w:lang w:val="en-US" w:eastAsia="zh-CN"/>
        </w:rPr>
        <w:t xml:space="preserve">  </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rPr>
        <w:t>（盖章）</w:t>
      </w:r>
    </w:p>
    <w:p w14:paraId="147C4FFE">
      <w:pPr>
        <w:adjustRightInd w:val="0"/>
        <w:snapToGrid w:val="0"/>
        <w:spacing w:line="480" w:lineRule="auto"/>
        <w:ind w:firstLine="960" w:firstLineChars="300"/>
        <w:jc w:val="center"/>
        <w:rPr>
          <w:rFonts w:hint="eastAsia" w:ascii="宋体" w:hAnsi="宋体" w:cs="宋体"/>
          <w:color w:val="auto"/>
          <w:sz w:val="32"/>
          <w:szCs w:val="32"/>
          <w:highlight w:val="none"/>
        </w:rPr>
      </w:pPr>
      <w:r>
        <w:rPr>
          <w:rFonts w:hint="eastAsia" w:ascii="宋体" w:hAnsi="宋体" w:eastAsia="宋体" w:cs="宋体"/>
          <w:color w:val="auto"/>
          <w:sz w:val="32"/>
          <w:szCs w:val="32"/>
          <w:highlight w:val="none"/>
          <w:u w:val="none"/>
          <w:lang w:val="en-US" w:eastAsia="zh-CN"/>
        </w:rPr>
        <w:t xml:space="preserve">      </w:t>
      </w:r>
      <w:r>
        <w:rPr>
          <w:rFonts w:hint="eastAsia" w:ascii="宋体" w:hAnsi="宋体" w:eastAsia="宋体" w:cs="宋体"/>
          <w:color w:val="auto"/>
          <w:sz w:val="32"/>
          <w:szCs w:val="32"/>
          <w:highlight w:val="none"/>
          <w:u w:val="single"/>
          <w:lang w:val="en-US" w:eastAsia="zh-CN"/>
        </w:rPr>
        <w:t>（隶属于国家级经济技术开发区的国有企业）</w:t>
      </w:r>
    </w:p>
    <w:p w14:paraId="51CA532F">
      <w:pPr>
        <w:adjustRightInd w:val="0"/>
        <w:snapToGrid w:val="0"/>
        <w:spacing w:line="480" w:lineRule="auto"/>
        <w:ind w:firstLine="960" w:firstLineChars="300"/>
        <w:rPr>
          <w:rFonts w:hint="eastAsia" w:ascii="宋体" w:hAnsi="宋体" w:cs="宋体"/>
          <w:color w:val="auto"/>
          <w:sz w:val="32"/>
          <w:szCs w:val="32"/>
          <w:highlight w:val="none"/>
        </w:rPr>
      </w:pPr>
      <w:r>
        <w:rPr>
          <w:rFonts w:hint="eastAsia" w:ascii="宋体" w:hAnsi="宋体" w:cs="宋体"/>
          <w:color w:val="auto"/>
          <w:sz w:val="32"/>
          <w:szCs w:val="32"/>
          <w:highlight w:val="none"/>
        </w:rPr>
        <w:t>招标代理机构：</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滁州市城投工程咨询管理有限公司</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rPr>
        <w:t>（盖章）</w:t>
      </w:r>
    </w:p>
    <w:p w14:paraId="2293D5E2">
      <w:pPr>
        <w:pStyle w:val="19"/>
        <w:ind w:left="0" w:leftChars="0" w:firstLine="0" w:firstLineChars="0"/>
        <w:rPr>
          <w:rFonts w:hint="eastAsia"/>
          <w:color w:val="auto"/>
          <w:highlight w:val="none"/>
        </w:rPr>
      </w:pPr>
    </w:p>
    <w:p w14:paraId="296E5664">
      <w:pPr>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   </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2026</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7</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31</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rPr>
        <w:t>日</w:t>
      </w:r>
    </w:p>
    <w:p w14:paraId="36CF1D97">
      <w:pPr>
        <w:pStyle w:val="19"/>
        <w:rPr>
          <w:rFonts w:hint="eastAsia"/>
          <w:color w:val="auto"/>
          <w:highlight w:val="none"/>
        </w:rPr>
      </w:pPr>
    </w:p>
    <w:p w14:paraId="46405728">
      <w:pPr>
        <w:pStyle w:val="36"/>
        <w:adjustRightInd w:val="0"/>
        <w:snapToGrid w:val="0"/>
        <w:spacing w:before="0" w:line="240" w:lineRule="auto"/>
        <w:ind w:right="210" w:rightChars="100"/>
        <w:jc w:val="center"/>
        <w:rPr>
          <w:color w:val="auto"/>
          <w:sz w:val="52"/>
          <w:highlight w:val="none"/>
        </w:rPr>
      </w:pPr>
      <w:r>
        <w:rPr>
          <w:color w:val="auto"/>
          <w:sz w:val="52"/>
          <w:highlight w:val="none"/>
          <w:lang w:val="zh-CN"/>
        </w:rPr>
        <w:t>目</w:t>
      </w:r>
      <w:r>
        <w:rPr>
          <w:rFonts w:hint="eastAsia"/>
          <w:color w:val="auto"/>
          <w:sz w:val="52"/>
          <w:highlight w:val="none"/>
          <w:lang w:val="zh-CN"/>
        </w:rPr>
        <w:t xml:space="preserve">  </w:t>
      </w:r>
      <w:r>
        <w:rPr>
          <w:color w:val="auto"/>
          <w:sz w:val="52"/>
          <w:highlight w:val="none"/>
          <w:lang w:val="zh-CN"/>
        </w:rPr>
        <w:t>录</w:t>
      </w:r>
    </w:p>
    <w:p w14:paraId="4F76C6A4">
      <w:pPr>
        <w:pStyle w:val="16"/>
        <w:tabs>
          <w:tab w:val="right" w:leader="dot" w:pos="10120"/>
        </w:tabs>
        <w:rPr>
          <w:rFonts w:ascii="Calibri" w:hAnsi="Calibri"/>
          <w:b w:val="0"/>
          <w:bCs w:val="0"/>
          <w:caps w:val="0"/>
          <w:color w:val="auto"/>
          <w:sz w:val="32"/>
          <w:szCs w:val="22"/>
          <w:highlight w:val="none"/>
        </w:rPr>
      </w:pPr>
      <w:r>
        <w:rPr>
          <w:color w:val="auto"/>
          <w:highlight w:val="none"/>
        </w:rPr>
        <w:fldChar w:fldCharType="begin"/>
      </w:r>
      <w:r>
        <w:rPr>
          <w:color w:val="auto"/>
          <w:highlight w:val="none"/>
        </w:rPr>
        <w:instrText xml:space="preserve"> TOC \o "1-3" \h \z \u </w:instrText>
      </w:r>
      <w:r>
        <w:rPr>
          <w:color w:val="auto"/>
          <w:highlight w:val="none"/>
        </w:rPr>
        <w:fldChar w:fldCharType="separate"/>
      </w:r>
      <w:r>
        <w:rPr>
          <w:rStyle w:val="30"/>
          <w:color w:val="auto"/>
          <w:sz w:val="28"/>
          <w:highlight w:val="none"/>
        </w:rPr>
        <w:fldChar w:fldCharType="begin"/>
      </w:r>
      <w:r>
        <w:rPr>
          <w:rStyle w:val="30"/>
          <w:color w:val="auto"/>
          <w:sz w:val="28"/>
          <w:highlight w:val="none"/>
        </w:rPr>
        <w:instrText xml:space="preserve"> </w:instrText>
      </w:r>
      <w:r>
        <w:rPr>
          <w:color w:val="auto"/>
          <w:sz w:val="28"/>
          <w:highlight w:val="none"/>
        </w:rPr>
        <w:instrText xml:space="preserve">HYPERLINK \l "_Toc95223332"</w:instrText>
      </w:r>
      <w:r>
        <w:rPr>
          <w:rStyle w:val="30"/>
          <w:color w:val="auto"/>
          <w:sz w:val="28"/>
          <w:highlight w:val="none"/>
        </w:rPr>
        <w:instrText xml:space="preserve"> </w:instrText>
      </w:r>
      <w:r>
        <w:rPr>
          <w:rStyle w:val="30"/>
          <w:color w:val="auto"/>
          <w:sz w:val="28"/>
          <w:highlight w:val="none"/>
        </w:rPr>
        <w:fldChar w:fldCharType="separate"/>
      </w:r>
      <w:r>
        <w:rPr>
          <w:rStyle w:val="30"/>
          <w:rFonts w:hint="eastAsia"/>
          <w:color w:val="auto"/>
          <w:sz w:val="28"/>
          <w:highlight w:val="none"/>
        </w:rPr>
        <w:t>第一章</w:t>
      </w:r>
      <w:r>
        <w:rPr>
          <w:rStyle w:val="30"/>
          <w:color w:val="auto"/>
          <w:sz w:val="28"/>
          <w:highlight w:val="none"/>
        </w:rPr>
        <w:t xml:space="preserve">  </w:t>
      </w:r>
      <w:r>
        <w:rPr>
          <w:rStyle w:val="30"/>
          <w:rFonts w:hint="eastAsia"/>
          <w:color w:val="auto"/>
          <w:sz w:val="28"/>
          <w:highlight w:val="none"/>
        </w:rPr>
        <w:t>招标公告</w:t>
      </w:r>
      <w:r>
        <w:rPr>
          <w:color w:val="auto"/>
          <w:sz w:val="28"/>
          <w:highlight w:val="none"/>
        </w:rPr>
        <w:tab/>
      </w:r>
      <w:r>
        <w:rPr>
          <w:rFonts w:hint="eastAsia"/>
          <w:color w:val="auto"/>
          <w:sz w:val="28"/>
          <w:highlight w:val="none"/>
          <w:lang w:val="en-US" w:eastAsia="zh-CN"/>
        </w:rPr>
        <w:t>1</w:t>
      </w:r>
      <w:r>
        <w:rPr>
          <w:rStyle w:val="30"/>
          <w:color w:val="auto"/>
          <w:sz w:val="28"/>
          <w:highlight w:val="none"/>
        </w:rPr>
        <w:fldChar w:fldCharType="end"/>
      </w:r>
    </w:p>
    <w:p w14:paraId="6F05D2E6">
      <w:pPr>
        <w:pStyle w:val="16"/>
        <w:tabs>
          <w:tab w:val="right" w:leader="dot" w:pos="10120"/>
        </w:tabs>
        <w:rPr>
          <w:rFonts w:hint="eastAsia" w:ascii="Calibri" w:hAnsi="Calibri" w:eastAsia="宋体"/>
          <w:b w:val="0"/>
          <w:bCs w:val="0"/>
          <w:caps w:val="0"/>
          <w:color w:val="auto"/>
          <w:sz w:val="32"/>
          <w:szCs w:val="22"/>
          <w:highlight w:val="none"/>
          <w:lang w:val="en-US" w:eastAsia="zh-CN"/>
        </w:rPr>
      </w:pPr>
      <w:r>
        <w:rPr>
          <w:rStyle w:val="30"/>
          <w:color w:val="auto"/>
          <w:sz w:val="28"/>
          <w:highlight w:val="none"/>
        </w:rPr>
        <w:fldChar w:fldCharType="begin"/>
      </w:r>
      <w:r>
        <w:rPr>
          <w:rStyle w:val="30"/>
          <w:color w:val="auto"/>
          <w:sz w:val="28"/>
          <w:highlight w:val="none"/>
        </w:rPr>
        <w:instrText xml:space="preserve"> </w:instrText>
      </w:r>
      <w:r>
        <w:rPr>
          <w:color w:val="auto"/>
          <w:sz w:val="28"/>
          <w:highlight w:val="none"/>
        </w:rPr>
        <w:instrText xml:space="preserve">HYPERLINK \l "_Toc95223333"</w:instrText>
      </w:r>
      <w:r>
        <w:rPr>
          <w:rStyle w:val="30"/>
          <w:color w:val="auto"/>
          <w:sz w:val="28"/>
          <w:highlight w:val="none"/>
        </w:rPr>
        <w:instrText xml:space="preserve"> </w:instrText>
      </w:r>
      <w:r>
        <w:rPr>
          <w:rStyle w:val="30"/>
          <w:color w:val="auto"/>
          <w:sz w:val="28"/>
          <w:highlight w:val="none"/>
        </w:rPr>
        <w:fldChar w:fldCharType="separate"/>
      </w:r>
      <w:r>
        <w:rPr>
          <w:rStyle w:val="30"/>
          <w:rFonts w:hint="eastAsia"/>
          <w:color w:val="auto"/>
          <w:sz w:val="28"/>
          <w:highlight w:val="none"/>
        </w:rPr>
        <w:t>第二章</w:t>
      </w:r>
      <w:r>
        <w:rPr>
          <w:rStyle w:val="30"/>
          <w:color w:val="auto"/>
          <w:sz w:val="28"/>
          <w:highlight w:val="none"/>
        </w:rPr>
        <w:t xml:space="preserve"> </w:t>
      </w:r>
      <w:r>
        <w:rPr>
          <w:rStyle w:val="30"/>
          <w:rFonts w:hint="eastAsia"/>
          <w:color w:val="auto"/>
          <w:sz w:val="28"/>
          <w:highlight w:val="none"/>
        </w:rPr>
        <w:t>投标人须知</w:t>
      </w:r>
      <w:r>
        <w:rPr>
          <w:color w:val="auto"/>
          <w:sz w:val="28"/>
          <w:highlight w:val="none"/>
        </w:rPr>
        <w:tab/>
      </w:r>
      <w:r>
        <w:rPr>
          <w:rFonts w:hint="eastAsia"/>
          <w:color w:val="auto"/>
          <w:sz w:val="28"/>
          <w:highlight w:val="none"/>
          <w:lang w:val="en-US" w:eastAsia="zh-CN"/>
        </w:rPr>
        <w:t>1</w:t>
      </w:r>
      <w:r>
        <w:rPr>
          <w:rStyle w:val="30"/>
          <w:color w:val="auto"/>
          <w:sz w:val="28"/>
          <w:highlight w:val="none"/>
        </w:rPr>
        <w:fldChar w:fldCharType="end"/>
      </w:r>
      <w:r>
        <w:rPr>
          <w:rStyle w:val="30"/>
          <w:rFonts w:hint="eastAsia"/>
          <w:color w:val="auto"/>
          <w:sz w:val="28"/>
          <w:highlight w:val="none"/>
          <w:lang w:val="en-US" w:eastAsia="zh-CN"/>
        </w:rPr>
        <w:t>0</w:t>
      </w:r>
    </w:p>
    <w:p w14:paraId="4A8C8B3E">
      <w:pPr>
        <w:pStyle w:val="16"/>
        <w:tabs>
          <w:tab w:val="right" w:leader="dot" w:pos="10120"/>
        </w:tabs>
        <w:rPr>
          <w:rFonts w:hint="eastAsia" w:ascii="Calibri" w:hAnsi="Calibri" w:eastAsia="宋体"/>
          <w:b w:val="0"/>
          <w:bCs w:val="0"/>
          <w:caps w:val="0"/>
          <w:color w:val="auto"/>
          <w:sz w:val="32"/>
          <w:szCs w:val="22"/>
          <w:highlight w:val="none"/>
          <w:lang w:val="en-US" w:eastAsia="zh-CN"/>
        </w:rPr>
      </w:pPr>
      <w:r>
        <w:rPr>
          <w:rStyle w:val="30"/>
          <w:color w:val="auto"/>
          <w:sz w:val="28"/>
          <w:highlight w:val="none"/>
        </w:rPr>
        <w:fldChar w:fldCharType="begin"/>
      </w:r>
      <w:r>
        <w:rPr>
          <w:rStyle w:val="30"/>
          <w:color w:val="auto"/>
          <w:sz w:val="28"/>
          <w:highlight w:val="none"/>
        </w:rPr>
        <w:instrText xml:space="preserve"> </w:instrText>
      </w:r>
      <w:r>
        <w:rPr>
          <w:color w:val="auto"/>
          <w:sz w:val="28"/>
          <w:highlight w:val="none"/>
        </w:rPr>
        <w:instrText xml:space="preserve">HYPERLINK \l "_Toc95223428"</w:instrText>
      </w:r>
      <w:r>
        <w:rPr>
          <w:rStyle w:val="30"/>
          <w:color w:val="auto"/>
          <w:sz w:val="28"/>
          <w:highlight w:val="none"/>
        </w:rPr>
        <w:instrText xml:space="preserve"> </w:instrText>
      </w:r>
      <w:r>
        <w:rPr>
          <w:rStyle w:val="30"/>
          <w:color w:val="auto"/>
          <w:sz w:val="28"/>
          <w:highlight w:val="none"/>
        </w:rPr>
        <w:fldChar w:fldCharType="separate"/>
      </w:r>
      <w:r>
        <w:rPr>
          <w:rStyle w:val="30"/>
          <w:rFonts w:hint="eastAsia"/>
          <w:color w:val="auto"/>
          <w:sz w:val="28"/>
          <w:highlight w:val="none"/>
        </w:rPr>
        <w:t>第</w:t>
      </w:r>
      <w:r>
        <w:rPr>
          <w:rStyle w:val="30"/>
          <w:rFonts w:hint="eastAsia"/>
          <w:color w:val="auto"/>
          <w:sz w:val="28"/>
          <w:highlight w:val="none"/>
          <w:lang w:val="en-US" w:eastAsia="zh-CN"/>
        </w:rPr>
        <w:t>三</w:t>
      </w:r>
      <w:r>
        <w:rPr>
          <w:rStyle w:val="30"/>
          <w:rFonts w:hint="eastAsia"/>
          <w:color w:val="auto"/>
          <w:sz w:val="28"/>
          <w:highlight w:val="none"/>
        </w:rPr>
        <w:t>章 评标</w:t>
      </w:r>
      <w:r>
        <w:rPr>
          <w:rStyle w:val="30"/>
          <w:rFonts w:hint="eastAsia"/>
          <w:color w:val="auto"/>
          <w:sz w:val="28"/>
          <w:highlight w:val="none"/>
          <w:lang w:val="en-US" w:eastAsia="zh-CN"/>
        </w:rPr>
        <w:t>及定标</w:t>
      </w:r>
      <w:r>
        <w:rPr>
          <w:color w:val="auto"/>
          <w:sz w:val="28"/>
          <w:highlight w:val="none"/>
        </w:rPr>
        <w:tab/>
      </w:r>
      <w:r>
        <w:rPr>
          <w:rFonts w:hint="eastAsia"/>
          <w:color w:val="auto"/>
          <w:sz w:val="28"/>
          <w:highlight w:val="none"/>
          <w:lang w:val="en-US" w:eastAsia="zh-CN"/>
        </w:rPr>
        <w:t>4</w:t>
      </w:r>
      <w:r>
        <w:rPr>
          <w:rStyle w:val="30"/>
          <w:color w:val="auto"/>
          <w:sz w:val="28"/>
          <w:highlight w:val="none"/>
        </w:rPr>
        <w:fldChar w:fldCharType="end"/>
      </w:r>
      <w:r>
        <w:rPr>
          <w:rStyle w:val="30"/>
          <w:rFonts w:hint="eastAsia"/>
          <w:color w:val="auto"/>
          <w:sz w:val="28"/>
          <w:highlight w:val="none"/>
          <w:lang w:val="en-US" w:eastAsia="zh-CN"/>
        </w:rPr>
        <w:t>4</w:t>
      </w:r>
    </w:p>
    <w:p w14:paraId="32383D94">
      <w:pPr>
        <w:pStyle w:val="16"/>
        <w:tabs>
          <w:tab w:val="right" w:leader="dot" w:pos="10120"/>
        </w:tabs>
        <w:rPr>
          <w:rFonts w:hint="eastAsia" w:ascii="Calibri" w:hAnsi="Calibri" w:eastAsia="宋体"/>
          <w:b w:val="0"/>
          <w:bCs w:val="0"/>
          <w:caps w:val="0"/>
          <w:color w:val="auto"/>
          <w:sz w:val="32"/>
          <w:szCs w:val="22"/>
          <w:highlight w:val="none"/>
          <w:lang w:val="en-US" w:eastAsia="zh-CN"/>
        </w:rPr>
      </w:pPr>
      <w:r>
        <w:rPr>
          <w:rStyle w:val="30"/>
          <w:color w:val="auto"/>
          <w:sz w:val="28"/>
          <w:highlight w:val="none"/>
        </w:rPr>
        <w:fldChar w:fldCharType="begin"/>
      </w:r>
      <w:r>
        <w:rPr>
          <w:rStyle w:val="30"/>
          <w:color w:val="auto"/>
          <w:sz w:val="28"/>
          <w:highlight w:val="none"/>
        </w:rPr>
        <w:instrText xml:space="preserve"> </w:instrText>
      </w:r>
      <w:r>
        <w:rPr>
          <w:color w:val="auto"/>
          <w:sz w:val="28"/>
          <w:highlight w:val="none"/>
        </w:rPr>
        <w:instrText xml:space="preserve">HYPERLINK \l "_Toc95223458"</w:instrText>
      </w:r>
      <w:r>
        <w:rPr>
          <w:rStyle w:val="30"/>
          <w:color w:val="auto"/>
          <w:sz w:val="28"/>
          <w:highlight w:val="none"/>
        </w:rPr>
        <w:instrText xml:space="preserve"> </w:instrText>
      </w:r>
      <w:r>
        <w:rPr>
          <w:rStyle w:val="30"/>
          <w:color w:val="auto"/>
          <w:sz w:val="28"/>
          <w:highlight w:val="none"/>
        </w:rPr>
        <w:fldChar w:fldCharType="separate"/>
      </w:r>
      <w:r>
        <w:rPr>
          <w:rStyle w:val="30"/>
          <w:rFonts w:hint="eastAsia"/>
          <w:color w:val="auto"/>
          <w:sz w:val="28"/>
          <w:highlight w:val="none"/>
        </w:rPr>
        <w:t>第</w:t>
      </w:r>
      <w:r>
        <w:rPr>
          <w:rStyle w:val="30"/>
          <w:rFonts w:hint="eastAsia"/>
          <w:color w:val="auto"/>
          <w:sz w:val="28"/>
          <w:highlight w:val="none"/>
          <w:lang w:val="en-US" w:eastAsia="zh-CN"/>
        </w:rPr>
        <w:t>四</w:t>
      </w:r>
      <w:r>
        <w:rPr>
          <w:rStyle w:val="30"/>
          <w:rFonts w:hint="eastAsia"/>
          <w:color w:val="auto"/>
          <w:sz w:val="28"/>
          <w:highlight w:val="none"/>
        </w:rPr>
        <w:t>章</w:t>
      </w:r>
      <w:r>
        <w:rPr>
          <w:rStyle w:val="30"/>
          <w:color w:val="auto"/>
          <w:sz w:val="28"/>
          <w:highlight w:val="none"/>
        </w:rPr>
        <w:t xml:space="preserve"> </w:t>
      </w:r>
      <w:r>
        <w:rPr>
          <w:rStyle w:val="30"/>
          <w:rFonts w:hint="eastAsia"/>
          <w:color w:val="auto"/>
          <w:sz w:val="28"/>
          <w:highlight w:val="none"/>
        </w:rPr>
        <w:t>合同条款及格式</w:t>
      </w:r>
      <w:r>
        <w:rPr>
          <w:color w:val="auto"/>
          <w:sz w:val="28"/>
          <w:highlight w:val="none"/>
        </w:rPr>
        <w:tab/>
      </w:r>
      <w:r>
        <w:rPr>
          <w:rFonts w:hint="eastAsia"/>
          <w:color w:val="auto"/>
          <w:sz w:val="28"/>
          <w:highlight w:val="none"/>
          <w:lang w:val="en-US" w:eastAsia="zh-CN"/>
        </w:rPr>
        <w:t>7</w:t>
      </w:r>
      <w:r>
        <w:rPr>
          <w:rStyle w:val="30"/>
          <w:color w:val="auto"/>
          <w:sz w:val="28"/>
          <w:highlight w:val="none"/>
        </w:rPr>
        <w:fldChar w:fldCharType="end"/>
      </w:r>
      <w:r>
        <w:rPr>
          <w:rStyle w:val="30"/>
          <w:rFonts w:hint="eastAsia"/>
          <w:color w:val="auto"/>
          <w:sz w:val="28"/>
          <w:highlight w:val="none"/>
          <w:lang w:val="en-US" w:eastAsia="zh-CN"/>
        </w:rPr>
        <w:t>1</w:t>
      </w:r>
    </w:p>
    <w:p w14:paraId="68B3A4D8">
      <w:pPr>
        <w:pStyle w:val="16"/>
        <w:tabs>
          <w:tab w:val="right" w:leader="dot" w:pos="10120"/>
        </w:tabs>
        <w:rPr>
          <w:rFonts w:hint="default" w:ascii="Calibri" w:hAnsi="Calibri" w:eastAsia="宋体"/>
          <w:b w:val="0"/>
          <w:bCs w:val="0"/>
          <w:caps w:val="0"/>
          <w:color w:val="auto"/>
          <w:sz w:val="32"/>
          <w:szCs w:val="22"/>
          <w:highlight w:val="none"/>
          <w:lang w:val="en-US" w:eastAsia="zh-CN"/>
        </w:rPr>
      </w:pPr>
      <w:r>
        <w:rPr>
          <w:rStyle w:val="30"/>
          <w:color w:val="auto"/>
          <w:sz w:val="28"/>
          <w:highlight w:val="none"/>
        </w:rPr>
        <w:fldChar w:fldCharType="begin"/>
      </w:r>
      <w:r>
        <w:rPr>
          <w:rStyle w:val="30"/>
          <w:color w:val="auto"/>
          <w:sz w:val="28"/>
          <w:highlight w:val="none"/>
        </w:rPr>
        <w:instrText xml:space="preserve"> </w:instrText>
      </w:r>
      <w:r>
        <w:rPr>
          <w:color w:val="auto"/>
          <w:sz w:val="28"/>
          <w:highlight w:val="none"/>
        </w:rPr>
        <w:instrText xml:space="preserve">HYPERLINK \l "_Toc95223515"</w:instrText>
      </w:r>
      <w:r>
        <w:rPr>
          <w:rStyle w:val="30"/>
          <w:color w:val="auto"/>
          <w:sz w:val="28"/>
          <w:highlight w:val="none"/>
        </w:rPr>
        <w:instrText xml:space="preserve"> </w:instrText>
      </w:r>
      <w:r>
        <w:rPr>
          <w:rStyle w:val="30"/>
          <w:color w:val="auto"/>
          <w:sz w:val="28"/>
          <w:highlight w:val="none"/>
        </w:rPr>
        <w:fldChar w:fldCharType="separate"/>
      </w:r>
      <w:r>
        <w:rPr>
          <w:rStyle w:val="30"/>
          <w:rFonts w:hint="eastAsia" w:ascii="宋体" w:hAnsi="宋体" w:cs="宋体"/>
          <w:color w:val="auto"/>
          <w:kern w:val="44"/>
          <w:sz w:val="28"/>
          <w:highlight w:val="none"/>
        </w:rPr>
        <w:t>第</w:t>
      </w:r>
      <w:r>
        <w:rPr>
          <w:rStyle w:val="30"/>
          <w:rFonts w:hint="eastAsia" w:ascii="宋体" w:hAnsi="宋体" w:cs="宋体"/>
          <w:color w:val="auto"/>
          <w:kern w:val="44"/>
          <w:sz w:val="28"/>
          <w:highlight w:val="none"/>
          <w:lang w:val="en-US" w:eastAsia="zh-CN"/>
        </w:rPr>
        <w:t>五</w:t>
      </w:r>
      <w:r>
        <w:rPr>
          <w:rStyle w:val="30"/>
          <w:rFonts w:hint="eastAsia" w:ascii="宋体" w:hAnsi="宋体" w:cs="宋体"/>
          <w:color w:val="auto"/>
          <w:kern w:val="44"/>
          <w:sz w:val="28"/>
          <w:highlight w:val="none"/>
        </w:rPr>
        <w:t>章 工程量清单</w:t>
      </w:r>
      <w:r>
        <w:rPr>
          <w:color w:val="auto"/>
          <w:sz w:val="28"/>
          <w:highlight w:val="none"/>
        </w:rPr>
        <w:tab/>
      </w:r>
      <w:r>
        <w:rPr>
          <w:rFonts w:hint="eastAsia"/>
          <w:color w:val="auto"/>
          <w:sz w:val="28"/>
          <w:highlight w:val="none"/>
          <w:lang w:val="en-US" w:eastAsia="zh-CN"/>
        </w:rPr>
        <w:t>1</w:t>
      </w:r>
      <w:r>
        <w:rPr>
          <w:rStyle w:val="30"/>
          <w:color w:val="auto"/>
          <w:sz w:val="28"/>
          <w:highlight w:val="none"/>
        </w:rPr>
        <w:fldChar w:fldCharType="end"/>
      </w:r>
      <w:r>
        <w:rPr>
          <w:rStyle w:val="30"/>
          <w:rFonts w:hint="eastAsia"/>
          <w:color w:val="auto"/>
          <w:sz w:val="28"/>
          <w:highlight w:val="none"/>
          <w:lang w:val="en-US" w:eastAsia="zh-CN"/>
        </w:rPr>
        <w:t>25</w:t>
      </w:r>
    </w:p>
    <w:p w14:paraId="0101F5B6">
      <w:pPr>
        <w:pStyle w:val="16"/>
        <w:tabs>
          <w:tab w:val="right" w:leader="dot" w:pos="10120"/>
        </w:tabs>
        <w:rPr>
          <w:rFonts w:hint="default" w:ascii="Calibri" w:hAnsi="Calibri" w:eastAsia="宋体"/>
          <w:b w:val="0"/>
          <w:bCs w:val="0"/>
          <w:caps w:val="0"/>
          <w:color w:val="auto"/>
          <w:sz w:val="32"/>
          <w:szCs w:val="22"/>
          <w:highlight w:val="none"/>
          <w:lang w:val="en-US" w:eastAsia="zh-CN"/>
        </w:rPr>
      </w:pPr>
      <w:r>
        <w:rPr>
          <w:rStyle w:val="30"/>
          <w:color w:val="auto"/>
          <w:sz w:val="28"/>
          <w:highlight w:val="none"/>
        </w:rPr>
        <w:fldChar w:fldCharType="begin"/>
      </w:r>
      <w:r>
        <w:rPr>
          <w:rStyle w:val="30"/>
          <w:color w:val="auto"/>
          <w:sz w:val="28"/>
          <w:highlight w:val="none"/>
        </w:rPr>
        <w:instrText xml:space="preserve"> </w:instrText>
      </w:r>
      <w:r>
        <w:rPr>
          <w:color w:val="auto"/>
          <w:sz w:val="28"/>
          <w:highlight w:val="none"/>
        </w:rPr>
        <w:instrText xml:space="preserve">HYPERLINK \l "_Toc95223522"</w:instrText>
      </w:r>
      <w:r>
        <w:rPr>
          <w:rStyle w:val="30"/>
          <w:color w:val="auto"/>
          <w:sz w:val="28"/>
          <w:highlight w:val="none"/>
        </w:rPr>
        <w:instrText xml:space="preserve"> </w:instrText>
      </w:r>
      <w:r>
        <w:rPr>
          <w:rStyle w:val="30"/>
          <w:color w:val="auto"/>
          <w:sz w:val="28"/>
          <w:highlight w:val="none"/>
        </w:rPr>
        <w:fldChar w:fldCharType="separate"/>
      </w:r>
      <w:r>
        <w:rPr>
          <w:rStyle w:val="30"/>
          <w:rFonts w:hint="eastAsia" w:ascii="宋体" w:hAnsi="宋体" w:cs="宋体"/>
          <w:color w:val="auto"/>
          <w:kern w:val="44"/>
          <w:sz w:val="28"/>
          <w:highlight w:val="none"/>
        </w:rPr>
        <w:t>第</w:t>
      </w:r>
      <w:r>
        <w:rPr>
          <w:rStyle w:val="30"/>
          <w:rFonts w:hint="eastAsia" w:ascii="宋体" w:hAnsi="宋体" w:cs="宋体"/>
          <w:color w:val="auto"/>
          <w:kern w:val="44"/>
          <w:sz w:val="28"/>
          <w:highlight w:val="none"/>
          <w:lang w:val="en-US" w:eastAsia="zh-CN"/>
        </w:rPr>
        <w:t>六</w:t>
      </w:r>
      <w:r>
        <w:rPr>
          <w:rStyle w:val="30"/>
          <w:rFonts w:hint="eastAsia" w:ascii="宋体" w:hAnsi="宋体" w:cs="宋体"/>
          <w:color w:val="auto"/>
          <w:kern w:val="44"/>
          <w:sz w:val="28"/>
          <w:highlight w:val="none"/>
        </w:rPr>
        <w:t>章</w:t>
      </w:r>
      <w:r>
        <w:rPr>
          <w:rStyle w:val="30"/>
          <w:rFonts w:ascii="宋体" w:hAnsi="宋体" w:cs="宋体"/>
          <w:color w:val="auto"/>
          <w:kern w:val="44"/>
          <w:sz w:val="28"/>
          <w:highlight w:val="none"/>
        </w:rPr>
        <w:t xml:space="preserve"> </w:t>
      </w:r>
      <w:r>
        <w:rPr>
          <w:rStyle w:val="30"/>
          <w:rFonts w:hint="eastAsia" w:ascii="宋体" w:hAnsi="宋体" w:cs="宋体"/>
          <w:color w:val="auto"/>
          <w:kern w:val="44"/>
          <w:sz w:val="28"/>
          <w:highlight w:val="none"/>
        </w:rPr>
        <w:t>图</w:t>
      </w:r>
      <w:r>
        <w:rPr>
          <w:rStyle w:val="30"/>
          <w:rFonts w:ascii="宋体" w:hAnsi="宋体" w:cs="宋体"/>
          <w:color w:val="auto"/>
          <w:kern w:val="44"/>
          <w:sz w:val="28"/>
          <w:highlight w:val="none"/>
        </w:rPr>
        <w:t xml:space="preserve">  </w:t>
      </w:r>
      <w:r>
        <w:rPr>
          <w:rStyle w:val="30"/>
          <w:rFonts w:hint="eastAsia" w:ascii="宋体" w:hAnsi="宋体" w:cs="宋体"/>
          <w:color w:val="auto"/>
          <w:kern w:val="44"/>
          <w:sz w:val="28"/>
          <w:highlight w:val="none"/>
        </w:rPr>
        <w:t>纸</w:t>
      </w:r>
      <w:r>
        <w:rPr>
          <w:color w:val="auto"/>
          <w:sz w:val="28"/>
          <w:highlight w:val="none"/>
        </w:rPr>
        <w:tab/>
      </w:r>
      <w:r>
        <w:rPr>
          <w:rFonts w:hint="eastAsia"/>
          <w:color w:val="auto"/>
          <w:sz w:val="28"/>
          <w:highlight w:val="none"/>
          <w:lang w:val="en-US" w:eastAsia="zh-CN"/>
        </w:rPr>
        <w:t>1</w:t>
      </w:r>
      <w:r>
        <w:rPr>
          <w:rStyle w:val="30"/>
          <w:color w:val="auto"/>
          <w:sz w:val="28"/>
          <w:highlight w:val="none"/>
        </w:rPr>
        <w:fldChar w:fldCharType="end"/>
      </w:r>
      <w:r>
        <w:rPr>
          <w:rStyle w:val="30"/>
          <w:rFonts w:hint="eastAsia"/>
          <w:color w:val="auto"/>
          <w:sz w:val="28"/>
          <w:highlight w:val="none"/>
          <w:lang w:val="en-US" w:eastAsia="zh-CN"/>
        </w:rPr>
        <w:t>29</w:t>
      </w:r>
    </w:p>
    <w:p w14:paraId="17A851EB">
      <w:pPr>
        <w:pStyle w:val="16"/>
        <w:tabs>
          <w:tab w:val="right" w:leader="dot" w:pos="10120"/>
        </w:tabs>
        <w:rPr>
          <w:rFonts w:hint="default" w:ascii="Calibri" w:hAnsi="Calibri" w:eastAsia="宋体"/>
          <w:b w:val="0"/>
          <w:bCs w:val="0"/>
          <w:caps w:val="0"/>
          <w:color w:val="auto"/>
          <w:sz w:val="32"/>
          <w:szCs w:val="22"/>
          <w:highlight w:val="none"/>
          <w:lang w:val="en-US" w:eastAsia="zh-CN"/>
        </w:rPr>
      </w:pPr>
      <w:r>
        <w:rPr>
          <w:rStyle w:val="30"/>
          <w:color w:val="auto"/>
          <w:sz w:val="28"/>
          <w:highlight w:val="none"/>
        </w:rPr>
        <w:fldChar w:fldCharType="begin"/>
      </w:r>
      <w:r>
        <w:rPr>
          <w:rStyle w:val="30"/>
          <w:color w:val="auto"/>
          <w:sz w:val="28"/>
          <w:highlight w:val="none"/>
        </w:rPr>
        <w:instrText xml:space="preserve"> </w:instrText>
      </w:r>
      <w:r>
        <w:rPr>
          <w:color w:val="auto"/>
          <w:sz w:val="28"/>
          <w:highlight w:val="none"/>
        </w:rPr>
        <w:instrText xml:space="preserve">HYPERLINK \l "_Toc95223525"</w:instrText>
      </w:r>
      <w:r>
        <w:rPr>
          <w:rStyle w:val="30"/>
          <w:color w:val="auto"/>
          <w:sz w:val="28"/>
          <w:highlight w:val="none"/>
        </w:rPr>
        <w:instrText xml:space="preserve"> </w:instrText>
      </w:r>
      <w:r>
        <w:rPr>
          <w:rStyle w:val="30"/>
          <w:color w:val="auto"/>
          <w:sz w:val="28"/>
          <w:highlight w:val="none"/>
        </w:rPr>
        <w:fldChar w:fldCharType="separate"/>
      </w:r>
      <w:r>
        <w:rPr>
          <w:rStyle w:val="30"/>
          <w:rFonts w:hint="eastAsia" w:ascii="宋体" w:hAnsi="宋体" w:cs="宋体"/>
          <w:color w:val="auto"/>
          <w:kern w:val="44"/>
          <w:sz w:val="28"/>
          <w:highlight w:val="none"/>
        </w:rPr>
        <w:t>第</w:t>
      </w:r>
      <w:r>
        <w:rPr>
          <w:rStyle w:val="30"/>
          <w:rFonts w:hint="eastAsia" w:ascii="宋体" w:hAnsi="宋体" w:cs="宋体"/>
          <w:color w:val="auto"/>
          <w:kern w:val="44"/>
          <w:sz w:val="28"/>
          <w:highlight w:val="none"/>
          <w:lang w:val="en-US" w:eastAsia="zh-CN"/>
        </w:rPr>
        <w:t>七</w:t>
      </w:r>
      <w:r>
        <w:rPr>
          <w:rStyle w:val="30"/>
          <w:rFonts w:hint="eastAsia" w:ascii="宋体" w:hAnsi="宋体" w:cs="宋体"/>
          <w:color w:val="auto"/>
          <w:kern w:val="44"/>
          <w:sz w:val="28"/>
          <w:highlight w:val="none"/>
        </w:rPr>
        <w:t>章 技术标准和要求</w:t>
      </w:r>
      <w:r>
        <w:rPr>
          <w:color w:val="auto"/>
          <w:sz w:val="28"/>
          <w:highlight w:val="none"/>
        </w:rPr>
        <w:tab/>
      </w:r>
      <w:r>
        <w:rPr>
          <w:rFonts w:hint="eastAsia"/>
          <w:color w:val="auto"/>
          <w:sz w:val="28"/>
          <w:highlight w:val="none"/>
          <w:lang w:val="en-US" w:eastAsia="zh-CN"/>
        </w:rPr>
        <w:t>1</w:t>
      </w:r>
      <w:r>
        <w:rPr>
          <w:rStyle w:val="30"/>
          <w:color w:val="auto"/>
          <w:sz w:val="28"/>
          <w:highlight w:val="none"/>
        </w:rPr>
        <w:fldChar w:fldCharType="end"/>
      </w:r>
      <w:r>
        <w:rPr>
          <w:rStyle w:val="30"/>
          <w:rFonts w:hint="eastAsia"/>
          <w:color w:val="auto"/>
          <w:sz w:val="28"/>
          <w:highlight w:val="none"/>
          <w:lang w:val="en-US" w:eastAsia="zh-CN"/>
        </w:rPr>
        <w:t>30</w:t>
      </w:r>
    </w:p>
    <w:p w14:paraId="5DD8CAC8">
      <w:pPr>
        <w:pStyle w:val="16"/>
        <w:tabs>
          <w:tab w:val="right" w:leader="dot" w:pos="10120"/>
        </w:tabs>
        <w:rPr>
          <w:rFonts w:hint="default" w:ascii="Calibri" w:hAnsi="Calibri" w:eastAsia="宋体"/>
          <w:b w:val="0"/>
          <w:bCs w:val="0"/>
          <w:caps w:val="0"/>
          <w:color w:val="auto"/>
          <w:sz w:val="32"/>
          <w:szCs w:val="22"/>
          <w:highlight w:val="none"/>
          <w:lang w:val="en-US" w:eastAsia="zh-CN"/>
        </w:rPr>
      </w:pPr>
      <w:r>
        <w:rPr>
          <w:rStyle w:val="30"/>
          <w:color w:val="auto"/>
          <w:sz w:val="28"/>
          <w:highlight w:val="none"/>
        </w:rPr>
        <w:fldChar w:fldCharType="begin"/>
      </w:r>
      <w:r>
        <w:rPr>
          <w:rStyle w:val="30"/>
          <w:color w:val="auto"/>
          <w:sz w:val="28"/>
          <w:highlight w:val="none"/>
        </w:rPr>
        <w:instrText xml:space="preserve"> </w:instrText>
      </w:r>
      <w:r>
        <w:rPr>
          <w:color w:val="auto"/>
          <w:sz w:val="28"/>
          <w:highlight w:val="none"/>
        </w:rPr>
        <w:instrText xml:space="preserve">HYPERLINK \l "_Toc95223531"</w:instrText>
      </w:r>
      <w:r>
        <w:rPr>
          <w:rStyle w:val="30"/>
          <w:color w:val="auto"/>
          <w:sz w:val="28"/>
          <w:highlight w:val="none"/>
        </w:rPr>
        <w:instrText xml:space="preserve"> </w:instrText>
      </w:r>
      <w:r>
        <w:rPr>
          <w:rStyle w:val="30"/>
          <w:color w:val="auto"/>
          <w:sz w:val="28"/>
          <w:highlight w:val="none"/>
        </w:rPr>
        <w:fldChar w:fldCharType="separate"/>
      </w:r>
      <w:r>
        <w:rPr>
          <w:rStyle w:val="30"/>
          <w:rFonts w:hint="eastAsia"/>
          <w:color w:val="auto"/>
          <w:sz w:val="28"/>
          <w:highlight w:val="none"/>
        </w:rPr>
        <w:t>第</w:t>
      </w:r>
      <w:r>
        <w:rPr>
          <w:rStyle w:val="30"/>
          <w:rFonts w:hint="eastAsia"/>
          <w:color w:val="auto"/>
          <w:sz w:val="28"/>
          <w:highlight w:val="none"/>
          <w:lang w:val="en-US" w:eastAsia="zh-CN"/>
        </w:rPr>
        <w:t>八</w:t>
      </w:r>
      <w:r>
        <w:rPr>
          <w:rStyle w:val="30"/>
          <w:rFonts w:hint="eastAsia"/>
          <w:color w:val="auto"/>
          <w:sz w:val="28"/>
          <w:highlight w:val="none"/>
        </w:rPr>
        <w:t>章 投标文件格式</w:t>
      </w:r>
      <w:r>
        <w:rPr>
          <w:color w:val="auto"/>
          <w:sz w:val="28"/>
          <w:highlight w:val="none"/>
        </w:rPr>
        <w:tab/>
      </w:r>
      <w:r>
        <w:rPr>
          <w:rFonts w:hint="eastAsia"/>
          <w:color w:val="auto"/>
          <w:sz w:val="28"/>
          <w:highlight w:val="none"/>
          <w:lang w:val="en-US" w:eastAsia="zh-CN"/>
        </w:rPr>
        <w:t>1</w:t>
      </w:r>
      <w:r>
        <w:rPr>
          <w:rStyle w:val="30"/>
          <w:color w:val="auto"/>
          <w:sz w:val="28"/>
          <w:highlight w:val="none"/>
        </w:rPr>
        <w:fldChar w:fldCharType="end"/>
      </w:r>
      <w:r>
        <w:rPr>
          <w:rStyle w:val="30"/>
          <w:rFonts w:hint="eastAsia"/>
          <w:color w:val="auto"/>
          <w:sz w:val="28"/>
          <w:highlight w:val="none"/>
          <w:lang w:val="en-US" w:eastAsia="zh-CN"/>
        </w:rPr>
        <w:t>31</w:t>
      </w:r>
    </w:p>
    <w:p w14:paraId="08A5E2A8">
      <w:pPr>
        <w:pStyle w:val="16"/>
        <w:tabs>
          <w:tab w:val="right" w:leader="dot" w:pos="10120"/>
        </w:tabs>
        <w:rPr>
          <w:rFonts w:hint="default" w:ascii="Calibri" w:hAnsi="Calibri" w:eastAsia="宋体"/>
          <w:b w:val="0"/>
          <w:bCs w:val="0"/>
          <w:caps w:val="0"/>
          <w:color w:val="auto"/>
          <w:sz w:val="32"/>
          <w:szCs w:val="22"/>
          <w:highlight w:val="none"/>
          <w:lang w:val="en-US" w:eastAsia="zh-CN"/>
        </w:rPr>
      </w:pPr>
      <w:r>
        <w:rPr>
          <w:rStyle w:val="30"/>
          <w:color w:val="auto"/>
          <w:sz w:val="28"/>
          <w:highlight w:val="none"/>
        </w:rPr>
        <w:fldChar w:fldCharType="begin"/>
      </w:r>
      <w:r>
        <w:rPr>
          <w:rStyle w:val="30"/>
          <w:color w:val="auto"/>
          <w:sz w:val="28"/>
          <w:highlight w:val="none"/>
        </w:rPr>
        <w:instrText xml:space="preserve"> </w:instrText>
      </w:r>
      <w:r>
        <w:rPr>
          <w:color w:val="auto"/>
          <w:sz w:val="28"/>
          <w:highlight w:val="none"/>
        </w:rPr>
        <w:instrText xml:space="preserve">HYPERLINK \l "_Toc95223547"</w:instrText>
      </w:r>
      <w:r>
        <w:rPr>
          <w:rStyle w:val="30"/>
          <w:color w:val="auto"/>
          <w:sz w:val="28"/>
          <w:highlight w:val="none"/>
        </w:rPr>
        <w:instrText xml:space="preserve"> </w:instrText>
      </w:r>
      <w:r>
        <w:rPr>
          <w:rStyle w:val="30"/>
          <w:color w:val="auto"/>
          <w:sz w:val="28"/>
          <w:highlight w:val="none"/>
        </w:rPr>
        <w:fldChar w:fldCharType="separate"/>
      </w:r>
      <w:r>
        <w:rPr>
          <w:rStyle w:val="30"/>
          <w:rFonts w:hint="eastAsia" w:eastAsia="黑体"/>
          <w:color w:val="auto"/>
          <w:sz w:val="28"/>
          <w:highlight w:val="none"/>
        </w:rPr>
        <w:t>第</w:t>
      </w:r>
      <w:r>
        <w:rPr>
          <w:rStyle w:val="30"/>
          <w:rFonts w:hint="eastAsia" w:eastAsia="黑体"/>
          <w:color w:val="auto"/>
          <w:sz w:val="28"/>
          <w:highlight w:val="none"/>
          <w:lang w:val="en-US" w:eastAsia="zh-CN"/>
        </w:rPr>
        <w:t>九</w:t>
      </w:r>
      <w:r>
        <w:rPr>
          <w:rStyle w:val="30"/>
          <w:rFonts w:hint="eastAsia" w:eastAsia="黑体"/>
          <w:color w:val="auto"/>
          <w:sz w:val="28"/>
          <w:highlight w:val="none"/>
        </w:rPr>
        <w:t>章</w:t>
      </w:r>
      <w:r>
        <w:rPr>
          <w:rStyle w:val="30"/>
          <w:rFonts w:eastAsia="黑体"/>
          <w:color w:val="auto"/>
          <w:sz w:val="28"/>
          <w:highlight w:val="none"/>
        </w:rPr>
        <w:t xml:space="preserve"> </w:t>
      </w:r>
      <w:r>
        <w:rPr>
          <w:rStyle w:val="30"/>
          <w:rFonts w:hint="eastAsia" w:eastAsia="黑体"/>
          <w:color w:val="auto"/>
          <w:sz w:val="28"/>
          <w:highlight w:val="none"/>
        </w:rPr>
        <w:t xml:space="preserve"> 招标人、招标代理机构对本招标文件的确认</w:t>
      </w:r>
      <w:bookmarkStart w:id="9" w:name="_Hlt95223550"/>
      <w:bookmarkStart w:id="10" w:name="_Hlt95223551"/>
      <w:r>
        <w:rPr>
          <w:color w:val="auto"/>
          <w:sz w:val="28"/>
          <w:highlight w:val="none"/>
        </w:rPr>
        <w:tab/>
      </w:r>
      <w:bookmarkEnd w:id="9"/>
      <w:bookmarkEnd w:id="10"/>
      <w:r>
        <w:rPr>
          <w:rFonts w:hint="eastAsia"/>
          <w:color w:val="auto"/>
          <w:sz w:val="28"/>
          <w:highlight w:val="none"/>
          <w:lang w:val="en-US" w:eastAsia="zh-CN"/>
        </w:rPr>
        <w:t>1</w:t>
      </w:r>
      <w:r>
        <w:rPr>
          <w:rStyle w:val="30"/>
          <w:color w:val="auto"/>
          <w:sz w:val="28"/>
          <w:highlight w:val="none"/>
        </w:rPr>
        <w:fldChar w:fldCharType="end"/>
      </w:r>
      <w:r>
        <w:rPr>
          <w:rStyle w:val="30"/>
          <w:rFonts w:hint="eastAsia"/>
          <w:color w:val="auto"/>
          <w:sz w:val="28"/>
          <w:highlight w:val="none"/>
          <w:lang w:val="en-US" w:eastAsia="zh-CN"/>
        </w:rPr>
        <w:t>55</w:t>
      </w:r>
    </w:p>
    <w:p w14:paraId="14D38B9D">
      <w:pPr>
        <w:rPr>
          <w:rFonts w:hint="eastAsia"/>
          <w:color w:val="auto"/>
          <w:sz w:val="24"/>
          <w:highlight w:val="none"/>
        </w:rPr>
      </w:pPr>
    </w:p>
    <w:p w14:paraId="0DB0224D">
      <w:pPr>
        <w:pStyle w:val="16"/>
        <w:rPr>
          <w:rFonts w:hint="eastAsia"/>
          <w:color w:val="auto"/>
          <w:highlight w:val="none"/>
        </w:rPr>
      </w:pPr>
    </w:p>
    <w:p w14:paraId="3C1557B4">
      <w:pPr>
        <w:rPr>
          <w:rFonts w:hint="eastAsia"/>
          <w:color w:val="auto"/>
          <w:highlight w:val="none"/>
        </w:rPr>
      </w:pPr>
    </w:p>
    <w:p w14:paraId="0310347F">
      <w:pPr>
        <w:pStyle w:val="16"/>
        <w:rPr>
          <w:rFonts w:hint="eastAsia"/>
          <w:color w:val="auto"/>
          <w:highlight w:val="none"/>
        </w:rPr>
      </w:pPr>
    </w:p>
    <w:p w14:paraId="7904009B">
      <w:pPr>
        <w:rPr>
          <w:rFonts w:hint="eastAsia"/>
          <w:color w:val="auto"/>
          <w:highlight w:val="none"/>
        </w:rPr>
      </w:pPr>
    </w:p>
    <w:p w14:paraId="72D2501B">
      <w:pPr>
        <w:pStyle w:val="16"/>
        <w:rPr>
          <w:rFonts w:hint="eastAsia"/>
          <w:color w:val="auto"/>
          <w:highlight w:val="none"/>
        </w:rPr>
      </w:pPr>
    </w:p>
    <w:p w14:paraId="71FE79EB">
      <w:pPr>
        <w:rPr>
          <w:rFonts w:hint="eastAsia"/>
          <w:color w:val="auto"/>
          <w:highlight w:val="none"/>
        </w:rPr>
      </w:pPr>
    </w:p>
    <w:p w14:paraId="00F3A8FC">
      <w:pPr>
        <w:pStyle w:val="16"/>
        <w:rPr>
          <w:rFonts w:hint="eastAsia"/>
          <w:color w:val="auto"/>
          <w:highlight w:val="none"/>
        </w:rPr>
      </w:pPr>
    </w:p>
    <w:p w14:paraId="79808D97">
      <w:pPr>
        <w:rPr>
          <w:rFonts w:hint="eastAsia"/>
          <w:color w:val="auto"/>
          <w:highlight w:val="none"/>
        </w:rPr>
      </w:pPr>
    </w:p>
    <w:p w14:paraId="2344D1CF">
      <w:pPr>
        <w:pStyle w:val="16"/>
        <w:rPr>
          <w:rFonts w:hint="eastAsia"/>
          <w:color w:val="auto"/>
          <w:highlight w:val="none"/>
        </w:rPr>
      </w:pPr>
    </w:p>
    <w:p w14:paraId="3B67A9E4">
      <w:pPr>
        <w:rPr>
          <w:rFonts w:hint="eastAsia"/>
          <w:color w:val="auto"/>
          <w:highlight w:val="none"/>
        </w:rPr>
      </w:pPr>
    </w:p>
    <w:p w14:paraId="3CF691E1">
      <w:pPr>
        <w:rPr>
          <w:rFonts w:hint="eastAsia"/>
          <w:color w:val="auto"/>
          <w:highlight w:val="none"/>
        </w:rPr>
        <w:sectPr>
          <w:headerReference r:id="rId4" w:type="default"/>
          <w:pgSz w:w="11910" w:h="16850"/>
          <w:pgMar w:top="1600" w:right="660" w:bottom="1100" w:left="1120" w:header="0" w:footer="746" w:gutter="0"/>
          <w:pgNumType w:start="1"/>
          <w:cols w:space="720" w:num="1"/>
        </w:sectPr>
      </w:pPr>
    </w:p>
    <w:p w14:paraId="0810A3C5">
      <w:pPr>
        <w:pStyle w:val="2"/>
        <w:spacing w:before="0" w:after="0" w:line="240" w:lineRule="auto"/>
        <w:jc w:val="center"/>
        <w:rPr>
          <w:rFonts w:hint="eastAsia"/>
          <w:color w:val="auto"/>
          <w:highlight w:val="none"/>
          <w:lang w:val="zh-CN"/>
        </w:rPr>
      </w:pPr>
      <w:r>
        <w:rPr>
          <w:color w:val="auto"/>
          <w:highlight w:val="none"/>
          <w:lang w:val="zh-CN"/>
        </w:rPr>
        <w:fldChar w:fldCharType="end"/>
      </w:r>
      <w:bookmarkStart w:id="11" w:name="_Toc95223332"/>
      <w:r>
        <w:rPr>
          <w:rFonts w:hint="eastAsia"/>
          <w:color w:val="auto"/>
          <w:highlight w:val="none"/>
        </w:rPr>
        <w:t>第一章  招标公告</w:t>
      </w:r>
      <w:bookmarkEnd w:id="11"/>
    </w:p>
    <w:p w14:paraId="4AE88D0A">
      <w:pPr>
        <w:pStyle w:val="19"/>
        <w:ind w:left="0" w:leftChars="0" w:right="-279" w:rightChars="-133" w:firstLine="472" w:firstLineChars="196"/>
        <w:jc w:val="center"/>
        <w:rPr>
          <w:b/>
          <w:color w:val="auto"/>
          <w:sz w:val="24"/>
          <w:highlight w:val="none"/>
        </w:rPr>
      </w:pPr>
      <w:r>
        <w:rPr>
          <w:rFonts w:hint="eastAsia"/>
          <w:b/>
          <w:color w:val="auto"/>
          <w:sz w:val="24"/>
          <w:highlight w:val="none"/>
          <w:lang w:eastAsia="zh-CN"/>
        </w:rPr>
        <w:t>滁州</w:t>
      </w:r>
      <w:r>
        <w:rPr>
          <w:rFonts w:hint="eastAsia"/>
          <w:b/>
          <w:color w:val="auto"/>
          <w:sz w:val="24"/>
          <w:highlight w:val="none"/>
          <w:lang w:val="en-US" w:eastAsia="zh-CN"/>
        </w:rPr>
        <w:t>经开区</w:t>
      </w:r>
      <w:r>
        <w:rPr>
          <w:rFonts w:hint="eastAsia"/>
          <w:b/>
          <w:color w:val="auto"/>
          <w:sz w:val="24"/>
          <w:highlight w:val="none"/>
          <w:lang w:eastAsia="zh-CN"/>
        </w:rPr>
        <w:t>智能家电产业园施工项目</w:t>
      </w:r>
      <w:r>
        <w:rPr>
          <w:rFonts w:hint="eastAsia"/>
          <w:b/>
          <w:color w:val="auto"/>
          <w:sz w:val="24"/>
          <w:highlight w:val="none"/>
        </w:rPr>
        <w:t>招标公告信息（电子招标投标）</w:t>
      </w:r>
    </w:p>
    <w:tbl>
      <w:tblPr>
        <w:tblStyle w:val="20"/>
        <w:tblW w:w="10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8313"/>
      </w:tblGrid>
      <w:tr w14:paraId="5047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8" w:type="dxa"/>
            <w:gridSpan w:val="2"/>
            <w:noWrap w:val="0"/>
            <w:vAlign w:val="center"/>
          </w:tcPr>
          <w:p w14:paraId="0DD3DDE7">
            <w:pPr>
              <w:keepNext w:val="0"/>
              <w:keepLines w:val="0"/>
              <w:pageBreakBefore w:val="0"/>
              <w:kinsoku/>
              <w:overflowPunct/>
              <w:topLinePunct w:val="0"/>
              <w:autoSpaceDE/>
              <w:autoSpaceDN/>
              <w:bidi w:val="0"/>
              <w:spacing w:line="500" w:lineRule="exact"/>
              <w:jc w:val="center"/>
              <w:textAlignment w:val="auto"/>
              <w:rPr>
                <w:rFonts w:hint="eastAsia" w:ascii="宋体" w:hAnsi="宋体" w:eastAsia="宋体" w:cs="宋体"/>
                <w:bCs/>
                <w:color w:val="auto"/>
                <w:kern w:val="1"/>
                <w:sz w:val="21"/>
                <w:szCs w:val="21"/>
                <w:highlight w:val="none"/>
              </w:rPr>
            </w:pPr>
            <w:r>
              <w:rPr>
                <w:rFonts w:hint="eastAsia" w:ascii="宋体" w:hAnsi="宋体" w:eastAsia="宋体" w:cs="宋体"/>
                <w:b/>
                <w:bCs/>
                <w:color w:val="auto"/>
                <w:sz w:val="21"/>
                <w:szCs w:val="21"/>
                <w:highlight w:val="none"/>
              </w:rPr>
              <w:t>招标条件</w:t>
            </w:r>
          </w:p>
        </w:tc>
      </w:tr>
      <w:tr w14:paraId="3271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0A610C66">
            <w:pPr>
              <w:keepNext w:val="0"/>
              <w:keepLines w:val="0"/>
              <w:pageBreakBefore w:val="0"/>
              <w:kinsoku/>
              <w:overflowPunct/>
              <w:topLinePunct w:val="0"/>
              <w:autoSpaceDE/>
              <w:autoSpaceDN/>
              <w:bidi w:val="0"/>
              <w:spacing w:line="500" w:lineRule="exact"/>
              <w:jc w:val="center"/>
              <w:textAlignment w:val="auto"/>
              <w:rPr>
                <w:rFonts w:hint="eastAsia" w:ascii="宋体" w:hAnsi="宋体" w:eastAsia="宋体" w:cs="宋体"/>
                <w:bCs/>
                <w:color w:val="auto"/>
                <w:kern w:val="1"/>
                <w:sz w:val="21"/>
                <w:szCs w:val="21"/>
                <w:highlight w:val="none"/>
              </w:rPr>
            </w:pPr>
            <w:r>
              <w:rPr>
                <w:rFonts w:hint="eastAsia" w:ascii="宋体" w:hAnsi="宋体" w:eastAsia="宋体" w:cs="宋体"/>
                <w:bCs/>
                <w:color w:val="auto"/>
                <w:kern w:val="1"/>
                <w:sz w:val="21"/>
                <w:szCs w:val="21"/>
                <w:highlight w:val="none"/>
              </w:rPr>
              <w:t>项目</w:t>
            </w:r>
            <w:r>
              <w:rPr>
                <w:rFonts w:hint="eastAsia" w:ascii="宋体" w:hAnsi="宋体" w:eastAsia="宋体" w:cs="宋体"/>
                <w:color w:val="auto"/>
                <w:kern w:val="0"/>
                <w:sz w:val="21"/>
                <w:szCs w:val="21"/>
                <w:highlight w:val="none"/>
              </w:rPr>
              <w:t>名称</w:t>
            </w:r>
          </w:p>
        </w:tc>
        <w:tc>
          <w:tcPr>
            <w:tcW w:w="8313" w:type="dxa"/>
            <w:noWrap w:val="0"/>
            <w:vAlign w:val="top"/>
          </w:tcPr>
          <w:p w14:paraId="0092862B">
            <w:pPr>
              <w:keepNext w:val="0"/>
              <w:keepLines w:val="0"/>
              <w:pageBreakBefore w:val="0"/>
              <w:kinsoku/>
              <w:overflowPunct/>
              <w:topLinePunct w:val="0"/>
              <w:autoSpaceDE/>
              <w:autoSpaceDN/>
              <w:bidi w:val="0"/>
              <w:spacing w:line="500" w:lineRule="exact"/>
              <w:jc w:val="left"/>
              <w:textAlignment w:val="auto"/>
              <w:rPr>
                <w:rFonts w:hint="eastAsia" w:ascii="宋体" w:hAnsi="宋体" w:eastAsia="宋体" w:cs="宋体"/>
                <w:bCs/>
                <w:color w:val="auto"/>
                <w:kern w:val="1"/>
                <w:sz w:val="21"/>
                <w:szCs w:val="21"/>
                <w:highlight w:val="none"/>
                <w:lang w:eastAsia="zh-CN"/>
              </w:rPr>
            </w:pPr>
            <w:r>
              <w:rPr>
                <w:rFonts w:hint="eastAsia" w:ascii="宋体" w:hAnsi="宋体" w:cs="宋体"/>
                <w:bCs/>
                <w:color w:val="auto"/>
                <w:kern w:val="1"/>
                <w:sz w:val="21"/>
                <w:szCs w:val="21"/>
                <w:highlight w:val="none"/>
                <w:lang w:eastAsia="zh-CN"/>
              </w:rPr>
              <w:t>滁州</w:t>
            </w:r>
            <w:r>
              <w:rPr>
                <w:rFonts w:hint="eastAsia" w:ascii="宋体" w:hAnsi="宋体" w:cs="宋体"/>
                <w:bCs/>
                <w:color w:val="auto"/>
                <w:kern w:val="1"/>
                <w:sz w:val="21"/>
                <w:szCs w:val="21"/>
                <w:highlight w:val="none"/>
                <w:lang w:val="en-US" w:eastAsia="zh-CN"/>
              </w:rPr>
              <w:t>经开区</w:t>
            </w:r>
            <w:r>
              <w:rPr>
                <w:rFonts w:hint="eastAsia" w:ascii="宋体" w:hAnsi="宋体" w:cs="宋体"/>
                <w:bCs/>
                <w:color w:val="auto"/>
                <w:kern w:val="1"/>
                <w:sz w:val="21"/>
                <w:szCs w:val="21"/>
                <w:highlight w:val="none"/>
                <w:lang w:eastAsia="zh-CN"/>
              </w:rPr>
              <w:t>智能家电产业园施工项目</w:t>
            </w:r>
          </w:p>
        </w:tc>
      </w:tr>
      <w:tr w14:paraId="686B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7F41D0EE">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snapToGrid w:val="0"/>
                <w:color w:val="auto"/>
                <w:kern w:val="0"/>
                <w:sz w:val="21"/>
                <w:szCs w:val="21"/>
                <w:highlight w:val="none"/>
              </w:rPr>
              <w:t>项目审批、核准或备案机关名称</w:t>
            </w:r>
          </w:p>
        </w:tc>
        <w:tc>
          <w:tcPr>
            <w:tcW w:w="8313" w:type="dxa"/>
            <w:noWrap w:val="0"/>
            <w:vAlign w:val="center"/>
          </w:tcPr>
          <w:p w14:paraId="2C4F9396">
            <w:pPr>
              <w:keepNext w:val="0"/>
              <w:keepLines w:val="0"/>
              <w:pageBreakBefore w:val="0"/>
              <w:widowControl/>
              <w:kinsoku/>
              <w:overflowPunct/>
              <w:topLinePunct w:val="0"/>
              <w:autoSpaceDE/>
              <w:autoSpaceDN/>
              <w:bidi w:val="0"/>
              <w:spacing w:line="5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滁州经济技术开发区经贸发展局 </w:t>
            </w:r>
          </w:p>
        </w:tc>
      </w:tr>
      <w:tr w14:paraId="49173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11211D46">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snapToGrid w:val="0"/>
                <w:color w:val="auto"/>
                <w:kern w:val="0"/>
                <w:sz w:val="21"/>
                <w:szCs w:val="21"/>
                <w:highlight w:val="none"/>
              </w:rPr>
              <w:t>批文名称及编号</w:t>
            </w:r>
          </w:p>
        </w:tc>
        <w:tc>
          <w:tcPr>
            <w:tcW w:w="8313" w:type="dxa"/>
            <w:noWrap w:val="0"/>
            <w:vAlign w:val="center"/>
          </w:tcPr>
          <w:p w14:paraId="5E10B556">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滁州经开区经贸发展局备案表</w:t>
            </w:r>
          </w:p>
        </w:tc>
      </w:tr>
      <w:tr w14:paraId="60E3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3EBB9399">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snapToGrid w:val="0"/>
                <w:color w:val="auto"/>
                <w:kern w:val="0"/>
                <w:sz w:val="21"/>
                <w:szCs w:val="21"/>
                <w:highlight w:val="none"/>
              </w:rPr>
              <w:t>招标人</w:t>
            </w:r>
          </w:p>
        </w:tc>
        <w:tc>
          <w:tcPr>
            <w:tcW w:w="8313" w:type="dxa"/>
            <w:noWrap w:val="0"/>
            <w:vAlign w:val="center"/>
          </w:tcPr>
          <w:p w14:paraId="4A8311A9">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bCs/>
                <w:color w:val="auto"/>
                <w:kern w:val="1"/>
                <w:sz w:val="21"/>
                <w:szCs w:val="21"/>
                <w:highlight w:val="none"/>
                <w:lang w:val="en-US" w:eastAsia="zh-CN"/>
              </w:rPr>
              <w:t>滁州同业投资发展有限公司</w:t>
            </w:r>
            <w:r>
              <w:rPr>
                <w:rFonts w:hint="eastAsia" w:ascii="宋体" w:hAnsi="宋体" w:eastAsia="宋体" w:cs="宋体"/>
                <w:color w:val="auto"/>
                <w:sz w:val="21"/>
                <w:szCs w:val="21"/>
                <w:highlight w:val="none"/>
              </w:rPr>
              <w:t xml:space="preserve"> </w:t>
            </w:r>
          </w:p>
        </w:tc>
      </w:tr>
      <w:tr w14:paraId="4349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26DECE06">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项目业主</w:t>
            </w:r>
          </w:p>
        </w:tc>
        <w:tc>
          <w:tcPr>
            <w:tcW w:w="8313" w:type="dxa"/>
            <w:noWrap w:val="0"/>
            <w:vAlign w:val="center"/>
          </w:tcPr>
          <w:p w14:paraId="59AFF86B">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滁州同业投资发展有限公司</w:t>
            </w:r>
            <w:r>
              <w:rPr>
                <w:rFonts w:hint="eastAsia" w:ascii="宋体" w:hAnsi="宋体" w:eastAsia="宋体" w:cs="宋体"/>
                <w:color w:val="auto"/>
                <w:sz w:val="21"/>
                <w:szCs w:val="21"/>
                <w:highlight w:val="none"/>
              </w:rPr>
              <w:t xml:space="preserve"> </w:t>
            </w:r>
          </w:p>
        </w:tc>
      </w:tr>
      <w:tr w14:paraId="0070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1E387F80">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资金来源</w:t>
            </w:r>
          </w:p>
        </w:tc>
        <w:tc>
          <w:tcPr>
            <w:tcW w:w="8313" w:type="dxa"/>
            <w:noWrap w:val="0"/>
            <w:vAlign w:val="center"/>
          </w:tcPr>
          <w:p w14:paraId="20652E2B">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自筹资金</w:t>
            </w:r>
            <w:r>
              <w:rPr>
                <w:rFonts w:hint="eastAsia" w:ascii="宋体" w:hAnsi="宋体" w:eastAsia="宋体" w:cs="宋体"/>
                <w:color w:val="auto"/>
                <w:sz w:val="21"/>
                <w:szCs w:val="21"/>
                <w:highlight w:val="none"/>
              </w:rPr>
              <w:t xml:space="preserve"> </w:t>
            </w:r>
          </w:p>
        </w:tc>
      </w:tr>
      <w:tr w14:paraId="281A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7664A826">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项目出资比例</w:t>
            </w:r>
          </w:p>
        </w:tc>
        <w:tc>
          <w:tcPr>
            <w:tcW w:w="8313" w:type="dxa"/>
            <w:noWrap w:val="0"/>
            <w:vAlign w:val="center"/>
          </w:tcPr>
          <w:p w14:paraId="1C659647">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r>
              <w:rPr>
                <w:rFonts w:hint="eastAsia" w:ascii="宋体" w:hAnsi="宋体" w:eastAsia="宋体" w:cs="宋体"/>
                <w:color w:val="auto"/>
                <w:sz w:val="21"/>
                <w:szCs w:val="21"/>
                <w:highlight w:val="none"/>
                <w:lang w:val="en-US" w:eastAsia="zh-CN"/>
              </w:rPr>
              <w:t xml:space="preserve"> </w:t>
            </w:r>
          </w:p>
        </w:tc>
      </w:tr>
      <w:tr w14:paraId="5C29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08D98DF6">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招标方式</w:t>
            </w:r>
          </w:p>
        </w:tc>
        <w:tc>
          <w:tcPr>
            <w:tcW w:w="8313" w:type="dxa"/>
            <w:noWrap w:val="0"/>
            <w:vAlign w:val="center"/>
          </w:tcPr>
          <w:p w14:paraId="08A8D416">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公开招标 </w:t>
            </w:r>
          </w:p>
        </w:tc>
      </w:tr>
      <w:tr w14:paraId="2429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5DBE35EC">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评标办法</w:t>
            </w:r>
          </w:p>
        </w:tc>
        <w:tc>
          <w:tcPr>
            <w:tcW w:w="8313" w:type="dxa"/>
            <w:noWrap w:val="0"/>
            <w:vAlign w:val="center"/>
          </w:tcPr>
          <w:p w14:paraId="5F7AEFC3">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定性定量评审法</w:t>
            </w:r>
          </w:p>
        </w:tc>
      </w:tr>
      <w:tr w14:paraId="26E0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8" w:type="dxa"/>
            <w:gridSpan w:val="2"/>
            <w:noWrap w:val="0"/>
            <w:vAlign w:val="center"/>
          </w:tcPr>
          <w:p w14:paraId="2BEA40F0">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项目概况与招标范围</w:t>
            </w:r>
          </w:p>
        </w:tc>
      </w:tr>
      <w:tr w14:paraId="02BE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2E1B0D57">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招标项目名称</w:t>
            </w:r>
          </w:p>
        </w:tc>
        <w:tc>
          <w:tcPr>
            <w:tcW w:w="8313" w:type="dxa"/>
            <w:noWrap w:val="0"/>
            <w:vAlign w:val="center"/>
          </w:tcPr>
          <w:p w14:paraId="48F1B2D9">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bCs/>
                <w:color w:val="auto"/>
                <w:kern w:val="1"/>
                <w:sz w:val="21"/>
                <w:szCs w:val="21"/>
                <w:highlight w:val="none"/>
                <w:lang w:val="en-US" w:eastAsia="zh-CN"/>
              </w:rPr>
              <w:t>滁州经开区智能家电产业园施工项目</w:t>
            </w:r>
          </w:p>
        </w:tc>
      </w:tr>
      <w:tr w14:paraId="3614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4F77BEB7">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招标项目编号</w:t>
            </w:r>
          </w:p>
        </w:tc>
        <w:tc>
          <w:tcPr>
            <w:tcW w:w="8313" w:type="dxa"/>
            <w:noWrap w:val="0"/>
            <w:vAlign w:val="center"/>
          </w:tcPr>
          <w:p w14:paraId="37B17A2D">
            <w:pPr>
              <w:keepNext w:val="0"/>
              <w:keepLines w:val="0"/>
              <w:pageBreakBefore w:val="0"/>
              <w:widowControl/>
              <w:kinsoku/>
              <w:overflowPunct/>
              <w:topLinePunct w:val="0"/>
              <w:autoSpaceDE/>
              <w:autoSpaceDN/>
              <w:bidi w:val="0"/>
              <w:spacing w:line="500" w:lineRule="exact"/>
              <w:jc w:val="lef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czsjgc20260</w:t>
            </w:r>
            <w:r>
              <w:rPr>
                <w:rFonts w:hint="eastAsia" w:ascii="宋体" w:hAnsi="宋体" w:cs="宋体"/>
                <w:color w:val="auto"/>
                <w:sz w:val="21"/>
                <w:szCs w:val="21"/>
                <w:highlight w:val="none"/>
                <w:lang w:val="en-US" w:eastAsia="zh-CN"/>
              </w:rPr>
              <w:t>7-011</w:t>
            </w:r>
          </w:p>
        </w:tc>
      </w:tr>
      <w:tr w14:paraId="314D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5" w:type="dxa"/>
            <w:noWrap w:val="0"/>
            <w:vAlign w:val="center"/>
          </w:tcPr>
          <w:p w14:paraId="7C17BBCE">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标段划分</w:t>
            </w:r>
          </w:p>
        </w:tc>
        <w:tc>
          <w:tcPr>
            <w:tcW w:w="8313" w:type="dxa"/>
            <w:noWrap w:val="0"/>
            <w:vAlign w:val="center"/>
          </w:tcPr>
          <w:p w14:paraId="7F9AEA43">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一个标段</w:t>
            </w:r>
            <w:r>
              <w:rPr>
                <w:rFonts w:hint="eastAsia" w:ascii="宋体" w:hAnsi="宋体" w:eastAsia="宋体" w:cs="宋体"/>
                <w:color w:val="auto"/>
                <w:sz w:val="21"/>
                <w:szCs w:val="21"/>
                <w:highlight w:val="none"/>
              </w:rPr>
              <w:t xml:space="preserve"> </w:t>
            </w:r>
          </w:p>
        </w:tc>
      </w:tr>
      <w:tr w14:paraId="667C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1D9E4B62">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招标项目标段编号</w:t>
            </w:r>
          </w:p>
        </w:tc>
        <w:tc>
          <w:tcPr>
            <w:tcW w:w="8313" w:type="dxa"/>
            <w:noWrap w:val="0"/>
            <w:vAlign w:val="center"/>
          </w:tcPr>
          <w:p w14:paraId="523322AF">
            <w:pPr>
              <w:keepNext w:val="0"/>
              <w:keepLines w:val="0"/>
              <w:pageBreakBefore w:val="0"/>
              <w:widowControl/>
              <w:kinsoku/>
              <w:overflowPunct/>
              <w:topLinePunct w:val="0"/>
              <w:autoSpaceDE/>
              <w:autoSpaceDN/>
              <w:bidi w:val="0"/>
              <w:spacing w:line="500" w:lineRule="exact"/>
              <w:jc w:val="lef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czsjgc20260</w:t>
            </w:r>
            <w:r>
              <w:rPr>
                <w:rFonts w:hint="eastAsia" w:ascii="宋体" w:hAnsi="宋体" w:cs="宋体"/>
                <w:color w:val="auto"/>
                <w:sz w:val="21"/>
                <w:szCs w:val="21"/>
                <w:highlight w:val="none"/>
                <w:lang w:val="en-US" w:eastAsia="zh-CN"/>
              </w:rPr>
              <w:t>7-011</w:t>
            </w:r>
          </w:p>
        </w:tc>
      </w:tr>
      <w:tr w14:paraId="3157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6F7A5D4D">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建设地点</w:t>
            </w:r>
          </w:p>
        </w:tc>
        <w:tc>
          <w:tcPr>
            <w:tcW w:w="8313" w:type="dxa"/>
            <w:noWrap w:val="0"/>
            <w:vAlign w:val="center"/>
          </w:tcPr>
          <w:p w14:paraId="3B66AC8F">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滁州市经开区长江路与杭州路交叉口西北侧</w:t>
            </w:r>
          </w:p>
        </w:tc>
      </w:tr>
      <w:tr w14:paraId="3051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29B606B2">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建设规模</w:t>
            </w:r>
          </w:p>
        </w:tc>
        <w:tc>
          <w:tcPr>
            <w:tcW w:w="8313" w:type="dxa"/>
            <w:noWrap w:val="0"/>
            <w:vAlign w:val="center"/>
          </w:tcPr>
          <w:p w14:paraId="55C93531">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rPr>
            </w:pPr>
            <w:r>
              <w:rPr>
                <w:rFonts w:hint="eastAsia" w:ascii="宋体" w:hAnsi="宋体" w:eastAsia="宋体" w:cs="宋体"/>
                <w:bCs/>
                <w:color w:val="auto"/>
                <w:kern w:val="1"/>
                <w:sz w:val="21"/>
                <w:szCs w:val="21"/>
                <w:highlight w:val="none"/>
                <w:lang w:val="en-US" w:eastAsia="zh-CN"/>
              </w:rPr>
              <w:t>总建筑面积约</w:t>
            </w:r>
            <w:r>
              <w:rPr>
                <w:rFonts w:hint="eastAsia" w:ascii="宋体" w:hAnsi="宋体" w:cs="宋体"/>
                <w:bCs/>
                <w:color w:val="auto"/>
                <w:kern w:val="1"/>
                <w:sz w:val="21"/>
                <w:szCs w:val="21"/>
                <w:highlight w:val="none"/>
                <w:lang w:val="en-US" w:eastAsia="zh-CN"/>
              </w:rPr>
              <w:t>10.1</w:t>
            </w:r>
            <w:r>
              <w:rPr>
                <w:rFonts w:hint="eastAsia" w:ascii="宋体" w:hAnsi="宋体" w:eastAsia="宋体" w:cs="宋体"/>
                <w:bCs/>
                <w:color w:val="auto"/>
                <w:kern w:val="1"/>
                <w:sz w:val="21"/>
                <w:szCs w:val="21"/>
                <w:highlight w:val="none"/>
                <w:lang w:val="en-US" w:eastAsia="zh-CN"/>
              </w:rPr>
              <w:t>万平方米，其中含厂房、仓库及道路绿化等附属设施等。具体详见工程量清单及施工图纸。</w:t>
            </w:r>
          </w:p>
        </w:tc>
      </w:tr>
      <w:tr w14:paraId="0D1F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3D6BBCA7">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合同估算价</w:t>
            </w:r>
          </w:p>
        </w:tc>
        <w:tc>
          <w:tcPr>
            <w:tcW w:w="8313" w:type="dxa"/>
            <w:noWrap w:val="0"/>
            <w:vAlign w:val="center"/>
          </w:tcPr>
          <w:p w14:paraId="09203A78">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约</w:t>
            </w:r>
            <w:r>
              <w:rPr>
                <w:rFonts w:hint="eastAsia" w:ascii="宋体" w:hAnsi="宋体" w:cs="宋体"/>
                <w:color w:val="auto"/>
                <w:sz w:val="21"/>
                <w:szCs w:val="21"/>
                <w:highlight w:val="none"/>
                <w:lang w:val="en-US" w:eastAsia="zh-CN"/>
              </w:rPr>
              <w:t>21000</w:t>
            </w:r>
            <w:r>
              <w:rPr>
                <w:rFonts w:hint="eastAsia" w:ascii="宋体" w:hAnsi="宋体" w:eastAsia="宋体" w:cs="宋体"/>
                <w:color w:val="auto"/>
                <w:sz w:val="21"/>
                <w:szCs w:val="21"/>
                <w:highlight w:val="none"/>
                <w:lang w:val="en-US" w:eastAsia="zh-CN"/>
              </w:rPr>
              <w:t>万元</w:t>
            </w:r>
          </w:p>
        </w:tc>
      </w:tr>
      <w:tr w14:paraId="480F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3777B9BB">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计划工期</w:t>
            </w:r>
          </w:p>
        </w:tc>
        <w:tc>
          <w:tcPr>
            <w:tcW w:w="8313" w:type="dxa"/>
            <w:noWrap w:val="0"/>
            <w:vAlign w:val="center"/>
          </w:tcPr>
          <w:p w14:paraId="37B43AB3">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详见招标文件</w:t>
            </w:r>
          </w:p>
        </w:tc>
      </w:tr>
      <w:tr w14:paraId="59B0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32B1AB80">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招标范围</w:t>
            </w:r>
          </w:p>
        </w:tc>
        <w:tc>
          <w:tcPr>
            <w:tcW w:w="8313" w:type="dxa"/>
            <w:noWrap w:val="0"/>
            <w:vAlign w:val="center"/>
          </w:tcPr>
          <w:p w14:paraId="3C02B8DD">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依据招标人提供的施工图纸及工程量清单</w:t>
            </w:r>
            <w:r>
              <w:rPr>
                <w:rFonts w:hint="eastAsia" w:ascii="宋体" w:hAnsi="宋体" w:eastAsia="宋体" w:cs="宋体"/>
                <w:color w:val="auto"/>
                <w:sz w:val="21"/>
                <w:szCs w:val="21"/>
                <w:highlight w:val="none"/>
              </w:rPr>
              <w:t>中的全部内容</w:t>
            </w:r>
            <w:r>
              <w:rPr>
                <w:rFonts w:hint="eastAsia" w:ascii="宋体" w:hAnsi="宋体" w:eastAsia="宋体" w:cs="宋体"/>
                <w:color w:val="auto"/>
                <w:sz w:val="21"/>
                <w:szCs w:val="21"/>
                <w:highlight w:val="none"/>
                <w:lang w:eastAsia="zh-CN"/>
              </w:rPr>
              <w:t>。</w:t>
            </w:r>
          </w:p>
        </w:tc>
      </w:tr>
      <w:tr w14:paraId="3951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0413CBC2">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项目类别</w:t>
            </w:r>
          </w:p>
        </w:tc>
        <w:tc>
          <w:tcPr>
            <w:tcW w:w="8313" w:type="dxa"/>
            <w:noWrap w:val="0"/>
            <w:vAlign w:val="center"/>
          </w:tcPr>
          <w:p w14:paraId="469D21D6">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建筑工程</w:t>
            </w:r>
            <w:r>
              <w:rPr>
                <w:rFonts w:hint="eastAsia" w:ascii="宋体" w:hAnsi="宋体" w:eastAsia="宋体" w:cs="宋体"/>
                <w:color w:val="auto"/>
                <w:sz w:val="21"/>
                <w:szCs w:val="21"/>
                <w:highlight w:val="none"/>
              </w:rPr>
              <w:t xml:space="preserve">  </w:t>
            </w:r>
          </w:p>
        </w:tc>
      </w:tr>
      <w:tr w14:paraId="77AC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2FA3CD87">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w:t>
            </w:r>
          </w:p>
        </w:tc>
        <w:tc>
          <w:tcPr>
            <w:tcW w:w="8313" w:type="dxa"/>
            <w:noWrap w:val="0"/>
            <w:vAlign w:val="center"/>
          </w:tcPr>
          <w:p w14:paraId="112BEE90">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4391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8" w:type="dxa"/>
            <w:gridSpan w:val="2"/>
            <w:noWrap w:val="0"/>
            <w:vAlign w:val="center"/>
          </w:tcPr>
          <w:p w14:paraId="2AEAFCA5">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投标人资格要求</w:t>
            </w:r>
          </w:p>
        </w:tc>
      </w:tr>
      <w:tr w14:paraId="02E2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0CF3B1BA">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投标人资质条件</w:t>
            </w:r>
          </w:p>
        </w:tc>
        <w:tc>
          <w:tcPr>
            <w:tcW w:w="8313" w:type="dxa"/>
            <w:noWrap w:val="0"/>
            <w:vAlign w:val="center"/>
          </w:tcPr>
          <w:p w14:paraId="2311B955">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投标人须具备</w:t>
            </w:r>
            <w:r>
              <w:rPr>
                <w:rFonts w:hint="eastAsia" w:ascii="宋体" w:hAnsi="宋体" w:eastAsia="宋体" w:cs="宋体"/>
                <w:color w:val="auto"/>
                <w:sz w:val="21"/>
                <w:szCs w:val="21"/>
                <w:highlight w:val="none"/>
                <w:lang w:val="en-US" w:eastAsia="zh-CN"/>
              </w:rPr>
              <w:t>建筑工程施工总承包</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lang w:val="en-US" w:eastAsia="zh-CN"/>
              </w:rPr>
              <w:t>级（或）以上</w:t>
            </w:r>
            <w:r>
              <w:rPr>
                <w:rFonts w:hint="eastAsia" w:ascii="宋体" w:hAnsi="宋体" w:eastAsia="宋体" w:cs="宋体"/>
                <w:color w:val="auto"/>
                <w:sz w:val="21"/>
                <w:szCs w:val="21"/>
                <w:highlight w:val="none"/>
              </w:rPr>
              <w:t>资质</w:t>
            </w:r>
          </w:p>
        </w:tc>
      </w:tr>
      <w:tr w14:paraId="0C55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6101EB97">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snapToGrid w:val="0"/>
                <w:color w:val="auto"/>
                <w:kern w:val="0"/>
                <w:sz w:val="21"/>
                <w:szCs w:val="21"/>
                <w:highlight w:val="none"/>
              </w:rPr>
              <w:t>项目经理资格要求</w:t>
            </w:r>
          </w:p>
        </w:tc>
        <w:tc>
          <w:tcPr>
            <w:tcW w:w="8313" w:type="dxa"/>
            <w:noWrap w:val="0"/>
            <w:vAlign w:val="center"/>
          </w:tcPr>
          <w:p w14:paraId="5AD29B1F">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投标人拟委任项目经理须具备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注册在投标单位的建筑工程专业一级注册</w:t>
            </w:r>
            <w:r>
              <w:rPr>
                <w:rFonts w:hint="eastAsia" w:ascii="宋体" w:hAnsi="宋体" w:eastAsia="宋体" w:cs="宋体"/>
                <w:color w:val="auto"/>
                <w:sz w:val="21"/>
                <w:szCs w:val="21"/>
                <w:highlight w:val="none"/>
              </w:rPr>
              <w:t>建造师资格，具备有效的安全生产考核合格(B类)证书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本项目不接受投标截止时间前六个月内在滁州市区域内办理过项目经理（建造师）变更备案手续的原项目经理（建造师）作为拟任项目经理（建造师）参加投标</w:t>
            </w:r>
            <w:r>
              <w:rPr>
                <w:rFonts w:hint="eastAsia" w:ascii="宋体" w:hAnsi="宋体" w:eastAsia="宋体" w:cs="宋体"/>
                <w:color w:val="auto"/>
                <w:sz w:val="21"/>
                <w:szCs w:val="21"/>
                <w:highlight w:val="none"/>
                <w:lang w:eastAsia="zh-CN"/>
              </w:rPr>
              <w:t>。</w:t>
            </w:r>
          </w:p>
        </w:tc>
      </w:tr>
      <w:tr w14:paraId="3145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2CAAA3E8">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信誉要求</w:t>
            </w:r>
          </w:p>
        </w:tc>
        <w:tc>
          <w:tcPr>
            <w:tcW w:w="8313" w:type="dxa"/>
            <w:noWrap w:val="0"/>
            <w:vAlign w:val="center"/>
          </w:tcPr>
          <w:p w14:paraId="2294F7B7">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投标人（包括联合体各成员）存在以下情形之一的，不得被确定为中标人：</w:t>
            </w:r>
          </w:p>
          <w:p w14:paraId="4030AAAC">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①被列入“信用中国”网站（www.creditchina.gov.cn）“失信被执行人”的；</w:t>
            </w:r>
          </w:p>
          <w:p w14:paraId="4362C317">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②被列入“信用中国”网站（www.creditchina.gov.cn）“重大税收违法失信主体”的；</w:t>
            </w:r>
          </w:p>
          <w:p w14:paraId="2D103CCC">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③被列入“信用中国”网站（www.creditchina.gov.cn）“拖欠农民工工资失信联合惩戒对象名单”的；</w:t>
            </w:r>
          </w:p>
          <w:p w14:paraId="5752AC7A">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④被列入“信用中国”网站（www.creditchina.gov.cn） “安全生产严重失信主体名单”的；</w:t>
            </w:r>
          </w:p>
          <w:p w14:paraId="39496D29">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⑤被列入国家企业信用信息公示系统网站（www.gsxt.gov.cn）“严重违法失信名单”的。</w:t>
            </w:r>
          </w:p>
          <w:p w14:paraId="1B8D5389">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投标人（包括联合体各成员）所属分公司、办事处等分支机构存在第1条信誉要求①-⑤项情形之一的，接受其被确定为中标人。</w:t>
            </w:r>
          </w:p>
        </w:tc>
      </w:tr>
      <w:tr w14:paraId="1415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4EFC3CC0">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联合体投标</w:t>
            </w:r>
          </w:p>
        </w:tc>
        <w:tc>
          <w:tcPr>
            <w:tcW w:w="8313" w:type="dxa"/>
            <w:noWrap w:val="0"/>
            <w:vAlign w:val="center"/>
          </w:tcPr>
          <w:p w14:paraId="5260C02A">
            <w:pPr>
              <w:keepNext w:val="0"/>
              <w:keepLines w:val="0"/>
              <w:pageBreakBefore w:val="0"/>
              <w:widowControl/>
              <w:kinsoku/>
              <w:overflowPunct/>
              <w:topLinePunct w:val="0"/>
              <w:autoSpaceDE/>
              <w:autoSpaceDN/>
              <w:bidi w:val="0"/>
              <w:adjustRightInd w:val="0"/>
              <w:snapToGrid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本次招标</w:t>
            </w:r>
            <w:r>
              <w:rPr>
                <w:rFonts w:hint="eastAsia" w:ascii="宋体" w:hAnsi="宋体" w:eastAsia="宋体" w:cs="宋体"/>
                <w:color w:val="auto"/>
                <w:kern w:val="0"/>
                <w:sz w:val="21"/>
                <w:szCs w:val="21"/>
                <w:highlight w:val="none"/>
              </w:rPr>
              <w:t>接受</w:t>
            </w:r>
            <w:r>
              <w:rPr>
                <w:rFonts w:hint="eastAsia" w:ascii="宋体" w:hAnsi="宋体" w:eastAsia="宋体" w:cs="宋体"/>
                <w:color w:val="auto"/>
                <w:sz w:val="21"/>
                <w:szCs w:val="21"/>
                <w:highlight w:val="none"/>
              </w:rPr>
              <w:t>联合体投标</w:t>
            </w:r>
            <w:r>
              <w:rPr>
                <w:rFonts w:hint="eastAsia" w:ascii="宋体" w:hAnsi="宋体" w:eastAsia="宋体" w:cs="宋体"/>
                <w:color w:val="auto"/>
                <w:kern w:val="0"/>
                <w:sz w:val="21"/>
                <w:szCs w:val="21"/>
                <w:highlight w:val="none"/>
              </w:rPr>
              <w:t>，应满足下列要求：</w:t>
            </w:r>
          </w:p>
          <w:p w14:paraId="3AA4B657">
            <w:pPr>
              <w:keepNext w:val="0"/>
              <w:keepLines w:val="0"/>
              <w:pageBreakBefore w:val="0"/>
              <w:widowControl/>
              <w:kinsoku/>
              <w:overflowPunct/>
              <w:topLinePunct w:val="0"/>
              <w:autoSpaceDE/>
              <w:autoSpaceDN/>
              <w:bidi w:val="0"/>
              <w:adjustRightInd w:val="0"/>
              <w:snapToGrid w:val="0"/>
              <w:spacing w:line="500" w:lineRule="exact"/>
              <w:jc w:val="left"/>
              <w:textAlignment w:val="auto"/>
              <w:rPr>
                <w:rFonts w:hint="eastAsia" w:ascii="宋体" w:hAnsi="宋体" w:eastAsia="宋体" w:cs="宋体"/>
                <w:bCs/>
                <w:color w:val="auto"/>
                <w:kern w:val="0"/>
                <w:sz w:val="21"/>
                <w:szCs w:val="21"/>
                <w:highlight w:val="none"/>
                <w:lang w:val="en-US"/>
              </w:rPr>
            </w:pPr>
            <w:r>
              <w:rPr>
                <w:rFonts w:hint="eastAsia" w:ascii="宋体" w:hAnsi="宋体" w:eastAsia="宋体" w:cs="宋体"/>
                <w:bCs/>
                <w:color w:val="auto"/>
                <w:kern w:val="0"/>
                <w:sz w:val="21"/>
                <w:szCs w:val="21"/>
                <w:highlight w:val="none"/>
              </w:rPr>
              <w:t>1</w:t>
            </w:r>
            <w:r>
              <w:rPr>
                <w:rFonts w:hint="eastAsia" w:ascii="宋体" w:hAnsi="宋体" w:eastAsia="宋体" w:cs="宋体"/>
                <w:bCs/>
                <w:color w:val="auto"/>
                <w:kern w:val="0"/>
                <w:sz w:val="21"/>
                <w:szCs w:val="21"/>
                <w:highlight w:val="none"/>
                <w:lang w:val="en-US" w:eastAsia="zh-CN"/>
              </w:rPr>
              <w:t>./。</w:t>
            </w:r>
          </w:p>
          <w:p w14:paraId="684A0601">
            <w:pPr>
              <w:keepNext w:val="0"/>
              <w:keepLines w:val="0"/>
              <w:pageBreakBefore w:val="0"/>
              <w:widowControl/>
              <w:kinsoku/>
              <w:overflowPunct/>
              <w:topLinePunct w:val="0"/>
              <w:autoSpaceDE/>
              <w:autoSpaceDN/>
              <w:bidi w:val="0"/>
              <w:adjustRightInd w:val="0"/>
              <w:snapToGrid w:val="0"/>
              <w:spacing w:line="500" w:lineRule="exact"/>
              <w:jc w:val="left"/>
              <w:textAlignment w:val="auto"/>
              <w:rPr>
                <w:rFonts w:hint="eastAsia" w:ascii="宋体" w:hAnsi="宋体" w:cs="宋体"/>
                <w:b/>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2</w:t>
            </w:r>
            <w:r>
              <w:rPr>
                <w:rFonts w:hint="eastAsia" w:ascii="宋体" w:hAnsi="宋体" w:eastAsia="宋体" w:cs="宋体"/>
                <w:bCs/>
                <w:color w:val="auto"/>
                <w:kern w:val="0"/>
                <w:sz w:val="21"/>
                <w:szCs w:val="21"/>
                <w:highlight w:val="none"/>
                <w:lang w:val="en-US" w:eastAsia="zh-CN"/>
              </w:rPr>
              <w:t>.</w:t>
            </w:r>
            <w:r>
              <w:rPr>
                <w:rFonts w:hint="eastAsia" w:ascii="宋体" w:hAnsi="宋体" w:eastAsia="宋体" w:cs="宋体"/>
                <w:bCs/>
                <w:color w:val="auto"/>
                <w:kern w:val="0"/>
                <w:sz w:val="21"/>
                <w:szCs w:val="21"/>
                <w:highlight w:val="none"/>
              </w:rPr>
              <w:t>联合体参加投标的，</w:t>
            </w:r>
            <w:r>
              <w:rPr>
                <w:rFonts w:hint="eastAsia" w:ascii="宋体" w:hAnsi="宋体" w:eastAsia="宋体" w:cs="宋体"/>
                <w:b/>
                <w:color w:val="auto"/>
                <w:kern w:val="0"/>
                <w:sz w:val="21"/>
                <w:szCs w:val="21"/>
                <w:highlight w:val="none"/>
              </w:rPr>
              <w:t xml:space="preserve">联合体（牵头方和成员方）总数不得超过 </w:t>
            </w:r>
            <w:r>
              <w:rPr>
                <w:rFonts w:hint="eastAsia" w:ascii="宋体" w:hAnsi="宋体" w:eastAsia="宋体" w:cs="宋体"/>
                <w:b/>
                <w:color w:val="auto"/>
                <w:kern w:val="0"/>
                <w:sz w:val="21"/>
                <w:szCs w:val="21"/>
                <w:highlight w:val="none"/>
                <w:u w:val="single"/>
              </w:rPr>
              <w:t>2</w:t>
            </w:r>
            <w:r>
              <w:rPr>
                <w:rFonts w:hint="eastAsia" w:ascii="宋体" w:hAnsi="宋体" w:eastAsia="宋体" w:cs="宋体"/>
                <w:b/>
                <w:color w:val="auto"/>
                <w:kern w:val="0"/>
                <w:sz w:val="21"/>
                <w:szCs w:val="21"/>
                <w:highlight w:val="none"/>
              </w:rPr>
              <w:t>家</w:t>
            </w:r>
            <w:r>
              <w:rPr>
                <w:rFonts w:hint="eastAsia" w:ascii="宋体" w:hAnsi="宋体" w:eastAsia="宋体" w:cs="宋体"/>
                <w:color w:val="auto"/>
                <w:spacing w:val="-2"/>
                <w:sz w:val="21"/>
                <w:szCs w:val="21"/>
                <w:highlight w:val="none"/>
              </w:rPr>
              <w:t>。</w:t>
            </w:r>
            <w:r>
              <w:rPr>
                <w:rFonts w:hint="eastAsia" w:ascii="宋体" w:hAnsi="宋体" w:eastAsia="宋体" w:cs="宋体"/>
                <w:bCs/>
                <w:color w:val="auto"/>
                <w:kern w:val="0"/>
                <w:sz w:val="21"/>
                <w:szCs w:val="21"/>
                <w:highlight w:val="none"/>
              </w:rPr>
              <w:t>同一专业工程由一个单位承担的，按照承担单位资质确定资质等级；同一专业工程由两个单位共同承担的，按照资质等级较低的单位确定资质等级；不同专业工程由不同单位分别承担的，按照各单位的相应资质确定联合体</w:t>
            </w:r>
            <w:r>
              <w:rPr>
                <w:rFonts w:hint="eastAsia" w:ascii="宋体" w:hAnsi="宋体" w:eastAsia="宋体" w:cs="宋体"/>
                <w:color w:val="auto"/>
                <w:kern w:val="0"/>
                <w:sz w:val="21"/>
                <w:szCs w:val="21"/>
                <w:highlight w:val="none"/>
              </w:rPr>
              <w:t>的资质。联合体牵头人和联合体成员按专业分工确定的联合体资质须满足招标文件的要求。</w:t>
            </w:r>
            <w:r>
              <w:rPr>
                <w:rFonts w:hint="eastAsia" w:ascii="宋体" w:hAnsi="宋体" w:cs="宋体"/>
                <w:b/>
                <w:bCs/>
                <w:color w:val="auto"/>
                <w:kern w:val="0"/>
                <w:sz w:val="21"/>
                <w:szCs w:val="21"/>
                <w:highlight w:val="none"/>
                <w:lang w:val="en-US" w:eastAsia="zh-CN"/>
              </w:rPr>
              <w:t xml:space="preserve"> </w:t>
            </w:r>
          </w:p>
          <w:p w14:paraId="4202E3B4">
            <w:pPr>
              <w:keepNext w:val="0"/>
              <w:keepLines w:val="0"/>
              <w:pageBreakBefore w:val="0"/>
              <w:widowControl/>
              <w:kinsoku/>
              <w:overflowPunct/>
              <w:topLinePunct w:val="0"/>
              <w:autoSpaceDE/>
              <w:autoSpaceDN/>
              <w:bidi w:val="0"/>
              <w:adjustRightInd w:val="0"/>
              <w:snapToGrid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联合体参加投标的，招标文件下载、投标保证金缴纳、投标文件编制、电子签章、网上递交标书、解密等工作均由其牵头人负责办理，其他联合体成员方按招标文件要求提供相关材料即可。</w:t>
            </w:r>
          </w:p>
          <w:p w14:paraId="01CDF039">
            <w:pPr>
              <w:keepNext w:val="0"/>
              <w:keepLines w:val="0"/>
              <w:pageBreakBefore w:val="0"/>
              <w:kinsoku/>
              <w:overflowPunct/>
              <w:topLinePunct w:val="0"/>
              <w:autoSpaceDE/>
              <w:autoSpaceDN/>
              <w:bidi w:val="0"/>
              <w:adjustRightInd w:val="0"/>
              <w:snapToGrid w:val="0"/>
              <w:spacing w:line="50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联合体参加投标的，一旦中标，联合体各方将向招标人承担连带责任，各方应服从招标人的管理。</w:t>
            </w:r>
          </w:p>
          <w:p w14:paraId="467DEDE1">
            <w:pPr>
              <w:keepNext w:val="0"/>
              <w:keepLines w:val="0"/>
              <w:pageBreakBefore w:val="0"/>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rPr>
              <w:t>5</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Cs w:val="21"/>
                <w:highlight w:val="none"/>
              </w:rPr>
              <w:t>若为联合体投标的，联合体投标牵头方必须在投标文件中填报派驻项目经理（建造师）A岗，联合体成员方可根据项目情况自行选择是否在投标文件中填报派驻项目经理（建造师）B岗，若派驻，AB岗须满足项目经理资格要求。如联合体成员方没有在投标文件中填报派驻项目经理（建造师） B岗的，视为放弃填报派驻项目经理（建造师） B岗的权利，中标后不予填报增派。</w:t>
            </w:r>
          </w:p>
          <w:p w14:paraId="033F2916">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6</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联合体牵头人及成员单位共同对所提交的投标文件及相关证书材料的真实合规性负责。如联合体任一方出现保证金不予退还的情形，联合体所缴纳的投标保证金均不予退还。</w:t>
            </w:r>
          </w:p>
        </w:tc>
      </w:tr>
      <w:tr w14:paraId="3D2C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1875" w:type="dxa"/>
            <w:noWrap w:val="0"/>
            <w:vAlign w:val="center"/>
          </w:tcPr>
          <w:p w14:paraId="5F235ED5">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多标段投标</w:t>
            </w:r>
          </w:p>
        </w:tc>
        <w:tc>
          <w:tcPr>
            <w:tcW w:w="8313" w:type="dxa"/>
            <w:noWrap w:val="0"/>
            <w:vAlign w:val="center"/>
          </w:tcPr>
          <w:p w14:paraId="27BE0DD7">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各投标人均可就本招标项目上述标段中的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(具体数量)</w:t>
            </w:r>
            <w:r>
              <w:rPr>
                <w:rFonts w:hint="eastAsia" w:ascii="宋体" w:hAnsi="宋体" w:eastAsia="宋体" w:cs="宋体"/>
                <w:color w:val="auto"/>
                <w:sz w:val="21"/>
                <w:szCs w:val="21"/>
                <w:highlight w:val="none"/>
              </w:rPr>
              <w:t>个标段投标，但最多允许中标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(具体数量)</w:t>
            </w:r>
            <w:r>
              <w:rPr>
                <w:rFonts w:hint="eastAsia" w:ascii="宋体" w:hAnsi="宋体" w:eastAsia="宋体" w:cs="宋体"/>
                <w:color w:val="auto"/>
                <w:sz w:val="21"/>
                <w:szCs w:val="21"/>
                <w:highlight w:val="none"/>
              </w:rPr>
              <w:t>个标段(适用于分标段的招标项目)。（关于多标段投标的其他说明）。</w:t>
            </w:r>
          </w:p>
        </w:tc>
      </w:tr>
      <w:tr w14:paraId="7122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4E8C6188">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其他要求</w:t>
            </w:r>
          </w:p>
        </w:tc>
        <w:tc>
          <w:tcPr>
            <w:tcW w:w="8313" w:type="dxa"/>
            <w:noWrap w:val="0"/>
            <w:vAlign w:val="center"/>
          </w:tcPr>
          <w:p w14:paraId="3B89E190">
            <w:pPr>
              <w:keepNext w:val="0"/>
              <w:keepLines w:val="0"/>
              <w:pageBreakBefore w:val="0"/>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w:t>
            </w:r>
          </w:p>
        </w:tc>
      </w:tr>
      <w:tr w14:paraId="652B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8" w:type="dxa"/>
            <w:gridSpan w:val="2"/>
            <w:noWrap w:val="0"/>
            <w:vAlign w:val="center"/>
          </w:tcPr>
          <w:p w14:paraId="78BC62FC">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招标文件的获取</w:t>
            </w:r>
          </w:p>
        </w:tc>
      </w:tr>
      <w:tr w14:paraId="221F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15BE2522">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获取时间</w:t>
            </w:r>
          </w:p>
        </w:tc>
        <w:tc>
          <w:tcPr>
            <w:tcW w:w="8313" w:type="dxa"/>
            <w:noWrap w:val="0"/>
            <w:vAlign w:val="center"/>
          </w:tcPr>
          <w:p w14:paraId="3FC8BD3C">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u w:val="single"/>
                <w:lang w:val="en-US" w:eastAsia="zh-CN"/>
              </w:rPr>
              <w:t>2026</w:t>
            </w:r>
            <w:r>
              <w:rPr>
                <w:rFonts w:hint="eastAsia" w:ascii="宋体" w:hAnsi="宋体" w:eastAsia="宋体" w:cs="宋体"/>
                <w:bCs/>
                <w:snapToGrid w:val="0"/>
                <w:color w:val="auto"/>
                <w:kern w:val="0"/>
                <w:sz w:val="21"/>
                <w:szCs w:val="21"/>
                <w:highlight w:val="none"/>
                <w:u w:val="single"/>
              </w:rPr>
              <w:t xml:space="preserve"> </w:t>
            </w:r>
            <w:r>
              <w:rPr>
                <w:rFonts w:hint="eastAsia" w:ascii="宋体" w:hAnsi="宋体" w:eastAsia="宋体" w:cs="宋体"/>
                <w:bCs/>
                <w:snapToGrid w:val="0"/>
                <w:color w:val="auto"/>
                <w:kern w:val="0"/>
                <w:sz w:val="21"/>
                <w:szCs w:val="21"/>
                <w:highlight w:val="none"/>
              </w:rPr>
              <w:t>年</w:t>
            </w:r>
            <w:r>
              <w:rPr>
                <w:rFonts w:hint="eastAsia" w:ascii="宋体" w:hAnsi="宋体" w:cs="宋体"/>
                <w:bCs/>
                <w:snapToGrid w:val="0"/>
                <w:color w:val="auto"/>
                <w:kern w:val="0"/>
                <w:sz w:val="21"/>
                <w:szCs w:val="21"/>
                <w:highlight w:val="none"/>
                <w:u w:val="single"/>
                <w:lang w:val="en-US" w:eastAsia="zh-CN"/>
              </w:rPr>
              <w:t>7</w:t>
            </w:r>
            <w:r>
              <w:rPr>
                <w:rFonts w:hint="eastAsia" w:ascii="宋体" w:hAnsi="宋体" w:eastAsia="宋体" w:cs="宋体"/>
                <w:bCs/>
                <w:snapToGrid w:val="0"/>
                <w:color w:val="auto"/>
                <w:kern w:val="0"/>
                <w:sz w:val="21"/>
                <w:szCs w:val="21"/>
                <w:highlight w:val="none"/>
              </w:rPr>
              <w:t>月</w:t>
            </w:r>
            <w:r>
              <w:rPr>
                <w:rFonts w:hint="eastAsia" w:ascii="宋体" w:hAnsi="宋体" w:cs="宋体"/>
                <w:bCs/>
                <w:snapToGrid w:val="0"/>
                <w:color w:val="auto"/>
                <w:kern w:val="0"/>
                <w:sz w:val="21"/>
                <w:szCs w:val="21"/>
                <w:highlight w:val="none"/>
                <w:u w:val="single"/>
                <w:lang w:val="en-US" w:eastAsia="zh-CN"/>
              </w:rPr>
              <w:t>31</w:t>
            </w:r>
            <w:r>
              <w:rPr>
                <w:rFonts w:hint="eastAsia" w:ascii="宋体" w:hAnsi="宋体" w:eastAsia="宋体" w:cs="宋体"/>
                <w:bCs/>
                <w:snapToGrid w:val="0"/>
                <w:color w:val="auto"/>
                <w:kern w:val="0"/>
                <w:sz w:val="21"/>
                <w:szCs w:val="21"/>
                <w:highlight w:val="none"/>
              </w:rPr>
              <w:t>日</w:t>
            </w:r>
            <w:r>
              <w:rPr>
                <w:rFonts w:hint="eastAsia" w:ascii="宋体" w:hAnsi="宋体" w:eastAsia="宋体" w:cs="宋体"/>
                <w:bCs/>
                <w:snapToGrid w:val="0"/>
                <w:color w:val="auto"/>
                <w:kern w:val="0"/>
                <w:sz w:val="21"/>
                <w:szCs w:val="21"/>
                <w:highlight w:val="none"/>
                <w:u w:val="single"/>
              </w:rPr>
              <w:t xml:space="preserve"> </w:t>
            </w:r>
            <w:r>
              <w:rPr>
                <w:rFonts w:hint="eastAsia" w:ascii="宋体" w:hAnsi="宋体" w:eastAsia="宋体" w:cs="宋体"/>
                <w:bCs/>
                <w:snapToGrid w:val="0"/>
                <w:color w:val="auto"/>
                <w:kern w:val="0"/>
                <w:sz w:val="21"/>
                <w:szCs w:val="21"/>
                <w:highlight w:val="none"/>
                <w:u w:val="single"/>
                <w:lang w:val="en-US" w:eastAsia="zh-CN"/>
              </w:rPr>
              <w:t>17</w:t>
            </w:r>
            <w:r>
              <w:rPr>
                <w:rFonts w:hint="eastAsia" w:ascii="宋体" w:hAnsi="宋体" w:eastAsia="宋体" w:cs="宋体"/>
                <w:bCs/>
                <w:snapToGrid w:val="0"/>
                <w:color w:val="auto"/>
                <w:kern w:val="0"/>
                <w:sz w:val="21"/>
                <w:szCs w:val="21"/>
                <w:highlight w:val="none"/>
                <w:u w:val="single"/>
              </w:rPr>
              <w:t xml:space="preserve"> </w:t>
            </w:r>
            <w:r>
              <w:rPr>
                <w:rFonts w:hint="eastAsia" w:ascii="宋体" w:hAnsi="宋体" w:eastAsia="宋体" w:cs="宋体"/>
                <w:bCs/>
                <w:snapToGrid w:val="0"/>
                <w:color w:val="auto"/>
                <w:kern w:val="0"/>
                <w:sz w:val="21"/>
                <w:szCs w:val="21"/>
                <w:highlight w:val="none"/>
              </w:rPr>
              <w:t>时</w:t>
            </w:r>
            <w:r>
              <w:rPr>
                <w:rFonts w:hint="eastAsia" w:ascii="宋体" w:hAnsi="宋体" w:eastAsia="宋体" w:cs="宋体"/>
                <w:bCs/>
                <w:snapToGrid w:val="0"/>
                <w:color w:val="auto"/>
                <w:kern w:val="0"/>
                <w:sz w:val="21"/>
                <w:szCs w:val="21"/>
                <w:highlight w:val="none"/>
                <w:u w:val="single"/>
              </w:rPr>
              <w:t xml:space="preserve"> </w:t>
            </w:r>
            <w:r>
              <w:rPr>
                <w:rFonts w:hint="eastAsia" w:ascii="宋体" w:hAnsi="宋体" w:eastAsia="宋体" w:cs="宋体"/>
                <w:bCs/>
                <w:snapToGrid w:val="0"/>
                <w:color w:val="auto"/>
                <w:kern w:val="0"/>
                <w:sz w:val="21"/>
                <w:szCs w:val="21"/>
                <w:highlight w:val="none"/>
                <w:u w:val="single"/>
                <w:lang w:val="en-US" w:eastAsia="zh-CN"/>
              </w:rPr>
              <w:t>00</w:t>
            </w:r>
            <w:r>
              <w:rPr>
                <w:rFonts w:hint="eastAsia" w:ascii="宋体" w:hAnsi="宋体" w:eastAsia="宋体" w:cs="宋体"/>
                <w:bCs/>
                <w:snapToGrid w:val="0"/>
                <w:color w:val="auto"/>
                <w:kern w:val="0"/>
                <w:sz w:val="21"/>
                <w:szCs w:val="21"/>
                <w:highlight w:val="none"/>
                <w:u w:val="single"/>
              </w:rPr>
              <w:t xml:space="preserve"> </w:t>
            </w:r>
            <w:r>
              <w:rPr>
                <w:rFonts w:hint="eastAsia" w:ascii="宋体" w:hAnsi="宋体" w:eastAsia="宋体" w:cs="宋体"/>
                <w:bCs/>
                <w:snapToGrid w:val="0"/>
                <w:color w:val="auto"/>
                <w:kern w:val="0"/>
                <w:sz w:val="21"/>
                <w:szCs w:val="21"/>
                <w:highlight w:val="none"/>
              </w:rPr>
              <w:t>分至</w:t>
            </w:r>
            <w:r>
              <w:rPr>
                <w:rFonts w:hint="eastAsia" w:ascii="宋体" w:hAnsi="宋体" w:eastAsia="宋体" w:cs="宋体"/>
                <w:bCs/>
                <w:snapToGrid w:val="0"/>
                <w:color w:val="auto"/>
                <w:kern w:val="0"/>
                <w:sz w:val="21"/>
                <w:szCs w:val="21"/>
                <w:highlight w:val="none"/>
                <w:u w:val="single"/>
                <w:lang w:val="en-US" w:eastAsia="zh-CN"/>
              </w:rPr>
              <w:t>2026</w:t>
            </w:r>
            <w:r>
              <w:rPr>
                <w:rFonts w:hint="eastAsia" w:ascii="宋体" w:hAnsi="宋体" w:eastAsia="宋体" w:cs="宋体"/>
                <w:bCs/>
                <w:snapToGrid w:val="0"/>
                <w:color w:val="auto"/>
                <w:kern w:val="0"/>
                <w:sz w:val="21"/>
                <w:szCs w:val="21"/>
                <w:highlight w:val="none"/>
              </w:rPr>
              <w:t>年</w:t>
            </w:r>
            <w:r>
              <w:rPr>
                <w:rFonts w:hint="eastAsia" w:ascii="宋体" w:hAnsi="宋体" w:cs="宋体"/>
                <w:bCs/>
                <w:snapToGrid w:val="0"/>
                <w:color w:val="auto"/>
                <w:kern w:val="0"/>
                <w:sz w:val="21"/>
                <w:szCs w:val="21"/>
                <w:highlight w:val="none"/>
                <w:u w:val="single"/>
                <w:lang w:val="en-US" w:eastAsia="zh-CN"/>
              </w:rPr>
              <w:t>8</w:t>
            </w:r>
            <w:r>
              <w:rPr>
                <w:rFonts w:hint="eastAsia" w:ascii="宋体" w:hAnsi="宋体" w:eastAsia="宋体" w:cs="宋体"/>
                <w:bCs/>
                <w:snapToGrid w:val="0"/>
                <w:color w:val="auto"/>
                <w:kern w:val="0"/>
                <w:sz w:val="21"/>
                <w:szCs w:val="21"/>
                <w:highlight w:val="none"/>
              </w:rPr>
              <w:t>月</w:t>
            </w:r>
            <w:r>
              <w:rPr>
                <w:rFonts w:hint="eastAsia" w:ascii="宋体" w:hAnsi="宋体" w:cs="宋体"/>
                <w:bCs/>
                <w:snapToGrid w:val="0"/>
                <w:color w:val="auto"/>
                <w:kern w:val="0"/>
                <w:sz w:val="21"/>
                <w:szCs w:val="21"/>
                <w:highlight w:val="none"/>
                <w:u w:val="single"/>
                <w:lang w:val="en-US" w:eastAsia="zh-CN"/>
              </w:rPr>
              <w:t>24</w:t>
            </w:r>
            <w:r>
              <w:rPr>
                <w:rFonts w:hint="eastAsia" w:ascii="宋体" w:hAnsi="宋体" w:eastAsia="宋体" w:cs="宋体"/>
                <w:bCs/>
                <w:snapToGrid w:val="0"/>
                <w:color w:val="auto"/>
                <w:kern w:val="0"/>
                <w:sz w:val="21"/>
                <w:szCs w:val="21"/>
                <w:highlight w:val="none"/>
              </w:rPr>
              <w:t>日</w:t>
            </w:r>
            <w:r>
              <w:rPr>
                <w:rFonts w:hint="eastAsia" w:ascii="宋体" w:hAnsi="宋体" w:cs="宋体"/>
                <w:bCs/>
                <w:snapToGrid w:val="0"/>
                <w:color w:val="auto"/>
                <w:kern w:val="0"/>
                <w:sz w:val="21"/>
                <w:szCs w:val="21"/>
                <w:highlight w:val="none"/>
                <w:u w:val="single"/>
                <w:lang w:val="en-US" w:eastAsia="zh-CN"/>
              </w:rPr>
              <w:t>8</w:t>
            </w:r>
            <w:r>
              <w:rPr>
                <w:rFonts w:hint="eastAsia" w:ascii="宋体" w:hAnsi="宋体" w:eastAsia="宋体" w:cs="宋体"/>
                <w:bCs/>
                <w:snapToGrid w:val="0"/>
                <w:color w:val="auto"/>
                <w:kern w:val="0"/>
                <w:sz w:val="21"/>
                <w:szCs w:val="21"/>
                <w:highlight w:val="none"/>
              </w:rPr>
              <w:t>时</w:t>
            </w:r>
            <w:r>
              <w:rPr>
                <w:rFonts w:hint="eastAsia" w:ascii="宋体" w:hAnsi="宋体" w:cs="宋体"/>
                <w:bCs/>
                <w:snapToGrid w:val="0"/>
                <w:color w:val="auto"/>
                <w:kern w:val="0"/>
                <w:sz w:val="21"/>
                <w:szCs w:val="21"/>
                <w:highlight w:val="none"/>
                <w:lang w:val="en-US" w:eastAsia="zh-CN"/>
              </w:rPr>
              <w:t>30</w:t>
            </w:r>
            <w:r>
              <w:rPr>
                <w:rFonts w:hint="eastAsia" w:ascii="宋体" w:hAnsi="宋体" w:eastAsia="宋体" w:cs="宋体"/>
                <w:bCs/>
                <w:snapToGrid w:val="0"/>
                <w:color w:val="auto"/>
                <w:kern w:val="0"/>
                <w:sz w:val="21"/>
                <w:szCs w:val="21"/>
                <w:highlight w:val="none"/>
              </w:rPr>
              <w:t>分。</w:t>
            </w:r>
          </w:p>
        </w:tc>
      </w:tr>
      <w:tr w14:paraId="0AA83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320DDA9E">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获取方式</w:t>
            </w:r>
          </w:p>
        </w:tc>
        <w:tc>
          <w:tcPr>
            <w:tcW w:w="8313" w:type="dxa"/>
            <w:noWrap w:val="0"/>
            <w:vAlign w:val="center"/>
          </w:tcPr>
          <w:p w14:paraId="6F50B730">
            <w:pPr>
              <w:keepNext w:val="0"/>
              <w:keepLines w:val="0"/>
              <w:pageBreakBefore w:val="0"/>
              <w:kinsoku/>
              <w:overflowPunct/>
              <w:topLinePunct w:val="0"/>
              <w:autoSpaceDE/>
              <w:autoSpaceDN/>
              <w:bidi w:val="0"/>
              <w:adjustRightInd w:val="0"/>
              <w:snapToGrid w:val="0"/>
              <w:spacing w:line="500" w:lineRule="exact"/>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潜在投标人须登录</w:t>
            </w:r>
            <w:r>
              <w:rPr>
                <w:rFonts w:hint="eastAsia" w:ascii="宋体" w:hAnsi="宋体" w:eastAsia="宋体" w:cs="宋体"/>
                <w:bCs/>
                <w:snapToGrid w:val="0"/>
                <w:color w:val="auto"/>
                <w:kern w:val="0"/>
                <w:sz w:val="21"/>
                <w:szCs w:val="21"/>
                <w:highlight w:val="none"/>
                <w:u w:val="single"/>
              </w:rPr>
              <w:t>滁州市公共资源交易中心网站（http://ggzy.chuzhou.gov.cn/）</w:t>
            </w:r>
            <w:r>
              <w:rPr>
                <w:rFonts w:hint="eastAsia" w:ascii="宋体" w:hAnsi="宋体" w:eastAsia="宋体" w:cs="宋体"/>
                <w:bCs/>
                <w:snapToGrid w:val="0"/>
                <w:color w:val="auto"/>
                <w:kern w:val="0"/>
                <w:sz w:val="21"/>
                <w:szCs w:val="21"/>
                <w:highlight w:val="none"/>
              </w:rPr>
              <w:t>查阅并下载电子招标文件。</w:t>
            </w:r>
          </w:p>
          <w:p w14:paraId="55F5DD54">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招标文件获取过程中有任何疑问，请在工作时间（工作时间：工作日</w:t>
            </w:r>
            <w:r>
              <w:rPr>
                <w:rFonts w:hint="eastAsia" w:ascii="宋体" w:hAnsi="宋体" w:eastAsia="宋体" w:cs="宋体"/>
                <w:bCs/>
                <w:snapToGrid w:val="0"/>
                <w:color w:val="auto"/>
                <w:kern w:val="0"/>
                <w:sz w:val="21"/>
                <w:szCs w:val="21"/>
                <w:highlight w:val="none"/>
                <w:u w:val="single"/>
              </w:rPr>
              <w:t>8:00-12:00,14:30-17:30</w:t>
            </w:r>
            <w:r>
              <w:rPr>
                <w:rFonts w:hint="eastAsia" w:ascii="宋体" w:hAnsi="宋体" w:eastAsia="宋体" w:cs="宋体"/>
                <w:bCs/>
                <w:snapToGrid w:val="0"/>
                <w:color w:val="auto"/>
                <w:kern w:val="0"/>
                <w:sz w:val="21"/>
                <w:szCs w:val="21"/>
                <w:highlight w:val="none"/>
              </w:rPr>
              <w:t>）拨打</w:t>
            </w:r>
            <w:r>
              <w:rPr>
                <w:rFonts w:hint="eastAsia" w:ascii="宋体" w:hAnsi="宋体" w:eastAsia="宋体" w:cs="宋体"/>
                <w:bCs/>
                <w:snapToGrid w:val="0"/>
                <w:color w:val="auto"/>
                <w:kern w:val="0"/>
                <w:sz w:val="21"/>
                <w:szCs w:val="21"/>
                <w:highlight w:val="none"/>
                <w:u w:val="single"/>
              </w:rPr>
              <w:t>0550-3801701</w:t>
            </w:r>
            <w:r>
              <w:rPr>
                <w:rFonts w:hint="eastAsia" w:ascii="宋体" w:hAnsi="宋体" w:eastAsia="宋体" w:cs="宋体"/>
                <w:bCs/>
                <w:snapToGrid w:val="0"/>
                <w:color w:val="auto"/>
                <w:kern w:val="0"/>
                <w:sz w:val="21"/>
                <w:szCs w:val="21"/>
                <w:highlight w:val="none"/>
              </w:rPr>
              <w:t>。</w:t>
            </w:r>
          </w:p>
        </w:tc>
      </w:tr>
      <w:tr w14:paraId="30F6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4B68A642">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招标公告发布时间</w:t>
            </w:r>
          </w:p>
        </w:tc>
        <w:tc>
          <w:tcPr>
            <w:tcW w:w="8313" w:type="dxa"/>
            <w:noWrap w:val="0"/>
            <w:vAlign w:val="center"/>
          </w:tcPr>
          <w:p w14:paraId="02C21EAA">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rPr>
              <w:t>日</w:t>
            </w:r>
          </w:p>
        </w:tc>
      </w:tr>
      <w:tr w14:paraId="5ABB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400512D2">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投标文件递交的截止时间</w:t>
            </w:r>
          </w:p>
        </w:tc>
        <w:tc>
          <w:tcPr>
            <w:tcW w:w="8313" w:type="dxa"/>
            <w:noWrap w:val="0"/>
            <w:vAlign w:val="center"/>
          </w:tcPr>
          <w:p w14:paraId="3C20DB15">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24</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r>
      <w:tr w14:paraId="3F1E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2C27E542">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投标文件递交的方式</w:t>
            </w:r>
          </w:p>
        </w:tc>
        <w:tc>
          <w:tcPr>
            <w:tcW w:w="8313" w:type="dxa"/>
            <w:noWrap w:val="0"/>
            <w:vAlign w:val="center"/>
          </w:tcPr>
          <w:p w14:paraId="49819F88">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投标人应在投标截止时间前通过滁州市公共资源交易中心交易系统递交电子投标文件。</w:t>
            </w:r>
          </w:p>
        </w:tc>
      </w:tr>
      <w:tr w14:paraId="09C2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875" w:type="dxa"/>
            <w:noWrap w:val="0"/>
            <w:vAlign w:val="center"/>
          </w:tcPr>
          <w:p w14:paraId="758BFCA9">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开标时间</w:t>
            </w:r>
          </w:p>
        </w:tc>
        <w:tc>
          <w:tcPr>
            <w:tcW w:w="8313" w:type="dxa"/>
            <w:noWrap w:val="0"/>
            <w:vAlign w:val="center"/>
          </w:tcPr>
          <w:p w14:paraId="1A003B37">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24</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r>
      <w:tr w14:paraId="5687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875" w:type="dxa"/>
            <w:noWrap w:val="0"/>
            <w:vAlign w:val="center"/>
          </w:tcPr>
          <w:p w14:paraId="732335C8">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开标地点</w:t>
            </w:r>
          </w:p>
        </w:tc>
        <w:tc>
          <w:tcPr>
            <w:tcW w:w="8313" w:type="dxa"/>
            <w:noWrap w:val="0"/>
            <w:vAlign w:val="center"/>
          </w:tcPr>
          <w:p w14:paraId="3D87671E">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网上开标，投标人登录滁州市不见面开标系统参与网上开标（网址：https://ggzy.chuzhou.gov.cn/BidOpening/bidopeninghallaction/hall/login）。操作手册见https://ggzy.chuzhou.gov.cn/fwzn/011006/20240510/f0637388-583d-4c69-8331-05b6adfcf24d.html。</w:t>
            </w:r>
          </w:p>
        </w:tc>
      </w:tr>
      <w:tr w14:paraId="261F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6F40EE4E">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招标文件价格</w:t>
            </w:r>
          </w:p>
        </w:tc>
        <w:tc>
          <w:tcPr>
            <w:tcW w:w="8313" w:type="dxa"/>
            <w:noWrap w:val="0"/>
            <w:vAlign w:val="center"/>
          </w:tcPr>
          <w:p w14:paraId="73BD4B7A">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0元</w:t>
            </w:r>
          </w:p>
        </w:tc>
      </w:tr>
      <w:tr w14:paraId="79EF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4FEEE0A4">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发布公告的媒介</w:t>
            </w:r>
          </w:p>
        </w:tc>
        <w:tc>
          <w:tcPr>
            <w:tcW w:w="8313" w:type="dxa"/>
            <w:noWrap w:val="0"/>
            <w:vAlign w:val="center"/>
          </w:tcPr>
          <w:p w14:paraId="5BE8C1DC">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本次招标公告同时在滁州市公共资源交易中心、安徽省公共资源交易监管网、安徽省招标投标信息网等网站发布。</w:t>
            </w:r>
          </w:p>
        </w:tc>
      </w:tr>
      <w:tr w14:paraId="2233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5200F21E">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投标人提出异议的截止时间及方式</w:t>
            </w:r>
          </w:p>
        </w:tc>
        <w:tc>
          <w:tcPr>
            <w:tcW w:w="8313" w:type="dxa"/>
            <w:noWrap w:val="0"/>
            <w:vAlign w:val="center"/>
          </w:tcPr>
          <w:p w14:paraId="6464D8A2">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如投标人对招标文件有异议，请于</w:t>
            </w:r>
            <w:r>
              <w:rPr>
                <w:rFonts w:hint="eastAsia" w:ascii="宋体" w:hAnsi="宋体" w:eastAsia="宋体" w:cs="宋体"/>
                <w:b/>
                <w:color w:val="auto"/>
                <w:kern w:val="0"/>
                <w:sz w:val="21"/>
                <w:szCs w:val="21"/>
                <w:highlight w:val="none"/>
                <w:u w:val="single"/>
              </w:rPr>
              <w:t xml:space="preserve"> </w:t>
            </w:r>
            <w:r>
              <w:rPr>
                <w:rFonts w:hint="eastAsia" w:ascii="宋体" w:hAnsi="宋体" w:eastAsia="宋体" w:cs="宋体"/>
                <w:b/>
                <w:color w:val="auto"/>
                <w:kern w:val="0"/>
                <w:sz w:val="21"/>
                <w:szCs w:val="21"/>
                <w:highlight w:val="none"/>
                <w:u w:val="single"/>
                <w:lang w:val="en-US" w:eastAsia="zh-CN"/>
              </w:rPr>
              <w:t>2026</w:t>
            </w:r>
            <w:r>
              <w:rPr>
                <w:rFonts w:hint="eastAsia" w:ascii="宋体" w:hAnsi="宋体" w:eastAsia="宋体" w:cs="宋体"/>
                <w:b/>
                <w:color w:val="auto"/>
                <w:kern w:val="0"/>
                <w:sz w:val="21"/>
                <w:szCs w:val="21"/>
                <w:highlight w:val="none"/>
                <w:u w:val="single"/>
              </w:rPr>
              <w:t xml:space="preserve"> </w:t>
            </w:r>
            <w:r>
              <w:rPr>
                <w:rFonts w:hint="eastAsia" w:ascii="宋体" w:hAnsi="宋体" w:eastAsia="宋体" w:cs="宋体"/>
                <w:b/>
                <w:color w:val="auto"/>
                <w:kern w:val="0"/>
                <w:sz w:val="21"/>
                <w:szCs w:val="21"/>
                <w:highlight w:val="none"/>
              </w:rPr>
              <w:t>年</w:t>
            </w:r>
            <w:r>
              <w:rPr>
                <w:rFonts w:hint="eastAsia" w:ascii="宋体" w:hAnsi="宋体" w:cs="宋体"/>
                <w:b/>
                <w:color w:val="auto"/>
                <w:kern w:val="0"/>
                <w:sz w:val="21"/>
                <w:szCs w:val="21"/>
                <w:highlight w:val="none"/>
                <w:u w:val="single"/>
                <w:lang w:val="en-US" w:eastAsia="zh-CN"/>
              </w:rPr>
              <w:t>8</w:t>
            </w:r>
            <w:r>
              <w:rPr>
                <w:rFonts w:hint="eastAsia" w:ascii="宋体" w:hAnsi="宋体" w:eastAsia="宋体" w:cs="宋体"/>
                <w:b/>
                <w:color w:val="auto"/>
                <w:kern w:val="0"/>
                <w:sz w:val="21"/>
                <w:szCs w:val="21"/>
                <w:highlight w:val="none"/>
              </w:rPr>
              <w:t>月</w:t>
            </w:r>
            <w:r>
              <w:rPr>
                <w:rFonts w:hint="eastAsia" w:ascii="宋体" w:hAnsi="宋体" w:cs="宋体"/>
                <w:b/>
                <w:color w:val="auto"/>
                <w:kern w:val="0"/>
                <w:sz w:val="21"/>
                <w:szCs w:val="21"/>
                <w:highlight w:val="none"/>
                <w:u w:val="single"/>
                <w:lang w:val="en-US" w:eastAsia="zh-CN"/>
              </w:rPr>
              <w:t>14</w:t>
            </w:r>
            <w:r>
              <w:rPr>
                <w:rFonts w:hint="eastAsia" w:ascii="宋体" w:hAnsi="宋体" w:eastAsia="宋体" w:cs="宋体"/>
                <w:b/>
                <w:color w:val="auto"/>
                <w:kern w:val="0"/>
                <w:sz w:val="21"/>
                <w:szCs w:val="21"/>
                <w:highlight w:val="none"/>
              </w:rPr>
              <w:t>日</w:t>
            </w:r>
            <w:r>
              <w:rPr>
                <w:rFonts w:hint="eastAsia" w:ascii="宋体" w:hAnsi="宋体" w:cs="宋体"/>
                <w:b/>
                <w:color w:val="auto"/>
                <w:kern w:val="0"/>
                <w:sz w:val="21"/>
                <w:szCs w:val="21"/>
                <w:highlight w:val="none"/>
                <w:u w:val="single"/>
                <w:lang w:val="en-US" w:eastAsia="zh-CN"/>
              </w:rPr>
              <w:t>8</w:t>
            </w:r>
            <w:r>
              <w:rPr>
                <w:rFonts w:hint="eastAsia" w:ascii="宋体" w:hAnsi="宋体" w:eastAsia="宋体" w:cs="宋体"/>
                <w:b/>
                <w:color w:val="auto"/>
                <w:kern w:val="0"/>
                <w:sz w:val="21"/>
                <w:szCs w:val="21"/>
                <w:highlight w:val="none"/>
              </w:rPr>
              <w:t>时</w:t>
            </w:r>
            <w:r>
              <w:rPr>
                <w:rFonts w:hint="eastAsia" w:ascii="宋体" w:hAnsi="宋体" w:cs="宋体"/>
                <w:b/>
                <w:color w:val="auto"/>
                <w:kern w:val="0"/>
                <w:sz w:val="21"/>
                <w:szCs w:val="21"/>
                <w:highlight w:val="none"/>
                <w:u w:val="single"/>
                <w:lang w:val="en-US" w:eastAsia="zh-CN"/>
              </w:rPr>
              <w:t>30</w:t>
            </w:r>
            <w:r>
              <w:rPr>
                <w:rFonts w:hint="eastAsia" w:ascii="宋体" w:hAnsi="宋体" w:cs="宋体"/>
                <w:b/>
                <w:color w:val="auto"/>
                <w:kern w:val="0"/>
                <w:sz w:val="21"/>
                <w:szCs w:val="21"/>
                <w:highlight w:val="none"/>
                <w:lang w:val="en-US" w:eastAsia="zh-CN"/>
              </w:rPr>
              <w:t>分</w:t>
            </w:r>
            <w:r>
              <w:rPr>
                <w:rFonts w:hint="eastAsia" w:ascii="宋体" w:hAnsi="宋体" w:eastAsia="宋体" w:cs="宋体"/>
                <w:b/>
                <w:color w:val="auto"/>
                <w:kern w:val="0"/>
                <w:sz w:val="21"/>
                <w:szCs w:val="21"/>
                <w:highlight w:val="none"/>
              </w:rPr>
              <w:t>（投标截止10日）前在滁州市公共资源交易中心网电子交易系统中在线进行异议，具体操作步骤和程序请参见服务指南&gt;交易须知&gt;在线异议、质疑和投诉操作手册。</w:t>
            </w:r>
          </w:p>
        </w:tc>
      </w:tr>
      <w:tr w14:paraId="02BB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3F23BEF1">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受理异议的联系人及联系方式</w:t>
            </w:r>
          </w:p>
        </w:tc>
        <w:tc>
          <w:tcPr>
            <w:tcW w:w="8313" w:type="dxa"/>
            <w:noWrap w:val="0"/>
            <w:vAlign w:val="center"/>
          </w:tcPr>
          <w:p w14:paraId="556023B7">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联系人：</w:t>
            </w:r>
            <w:r>
              <w:rPr>
                <w:rFonts w:hint="eastAsia" w:ascii="宋体" w:hAnsi="宋体" w:cs="宋体"/>
                <w:color w:val="auto"/>
                <w:kern w:val="0"/>
                <w:sz w:val="21"/>
                <w:szCs w:val="21"/>
                <w:highlight w:val="none"/>
                <w:lang w:val="en-US" w:eastAsia="zh-CN"/>
              </w:rPr>
              <w:t>姜舒、</w:t>
            </w:r>
            <w:r>
              <w:rPr>
                <w:rFonts w:hint="eastAsia" w:ascii="宋体" w:hAnsi="宋体" w:cs="宋体"/>
                <w:color w:val="auto"/>
                <w:kern w:val="0"/>
                <w:sz w:val="21"/>
                <w:szCs w:val="21"/>
                <w:highlight w:val="none"/>
                <w:u w:val="none"/>
                <w:lang w:val="en-US" w:eastAsia="zh-CN"/>
              </w:rPr>
              <w:t>李庆延</w:t>
            </w:r>
            <w:r>
              <w:rPr>
                <w:rFonts w:hint="eastAsia" w:ascii="宋体" w:hAnsi="宋体" w:eastAsia="宋体" w:cs="宋体"/>
                <w:color w:val="auto"/>
                <w:kern w:val="0"/>
                <w:sz w:val="21"/>
                <w:szCs w:val="21"/>
                <w:highlight w:val="none"/>
                <w:u w:val="none"/>
                <w:lang w:val="en-US" w:eastAsia="zh-CN"/>
              </w:rPr>
              <w:t xml:space="preserve">、杨韦       </w:t>
            </w:r>
            <w:r>
              <w:rPr>
                <w:rFonts w:hint="eastAsia" w:ascii="宋体" w:hAnsi="宋体" w:eastAsia="宋体" w:cs="宋体"/>
                <w:color w:val="auto"/>
                <w:kern w:val="0"/>
                <w:sz w:val="21"/>
                <w:szCs w:val="21"/>
                <w:highlight w:val="none"/>
              </w:rPr>
              <w:t>联系方式:</w:t>
            </w:r>
            <w:r>
              <w:rPr>
                <w:rFonts w:hint="eastAsia" w:ascii="宋体" w:hAnsi="宋体" w:cs="宋体"/>
                <w:color w:val="auto"/>
                <w:kern w:val="0"/>
                <w:sz w:val="21"/>
                <w:szCs w:val="21"/>
                <w:highlight w:val="none"/>
                <w:lang w:eastAsia="zh-CN"/>
              </w:rPr>
              <w:t>0550-3017151</w:t>
            </w:r>
            <w:r>
              <w:rPr>
                <w:rFonts w:hint="eastAsia" w:ascii="宋体" w:hAnsi="宋体" w:eastAsia="宋体" w:cs="宋体"/>
                <w:color w:val="auto"/>
                <w:kern w:val="0"/>
                <w:sz w:val="21"/>
                <w:szCs w:val="21"/>
                <w:highlight w:val="none"/>
                <w:lang w:val="en-US" w:eastAsia="zh-CN"/>
              </w:rPr>
              <w:t>、0550-3519590</w:t>
            </w:r>
          </w:p>
        </w:tc>
      </w:tr>
      <w:tr w14:paraId="3B93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72C8E559">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投标人提出投诉的方式</w:t>
            </w:r>
          </w:p>
        </w:tc>
        <w:tc>
          <w:tcPr>
            <w:tcW w:w="8313" w:type="dxa"/>
            <w:noWrap w:val="0"/>
            <w:vAlign w:val="top"/>
          </w:tcPr>
          <w:p w14:paraId="3E082F3A">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bookmarkStart w:id="12" w:name="OLE_LINK59"/>
            <w:r>
              <w:rPr>
                <w:rFonts w:hint="eastAsia" w:ascii="宋体" w:hAnsi="宋体" w:eastAsia="宋体" w:cs="宋体"/>
                <w:color w:val="auto"/>
                <w:kern w:val="0"/>
                <w:sz w:val="21"/>
                <w:szCs w:val="21"/>
                <w:highlight w:val="none"/>
              </w:rPr>
              <w:t xml:space="preserve">投标人或者其他利害关系人认为招标投标活动违反法律、法规和规章规定的，有权向相关行政监督部门投诉。在线投诉具体步骤和程序请参照服务指南&gt;投诉渠道 </w:t>
            </w:r>
            <w:r>
              <w:rPr>
                <w:rFonts w:hint="eastAsia" w:ascii="宋体" w:hAnsi="宋体" w:eastAsia="宋体" w:cs="宋体"/>
                <w:color w:val="auto"/>
                <w:kern w:val="0"/>
                <w:sz w:val="21"/>
                <w:szCs w:val="21"/>
                <w:highlight w:val="none"/>
              </w:rPr>
              <w:fldChar w:fldCharType="begin"/>
            </w:r>
            <w:r>
              <w:rPr>
                <w:rFonts w:hint="eastAsia" w:ascii="宋体" w:hAnsi="宋体" w:eastAsia="宋体" w:cs="宋体"/>
                <w:color w:val="auto"/>
                <w:kern w:val="0"/>
                <w:sz w:val="21"/>
                <w:szCs w:val="21"/>
                <w:highlight w:val="none"/>
              </w:rPr>
              <w:instrText xml:space="preserve"> HYPERLINK "https://ggzy.chuzhou.gov.cn/fwzn/011001/serviceGuide.html" </w:instrText>
            </w:r>
            <w:r>
              <w:rPr>
                <w:rFonts w:hint="eastAsia" w:ascii="宋体" w:hAnsi="宋体" w:eastAsia="宋体" w:cs="宋体"/>
                <w:color w:val="auto"/>
                <w:kern w:val="0"/>
                <w:sz w:val="21"/>
                <w:szCs w:val="21"/>
                <w:highlight w:val="none"/>
              </w:rPr>
              <w:fldChar w:fldCharType="separate"/>
            </w:r>
            <w:r>
              <w:rPr>
                <w:rFonts w:hint="eastAsia" w:ascii="宋体" w:hAnsi="宋体" w:eastAsia="宋体" w:cs="宋体"/>
                <w:color w:val="auto"/>
                <w:kern w:val="0"/>
                <w:sz w:val="21"/>
                <w:szCs w:val="21"/>
                <w:highlight w:val="none"/>
              </w:rPr>
              <w:t>https://ggzy.chuzhou.gov.cn/fwzn/011001/serviceGuide.html</w:t>
            </w:r>
            <w:r>
              <w:rPr>
                <w:rFonts w:hint="eastAsia" w:ascii="宋体" w:hAnsi="宋体" w:eastAsia="宋体" w:cs="宋体"/>
                <w:color w:val="auto"/>
                <w:kern w:val="0"/>
                <w:sz w:val="21"/>
                <w:szCs w:val="21"/>
                <w:highlight w:val="none"/>
              </w:rPr>
              <w:fldChar w:fldCharType="end"/>
            </w:r>
            <w:r>
              <w:rPr>
                <w:rFonts w:hint="eastAsia" w:ascii="宋体" w:hAnsi="宋体" w:eastAsia="宋体" w:cs="宋体"/>
                <w:color w:val="auto"/>
                <w:kern w:val="0"/>
                <w:sz w:val="21"/>
                <w:szCs w:val="21"/>
                <w:highlight w:val="none"/>
              </w:rPr>
              <w:t>；投诉书格式等内容参见服务指南&gt;办事指南&gt;投标人服务&gt;投诉受理一次告知书https://ggzy.chuzhou.gov.cn/fwzn/011001/011001001/011001001003/20211022/4b7d87ec-2c58-49b0-b76c-3a6277377930.html。</w:t>
            </w:r>
            <w:bookmarkEnd w:id="12"/>
          </w:p>
        </w:tc>
      </w:tr>
      <w:tr w14:paraId="3627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8" w:type="dxa"/>
            <w:gridSpan w:val="2"/>
            <w:noWrap w:val="0"/>
            <w:vAlign w:val="center"/>
          </w:tcPr>
          <w:p w14:paraId="678E75F8">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投标保证金收取</w:t>
            </w:r>
          </w:p>
        </w:tc>
      </w:tr>
      <w:tr w14:paraId="0236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1A0B12CC">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投标保证金收取</w:t>
            </w:r>
          </w:p>
        </w:tc>
        <w:tc>
          <w:tcPr>
            <w:tcW w:w="8313" w:type="dxa"/>
            <w:noWrap w:val="0"/>
            <w:vAlign w:val="center"/>
          </w:tcPr>
          <w:p w14:paraId="306DC7A0">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投标保证金的金额：50万元，要求投标人提交投标保证金。</w:t>
            </w:r>
          </w:p>
        </w:tc>
      </w:tr>
      <w:tr w14:paraId="3BDF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top"/>
          </w:tcPr>
          <w:p w14:paraId="510D7F60">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投标保证金形式</w:t>
            </w:r>
          </w:p>
        </w:tc>
        <w:tc>
          <w:tcPr>
            <w:tcW w:w="8313" w:type="dxa"/>
            <w:noWrap w:val="0"/>
            <w:vAlign w:val="top"/>
          </w:tcPr>
          <w:p w14:paraId="7078E8A7">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支持现金（银行转账、银行电汇等）、非现金形式（支票、银行汇票、本票等）、电子保函、纸质银行保函。</w:t>
            </w:r>
          </w:p>
        </w:tc>
      </w:tr>
      <w:tr w14:paraId="7F4D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098FC87B">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接收投标保证金的账户信息</w:t>
            </w:r>
          </w:p>
        </w:tc>
        <w:tc>
          <w:tcPr>
            <w:tcW w:w="8313" w:type="dxa"/>
            <w:noWrap w:val="0"/>
            <w:vAlign w:val="center"/>
          </w:tcPr>
          <w:p w14:paraId="15B02915">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采用现金形式的，投标保证金应当从投标人基本存款账户转出，投标保证金的到账截止时间为投标截止时间。投标保证金转出账户与投标人投标文件提供的基本存款账户不一致的，视为未按照招标文件规定提交投标保证金。提交投标保证金的开户银行及账号如下（选择任何一家银行提交即可）：</w:t>
            </w:r>
          </w:p>
          <w:p w14:paraId="419C9520">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①户名：滁州市公共资源交易中心</w:t>
            </w:r>
          </w:p>
          <w:p w14:paraId="0028C6C1">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开户行：中国银行滁州分行 </w:t>
            </w:r>
          </w:p>
          <w:p w14:paraId="70D49300">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账  号：175228931151                                </w:t>
            </w:r>
          </w:p>
          <w:p w14:paraId="73B81CAA">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②户  名：滁州市公共资源交易中心 </w:t>
            </w:r>
          </w:p>
          <w:p w14:paraId="25DE9305">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开户行：中国建设银行股份有限公司滁州南谯支行</w:t>
            </w:r>
          </w:p>
          <w:p w14:paraId="07348000">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账  号：6232811720000035654                                </w:t>
            </w:r>
          </w:p>
          <w:p w14:paraId="3475D7A4">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③户  名：滁州市公共资源交易中心        </w:t>
            </w:r>
          </w:p>
          <w:p w14:paraId="6B65E4F0">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开户行：中国农业银行滁州中都支行                </w:t>
            </w:r>
          </w:p>
          <w:p w14:paraId="7C1EA060">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账  号：123340010400044210000001049                                </w:t>
            </w:r>
          </w:p>
          <w:p w14:paraId="4D4D23A5">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采用现金形式缴纳保证金时须在交易附言中注明：“</w:t>
            </w:r>
            <w:r>
              <w:rPr>
                <w:rFonts w:hint="eastAsia" w:ascii="宋体" w:hAnsi="宋体" w:eastAsia="宋体" w:cs="宋体"/>
                <w:color w:val="auto"/>
                <w:sz w:val="21"/>
                <w:szCs w:val="21"/>
                <w:highlight w:val="none"/>
                <w:lang w:val="en-US" w:eastAsia="zh-CN"/>
              </w:rPr>
              <w:t>czsjgc20260</w:t>
            </w:r>
            <w:r>
              <w:rPr>
                <w:rFonts w:hint="eastAsia" w:ascii="宋体" w:hAnsi="宋体" w:cs="宋体"/>
                <w:color w:val="auto"/>
                <w:sz w:val="21"/>
                <w:szCs w:val="21"/>
                <w:highlight w:val="none"/>
                <w:lang w:val="en-US" w:eastAsia="zh-CN"/>
              </w:rPr>
              <w:t>7-011</w:t>
            </w:r>
            <w:r>
              <w:rPr>
                <w:rFonts w:hint="eastAsia" w:ascii="宋体" w:hAnsi="宋体" w:eastAsia="宋体" w:cs="宋体"/>
                <w:color w:val="auto"/>
                <w:kern w:val="0"/>
                <w:sz w:val="21"/>
                <w:szCs w:val="21"/>
                <w:highlight w:val="none"/>
              </w:rPr>
              <w:t>项目投标保证金”。</w:t>
            </w:r>
          </w:p>
          <w:p w14:paraId="7E6C6EF7">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2）采用支票、银行汇票、本票等非现金形式提交投标保证金时，投标人应在付款人开户行申请书附言处注明“</w:t>
            </w:r>
            <w:r>
              <w:rPr>
                <w:rFonts w:hint="eastAsia" w:ascii="宋体" w:hAnsi="宋体" w:eastAsia="宋体" w:cs="宋体"/>
                <w:color w:val="auto"/>
                <w:sz w:val="21"/>
                <w:szCs w:val="21"/>
                <w:highlight w:val="none"/>
                <w:lang w:val="en-US" w:eastAsia="zh-CN"/>
              </w:rPr>
              <w:t>czsjgc20260</w:t>
            </w:r>
            <w:r>
              <w:rPr>
                <w:rFonts w:hint="eastAsia" w:ascii="宋体" w:hAnsi="宋体" w:cs="宋体"/>
                <w:color w:val="auto"/>
                <w:sz w:val="21"/>
                <w:szCs w:val="21"/>
                <w:highlight w:val="none"/>
                <w:lang w:val="en-US" w:eastAsia="zh-CN"/>
              </w:rPr>
              <w:t>7-011</w:t>
            </w:r>
            <w:r>
              <w:rPr>
                <w:rFonts w:hint="eastAsia" w:ascii="宋体" w:hAnsi="宋体" w:eastAsia="宋体" w:cs="宋体"/>
                <w:color w:val="auto"/>
                <w:kern w:val="0"/>
                <w:sz w:val="21"/>
                <w:szCs w:val="21"/>
                <w:highlight w:val="none"/>
              </w:rPr>
              <w:t>项目投标保证金”字样，应确保收款人开户行进账单完整反映交易附言内容，由此导致无法识别投标保证金对应的投标项目，其后果由投标人负责。</w:t>
            </w:r>
          </w:p>
          <w:p w14:paraId="0BEA6A28">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3)采用电子保函形式具体要求如下：</w:t>
            </w:r>
          </w:p>
          <w:p w14:paraId="2A8BF4C6">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①电子保函提交要求：</w:t>
            </w:r>
          </w:p>
          <w:p w14:paraId="0B14D022">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a.投标人须在投标文件提交截止时间前提供与滁州市公共资源交易中心金融服务平台对接的电子保函，否则视为投标保证金未按规定要求缴纳。</w:t>
            </w:r>
          </w:p>
          <w:p w14:paraId="6B76CFDB">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b.电子保函生效时间须为所投项目规定的保证金到账截止时间之前，电子保函的有效期截止时间不得短于招标文件约定的投标有效期截止时间，否则视为投标保证金未按规定要求缴纳。</w:t>
            </w:r>
          </w:p>
          <w:p w14:paraId="06C841F0">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c.投标有效期内未能确定中标结果，需要延长投标有效期，投标人同意延长投标有效期的，须相应延长电子保函的有效期。</w:t>
            </w:r>
          </w:p>
          <w:p w14:paraId="01423200">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d.投标人存在投标保证金不予退还的情形，采用电子保函形式的将予以追缴。</w:t>
            </w:r>
          </w:p>
          <w:p w14:paraId="31F04D7E">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4)采用纸质银行保函形式具体要求如下：</w:t>
            </w:r>
          </w:p>
          <w:p w14:paraId="7D69E243">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①应为投标人基本账户开户银行出具的不可撤销、不可转让的见索即付独立保函,所需费用由投标人承担。</w:t>
            </w:r>
          </w:p>
          <w:p w14:paraId="15BD62F1">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②投标人在投标文件中必须提供基本存款账户证明（如基本存款账户开户许可证或基本存款账户信息），同时将纸质保函扫描件提供在投标文件中。</w:t>
            </w:r>
          </w:p>
          <w:p w14:paraId="363FFF5F">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③投标人在投标文件中必须提供明确有效的查询途径（ 网址链接及查询方式），否则该纸质银行保函无效。</w:t>
            </w:r>
          </w:p>
          <w:p w14:paraId="370ADAD9">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④中标候选人须在中标候选人公示期间将其开具至本招标项目的保函原件提交招标人（或招标代理机构），且原件须与投标文件中提供的扫描件一致，如存在未按照规定提交或提交内容不一致的，招标人有权取消其中标候选人资格；发现弄虚作假的，招标人（或招标代理机构）应报公共资源交易监管部门依法处理。</w:t>
            </w:r>
          </w:p>
          <w:p w14:paraId="519E910F">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2.保证金电子保函业务应急处置措施。由于自然灾害、事故灾难、突发公共网络安全事件或者系统原因，以及保证金电子保函系统使用过程中出现的以下情况：</w:t>
            </w:r>
          </w:p>
          <w:p w14:paraId="73C7EDE2">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（1）开标时，系统获取明文保函文件异常，无法正常获取保函文件；</w:t>
            </w:r>
          </w:p>
          <w:p w14:paraId="0242FEA7">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（2）保证金电子保函系统的软件或数据库出现错误，不能进行正常操作；</w:t>
            </w:r>
          </w:p>
          <w:p w14:paraId="40F308BE">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（3）保证金电子保函系统服务器发生故障等情况，无法访问或无法使用电子保函；</w:t>
            </w:r>
          </w:p>
          <w:p w14:paraId="5256F42E">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（4）保证金电子保函系统服务器受到病毒或其他外来的攻击；</w:t>
            </w:r>
          </w:p>
          <w:p w14:paraId="110813ED">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（5）其他影响电子保函出具的异常情形。</w:t>
            </w:r>
          </w:p>
          <w:p w14:paraId="1D68F83D">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由于上述原因导致投标人无法正常参加开评标的，招标人或招标代理机构应及时报告公共资源交易服务平台核实问题原因。投标人确实已购买电子保函，经监管部门同意后，投标人可以继续参加开评标。</w:t>
            </w:r>
          </w:p>
          <w:p w14:paraId="227FBDE5">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3.本次招标失败，再次进行招标的，投标人须按照新的账户重新缴纳投标保证金。</w:t>
            </w:r>
          </w:p>
          <w:p w14:paraId="66B75759">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4.投标人为联合体投标的，由牵头人基本账户转出投标保证金或由牵头人办理保函。</w:t>
            </w:r>
          </w:p>
          <w:p w14:paraId="068B4C86">
            <w:pPr>
              <w:keepNext w:val="0"/>
              <w:keepLines w:val="0"/>
              <w:pageBreakBefore w:val="0"/>
              <w:widowControl/>
              <w:kinsoku/>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5.是否适用免缴投标保证金政策</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不适用</w:t>
            </w:r>
            <w:r>
              <w:rPr>
                <w:rFonts w:hint="eastAsia" w:ascii="宋体" w:hAnsi="宋体" w:cs="宋体"/>
                <w:color w:val="auto"/>
                <w:kern w:val="0"/>
                <w:sz w:val="21"/>
                <w:szCs w:val="21"/>
                <w:highlight w:val="none"/>
                <w:lang w:eastAsia="zh-CN"/>
              </w:rPr>
              <w:t>。</w:t>
            </w:r>
          </w:p>
        </w:tc>
      </w:tr>
      <w:tr w14:paraId="3756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56A5F346">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pacing w:val="-6"/>
                <w:sz w:val="21"/>
                <w:szCs w:val="21"/>
                <w:highlight w:val="none"/>
              </w:rPr>
              <w:t>备注</w:t>
            </w:r>
          </w:p>
        </w:tc>
        <w:tc>
          <w:tcPr>
            <w:tcW w:w="8313" w:type="dxa"/>
            <w:noWrap w:val="0"/>
            <w:vAlign w:val="center"/>
          </w:tcPr>
          <w:p w14:paraId="26AE1DEC">
            <w:pPr>
              <w:keepNext w:val="0"/>
              <w:keepLines w:val="0"/>
              <w:pageBreakBefore w:val="0"/>
              <w:kinsoku/>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投标人为联合体投标的，保证金由牵头人基本账户转入交易中心账户或由牵头人办理投标担保。</w:t>
            </w:r>
          </w:p>
          <w:p w14:paraId="0058CD8D">
            <w:pPr>
              <w:keepNext w:val="0"/>
              <w:keepLines w:val="0"/>
              <w:pageBreakBefore w:val="0"/>
              <w:kinsoku/>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本项目不缴纳投标保证金条款仅针对在投标过程中未违反本招标文件第二章“投标人须知”中第3.4.4项约定的投标人。如在投标过程中投标人存在本招标文件第二章“投标人须知”中第3.4.4项约定情形，则无条件按招标人要求的金额、时间、账号缴纳投标保证金。投标人采用银行保函、担保机构担保、保证保险方式提交投标保证金的，如出现本招标文件“投标人须知”第 3.4.4 项所列情形的，提供担保的银行、担保机构及保险机构将无条件向招标人支付保函所列的全部投标保证金金额，该支付行为视同投标保证金不予退还。</w:t>
            </w:r>
          </w:p>
          <w:p w14:paraId="2107A262">
            <w:pPr>
              <w:keepNext w:val="0"/>
              <w:keepLines w:val="0"/>
              <w:pageBreakBefore w:val="0"/>
              <w:kinsoku/>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投标人采用虚假银行保函、担保机构担保、保证保险方式提交投标保证金的，应依法承担弄虚作假、骗取中标的法律责任。</w:t>
            </w:r>
          </w:p>
        </w:tc>
      </w:tr>
      <w:tr w14:paraId="6AAF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8" w:type="dxa"/>
            <w:gridSpan w:val="2"/>
            <w:noWrap w:val="0"/>
            <w:vAlign w:val="center"/>
          </w:tcPr>
          <w:p w14:paraId="421E78AA">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其他说明</w:t>
            </w:r>
          </w:p>
        </w:tc>
      </w:tr>
      <w:tr w14:paraId="5713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656503EB">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重要说明</w:t>
            </w:r>
          </w:p>
        </w:tc>
        <w:tc>
          <w:tcPr>
            <w:tcW w:w="8313" w:type="dxa"/>
            <w:noWrap w:val="0"/>
            <w:vAlign w:val="center"/>
          </w:tcPr>
          <w:p w14:paraId="7B503C6B">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 ；（2） CA数字证书有关问题：安徽CA客服400-615-8899、0550-3019013（工作日）,CFCA客服025-66085508 、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2ADEDA92">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请投标人登录滁州市公共资源交易中心网站查看参加本项目的程序（具体操作步骤和程序请参见服务指南&gt;交易须知&gt;投标人填写投标信息、下载文件及网上提问操作手册）。</w:t>
            </w:r>
          </w:p>
          <w:p w14:paraId="3F3133B1">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本项目采用不见面开标(远程解密)方式，开标时投标人无须至开标现场进行解密，开标采取远程解密方式解密投标文件，投标人远程解密方式：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从本项目解密程序开始时计时，至完成投标文件解密时间，不得超过60分钟，否则投标文件将被拒绝。</w:t>
            </w:r>
          </w:p>
          <w:p w14:paraId="319300A9">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投标文件格式、内容和制作要求以招标文件为准，投标文件制作工具中提供的相关格式及内容仅供参考，投标企业可根据招标文件要求自行调整。</w:t>
            </w:r>
          </w:p>
        </w:tc>
      </w:tr>
      <w:tr w14:paraId="61A5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noWrap w:val="0"/>
            <w:vAlign w:val="center"/>
          </w:tcPr>
          <w:p w14:paraId="1F778A73">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特别提示</w:t>
            </w:r>
          </w:p>
          <w:p w14:paraId="5FBCC509">
            <w:pPr>
              <w:pStyle w:val="19"/>
              <w:keepNext w:val="0"/>
              <w:keepLines w:val="0"/>
              <w:pageBreakBefore w:val="0"/>
              <w:kinsoku/>
              <w:overflowPunct/>
              <w:topLinePunct w:val="0"/>
              <w:autoSpaceDE/>
              <w:autoSpaceDN/>
              <w:bidi w:val="0"/>
              <w:spacing w:after="0" w:afterLines="0" w:line="500" w:lineRule="exact"/>
              <w:textAlignment w:val="auto"/>
              <w:rPr>
                <w:rFonts w:hint="eastAsia" w:ascii="宋体" w:hAnsi="宋体" w:eastAsia="宋体" w:cs="宋体"/>
                <w:color w:val="auto"/>
                <w:sz w:val="21"/>
                <w:szCs w:val="21"/>
                <w:highlight w:val="none"/>
              </w:rPr>
            </w:pPr>
          </w:p>
        </w:tc>
        <w:tc>
          <w:tcPr>
            <w:tcW w:w="8313" w:type="dxa"/>
            <w:noWrap w:val="0"/>
            <w:vAlign w:val="center"/>
          </w:tcPr>
          <w:p w14:paraId="20B5CF59">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1.本项目投标保证金、履约保证金、工程质量保证金、农民工工资保证金均支持保函使用。以现金形式提交保证金的，应当同时退还保证金本金和银行同期存款利息。</w:t>
            </w:r>
          </w:p>
          <w:p w14:paraId="778B44E9">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2.投标人应填写投标信息并下载招标文件，否则无法上传投标文件。</w:t>
            </w:r>
          </w:p>
          <w:p w14:paraId="162654D6">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注：投标人如为联合体的，牵头人必须完善投标人信息，并在上传投标文件环节添加联合体投标信息。</w:t>
            </w:r>
          </w:p>
          <w:p w14:paraId="08C089DA">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采用电子招标投标，请投标人在滁州市公共资源交易中心网站&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p>
          <w:p w14:paraId="568EA86F">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4.如果过程中出现招标文件更改，应以最后发布的招标答疑澄清文件中的模板制作本项目最新投标文件。</w:t>
            </w:r>
          </w:p>
          <w:p w14:paraId="4598B573">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5.投标人应当用本单位CA数字证书制作投标文件，制作成功后进行投标文件上传。 </w:t>
            </w:r>
          </w:p>
          <w:p w14:paraId="083C0C87">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须用CA数字证书盖章和加密投标文件，建议使用主锁。（如未办理CA数字证书请及时办理，网上办理和窗口办理均可。查看办理所需资料请登录滁州市公共资源交易中心网站&gt;服务指南&gt;办事指南&gt;CA数字证书和电子签章。因未及时办理CA数字证书手续导致无法投标的，责任自负）</w:t>
            </w:r>
          </w:p>
          <w:p w14:paraId="432630D6">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7.请投标人注意加密投标文件CA数字证书的有效期，不在有效期的CA数字证书无法解密投标文件。</w:t>
            </w:r>
          </w:p>
          <w:p w14:paraId="46661294">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8.投标人投标MAC地址一致或申请开具电子保函MAC地址一致的，由评标委员会否决其投标。</w:t>
            </w:r>
          </w:p>
          <w:p w14:paraId="79CC1AE9">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9.投标人投标文件中单方面出现其他投标人材料的（依法组成联合体投标的除外），由评标委员会否决其投标。</w:t>
            </w:r>
          </w:p>
          <w:p w14:paraId="00743FDD">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20C70254">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11.若存在不予退还投标人投标保证金的情形，银行转账的，由公共资源交易中心代为收缴，递交保函的，由招标人予以追缴。</w:t>
            </w:r>
          </w:p>
          <w:p w14:paraId="7A92B829">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12.投标人以联合体名义投标的，其异议投诉应当由联合体全体成员共同提出。联合体成员单独进行异议投诉的，应当书面征得联合体其他成员同意，联合体成员之间投诉的除外。</w:t>
            </w:r>
          </w:p>
          <w:p w14:paraId="0F220985">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13.投标人联系人或联系电话相同的，由评标委员会否决其投标，并报告监管部门作不良行为处理和进一步调查。</w:t>
            </w:r>
          </w:p>
          <w:p w14:paraId="138C8A4D">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注册地在安徽省内且未在安徽省外开展业务、省外无违法违规行为的企业可通过安徽政务服务网开具由安徽省公共信用信息服务中心出具的《公共信用信息报告（无违法违规证明版或核查版）》代替《诚信投标承诺书》，信用报告出具有关问题可咨询滁州市信用办0550-3035032。</w:t>
            </w:r>
          </w:p>
        </w:tc>
      </w:tr>
      <w:tr w14:paraId="0DD3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8" w:type="dxa"/>
            <w:gridSpan w:val="2"/>
            <w:noWrap w:val="0"/>
            <w:vAlign w:val="center"/>
          </w:tcPr>
          <w:p w14:paraId="42F697D5">
            <w:pPr>
              <w:keepNext w:val="0"/>
              <w:keepLines w:val="0"/>
              <w:pageBreakBefore w:val="0"/>
              <w:widowControl/>
              <w:kinsoku/>
              <w:overflowPunct/>
              <w:topLinePunct w:val="0"/>
              <w:autoSpaceDE/>
              <w:autoSpaceDN/>
              <w:bidi w:val="0"/>
              <w:spacing w:line="5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联系方式（受理异议的联系人及联系方式）</w:t>
            </w:r>
          </w:p>
        </w:tc>
      </w:tr>
      <w:tr w14:paraId="39D6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shd w:val="clear" w:color="auto" w:fill="auto"/>
            <w:noWrap w:val="0"/>
            <w:vAlign w:val="center"/>
          </w:tcPr>
          <w:p w14:paraId="7AAF2079">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招标人名称</w:t>
            </w:r>
          </w:p>
        </w:tc>
        <w:tc>
          <w:tcPr>
            <w:tcW w:w="8313" w:type="dxa"/>
            <w:noWrap w:val="0"/>
            <w:vAlign w:val="center"/>
          </w:tcPr>
          <w:p w14:paraId="6DA61E54">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滁州同业投资发展有限公司</w:t>
            </w:r>
          </w:p>
        </w:tc>
      </w:tr>
      <w:tr w14:paraId="30AD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shd w:val="clear" w:color="auto" w:fill="auto"/>
            <w:noWrap w:val="0"/>
            <w:vAlign w:val="center"/>
          </w:tcPr>
          <w:p w14:paraId="1EA56DF3">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招标人地址</w:t>
            </w:r>
          </w:p>
        </w:tc>
        <w:tc>
          <w:tcPr>
            <w:tcW w:w="8313" w:type="dxa"/>
            <w:noWrap w:val="0"/>
            <w:vAlign w:val="center"/>
          </w:tcPr>
          <w:p w14:paraId="27208CC2">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安徽省滁州市中都大道2887号（滁州原创科技城）</w:t>
            </w:r>
          </w:p>
        </w:tc>
      </w:tr>
      <w:tr w14:paraId="39FF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shd w:val="clear" w:color="auto" w:fill="auto"/>
            <w:noWrap w:val="0"/>
            <w:vAlign w:val="center"/>
          </w:tcPr>
          <w:p w14:paraId="3C86ED8D">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招标人联系人</w:t>
            </w:r>
          </w:p>
        </w:tc>
        <w:tc>
          <w:tcPr>
            <w:tcW w:w="8313" w:type="dxa"/>
            <w:noWrap w:val="0"/>
            <w:vAlign w:val="center"/>
          </w:tcPr>
          <w:p w14:paraId="3E571F03">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姜舒、</w:t>
            </w:r>
            <w:r>
              <w:rPr>
                <w:rFonts w:hint="eastAsia" w:ascii="宋体" w:hAnsi="宋体" w:eastAsia="宋体" w:cs="宋体"/>
                <w:color w:val="auto"/>
                <w:sz w:val="21"/>
                <w:szCs w:val="21"/>
                <w:highlight w:val="none"/>
                <w:lang w:val="en-US" w:eastAsia="zh-CN"/>
              </w:rPr>
              <w:t>李</w:t>
            </w:r>
            <w:r>
              <w:rPr>
                <w:rFonts w:hint="eastAsia" w:ascii="宋体" w:hAnsi="宋体" w:cs="宋体"/>
                <w:color w:val="auto"/>
                <w:sz w:val="21"/>
                <w:szCs w:val="21"/>
                <w:highlight w:val="none"/>
                <w:lang w:val="en-US" w:eastAsia="zh-CN"/>
              </w:rPr>
              <w:t>庆延</w:t>
            </w:r>
            <w:r>
              <w:rPr>
                <w:rFonts w:hint="eastAsia" w:ascii="宋体" w:hAnsi="宋体" w:eastAsia="宋体" w:cs="宋体"/>
                <w:color w:val="auto"/>
                <w:sz w:val="21"/>
                <w:szCs w:val="21"/>
                <w:highlight w:val="none"/>
              </w:rPr>
              <w:t xml:space="preserve"> </w:t>
            </w:r>
          </w:p>
        </w:tc>
      </w:tr>
      <w:tr w14:paraId="49AE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shd w:val="clear" w:color="auto" w:fill="auto"/>
            <w:noWrap w:val="0"/>
            <w:vAlign w:val="center"/>
          </w:tcPr>
          <w:p w14:paraId="3D77F3E7">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招标人电话</w:t>
            </w:r>
          </w:p>
        </w:tc>
        <w:tc>
          <w:tcPr>
            <w:tcW w:w="8313" w:type="dxa"/>
            <w:noWrap w:val="0"/>
            <w:vAlign w:val="center"/>
          </w:tcPr>
          <w:p w14:paraId="465B352E">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0550-3017151</w:t>
            </w:r>
          </w:p>
        </w:tc>
      </w:tr>
      <w:tr w14:paraId="5F14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shd w:val="clear" w:color="auto" w:fill="auto"/>
            <w:noWrap w:val="0"/>
            <w:vAlign w:val="center"/>
          </w:tcPr>
          <w:p w14:paraId="61E3C21E">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招标代理机构名称</w:t>
            </w:r>
          </w:p>
        </w:tc>
        <w:tc>
          <w:tcPr>
            <w:tcW w:w="8313" w:type="dxa"/>
            <w:noWrap w:val="0"/>
            <w:vAlign w:val="center"/>
          </w:tcPr>
          <w:p w14:paraId="156ED72B">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滁州市城投工程咨询管理有限公司</w:t>
            </w:r>
            <w:r>
              <w:rPr>
                <w:rFonts w:hint="eastAsia" w:ascii="宋体" w:hAnsi="宋体" w:eastAsia="宋体" w:cs="宋体"/>
                <w:color w:val="auto"/>
                <w:sz w:val="21"/>
                <w:szCs w:val="21"/>
                <w:highlight w:val="none"/>
              </w:rPr>
              <w:t xml:space="preserve"> </w:t>
            </w:r>
          </w:p>
        </w:tc>
      </w:tr>
      <w:tr w14:paraId="35B0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shd w:val="clear" w:color="auto" w:fill="auto"/>
            <w:noWrap w:val="0"/>
            <w:vAlign w:val="center"/>
          </w:tcPr>
          <w:p w14:paraId="23A6FE5F">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招标代理机构地址</w:t>
            </w:r>
          </w:p>
        </w:tc>
        <w:tc>
          <w:tcPr>
            <w:tcW w:w="8313" w:type="dxa"/>
            <w:noWrap w:val="0"/>
            <w:vAlign w:val="center"/>
          </w:tcPr>
          <w:p w14:paraId="686EF0F8">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滁州市龙蟠大道109号房产大厦6楼</w:t>
            </w:r>
            <w:r>
              <w:rPr>
                <w:rFonts w:hint="eastAsia" w:ascii="宋体" w:hAnsi="宋体" w:eastAsia="宋体" w:cs="宋体"/>
                <w:color w:val="auto"/>
                <w:sz w:val="21"/>
                <w:szCs w:val="21"/>
                <w:highlight w:val="none"/>
              </w:rPr>
              <w:t xml:space="preserve"> </w:t>
            </w:r>
          </w:p>
        </w:tc>
      </w:tr>
      <w:tr w14:paraId="3E5B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shd w:val="clear" w:color="auto" w:fill="auto"/>
            <w:noWrap w:val="0"/>
            <w:vAlign w:val="center"/>
          </w:tcPr>
          <w:p w14:paraId="3DEC397A">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 xml:space="preserve">招标代理机构    </w:t>
            </w:r>
            <w:r>
              <w:rPr>
                <w:rFonts w:hint="eastAsia"/>
                <w:bCs/>
                <w:color w:val="auto"/>
                <w:spacing w:val="-6"/>
                <w:szCs w:val="21"/>
                <w:highlight w:val="none"/>
                <w:lang w:eastAsia="zh-CN"/>
              </w:rPr>
              <w:t>项目负责人</w:t>
            </w:r>
          </w:p>
        </w:tc>
        <w:tc>
          <w:tcPr>
            <w:tcW w:w="8313" w:type="dxa"/>
            <w:noWrap w:val="0"/>
            <w:vAlign w:val="center"/>
          </w:tcPr>
          <w:p w14:paraId="63855B10">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杨韦</w:t>
            </w:r>
            <w:r>
              <w:rPr>
                <w:rFonts w:hint="eastAsia" w:ascii="宋体" w:hAnsi="宋体" w:eastAsia="宋体" w:cs="宋体"/>
                <w:color w:val="auto"/>
                <w:sz w:val="21"/>
                <w:szCs w:val="21"/>
                <w:highlight w:val="none"/>
              </w:rPr>
              <w:t xml:space="preserve"> </w:t>
            </w:r>
          </w:p>
        </w:tc>
      </w:tr>
      <w:tr w14:paraId="0D0C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shd w:val="clear" w:color="auto" w:fill="auto"/>
            <w:noWrap w:val="0"/>
            <w:vAlign w:val="center"/>
          </w:tcPr>
          <w:p w14:paraId="59D58616">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代理机构电话</w:t>
            </w:r>
          </w:p>
        </w:tc>
        <w:tc>
          <w:tcPr>
            <w:tcW w:w="8313" w:type="dxa"/>
            <w:noWrap w:val="0"/>
            <w:vAlign w:val="center"/>
          </w:tcPr>
          <w:p w14:paraId="39EE7A8F">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0550-3519590、18005501210</w:t>
            </w:r>
            <w:r>
              <w:rPr>
                <w:rFonts w:hint="eastAsia" w:ascii="宋体" w:hAnsi="宋体" w:eastAsia="宋体" w:cs="宋体"/>
                <w:color w:val="auto"/>
                <w:sz w:val="21"/>
                <w:szCs w:val="21"/>
                <w:highlight w:val="none"/>
              </w:rPr>
              <w:t xml:space="preserve"> </w:t>
            </w:r>
          </w:p>
        </w:tc>
      </w:tr>
      <w:tr w14:paraId="1EDF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shd w:val="clear" w:color="auto" w:fill="auto"/>
            <w:noWrap w:val="0"/>
            <w:vAlign w:val="center"/>
          </w:tcPr>
          <w:p w14:paraId="7E403AC8">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招标投标行政监督部门</w:t>
            </w:r>
            <w:r>
              <w:rPr>
                <w:rFonts w:hint="eastAsia"/>
                <w:bCs/>
                <w:color w:val="auto"/>
                <w:spacing w:val="-6"/>
                <w:szCs w:val="21"/>
                <w:highlight w:val="none"/>
                <w:lang w:eastAsia="zh-CN"/>
              </w:rPr>
              <w:t>名称</w:t>
            </w:r>
          </w:p>
        </w:tc>
        <w:tc>
          <w:tcPr>
            <w:tcW w:w="8313" w:type="dxa"/>
            <w:noWrap w:val="0"/>
            <w:vAlign w:val="center"/>
          </w:tcPr>
          <w:p w14:paraId="20B34EBA">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滁州市公共资源交易监督管理局</w:t>
            </w:r>
            <w:r>
              <w:rPr>
                <w:rFonts w:hint="eastAsia" w:ascii="宋体" w:hAnsi="宋体" w:eastAsia="宋体" w:cs="宋体"/>
                <w:color w:val="auto"/>
                <w:sz w:val="21"/>
                <w:szCs w:val="21"/>
                <w:highlight w:val="none"/>
              </w:rPr>
              <w:t xml:space="preserve">  </w:t>
            </w:r>
          </w:p>
        </w:tc>
      </w:tr>
      <w:tr w14:paraId="7C49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shd w:val="clear" w:color="auto" w:fill="auto"/>
            <w:noWrap w:val="0"/>
            <w:vAlign w:val="center"/>
          </w:tcPr>
          <w:p w14:paraId="2E9F8C13">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bookmarkStart w:id="13" w:name="_Toc179632544"/>
            <w:bookmarkStart w:id="14" w:name="_Toc506107267"/>
            <w:bookmarkStart w:id="15" w:name="_Toc246996916"/>
            <w:bookmarkStart w:id="16" w:name="_Toc95223333"/>
            <w:bookmarkStart w:id="17" w:name="_Toc152045527"/>
            <w:bookmarkStart w:id="18" w:name="_Toc324404813"/>
            <w:bookmarkStart w:id="19" w:name="_Toc152042303"/>
            <w:bookmarkStart w:id="20" w:name="_Toc247085687"/>
            <w:bookmarkStart w:id="21" w:name="_Toc15058844"/>
            <w:bookmarkStart w:id="22" w:name="_Toc60061431"/>
            <w:bookmarkStart w:id="23" w:name="_Toc144974495"/>
            <w:bookmarkStart w:id="24" w:name="_Toc246996173"/>
            <w:r>
              <w:rPr>
                <w:rFonts w:hint="eastAsia"/>
                <w:bCs/>
                <w:color w:val="auto"/>
                <w:spacing w:val="-6"/>
                <w:szCs w:val="21"/>
                <w:highlight w:val="none"/>
              </w:rPr>
              <w:t>招标投标行政监督部门</w:t>
            </w:r>
            <w:r>
              <w:rPr>
                <w:rFonts w:hint="eastAsia"/>
                <w:bCs/>
                <w:color w:val="auto"/>
                <w:spacing w:val="-6"/>
                <w:szCs w:val="21"/>
                <w:highlight w:val="none"/>
                <w:lang w:eastAsia="zh-CN"/>
              </w:rPr>
              <w:t>地址</w:t>
            </w:r>
          </w:p>
        </w:tc>
        <w:tc>
          <w:tcPr>
            <w:tcW w:w="8313" w:type="dxa"/>
            <w:noWrap w:val="0"/>
            <w:vAlign w:val="center"/>
          </w:tcPr>
          <w:p w14:paraId="531F61AA">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滁州市龙蟠大道房产商务大厦三楼316室、322室</w:t>
            </w:r>
          </w:p>
        </w:tc>
      </w:tr>
      <w:tr w14:paraId="0BB8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shd w:val="clear" w:color="auto" w:fill="auto"/>
            <w:noWrap w:val="0"/>
            <w:vAlign w:val="center"/>
          </w:tcPr>
          <w:p w14:paraId="0B2CCAE5">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招标投标行政监督部门</w:t>
            </w:r>
            <w:r>
              <w:rPr>
                <w:rFonts w:hint="eastAsia"/>
                <w:bCs/>
                <w:color w:val="auto"/>
                <w:spacing w:val="-6"/>
                <w:szCs w:val="21"/>
                <w:highlight w:val="none"/>
                <w:lang w:eastAsia="zh-CN"/>
              </w:rPr>
              <w:t>联系方式</w:t>
            </w:r>
          </w:p>
        </w:tc>
        <w:tc>
          <w:tcPr>
            <w:tcW w:w="8313" w:type="dxa"/>
            <w:noWrap w:val="0"/>
            <w:vAlign w:val="center"/>
          </w:tcPr>
          <w:p w14:paraId="279C33C6">
            <w:pPr>
              <w:keepNext w:val="0"/>
              <w:keepLines w:val="0"/>
              <w:pageBreakBefore w:val="0"/>
              <w:widowControl/>
              <w:kinsoku/>
              <w:wordWrap w:val="0"/>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0550-3801631、0550-3801656</w:t>
            </w:r>
          </w:p>
        </w:tc>
      </w:tr>
      <w:bookmarkEnd w:id="0"/>
      <w:bookmarkEnd w:id="1"/>
      <w:bookmarkEnd w:id="2"/>
      <w:bookmarkEnd w:id="3"/>
    </w:tbl>
    <w:p w14:paraId="7E1EE80D">
      <w:pPr>
        <w:pStyle w:val="2"/>
        <w:pageBreakBefore/>
        <w:adjustRightInd w:val="0"/>
        <w:snapToGrid w:val="0"/>
        <w:spacing w:before="0" w:after="0" w:line="560" w:lineRule="exact"/>
        <w:jc w:val="center"/>
        <w:rPr>
          <w:rFonts w:hint="eastAsia"/>
          <w:color w:val="auto"/>
          <w:highlight w:val="none"/>
        </w:rPr>
      </w:pPr>
      <w:r>
        <w:rPr>
          <w:rFonts w:hint="eastAsia"/>
          <w:color w:val="auto"/>
          <w:highlight w:val="none"/>
        </w:rPr>
        <w:t>第二章 投标人须知</w:t>
      </w:r>
      <w:bookmarkEnd w:id="13"/>
      <w:bookmarkEnd w:id="14"/>
      <w:bookmarkEnd w:id="15"/>
      <w:bookmarkEnd w:id="16"/>
      <w:bookmarkEnd w:id="17"/>
      <w:bookmarkEnd w:id="18"/>
      <w:bookmarkEnd w:id="19"/>
      <w:bookmarkEnd w:id="20"/>
      <w:bookmarkEnd w:id="21"/>
      <w:bookmarkEnd w:id="22"/>
      <w:bookmarkEnd w:id="23"/>
      <w:bookmarkEnd w:id="24"/>
    </w:p>
    <w:p w14:paraId="69415A01">
      <w:pPr>
        <w:pStyle w:val="3"/>
        <w:adjustRightInd w:val="0"/>
        <w:snapToGrid w:val="0"/>
        <w:spacing w:before="0" w:after="0" w:line="560" w:lineRule="exact"/>
        <w:jc w:val="center"/>
        <w:rPr>
          <w:rFonts w:hint="eastAsia"/>
          <w:color w:val="auto"/>
          <w:highlight w:val="none"/>
        </w:rPr>
      </w:pPr>
      <w:bookmarkStart w:id="25" w:name="_Toc15058845"/>
      <w:bookmarkStart w:id="26" w:name="_Toc506107268"/>
      <w:bookmarkStart w:id="27" w:name="_Toc246996174"/>
      <w:bookmarkStart w:id="28" w:name="_Toc246996917"/>
      <w:bookmarkStart w:id="29" w:name="_Toc247085688"/>
      <w:bookmarkStart w:id="30" w:name="_Toc144974496"/>
      <w:bookmarkStart w:id="31" w:name="_Toc179632545"/>
      <w:bookmarkStart w:id="32" w:name="_Toc152042304"/>
      <w:bookmarkStart w:id="33" w:name="_Toc83301687"/>
      <w:bookmarkStart w:id="34" w:name="_Toc152045528"/>
      <w:bookmarkStart w:id="35" w:name="_Toc60061432"/>
      <w:bookmarkStart w:id="36" w:name="_Toc324404814"/>
      <w:bookmarkStart w:id="37" w:name="_Toc95223334"/>
      <w:bookmarkStart w:id="38" w:name="_Toc144974497"/>
      <w:bookmarkStart w:id="39" w:name="_Toc247085689"/>
      <w:bookmarkStart w:id="40" w:name="_Toc15058846"/>
      <w:bookmarkStart w:id="41" w:name="_Toc506107269"/>
      <w:bookmarkStart w:id="42" w:name="_Toc246996175"/>
      <w:bookmarkStart w:id="43" w:name="_Toc324404815"/>
      <w:bookmarkStart w:id="44" w:name="_Toc179632546"/>
      <w:bookmarkStart w:id="45" w:name="_Toc152045529"/>
      <w:bookmarkStart w:id="46" w:name="_Toc246996918"/>
      <w:bookmarkStart w:id="47" w:name="_Toc152042305"/>
      <w:r>
        <w:rPr>
          <w:rFonts w:hint="eastAsia"/>
          <w:color w:val="auto"/>
          <w:highlight w:val="none"/>
        </w:rPr>
        <w:t>投标人须知前附表</w:t>
      </w:r>
      <w:bookmarkEnd w:id="25"/>
      <w:bookmarkEnd w:id="26"/>
      <w:bookmarkEnd w:id="27"/>
      <w:bookmarkEnd w:id="28"/>
      <w:bookmarkEnd w:id="29"/>
      <w:bookmarkEnd w:id="30"/>
      <w:bookmarkEnd w:id="31"/>
      <w:bookmarkEnd w:id="32"/>
      <w:bookmarkEnd w:id="33"/>
      <w:bookmarkEnd w:id="34"/>
      <w:bookmarkEnd w:id="35"/>
      <w:bookmarkEnd w:id="36"/>
      <w:bookmarkEnd w:id="37"/>
    </w:p>
    <w:tbl>
      <w:tblPr>
        <w:tblStyle w:val="20"/>
        <w:tblW w:w="10175" w:type="dxa"/>
        <w:jc w:val="center"/>
        <w:tblLayout w:type="fixed"/>
        <w:tblCellMar>
          <w:top w:w="0" w:type="dxa"/>
          <w:left w:w="108" w:type="dxa"/>
          <w:bottom w:w="0" w:type="dxa"/>
          <w:right w:w="108" w:type="dxa"/>
        </w:tblCellMar>
      </w:tblPr>
      <w:tblGrid>
        <w:gridCol w:w="1016"/>
        <w:gridCol w:w="1984"/>
        <w:gridCol w:w="7175"/>
      </w:tblGrid>
      <w:tr w14:paraId="2155F5CE">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4D3032FA">
            <w:pPr>
              <w:adjustRightInd w:val="0"/>
              <w:snapToGrid w:val="0"/>
              <w:spacing w:line="5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B567EF2">
            <w:pPr>
              <w:adjustRightInd w:val="0"/>
              <w:snapToGrid w:val="0"/>
              <w:spacing w:line="5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  款  名  称</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6DB9FB58">
            <w:pPr>
              <w:adjustRightInd w:val="0"/>
              <w:snapToGrid w:val="0"/>
              <w:spacing w:line="5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编  列  内  容</w:t>
            </w:r>
          </w:p>
        </w:tc>
      </w:tr>
      <w:tr w14:paraId="18949A09">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39675C2">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1.1.2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BD3CC36">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招标人</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3EBA6FA8">
            <w:pPr>
              <w:pStyle w:val="37"/>
              <w:adjustRightInd w:val="0"/>
              <w:snapToGrid w:val="0"/>
              <w:spacing w:line="560" w:lineRule="exact"/>
              <w:jc w:val="left"/>
              <w:rPr>
                <w:rFonts w:hint="eastAsia" w:ascii="宋体" w:hAnsi="宋体" w:cs="宋体"/>
                <w:color w:val="auto"/>
                <w:kern w:val="2"/>
                <w:sz w:val="24"/>
                <w:szCs w:val="24"/>
                <w:highlight w:val="none"/>
              </w:rPr>
            </w:pPr>
            <w:r>
              <w:rPr>
                <w:rFonts w:hint="eastAsia" w:ascii="宋体" w:hAnsi="宋体" w:cs="宋体"/>
                <w:color w:val="auto"/>
                <w:sz w:val="24"/>
                <w:highlight w:val="none"/>
              </w:rPr>
              <w:t>见招标公告</w:t>
            </w:r>
          </w:p>
        </w:tc>
      </w:tr>
      <w:tr w14:paraId="611C123A">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3F84CC6B">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1.1.3</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B0E56E4">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招标代理机构及其项目负责人</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97CBA71">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见招标公告</w:t>
            </w:r>
          </w:p>
        </w:tc>
      </w:tr>
      <w:tr w14:paraId="0C445F7D">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34F20AE1">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1.1.4</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791BE90">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招标项目名称</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228A5253">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见招标公告</w:t>
            </w:r>
          </w:p>
        </w:tc>
      </w:tr>
      <w:tr w14:paraId="15BAF5FF">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0D94787">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1.1.5</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D7AB86D">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建设地点</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3D9AF4E4">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见招标公告</w:t>
            </w:r>
          </w:p>
        </w:tc>
      </w:tr>
      <w:tr w14:paraId="6A575E2D">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11DD1D7B">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1.2.1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50D7B90B">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资金来源及出资比例</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86DF955">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见招标公告</w:t>
            </w:r>
          </w:p>
        </w:tc>
      </w:tr>
      <w:tr w14:paraId="3DA963A7">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23E1166F">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1.2.2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046512F">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资金落实情况</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36478401">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lang w:val="en-US" w:eastAsia="zh-CN"/>
              </w:rPr>
              <w:t>已落实</w:t>
            </w:r>
            <w:r>
              <w:rPr>
                <w:rFonts w:hint="eastAsia" w:ascii="宋体" w:hAnsi="宋体" w:cs="宋体"/>
                <w:color w:val="auto"/>
                <w:sz w:val="24"/>
                <w:highlight w:val="none"/>
              </w:rPr>
              <w:t xml:space="preserve"> </w:t>
            </w:r>
          </w:p>
        </w:tc>
      </w:tr>
      <w:tr w14:paraId="1C4B1DD2">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266F5DD">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1.3.1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42D135E">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招标范围</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336884A3">
            <w:pPr>
              <w:adjustRightInd w:val="0"/>
              <w:snapToGrid w:val="0"/>
              <w:spacing w:line="560" w:lineRule="exact"/>
              <w:rPr>
                <w:rFonts w:hint="eastAsia" w:ascii="宋体" w:hAnsi="宋体" w:eastAsia="宋体" w:cs="宋体"/>
                <w:color w:val="auto"/>
                <w:sz w:val="24"/>
                <w:highlight w:val="none"/>
                <w:lang w:eastAsia="zh-CN"/>
              </w:rPr>
            </w:pPr>
            <w:r>
              <w:rPr>
                <w:rFonts w:hint="eastAsia" w:ascii="宋体" w:hAnsi="宋体" w:cs="宋体"/>
                <w:color w:val="auto"/>
                <w:sz w:val="24"/>
                <w:highlight w:val="none"/>
              </w:rPr>
              <w:t>见招标公告</w:t>
            </w:r>
            <w:r>
              <w:rPr>
                <w:rFonts w:hint="eastAsia" w:ascii="宋体" w:hAnsi="宋体" w:cs="宋体"/>
                <w:color w:val="auto"/>
                <w:sz w:val="24"/>
                <w:highlight w:val="none"/>
                <w:lang w:eastAsia="zh-CN"/>
              </w:rPr>
              <w:t>。</w:t>
            </w:r>
          </w:p>
        </w:tc>
      </w:tr>
      <w:tr w14:paraId="4EC69322">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9F50B19">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1.3.2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2235345">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计划工期</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20B08392">
            <w:pPr>
              <w:adjustRightInd w:val="0"/>
              <w:snapToGrid w:val="0"/>
              <w:spacing w:line="560" w:lineRule="exact"/>
              <w:rPr>
                <w:rFonts w:hint="eastAsia" w:ascii="宋体" w:hAnsi="宋体" w:cs="宋体"/>
                <w:b/>
                <w:color w:val="auto"/>
                <w:sz w:val="24"/>
                <w:highlight w:val="none"/>
              </w:rPr>
            </w:pPr>
            <w:r>
              <w:rPr>
                <w:rFonts w:hint="eastAsia" w:ascii="宋体" w:hAnsi="宋体" w:cs="宋体"/>
                <w:b/>
                <w:color w:val="auto"/>
                <w:sz w:val="24"/>
                <w:highlight w:val="none"/>
              </w:rPr>
              <w:t>计划工期：不高于</w:t>
            </w:r>
            <w:r>
              <w:rPr>
                <w:rFonts w:hint="eastAsia" w:ascii="宋体" w:hAnsi="宋体" w:cs="宋体"/>
                <w:b/>
                <w:color w:val="auto"/>
                <w:sz w:val="24"/>
                <w:highlight w:val="none"/>
                <w:u w:val="single"/>
                <w:lang w:val="en-US" w:eastAsia="zh-CN"/>
              </w:rPr>
              <w:t>180</w:t>
            </w:r>
            <w:r>
              <w:rPr>
                <w:rFonts w:hint="eastAsia" w:ascii="宋体" w:hAnsi="宋体" w:cs="宋体"/>
                <w:b/>
                <w:color w:val="auto"/>
                <w:sz w:val="24"/>
                <w:highlight w:val="none"/>
              </w:rPr>
              <w:t>个日历天。</w:t>
            </w:r>
          </w:p>
          <w:p w14:paraId="687F2A8F">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计划开工日期：具体开工日期以开工通知为准</w:t>
            </w:r>
          </w:p>
          <w:p w14:paraId="2CDE5BB8">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计划竣工日期：以最终实际要求工期为准</w:t>
            </w:r>
          </w:p>
          <w:p w14:paraId="29FA2841">
            <w:pPr>
              <w:adjustRightInd w:val="0"/>
              <w:snapToGrid w:val="0"/>
              <w:spacing w:line="560" w:lineRule="exac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除上述总工期外，招标人还要求以下区段工期（如有）：</w:t>
            </w:r>
            <w:r>
              <w:rPr>
                <w:rFonts w:hint="eastAsia" w:ascii="宋体" w:hAnsi="宋体" w:cs="宋体"/>
                <w:color w:val="auto"/>
                <w:sz w:val="24"/>
                <w:highlight w:val="none"/>
                <w:lang w:val="en-US" w:eastAsia="zh-CN"/>
              </w:rPr>
              <w:t>/</w:t>
            </w:r>
          </w:p>
          <w:p w14:paraId="7436CCA6">
            <w:pPr>
              <w:adjustRightInd w:val="0"/>
              <w:snapToGrid w:val="0"/>
              <w:spacing w:line="560" w:lineRule="exact"/>
              <w:rPr>
                <w:rFonts w:hint="eastAsia" w:ascii="宋体" w:hAnsi="宋体" w:cs="宋体"/>
                <w:color w:val="auto"/>
                <w:sz w:val="24"/>
                <w:highlight w:val="none"/>
              </w:rPr>
            </w:pPr>
            <w:r>
              <w:rPr>
                <w:rFonts w:hint="eastAsia" w:ascii="宋体" w:hAnsi="宋体" w:eastAsia="宋体" w:cs="宋体"/>
                <w:color w:val="auto"/>
                <w:sz w:val="24"/>
                <w:highlight w:val="none"/>
                <w:lang w:val="en-US" w:eastAsia="zh-CN"/>
              </w:rPr>
              <w:t>注：因承包方原因造成的工期延误，每延期一天</w:t>
            </w:r>
            <w:r>
              <w:rPr>
                <w:rFonts w:hint="eastAsia" w:ascii="宋体" w:hAnsi="宋体" w:cs="宋体"/>
                <w:color w:val="auto"/>
                <w:sz w:val="24"/>
                <w:highlight w:val="none"/>
                <w:lang w:val="en-US" w:eastAsia="zh-CN"/>
              </w:rPr>
              <w:t>向招标人支付10000元/天</w:t>
            </w:r>
            <w:r>
              <w:rPr>
                <w:rFonts w:hint="eastAsia" w:ascii="宋体" w:hAnsi="宋体" w:eastAsia="宋体" w:cs="宋体"/>
                <w:color w:val="auto"/>
                <w:sz w:val="24"/>
                <w:highlight w:val="none"/>
                <w:lang w:val="en-US" w:eastAsia="zh-CN"/>
              </w:rPr>
              <w:t>的违约金，工期提前不奖励</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w:t>
            </w:r>
          </w:p>
        </w:tc>
      </w:tr>
      <w:tr w14:paraId="016D2D74">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ECFDE34">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1.3.3</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D7F80FE">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质量要求</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11AD5CF7">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工程质量必须达到国家工程施工质量验收</w:t>
            </w:r>
            <w:r>
              <w:rPr>
                <w:rFonts w:hint="eastAsia" w:ascii="宋体" w:hAnsi="宋体" w:cs="宋体"/>
                <w:b/>
                <w:color w:val="auto"/>
                <w:sz w:val="24"/>
                <w:highlight w:val="none"/>
                <w:u w:val="single"/>
              </w:rPr>
              <w:t xml:space="preserve"> </w:t>
            </w:r>
            <w:r>
              <w:rPr>
                <w:rFonts w:hint="eastAsia" w:ascii="宋体" w:hAnsi="宋体" w:cs="宋体"/>
                <w:b/>
                <w:color w:val="auto"/>
                <w:sz w:val="24"/>
                <w:highlight w:val="none"/>
                <w:u w:val="single"/>
                <w:lang w:val="en-US" w:eastAsia="zh-CN"/>
              </w:rPr>
              <w:t>合格</w:t>
            </w:r>
            <w:r>
              <w:rPr>
                <w:rFonts w:hint="eastAsia" w:ascii="宋体" w:hAnsi="宋体" w:cs="宋体"/>
                <w:b/>
                <w:color w:val="auto"/>
                <w:sz w:val="24"/>
                <w:highlight w:val="none"/>
                <w:u w:val="single"/>
              </w:rPr>
              <w:t xml:space="preserve"> </w:t>
            </w:r>
            <w:r>
              <w:rPr>
                <w:rFonts w:hint="eastAsia" w:ascii="宋体" w:hAnsi="宋体" w:cs="宋体"/>
                <w:color w:val="auto"/>
                <w:sz w:val="24"/>
                <w:highlight w:val="none"/>
              </w:rPr>
              <w:t xml:space="preserve">标准。 </w:t>
            </w:r>
          </w:p>
        </w:tc>
      </w:tr>
      <w:tr w14:paraId="7311B5C9">
        <w:tblPrEx>
          <w:tblCellMar>
            <w:top w:w="0" w:type="dxa"/>
            <w:left w:w="108" w:type="dxa"/>
            <w:bottom w:w="0" w:type="dxa"/>
            <w:right w:w="108" w:type="dxa"/>
          </w:tblCellMar>
        </w:tblPrEx>
        <w:trPr>
          <w:trHeight w:val="1232" w:hRule="atLeast"/>
          <w:jc w:val="center"/>
        </w:trPr>
        <w:tc>
          <w:tcPr>
            <w:tcW w:w="1016" w:type="dxa"/>
            <w:tcBorders>
              <w:top w:val="single" w:color="auto" w:sz="4" w:space="0"/>
              <w:left w:val="single" w:color="auto" w:sz="4" w:space="0"/>
              <w:right w:val="single" w:color="auto" w:sz="4" w:space="0"/>
            </w:tcBorders>
            <w:noWrap w:val="0"/>
            <w:vAlign w:val="center"/>
          </w:tcPr>
          <w:p w14:paraId="19871826">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1.4.1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5981A97">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投标人资质条件、能力和信誉</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53AA926C">
            <w:pPr>
              <w:widowControl/>
              <w:adjustRightInd w:val="0"/>
              <w:snapToGrid w:val="0"/>
              <w:spacing w:line="560" w:lineRule="exact"/>
              <w:jc w:val="left"/>
              <w:rPr>
                <w:rFonts w:hint="eastAsia" w:ascii="宋体" w:hAnsi="宋体" w:cs="宋体"/>
                <w:color w:val="auto"/>
                <w:sz w:val="24"/>
                <w:highlight w:val="none"/>
                <w:u w:val="single"/>
              </w:rPr>
            </w:pPr>
            <w:r>
              <w:rPr>
                <w:rFonts w:hint="eastAsia" w:ascii="宋体" w:hAnsi="宋体" w:cs="宋体"/>
                <w:color w:val="auto"/>
                <w:sz w:val="24"/>
                <w:highlight w:val="none"/>
                <w:u w:val="single"/>
              </w:rPr>
              <w:t>详见招标公告</w:t>
            </w:r>
          </w:p>
        </w:tc>
      </w:tr>
      <w:tr w14:paraId="15BDC819">
        <w:tblPrEx>
          <w:tblCellMar>
            <w:top w:w="0" w:type="dxa"/>
            <w:left w:w="108" w:type="dxa"/>
            <w:bottom w:w="0" w:type="dxa"/>
            <w:right w:w="108" w:type="dxa"/>
          </w:tblCellMar>
        </w:tblPrEx>
        <w:trPr>
          <w:trHeight w:val="683"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1E75672">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1.4.2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58291C63">
            <w:pPr>
              <w:adjustRightInd w:val="0"/>
              <w:snapToGrid w:val="0"/>
              <w:spacing w:line="560" w:lineRule="exact"/>
              <w:jc w:val="center"/>
              <w:rPr>
                <w:rFonts w:hint="eastAsia" w:ascii="宋体" w:hAnsi="宋体" w:cs="宋体"/>
                <w:color w:val="auto"/>
                <w:spacing w:val="-4"/>
                <w:kern w:val="0"/>
                <w:sz w:val="24"/>
                <w:highlight w:val="none"/>
              </w:rPr>
            </w:pPr>
            <w:r>
              <w:rPr>
                <w:rFonts w:hint="eastAsia" w:ascii="宋体" w:hAnsi="宋体" w:cs="宋体"/>
                <w:color w:val="auto"/>
                <w:spacing w:val="-4"/>
                <w:kern w:val="0"/>
                <w:sz w:val="24"/>
                <w:highlight w:val="none"/>
              </w:rPr>
              <w:t>是否接受联合体投标</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05F8E648">
            <w:pPr>
              <w:pStyle w:val="10"/>
              <w:topLinePunct/>
              <w:adjustRightInd w:val="0"/>
              <w:snapToGrid w:val="0"/>
              <w:spacing w:line="560" w:lineRule="exact"/>
              <w:rPr>
                <w:rFonts w:hint="eastAsia" w:hAnsi="宋体" w:cs="宋体"/>
                <w:color w:val="auto"/>
                <w:szCs w:val="24"/>
                <w:highlight w:val="none"/>
              </w:rPr>
            </w:pPr>
            <w:r>
              <w:rPr>
                <w:rFonts w:hint="eastAsia" w:hAnsi="宋体" w:cs="宋体"/>
                <w:color w:val="auto"/>
                <w:szCs w:val="24"/>
                <w:highlight w:val="none"/>
                <w:u w:val="single"/>
              </w:rPr>
              <w:t>详见招标公告</w:t>
            </w:r>
          </w:p>
        </w:tc>
      </w:tr>
      <w:tr w14:paraId="4A8576BF">
        <w:tblPrEx>
          <w:tblCellMar>
            <w:top w:w="0" w:type="dxa"/>
            <w:left w:w="108" w:type="dxa"/>
            <w:bottom w:w="0" w:type="dxa"/>
            <w:right w:w="108" w:type="dxa"/>
          </w:tblCellMar>
        </w:tblPrEx>
        <w:trPr>
          <w:trHeight w:val="763"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2309383F">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1.4.3</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17EC609">
            <w:pPr>
              <w:adjustRightInd w:val="0"/>
              <w:snapToGrid w:val="0"/>
              <w:spacing w:line="560" w:lineRule="exact"/>
              <w:jc w:val="center"/>
              <w:rPr>
                <w:rFonts w:hint="eastAsia" w:ascii="宋体" w:hAnsi="宋体" w:cs="宋体"/>
                <w:color w:val="auto"/>
                <w:spacing w:val="-4"/>
                <w:kern w:val="0"/>
                <w:sz w:val="24"/>
                <w:highlight w:val="none"/>
              </w:rPr>
            </w:pPr>
            <w:r>
              <w:rPr>
                <w:rFonts w:hint="eastAsia" w:ascii="宋体" w:hAnsi="宋体" w:cs="宋体"/>
                <w:color w:val="auto"/>
                <w:spacing w:val="-4"/>
                <w:kern w:val="0"/>
                <w:sz w:val="24"/>
                <w:highlight w:val="none"/>
              </w:rPr>
              <w:t>投标人不得存在的其他关联情形</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61139707">
            <w:pPr>
              <w:pStyle w:val="10"/>
              <w:topLinePunct/>
              <w:adjustRightInd w:val="0"/>
              <w:snapToGrid w:val="0"/>
              <w:spacing w:line="560" w:lineRule="exact"/>
              <w:rPr>
                <w:rFonts w:hint="eastAsia" w:hAnsi="宋体" w:cs="宋体"/>
                <w:color w:val="auto"/>
                <w:szCs w:val="24"/>
                <w:highlight w:val="none"/>
              </w:rPr>
            </w:pPr>
            <w:r>
              <w:rPr>
                <w:rFonts w:hint="eastAsia" w:hAnsi="宋体" w:cs="宋体"/>
                <w:color w:val="auto"/>
                <w:szCs w:val="24"/>
                <w:highlight w:val="none"/>
              </w:rPr>
              <w:t xml:space="preserve">详见招标公告 </w:t>
            </w:r>
          </w:p>
        </w:tc>
      </w:tr>
      <w:tr w14:paraId="4F5BCE73">
        <w:tblPrEx>
          <w:tblCellMar>
            <w:top w:w="0" w:type="dxa"/>
            <w:left w:w="108" w:type="dxa"/>
            <w:bottom w:w="0" w:type="dxa"/>
            <w:right w:w="108" w:type="dxa"/>
          </w:tblCellMar>
        </w:tblPrEx>
        <w:trPr>
          <w:trHeight w:val="683"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421F45A9">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1.9</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51EE1D5">
            <w:pPr>
              <w:adjustRightInd w:val="0"/>
              <w:snapToGrid w:val="0"/>
              <w:spacing w:line="560" w:lineRule="exact"/>
              <w:jc w:val="center"/>
              <w:rPr>
                <w:rFonts w:hint="eastAsia" w:ascii="宋体" w:hAnsi="宋体" w:cs="宋体"/>
                <w:color w:val="auto"/>
                <w:spacing w:val="-4"/>
                <w:kern w:val="0"/>
                <w:sz w:val="24"/>
                <w:highlight w:val="none"/>
              </w:rPr>
            </w:pPr>
            <w:r>
              <w:rPr>
                <w:rFonts w:hint="eastAsia" w:ascii="宋体" w:hAnsi="宋体" w:cs="宋体"/>
                <w:color w:val="auto"/>
                <w:spacing w:val="-4"/>
                <w:kern w:val="0"/>
                <w:sz w:val="24"/>
                <w:highlight w:val="none"/>
              </w:rPr>
              <w:t>踏勘现场</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10688243">
            <w:pPr>
              <w:pStyle w:val="10"/>
              <w:topLinePunct/>
              <w:adjustRightInd w:val="0"/>
              <w:snapToGrid w:val="0"/>
              <w:spacing w:line="560" w:lineRule="exact"/>
              <w:rPr>
                <w:rFonts w:hint="eastAsia" w:hAnsi="宋体" w:cs="宋体"/>
                <w:color w:val="auto"/>
                <w:szCs w:val="24"/>
                <w:highlight w:val="none"/>
              </w:rPr>
            </w:pPr>
            <w:r>
              <w:rPr>
                <w:rFonts w:hint="eastAsia" w:hAnsi="宋体" w:cs="宋体"/>
                <w:color w:val="auto"/>
                <w:spacing w:val="-4"/>
                <w:kern w:val="0"/>
                <w:szCs w:val="24"/>
                <w:highlight w:val="none"/>
              </w:rPr>
              <w:t>不组织，投标人自行组织踏勘</w:t>
            </w:r>
            <w:r>
              <w:rPr>
                <w:rFonts w:hint="eastAsia" w:hAnsi="宋体" w:cs="宋体"/>
                <w:color w:val="auto"/>
                <w:szCs w:val="24"/>
                <w:highlight w:val="none"/>
              </w:rPr>
              <w:t>。</w:t>
            </w:r>
          </w:p>
        </w:tc>
      </w:tr>
      <w:tr w14:paraId="4C47549E">
        <w:tblPrEx>
          <w:tblCellMar>
            <w:top w:w="0" w:type="dxa"/>
            <w:left w:w="108" w:type="dxa"/>
            <w:bottom w:w="0" w:type="dxa"/>
            <w:right w:w="108" w:type="dxa"/>
          </w:tblCellMar>
        </w:tblPrEx>
        <w:trPr>
          <w:trHeight w:val="661"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ED67A51">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1.10.1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0AF9DB8">
            <w:pPr>
              <w:adjustRightInd w:val="0"/>
              <w:snapToGrid w:val="0"/>
              <w:spacing w:line="560" w:lineRule="exact"/>
              <w:jc w:val="center"/>
              <w:rPr>
                <w:rFonts w:hint="eastAsia" w:ascii="宋体" w:hAnsi="宋体" w:cs="宋体"/>
                <w:color w:val="auto"/>
                <w:spacing w:val="-4"/>
                <w:kern w:val="0"/>
                <w:sz w:val="24"/>
                <w:highlight w:val="none"/>
              </w:rPr>
            </w:pPr>
            <w:r>
              <w:rPr>
                <w:rFonts w:hint="eastAsia" w:ascii="宋体" w:hAnsi="宋体" w:cs="宋体"/>
                <w:color w:val="auto"/>
                <w:spacing w:val="-4"/>
                <w:kern w:val="0"/>
                <w:sz w:val="24"/>
                <w:highlight w:val="none"/>
              </w:rPr>
              <w:t>投标预备会</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2A320ED2">
            <w:pPr>
              <w:pStyle w:val="10"/>
              <w:topLinePunct/>
              <w:adjustRightInd w:val="0"/>
              <w:snapToGrid w:val="0"/>
              <w:spacing w:line="560" w:lineRule="exact"/>
              <w:rPr>
                <w:rFonts w:hint="eastAsia" w:hAnsi="宋体" w:cs="宋体"/>
                <w:color w:val="auto"/>
                <w:szCs w:val="24"/>
                <w:highlight w:val="none"/>
              </w:rPr>
            </w:pPr>
            <w:r>
              <w:rPr>
                <w:rFonts w:hint="eastAsia" w:hAnsi="宋体" w:cs="宋体"/>
                <w:color w:val="auto"/>
                <w:szCs w:val="24"/>
                <w:highlight w:val="none"/>
                <w:u w:val="none"/>
              </w:rPr>
              <w:t>不召开</w:t>
            </w:r>
            <w:r>
              <w:rPr>
                <w:rFonts w:hint="eastAsia" w:hAnsi="宋体" w:cs="宋体"/>
                <w:color w:val="auto"/>
                <w:szCs w:val="24"/>
                <w:highlight w:val="none"/>
              </w:rPr>
              <w:t xml:space="preserve">  </w:t>
            </w:r>
          </w:p>
        </w:tc>
      </w:tr>
      <w:tr w14:paraId="7783CA71">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5D0C223E">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1.10.2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A4DBBF9">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投标人在投标预备会前提出问题</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3BA3B69B">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时间：</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    </w:t>
            </w:r>
          </w:p>
          <w:p w14:paraId="3E6089EA">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形式：</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    </w:t>
            </w:r>
          </w:p>
        </w:tc>
      </w:tr>
      <w:tr w14:paraId="6C300C30">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A82B346">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1.11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575DCC5">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分包</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11BF9C8">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u w:val="none"/>
              </w:rPr>
              <w:t>允许，</w:t>
            </w:r>
            <w:r>
              <w:rPr>
                <w:rFonts w:hint="eastAsia" w:ascii="宋体" w:hAnsi="宋体" w:cs="宋体"/>
                <w:color w:val="auto"/>
                <w:sz w:val="24"/>
                <w:highlight w:val="none"/>
              </w:rPr>
              <w:t xml:space="preserve">分包内容要求：主体结构、关键性工作的范围以外的专业工程                       </w:t>
            </w:r>
          </w:p>
          <w:p w14:paraId="3264CC92">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分包金额要求：</w:t>
            </w:r>
            <w:r>
              <w:rPr>
                <w:rFonts w:hint="eastAsia" w:ascii="宋体" w:hAnsi="宋体" w:eastAsia="宋体" w:cs="宋体"/>
                <w:color w:val="auto"/>
                <w:sz w:val="24"/>
                <w:highlight w:val="none"/>
              </w:rPr>
              <w:t>另行约定</w:t>
            </w:r>
            <w:r>
              <w:rPr>
                <w:rFonts w:hint="eastAsia" w:ascii="宋体" w:hAnsi="宋体" w:cs="宋体"/>
                <w:color w:val="auto"/>
                <w:sz w:val="24"/>
                <w:highlight w:val="none"/>
              </w:rPr>
              <w:t xml:space="preserve">               </w:t>
            </w:r>
          </w:p>
          <w:p w14:paraId="7FC76F21">
            <w:pPr>
              <w:adjustRightInd w:val="0"/>
              <w:snapToGrid w:val="0"/>
              <w:spacing w:line="560" w:lineRule="exact"/>
              <w:jc w:val="left"/>
              <w:rPr>
                <w:rFonts w:hint="eastAsia" w:ascii="宋体" w:hAnsi="宋体" w:cs="宋体"/>
                <w:color w:val="auto"/>
                <w:sz w:val="24"/>
                <w:highlight w:val="none"/>
                <w:lang w:eastAsia="zh-CN"/>
              </w:rPr>
            </w:pPr>
            <w:r>
              <w:rPr>
                <w:rFonts w:hint="eastAsia" w:ascii="宋体" w:hAnsi="宋体" w:cs="宋体"/>
                <w:color w:val="auto"/>
                <w:sz w:val="24"/>
                <w:highlight w:val="none"/>
              </w:rPr>
              <w:t>接受分包的第三人资质要求：</w:t>
            </w:r>
            <w:r>
              <w:rPr>
                <w:rFonts w:hint="eastAsia" w:ascii="宋体" w:hAnsi="宋体" w:eastAsia="宋体" w:cs="宋体"/>
                <w:color w:val="auto"/>
                <w:sz w:val="24"/>
                <w:highlight w:val="none"/>
              </w:rPr>
              <w:t>必须经招标人同意，且须满足分包工程的资质要求</w:t>
            </w:r>
            <w:r>
              <w:rPr>
                <w:rFonts w:hint="eastAsia" w:ascii="宋体" w:hAnsi="宋体" w:cs="宋体"/>
                <w:color w:val="auto"/>
                <w:sz w:val="24"/>
                <w:highlight w:val="none"/>
                <w:lang w:eastAsia="zh-CN"/>
              </w:rPr>
              <w:t>。</w:t>
            </w:r>
          </w:p>
          <w:p w14:paraId="3FA8D1B2">
            <w:pPr>
              <w:adjustRightInd w:val="0"/>
              <w:snapToGrid w:val="0"/>
              <w:spacing w:line="560" w:lineRule="exact"/>
              <w:jc w:val="left"/>
              <w:rPr>
                <w:rFonts w:hint="eastAsia" w:ascii="宋体" w:hAnsi="宋体" w:cs="宋体"/>
                <w:color w:val="auto"/>
                <w:kern w:val="0"/>
                <w:sz w:val="24"/>
                <w:highlight w:val="none"/>
              </w:rPr>
            </w:pPr>
            <w:r>
              <w:rPr>
                <w:rFonts w:hint="eastAsia" w:ascii="宋体" w:hAnsi="宋体" w:cs="宋体"/>
                <w:b/>
                <w:bCs/>
                <w:color w:val="auto"/>
                <w:sz w:val="24"/>
                <w:highlight w:val="none"/>
              </w:rPr>
              <w:t>注：允许分包的，其分包合同须报建设单位备案。</w:t>
            </w:r>
          </w:p>
        </w:tc>
      </w:tr>
      <w:tr w14:paraId="43A9E644">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34BBE19B">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2.1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31FD468">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构成招标文件的其他资料</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6E233AAA">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本项目</w:t>
            </w:r>
            <w:r>
              <w:rPr>
                <w:rFonts w:hint="eastAsia" w:ascii="宋体" w:hAnsi="宋体" w:cs="宋体"/>
                <w:color w:val="auto"/>
                <w:sz w:val="24"/>
                <w:highlight w:val="none"/>
              </w:rPr>
              <w:t>图纸、工程量清单、最高投标限价、澄清答疑文件（如有）</w:t>
            </w:r>
          </w:p>
        </w:tc>
      </w:tr>
      <w:tr w14:paraId="59F8EC42">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582F880F">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2.2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5D3A546">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投标人提出异议的截止时间及方式</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07B646C0">
            <w:pPr>
              <w:adjustRightInd w:val="0"/>
              <w:snapToGrid w:val="0"/>
              <w:spacing w:line="560" w:lineRule="exact"/>
              <w:jc w:val="left"/>
              <w:rPr>
                <w:rFonts w:hint="eastAsia" w:ascii="宋体" w:hAnsi="宋体" w:cs="宋体"/>
                <w:color w:val="auto"/>
                <w:sz w:val="24"/>
                <w:highlight w:val="none"/>
              </w:rPr>
            </w:pPr>
            <w:r>
              <w:rPr>
                <w:rFonts w:hint="eastAsia" w:ascii="宋体" w:hAnsi="宋体" w:cs="宋体"/>
                <w:color w:val="auto"/>
                <w:kern w:val="0"/>
                <w:sz w:val="24"/>
                <w:highlight w:val="none"/>
              </w:rPr>
              <w:t>如投标人对招标文件有异议，请于</w:t>
            </w:r>
            <w:r>
              <w:rPr>
                <w:rFonts w:hint="eastAsia" w:ascii="宋体" w:hAnsi="宋体" w:cs="宋体"/>
                <w:color w:val="auto"/>
                <w:kern w:val="0"/>
                <w:sz w:val="24"/>
                <w:highlight w:val="none"/>
                <w:lang w:val="en-US"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14</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时</w:t>
            </w:r>
            <w:r>
              <w:rPr>
                <w:rFonts w:hint="eastAsia" w:ascii="宋体" w:hAnsi="宋体" w:cs="宋体"/>
                <w:color w:val="auto"/>
                <w:kern w:val="0"/>
                <w:sz w:val="24"/>
                <w:highlight w:val="none"/>
                <w:lang w:val="en-US" w:eastAsia="zh-CN"/>
              </w:rPr>
              <w:t>30分</w:t>
            </w:r>
            <w:r>
              <w:rPr>
                <w:rFonts w:hint="eastAsia" w:ascii="宋体" w:hAnsi="宋体" w:cs="宋体"/>
                <w:color w:val="auto"/>
                <w:kern w:val="0"/>
                <w:sz w:val="24"/>
                <w:highlight w:val="none"/>
              </w:rPr>
              <w:t>（投标截止10日）前在滁州市公共资源交易中心网电子交易系统中进行异议，具体操作步骤和程序请参见服务指南&gt;交易须知&gt;在线异议、质疑和投诉操作手册。</w:t>
            </w:r>
          </w:p>
        </w:tc>
      </w:tr>
      <w:tr w14:paraId="47CE8CF9">
        <w:tblPrEx>
          <w:tblCellMar>
            <w:top w:w="0" w:type="dxa"/>
            <w:left w:w="108" w:type="dxa"/>
            <w:bottom w:w="0" w:type="dxa"/>
            <w:right w:w="108" w:type="dxa"/>
          </w:tblCellMar>
        </w:tblPrEx>
        <w:trPr>
          <w:trHeight w:val="1196"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3D8056AE">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2.3</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98CE3E9">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招标人澄清的时间及方式</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5657BE70">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2026</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17</w:t>
            </w:r>
            <w:r>
              <w:rPr>
                <w:rFonts w:hint="eastAsia" w:ascii="宋体" w:hAnsi="宋体" w:cs="宋体"/>
                <w:color w:val="auto"/>
                <w:sz w:val="24"/>
                <w:highlight w:val="none"/>
              </w:rPr>
              <w:t>日</w:t>
            </w:r>
            <w:r>
              <w:rPr>
                <w:rFonts w:hint="eastAsia" w:ascii="宋体" w:hAnsi="宋体" w:cs="宋体"/>
                <w:color w:val="auto"/>
                <w:sz w:val="24"/>
                <w:highlight w:val="none"/>
                <w:u w:val="single"/>
              </w:rPr>
              <w:t>17</w:t>
            </w:r>
            <w:r>
              <w:rPr>
                <w:rFonts w:hint="eastAsia" w:ascii="宋体" w:hAnsi="宋体" w:cs="宋体"/>
                <w:color w:val="auto"/>
                <w:sz w:val="24"/>
                <w:highlight w:val="none"/>
              </w:rPr>
              <w:t>时前</w:t>
            </w:r>
            <w:r>
              <w:rPr>
                <w:rFonts w:hint="eastAsia" w:ascii="宋体" w:hAnsi="宋体" w:cs="宋体"/>
                <w:color w:val="auto"/>
                <w:kern w:val="0"/>
                <w:sz w:val="24"/>
                <w:highlight w:val="none"/>
              </w:rPr>
              <w:t>在滁州市公共资源交易中心网站</w:t>
            </w:r>
            <w:r>
              <w:rPr>
                <w:rFonts w:hint="eastAsia" w:ascii="宋体" w:hAnsi="宋体" w:cs="宋体"/>
                <w:color w:val="auto"/>
                <w:sz w:val="24"/>
                <w:highlight w:val="none"/>
              </w:rPr>
              <w:t xml:space="preserve"> “答疑澄清文件”栏目予以公告</w:t>
            </w:r>
            <w:r>
              <w:rPr>
                <w:rFonts w:hint="eastAsia" w:ascii="宋体" w:hAnsi="宋体" w:cs="宋体"/>
                <w:color w:val="auto"/>
                <w:kern w:val="0"/>
                <w:sz w:val="24"/>
                <w:highlight w:val="none"/>
              </w:rPr>
              <w:t>。</w:t>
            </w:r>
          </w:p>
        </w:tc>
      </w:tr>
      <w:tr w14:paraId="7569A07A">
        <w:tblPrEx>
          <w:tblCellMar>
            <w:top w:w="0" w:type="dxa"/>
            <w:left w:w="108" w:type="dxa"/>
            <w:bottom w:w="0" w:type="dxa"/>
            <w:right w:w="108" w:type="dxa"/>
          </w:tblCellMar>
        </w:tblPrEx>
        <w:trPr>
          <w:trHeight w:val="681"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23C758B0">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3.2.1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F605458">
            <w:pPr>
              <w:adjustRightInd w:val="0"/>
              <w:snapToGrid w:val="0"/>
              <w:spacing w:line="560" w:lineRule="exact"/>
              <w:jc w:val="center"/>
              <w:rPr>
                <w:rFonts w:hint="eastAsia" w:ascii="宋体" w:hAnsi="宋体" w:cs="宋体"/>
                <w:color w:val="auto"/>
                <w:sz w:val="24"/>
                <w:highlight w:val="none"/>
              </w:rPr>
            </w:pPr>
            <w:r>
              <w:rPr>
                <w:rFonts w:hint="eastAsia"/>
                <w:color w:val="auto"/>
                <w:sz w:val="24"/>
                <w:highlight w:val="none"/>
              </w:rPr>
              <w:t>增值税税金</w:t>
            </w:r>
          </w:p>
        </w:tc>
        <w:tc>
          <w:tcPr>
            <w:tcW w:w="7175" w:type="dxa"/>
            <w:tcBorders>
              <w:top w:val="single" w:color="auto" w:sz="4" w:space="0"/>
              <w:left w:val="single" w:color="auto" w:sz="4" w:space="0"/>
              <w:bottom w:val="single" w:color="auto" w:sz="4" w:space="0"/>
              <w:right w:val="single" w:color="auto" w:sz="4" w:space="0"/>
            </w:tcBorders>
            <w:noWrap w:val="0"/>
            <w:vAlign w:val="top"/>
          </w:tcPr>
          <w:p w14:paraId="07A13DEB">
            <w:pPr>
              <w:adjustRightInd w:val="0"/>
              <w:snapToGrid w:val="0"/>
              <w:spacing w:line="560" w:lineRule="exact"/>
              <w:rPr>
                <w:rFonts w:hint="eastAsia"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（1）计税方法：一般计税方法</w:t>
            </w:r>
          </w:p>
          <w:p w14:paraId="7811638E">
            <w:pPr>
              <w:adjustRightInd w:val="0"/>
              <w:snapToGrid w:val="0"/>
              <w:spacing w:line="560" w:lineRule="exact"/>
              <w:rPr>
                <w:rFonts w:hint="eastAsia" w:ascii="宋体" w:hAnsi="宋体" w:cs="宋体"/>
                <w:bCs/>
                <w:snapToGrid w:val="0"/>
                <w:color w:val="auto"/>
                <w:kern w:val="0"/>
                <w:sz w:val="24"/>
                <w:highlight w:val="none"/>
                <w:u w:val="single"/>
              </w:rPr>
            </w:pPr>
            <w:r>
              <w:rPr>
                <w:rFonts w:hint="eastAsia" w:ascii="宋体" w:hAnsi="宋体" w:cs="宋体"/>
                <w:bCs/>
                <w:snapToGrid w:val="0"/>
                <w:color w:val="auto"/>
                <w:kern w:val="0"/>
                <w:sz w:val="24"/>
                <w:highlight w:val="none"/>
              </w:rPr>
              <w:t>（2）发票类型：增值税专用发票</w:t>
            </w:r>
          </w:p>
          <w:p w14:paraId="636D90EE">
            <w:pPr>
              <w:numPr>
                <w:ilvl w:val="0"/>
                <w:numId w:val="1"/>
              </w:numPr>
              <w:adjustRightInd w:val="0"/>
              <w:snapToGrid w:val="0"/>
              <w:spacing w:line="560" w:lineRule="exact"/>
              <w:rPr>
                <w:rFonts w:hint="eastAsia"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增值税税率按照国家有关规定执行。</w:t>
            </w:r>
          </w:p>
          <w:p w14:paraId="08D7A874">
            <w:pPr>
              <w:pStyle w:val="10"/>
              <w:topLinePunct/>
              <w:adjustRightInd w:val="0"/>
              <w:snapToGrid w:val="0"/>
              <w:spacing w:line="560" w:lineRule="exact"/>
              <w:ind w:firstLine="600" w:firstLineChars="250"/>
              <w:rPr>
                <w:rFonts w:hint="eastAsia" w:hAnsi="宋体" w:cs="宋体"/>
                <w:color w:val="auto"/>
                <w:kern w:val="0"/>
                <w:szCs w:val="24"/>
                <w:highlight w:val="none"/>
              </w:rPr>
            </w:pPr>
            <w:r>
              <w:rPr>
                <w:rFonts w:hint="eastAsia" w:hAnsi="宋体" w:cs="宋体"/>
                <w:bCs/>
                <w:snapToGrid w:val="0"/>
                <w:color w:val="auto"/>
                <w:kern w:val="0"/>
                <w:szCs w:val="24"/>
                <w:highlight w:val="none"/>
              </w:rPr>
              <w:t>其它：</w:t>
            </w:r>
            <w:r>
              <w:rPr>
                <w:rFonts w:hint="eastAsia" w:hAnsi="宋体" w:cs="宋体"/>
                <w:bCs/>
                <w:snapToGrid w:val="0"/>
                <w:color w:val="auto"/>
                <w:kern w:val="0"/>
                <w:szCs w:val="24"/>
                <w:highlight w:val="none"/>
                <w:u w:val="single"/>
              </w:rPr>
              <w:t xml:space="preserve">   </w:t>
            </w:r>
            <w:r>
              <w:rPr>
                <w:rFonts w:hint="eastAsia" w:hAnsi="宋体" w:cs="宋体"/>
                <w:bCs/>
                <w:snapToGrid w:val="0"/>
                <w:color w:val="auto"/>
                <w:kern w:val="0"/>
                <w:szCs w:val="24"/>
                <w:highlight w:val="none"/>
                <w:u w:val="single"/>
                <w:lang w:val="en-US" w:eastAsia="zh-CN"/>
              </w:rPr>
              <w:t>/</w:t>
            </w:r>
            <w:r>
              <w:rPr>
                <w:rFonts w:hint="eastAsia" w:hAnsi="宋体" w:cs="宋体"/>
                <w:bCs/>
                <w:snapToGrid w:val="0"/>
                <w:color w:val="auto"/>
                <w:kern w:val="0"/>
                <w:szCs w:val="24"/>
                <w:highlight w:val="none"/>
                <w:u w:val="single"/>
              </w:rPr>
              <w:t xml:space="preserve">       </w:t>
            </w:r>
            <w:r>
              <w:rPr>
                <w:rFonts w:hint="eastAsia" w:hAnsi="宋体" w:cs="宋体"/>
                <w:bCs/>
                <w:snapToGrid w:val="0"/>
                <w:color w:val="auto"/>
                <w:kern w:val="0"/>
                <w:szCs w:val="24"/>
                <w:highlight w:val="none"/>
              </w:rPr>
              <w:t xml:space="preserve"> 。</w:t>
            </w:r>
          </w:p>
        </w:tc>
      </w:tr>
      <w:tr w14:paraId="4D5B0CDB">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1E63C5A8">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3.2.4</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5FB8F59">
            <w:pPr>
              <w:adjustRightInd w:val="0"/>
              <w:snapToGrid w:val="0"/>
              <w:spacing w:line="560" w:lineRule="exact"/>
              <w:jc w:val="center"/>
              <w:rPr>
                <w:rFonts w:hint="eastAsia" w:ascii="宋体" w:hAnsi="宋体" w:eastAsia="宋体" w:cs="宋体"/>
                <w:color w:val="auto"/>
                <w:sz w:val="24"/>
                <w:highlight w:val="none"/>
                <w:lang w:eastAsia="zh-CN"/>
              </w:rPr>
            </w:pPr>
            <w:r>
              <w:rPr>
                <w:rFonts w:hint="eastAsia" w:ascii="宋体" w:hAnsi="宋体" w:cs="宋体"/>
                <w:b/>
                <w:bCs/>
                <w:color w:val="auto"/>
                <w:sz w:val="24"/>
                <w:highlight w:val="none"/>
              </w:rPr>
              <w:t>最高投标限价</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7BCD648C">
            <w:pPr>
              <w:adjustRightInd w:val="0"/>
              <w:snapToGrid w:val="0"/>
              <w:spacing w:line="560" w:lineRule="exact"/>
              <w:rPr>
                <w:rFonts w:hint="eastAsia" w:ascii="宋体" w:hAnsi="宋体" w:cs="宋体"/>
                <w:b/>
                <w:color w:val="auto"/>
                <w:sz w:val="24"/>
                <w:highlight w:val="none"/>
                <w:u w:val="single"/>
              </w:rPr>
            </w:pPr>
            <w:r>
              <w:rPr>
                <w:rFonts w:hint="eastAsia" w:ascii="宋体" w:hAnsi="宋体" w:cs="宋体"/>
                <w:bCs/>
                <w:color w:val="auto"/>
                <w:sz w:val="24"/>
                <w:highlight w:val="none"/>
                <w:u w:val="none"/>
              </w:rPr>
              <w:t>有</w:t>
            </w:r>
            <w:r>
              <w:rPr>
                <w:rFonts w:hint="eastAsia" w:ascii="宋体" w:hAnsi="宋体" w:cs="宋体"/>
                <w:bCs/>
                <w:color w:val="auto"/>
                <w:sz w:val="24"/>
                <w:highlight w:val="none"/>
              </w:rPr>
              <w:t>，</w:t>
            </w:r>
            <w:r>
              <w:rPr>
                <w:rFonts w:hint="eastAsia" w:ascii="宋体" w:hAnsi="宋体" w:cs="宋体"/>
                <w:color w:val="auto"/>
                <w:sz w:val="24"/>
                <w:highlight w:val="none"/>
              </w:rPr>
              <w:t>公布的最高投标限价：</w:t>
            </w:r>
            <w:r>
              <w:rPr>
                <w:rFonts w:hint="eastAsia" w:ascii="宋体" w:hAnsi="宋体" w:cs="宋体"/>
                <w:color w:val="auto"/>
                <w:sz w:val="24"/>
                <w:highlight w:val="none"/>
                <w:u w:val="single"/>
                <w:lang w:val="en-US" w:eastAsia="zh-CN"/>
              </w:rPr>
              <w:t>205225062.66</w:t>
            </w:r>
            <w:r>
              <w:rPr>
                <w:rFonts w:hint="eastAsia" w:ascii="宋体" w:hAnsi="宋体" w:cs="宋体"/>
                <w:color w:val="auto"/>
                <w:sz w:val="24"/>
                <w:highlight w:val="none"/>
                <w:u w:val="single"/>
              </w:rPr>
              <w:t>元（其中含暂列金额</w:t>
            </w:r>
            <w:r>
              <w:rPr>
                <w:rFonts w:hint="eastAsia" w:ascii="宋体" w:hAnsi="宋体" w:cs="宋体"/>
                <w:color w:val="auto"/>
                <w:sz w:val="24"/>
                <w:highlight w:val="none"/>
                <w:u w:val="single"/>
                <w:lang w:val="en-US" w:eastAsia="zh-CN"/>
              </w:rPr>
              <w:t>16400000</w:t>
            </w:r>
            <w:r>
              <w:rPr>
                <w:rFonts w:hint="eastAsia" w:ascii="宋体" w:hAnsi="宋体" w:cs="宋体"/>
                <w:color w:val="auto"/>
                <w:sz w:val="24"/>
                <w:highlight w:val="none"/>
                <w:u w:val="single"/>
              </w:rPr>
              <w:t>元）</w:t>
            </w:r>
            <w:r>
              <w:rPr>
                <w:rFonts w:hint="eastAsia" w:ascii="宋体" w:hAnsi="宋体" w:cs="宋体"/>
                <w:color w:val="auto"/>
                <w:sz w:val="24"/>
                <w:highlight w:val="none"/>
              </w:rPr>
              <w:t>。应当</w:t>
            </w:r>
            <w:r>
              <w:rPr>
                <w:rFonts w:hint="eastAsia" w:ascii="宋体" w:hAnsi="宋体" w:cs="宋体"/>
                <w:b/>
                <w:bCs/>
                <w:color w:val="auto"/>
                <w:sz w:val="24"/>
                <w:highlight w:val="none"/>
                <w:u w:val="single"/>
              </w:rPr>
              <w:t>包括总价、各单位工程的分部分项工程费、措施项目费、其他项目费、不可竞争性费用和税金。</w:t>
            </w:r>
          </w:p>
          <w:p w14:paraId="140E5429">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发布时间：</w:t>
            </w:r>
            <w:r>
              <w:rPr>
                <w:rFonts w:hint="eastAsia" w:ascii="宋体" w:hAnsi="宋体" w:cs="宋体"/>
                <w:color w:val="auto"/>
                <w:sz w:val="24"/>
                <w:highlight w:val="none"/>
                <w:u w:val="single"/>
                <w:lang w:val="en-US" w:eastAsia="zh-CN"/>
              </w:rPr>
              <w:t>2026</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31</w:t>
            </w:r>
            <w:r>
              <w:rPr>
                <w:rFonts w:hint="eastAsia" w:ascii="宋体" w:hAnsi="宋体" w:cs="宋体"/>
                <w:color w:val="auto"/>
                <w:sz w:val="24"/>
                <w:highlight w:val="none"/>
              </w:rPr>
              <w:t>日</w:t>
            </w:r>
            <w:r>
              <w:rPr>
                <w:rFonts w:hint="eastAsia" w:ascii="宋体" w:hAnsi="宋体" w:cs="宋体"/>
                <w:color w:val="auto"/>
                <w:sz w:val="24"/>
                <w:highlight w:val="none"/>
                <w:u w:val="single"/>
                <w:lang w:val="en-US" w:eastAsia="zh-CN"/>
              </w:rPr>
              <w:t>17</w:t>
            </w:r>
            <w:r>
              <w:rPr>
                <w:rFonts w:hint="eastAsia" w:ascii="宋体" w:hAnsi="宋体" w:cs="宋体"/>
                <w:color w:val="auto"/>
                <w:sz w:val="24"/>
                <w:highlight w:val="none"/>
              </w:rPr>
              <w:t>时前。</w:t>
            </w:r>
          </w:p>
          <w:p w14:paraId="02643338">
            <w:pPr>
              <w:adjustRightInd w:val="0"/>
              <w:snapToGrid w:val="0"/>
              <w:spacing w:line="560" w:lineRule="exact"/>
              <w:rPr>
                <w:rFonts w:hint="eastAsia" w:ascii="宋体" w:hAnsi="宋体" w:cs="宋体"/>
                <w:b/>
                <w:color w:val="auto"/>
                <w:sz w:val="24"/>
                <w:highlight w:val="none"/>
              </w:rPr>
            </w:pPr>
            <w:r>
              <w:rPr>
                <w:rFonts w:hint="eastAsia" w:ascii="宋体" w:hAnsi="宋体" w:cs="宋体"/>
                <w:b/>
                <w:bCs/>
                <w:color w:val="auto"/>
                <w:sz w:val="24"/>
                <w:highlight w:val="none"/>
              </w:rPr>
              <w:t>发布媒介：</w:t>
            </w:r>
            <w:r>
              <w:rPr>
                <w:rFonts w:hint="eastAsia" w:ascii="宋体" w:hAnsi="宋体" w:cs="宋体"/>
                <w:b/>
                <w:bCs/>
                <w:color w:val="auto"/>
                <w:kern w:val="0"/>
                <w:sz w:val="24"/>
                <w:highlight w:val="none"/>
              </w:rPr>
              <w:t>滁州市公共资源交易中心网站。</w:t>
            </w:r>
          </w:p>
        </w:tc>
      </w:tr>
      <w:tr w14:paraId="261DAFA4">
        <w:tblPrEx>
          <w:tblCellMar>
            <w:top w:w="0" w:type="dxa"/>
            <w:left w:w="108" w:type="dxa"/>
            <w:bottom w:w="0" w:type="dxa"/>
            <w:right w:w="108" w:type="dxa"/>
          </w:tblCellMar>
        </w:tblPrEx>
        <w:trPr>
          <w:trHeight w:val="681"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414A2F65">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3.2.5</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25910DB">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投标报价的</w:t>
            </w:r>
          </w:p>
          <w:p w14:paraId="66B1F108">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其他要求</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72BFAB3D">
            <w:pPr>
              <w:pStyle w:val="10"/>
              <w:topLinePunct/>
              <w:adjustRightInd w:val="0"/>
              <w:snapToGrid w:val="0"/>
              <w:spacing w:line="560" w:lineRule="exact"/>
              <w:rPr>
                <w:rFonts w:hint="default" w:hAnsi="宋体" w:cs="宋体"/>
                <w:color w:val="auto"/>
                <w:kern w:val="0"/>
                <w:szCs w:val="24"/>
                <w:highlight w:val="none"/>
                <w:lang w:val="en-US"/>
              </w:rPr>
            </w:pPr>
            <w:r>
              <w:rPr>
                <w:rFonts w:hint="eastAsia" w:hAnsi="宋体" w:cs="宋体"/>
                <w:color w:val="auto"/>
                <w:kern w:val="0"/>
                <w:szCs w:val="24"/>
                <w:highlight w:val="none"/>
                <w:lang w:val="en-US" w:eastAsia="zh-CN"/>
              </w:rPr>
              <w:t xml:space="preserve"> 无</w:t>
            </w:r>
          </w:p>
        </w:tc>
      </w:tr>
      <w:tr w14:paraId="04603BFF">
        <w:tblPrEx>
          <w:tblCellMar>
            <w:top w:w="0" w:type="dxa"/>
            <w:left w:w="108" w:type="dxa"/>
            <w:bottom w:w="0" w:type="dxa"/>
            <w:right w:w="108" w:type="dxa"/>
          </w:tblCellMar>
        </w:tblPrEx>
        <w:trPr>
          <w:trHeight w:val="681"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6CC4278">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3.3.1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E956E94">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投标有效期</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7A23DB43">
            <w:pPr>
              <w:pStyle w:val="10"/>
              <w:topLinePunct/>
              <w:adjustRightInd w:val="0"/>
              <w:snapToGrid w:val="0"/>
              <w:spacing w:line="560" w:lineRule="exact"/>
              <w:rPr>
                <w:rFonts w:hint="eastAsia" w:hAnsi="宋体" w:cs="宋体"/>
                <w:color w:val="auto"/>
                <w:kern w:val="0"/>
                <w:szCs w:val="24"/>
                <w:highlight w:val="none"/>
              </w:rPr>
            </w:pPr>
            <w:r>
              <w:rPr>
                <w:rFonts w:hint="eastAsia" w:hAnsi="宋体" w:cs="宋体"/>
                <w:color w:val="auto"/>
                <w:kern w:val="0"/>
                <w:szCs w:val="24"/>
                <w:highlight w:val="none"/>
              </w:rPr>
              <w:t>自投标人递交投标文件截止之日起计算</w:t>
            </w:r>
            <w:r>
              <w:rPr>
                <w:rFonts w:hint="eastAsia" w:hAnsi="宋体" w:cs="宋体"/>
                <w:color w:val="auto"/>
                <w:kern w:val="0"/>
                <w:szCs w:val="24"/>
                <w:highlight w:val="none"/>
                <w:lang w:val="en-US" w:eastAsia="zh-CN"/>
              </w:rPr>
              <w:t>120</w:t>
            </w:r>
            <w:r>
              <w:rPr>
                <w:rFonts w:hint="eastAsia" w:hAnsi="宋体" w:cs="宋体"/>
                <w:color w:val="auto"/>
                <w:kern w:val="0"/>
                <w:szCs w:val="24"/>
                <w:highlight w:val="none"/>
              </w:rPr>
              <w:t>日历天。在此期限内，凡符合本招标文件要求的投标文件均保持有效。</w:t>
            </w:r>
          </w:p>
        </w:tc>
      </w:tr>
      <w:tr w14:paraId="64A71CF1">
        <w:tblPrEx>
          <w:tblCellMar>
            <w:top w:w="0" w:type="dxa"/>
            <w:left w:w="108" w:type="dxa"/>
            <w:bottom w:w="0" w:type="dxa"/>
            <w:right w:w="108" w:type="dxa"/>
          </w:tblCellMar>
        </w:tblPrEx>
        <w:trPr>
          <w:trHeight w:val="647"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2F0F219">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3.4.1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BC6ED31">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投标保证金</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BA55023">
            <w:pPr>
              <w:adjustRightInd w:val="0"/>
              <w:snapToGrid w:val="0"/>
              <w:spacing w:line="560" w:lineRule="exact"/>
              <w:jc w:val="left"/>
              <w:rPr>
                <w:rFonts w:hint="eastAsia" w:ascii="宋体" w:hAnsi="宋体" w:cs="宋体"/>
                <w:color w:val="auto"/>
                <w:sz w:val="24"/>
                <w:highlight w:val="none"/>
              </w:rPr>
            </w:pPr>
            <w:r>
              <w:rPr>
                <w:rFonts w:hint="eastAsia" w:ascii="宋体" w:hAnsi="宋体" w:cs="宋体"/>
                <w:color w:val="auto"/>
                <w:sz w:val="24"/>
                <w:highlight w:val="none"/>
              </w:rPr>
              <w:t>详见招标公告。</w:t>
            </w:r>
          </w:p>
        </w:tc>
      </w:tr>
      <w:tr w14:paraId="7DC15AFA">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76B26F4">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3.5.1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D4E4390">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snapToGrid w:val="0"/>
                <w:color w:val="auto"/>
                <w:kern w:val="0"/>
                <w:sz w:val="24"/>
                <w:highlight w:val="none"/>
                <w:shd w:val="clear" w:color="auto" w:fill="FFFFFF"/>
              </w:rPr>
              <w:t>施工组织设计编制的特殊要求</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340C2B2F">
            <w:pPr>
              <w:adjustRightInd w:val="0"/>
              <w:snapToGrid w:val="0"/>
              <w:spacing w:line="560" w:lineRule="exact"/>
              <w:rPr>
                <w:rFonts w:hint="default" w:ascii="宋体" w:hAnsi="宋体" w:eastAsia="宋体" w:cs="宋体"/>
                <w:snapToGrid w:val="0"/>
                <w:color w:val="auto"/>
                <w:kern w:val="0"/>
                <w:sz w:val="24"/>
                <w:highlight w:val="none"/>
                <w:u w:val="single"/>
                <w:shd w:val="clear" w:color="auto" w:fill="FFFFFF"/>
                <w:lang w:val="en-US" w:eastAsia="zh-CN"/>
              </w:rPr>
            </w:pPr>
            <w:r>
              <w:rPr>
                <w:rFonts w:hint="eastAsia" w:ascii="宋体" w:hAnsi="宋体" w:cs="宋体"/>
                <w:b/>
                <w:snapToGrid w:val="0"/>
                <w:color w:val="auto"/>
                <w:kern w:val="0"/>
                <w:sz w:val="24"/>
                <w:highlight w:val="none"/>
                <w:shd w:val="clear" w:color="auto" w:fill="FFFFFF"/>
              </w:rPr>
              <w:t>（1）本招标项目重点难点：</w:t>
            </w:r>
            <w:r>
              <w:rPr>
                <w:rFonts w:hint="eastAsia" w:ascii="宋体" w:hAnsi="宋体" w:cs="宋体"/>
                <w:b w:val="0"/>
                <w:bCs/>
                <w:snapToGrid w:val="0"/>
                <w:color w:val="auto"/>
                <w:kern w:val="0"/>
                <w:sz w:val="24"/>
                <w:highlight w:val="none"/>
                <w:u w:val="single"/>
                <w:shd w:val="clear" w:color="auto" w:fill="FFFFFF"/>
                <w:lang w:val="en-US" w:eastAsia="zh-CN"/>
              </w:rPr>
              <w:t>地下室加固；地下水处理；多层框架结构，采用现浇砼柱，预制预应力砼叠合梁、预制钢管桁架预应力砼叠合板，屋面采用轻钢结构体系。</w:t>
            </w:r>
          </w:p>
          <w:p w14:paraId="3620CBCE">
            <w:pPr>
              <w:adjustRightInd w:val="0"/>
              <w:snapToGrid w:val="0"/>
              <w:spacing w:line="560" w:lineRule="exact"/>
              <w:rPr>
                <w:rFonts w:hint="eastAsia" w:ascii="宋体" w:hAnsi="宋体" w:cs="宋体"/>
                <w:snapToGrid w:val="0"/>
                <w:color w:val="auto"/>
                <w:kern w:val="0"/>
                <w:sz w:val="24"/>
                <w:highlight w:val="none"/>
                <w:shd w:val="clear" w:color="auto" w:fill="FFFFFF"/>
              </w:rPr>
            </w:pPr>
            <w:r>
              <w:rPr>
                <w:rFonts w:hint="eastAsia" w:ascii="宋体" w:hAnsi="宋体" w:cs="宋体"/>
                <w:snapToGrid w:val="0"/>
                <w:color w:val="auto"/>
                <w:kern w:val="0"/>
                <w:sz w:val="24"/>
                <w:highlight w:val="none"/>
                <w:shd w:val="clear" w:color="auto" w:fill="FFFFFF"/>
              </w:rPr>
              <w:t>（注：本项内容与施工组织设计重难点评审相对应，投标人必须在施工组织设计中全面重点阐述）</w:t>
            </w:r>
          </w:p>
          <w:p w14:paraId="68A0126B">
            <w:pPr>
              <w:adjustRightInd w:val="0"/>
              <w:snapToGrid w:val="0"/>
              <w:spacing w:line="560" w:lineRule="exact"/>
              <w:rPr>
                <w:rFonts w:hint="default" w:ascii="宋体" w:hAnsi="宋体" w:cs="宋体"/>
                <w:snapToGrid w:val="0"/>
                <w:color w:val="auto"/>
                <w:kern w:val="0"/>
                <w:sz w:val="24"/>
                <w:highlight w:val="none"/>
                <w:shd w:val="clear" w:color="auto" w:fill="FFFFFF"/>
                <w:lang w:val="en-US"/>
              </w:rPr>
            </w:pPr>
            <w:r>
              <w:rPr>
                <w:rFonts w:hint="eastAsia" w:ascii="宋体" w:hAnsi="宋体" w:cs="宋体"/>
                <w:b/>
                <w:snapToGrid w:val="0"/>
                <w:color w:val="auto"/>
                <w:kern w:val="0"/>
                <w:sz w:val="24"/>
                <w:highlight w:val="none"/>
                <w:shd w:val="clear" w:color="auto" w:fill="FFFFFF"/>
              </w:rPr>
              <w:t>（2）本招标项目危险性较大的分部分项工程清单：</w:t>
            </w:r>
            <w:r>
              <w:rPr>
                <w:rFonts w:hint="eastAsia" w:ascii="宋体" w:hAnsi="宋体" w:cs="宋体"/>
                <w:b w:val="0"/>
                <w:bCs/>
                <w:snapToGrid w:val="0"/>
                <w:color w:val="auto"/>
                <w:kern w:val="0"/>
                <w:sz w:val="24"/>
                <w:highlight w:val="none"/>
                <w:u w:val="single"/>
                <w:shd w:val="clear" w:color="auto" w:fill="FFFFFF"/>
                <w:lang w:val="en-US" w:eastAsia="zh-CN"/>
              </w:rPr>
              <w:t>深基坑。施工单位在投标时补充完善危大工程清单并明确相应的安全管理措施。</w:t>
            </w:r>
          </w:p>
        </w:tc>
      </w:tr>
      <w:tr w14:paraId="239B1BA8">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0F54AF62">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3.5.8</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A7DA2FE">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投标文件份数</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153675AC">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加密电子投标文件应在投标截止时间前通过交易中心电子交易系统上传。</w:t>
            </w:r>
            <w:r>
              <w:rPr>
                <w:rFonts w:hint="eastAsia" w:ascii="宋体" w:hAnsi="宋体" w:cs="宋体"/>
                <w:b/>
                <w:color w:val="auto"/>
                <w:kern w:val="0"/>
                <w:sz w:val="24"/>
                <w:highlight w:val="none"/>
              </w:rPr>
              <w:t>（投标人中标后须递交与网上电子投标文件完全一致的纸质版投标文件，并按要求加盖单位章；份数：正本</w:t>
            </w:r>
            <w:r>
              <w:rPr>
                <w:rFonts w:hint="eastAsia" w:ascii="宋体" w:hAnsi="宋体" w:cs="宋体"/>
                <w:b/>
                <w:color w:val="auto"/>
                <w:kern w:val="0"/>
                <w:sz w:val="24"/>
                <w:highlight w:val="none"/>
                <w:u w:val="single"/>
              </w:rPr>
              <w:t xml:space="preserve"> </w:t>
            </w:r>
            <w:r>
              <w:rPr>
                <w:rFonts w:hint="eastAsia" w:ascii="宋体" w:hAnsi="宋体" w:cs="宋体"/>
                <w:b/>
                <w:color w:val="auto"/>
                <w:kern w:val="0"/>
                <w:sz w:val="24"/>
                <w:highlight w:val="none"/>
                <w:u w:val="single"/>
                <w:lang w:val="en-US" w:eastAsia="zh-CN"/>
              </w:rPr>
              <w:t>一</w:t>
            </w:r>
            <w:r>
              <w:rPr>
                <w:rFonts w:hint="eastAsia" w:ascii="宋体" w:hAnsi="宋体" w:cs="宋体"/>
                <w:b/>
                <w:color w:val="auto"/>
                <w:kern w:val="0"/>
                <w:sz w:val="24"/>
                <w:highlight w:val="none"/>
                <w:u w:val="single"/>
              </w:rPr>
              <w:t xml:space="preserve"> </w:t>
            </w:r>
            <w:r>
              <w:rPr>
                <w:rFonts w:hint="eastAsia" w:ascii="宋体" w:hAnsi="宋体" w:cs="宋体"/>
                <w:b/>
                <w:color w:val="auto"/>
                <w:kern w:val="0"/>
                <w:sz w:val="24"/>
                <w:highlight w:val="none"/>
              </w:rPr>
              <w:t>份，副本</w:t>
            </w:r>
            <w:r>
              <w:rPr>
                <w:rFonts w:hint="eastAsia" w:ascii="宋体" w:hAnsi="宋体" w:cs="宋体"/>
                <w:b/>
                <w:color w:val="auto"/>
                <w:kern w:val="0"/>
                <w:sz w:val="24"/>
                <w:highlight w:val="none"/>
                <w:u w:val="single"/>
              </w:rPr>
              <w:t xml:space="preserve"> </w:t>
            </w:r>
            <w:r>
              <w:rPr>
                <w:rFonts w:hint="eastAsia" w:ascii="宋体" w:hAnsi="宋体" w:cs="宋体"/>
                <w:b/>
                <w:color w:val="auto"/>
                <w:kern w:val="0"/>
                <w:sz w:val="24"/>
                <w:highlight w:val="none"/>
                <w:u w:val="single"/>
                <w:lang w:val="en-US" w:eastAsia="zh-CN"/>
              </w:rPr>
              <w:t>一</w:t>
            </w:r>
            <w:r>
              <w:rPr>
                <w:rFonts w:hint="eastAsia" w:ascii="宋体" w:hAnsi="宋体" w:cs="宋体"/>
                <w:b/>
                <w:color w:val="auto"/>
                <w:kern w:val="0"/>
                <w:sz w:val="24"/>
                <w:highlight w:val="none"/>
                <w:u w:val="single"/>
              </w:rPr>
              <w:t xml:space="preserve"> </w:t>
            </w:r>
            <w:r>
              <w:rPr>
                <w:rFonts w:hint="eastAsia" w:ascii="宋体" w:hAnsi="宋体" w:cs="宋体"/>
                <w:b/>
                <w:color w:val="auto"/>
                <w:kern w:val="0"/>
                <w:sz w:val="24"/>
                <w:highlight w:val="none"/>
              </w:rPr>
              <w:t>份；中标人领取中标通知书时，一并递交给招标代理机构）。</w:t>
            </w:r>
          </w:p>
        </w:tc>
      </w:tr>
      <w:tr w14:paraId="0AFC5707">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29BE9AC4">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3.6.1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3BC4F65">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是否允许递交备选投标方案</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2812EF3A">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u w:val="none"/>
              </w:rPr>
              <w:t>不允许。</w:t>
            </w:r>
          </w:p>
        </w:tc>
      </w:tr>
      <w:tr w14:paraId="7831B0F3">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0B22A5D2">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4.3.2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C210F33">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是否退还投标文件</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342CBC18">
            <w:pPr>
              <w:adjustRightInd w:val="0"/>
              <w:snapToGrid w:val="0"/>
              <w:spacing w:line="560" w:lineRule="exact"/>
              <w:rPr>
                <w:rFonts w:hint="eastAsia" w:ascii="宋体" w:hAnsi="宋体" w:cs="宋体"/>
                <w:color w:val="auto"/>
                <w:sz w:val="24"/>
                <w:highlight w:val="none"/>
                <w:u w:val="single"/>
              </w:rPr>
            </w:pPr>
            <w:r>
              <w:rPr>
                <w:rFonts w:hint="eastAsia" w:ascii="宋体" w:hAnsi="宋体" w:cs="宋体"/>
                <w:color w:val="auto"/>
                <w:sz w:val="24"/>
                <w:highlight w:val="none"/>
                <w:u w:val="single"/>
              </w:rPr>
              <w:t>否</w:t>
            </w:r>
          </w:p>
        </w:tc>
      </w:tr>
      <w:tr w14:paraId="5ED70CA2">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03845754">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5.1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664D41C">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开标时间和地点</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158BF286">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开标时间：同投标截止时间</w:t>
            </w:r>
          </w:p>
          <w:p w14:paraId="695FF96A">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开标地点：见招标公告</w:t>
            </w:r>
          </w:p>
        </w:tc>
      </w:tr>
      <w:tr w14:paraId="20649DFF">
        <w:tblPrEx>
          <w:tblCellMar>
            <w:top w:w="0" w:type="dxa"/>
            <w:left w:w="108" w:type="dxa"/>
            <w:bottom w:w="0" w:type="dxa"/>
            <w:right w:w="108" w:type="dxa"/>
          </w:tblCellMar>
        </w:tblPrEx>
        <w:trPr>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F2E75B3">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5.2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2B72BA5">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开标程序</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0C32449D">
            <w:pPr>
              <w:adjustRightInd w:val="0"/>
              <w:snapToGrid w:val="0"/>
              <w:spacing w:line="560" w:lineRule="exact"/>
              <w:rPr>
                <w:rFonts w:hint="eastAsia" w:ascii="宋体" w:hAnsi="宋体" w:cs="宋体"/>
                <w:b/>
                <w:bCs/>
                <w:snapToGrid w:val="0"/>
                <w:color w:val="auto"/>
                <w:kern w:val="0"/>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解密时间：解密程序开始后</w:t>
            </w:r>
            <w:r>
              <w:rPr>
                <w:rFonts w:hint="eastAsia" w:ascii="宋体" w:hAnsi="宋体" w:cs="宋体"/>
                <w:color w:val="auto"/>
                <w:sz w:val="24"/>
                <w:highlight w:val="none"/>
                <w:u w:val="single"/>
              </w:rPr>
              <w:t>60</w:t>
            </w:r>
            <w:r>
              <w:rPr>
                <w:rFonts w:hint="eastAsia" w:ascii="宋体" w:hAnsi="宋体" w:cs="宋体"/>
                <w:color w:val="auto"/>
                <w:sz w:val="24"/>
                <w:highlight w:val="none"/>
              </w:rPr>
              <w:t>分钟内</w:t>
            </w:r>
            <w:r>
              <w:rPr>
                <w:rFonts w:hint="eastAsia" w:ascii="宋体" w:hAnsi="宋体" w:cs="宋体"/>
                <w:bCs/>
                <w:snapToGrid w:val="0"/>
                <w:color w:val="auto"/>
                <w:kern w:val="0"/>
                <w:sz w:val="24"/>
                <w:highlight w:val="none"/>
              </w:rPr>
              <w:t>（以电子交易系统解密倒计时为准），</w:t>
            </w:r>
            <w:r>
              <w:rPr>
                <w:rFonts w:hint="eastAsia" w:ascii="宋体" w:hAnsi="宋体" w:cs="宋体"/>
                <w:color w:val="auto"/>
                <w:sz w:val="24"/>
                <w:highlight w:val="none"/>
              </w:rPr>
              <w:t>解密时间为</w:t>
            </w:r>
            <w:r>
              <w:rPr>
                <w:rFonts w:hint="eastAsia" w:ascii="宋体" w:hAnsi="宋体" w:cs="宋体"/>
                <w:b/>
                <w:bCs/>
                <w:color w:val="auto"/>
                <w:sz w:val="24"/>
                <w:highlight w:val="none"/>
                <w:u w:val="single"/>
                <w:lang w:val="en-US" w:eastAsia="zh-CN"/>
              </w:rPr>
              <w:t>2026</w:t>
            </w:r>
            <w:r>
              <w:rPr>
                <w:rFonts w:hint="eastAsia" w:ascii="宋体" w:hAnsi="宋体" w:cs="宋体"/>
                <w:b/>
                <w:bCs/>
                <w:color w:val="auto"/>
                <w:sz w:val="24"/>
                <w:highlight w:val="none"/>
              </w:rPr>
              <w:t>年</w:t>
            </w:r>
            <w:r>
              <w:rPr>
                <w:rFonts w:hint="eastAsia" w:ascii="宋体" w:hAnsi="宋体" w:cs="宋体"/>
                <w:b/>
                <w:bCs/>
                <w:color w:val="auto"/>
                <w:sz w:val="24"/>
                <w:highlight w:val="none"/>
                <w:u w:val="single"/>
                <w:lang w:val="en-US" w:eastAsia="zh-CN"/>
              </w:rPr>
              <w:t>8</w:t>
            </w:r>
            <w:r>
              <w:rPr>
                <w:rFonts w:hint="eastAsia" w:ascii="宋体" w:hAnsi="宋体" w:cs="宋体"/>
                <w:b/>
                <w:bCs/>
                <w:color w:val="auto"/>
                <w:sz w:val="24"/>
                <w:highlight w:val="none"/>
              </w:rPr>
              <w:t>月</w:t>
            </w:r>
            <w:r>
              <w:rPr>
                <w:rFonts w:hint="eastAsia" w:ascii="宋体" w:hAnsi="宋体" w:cs="宋体"/>
                <w:b/>
                <w:bCs/>
                <w:color w:val="auto"/>
                <w:sz w:val="24"/>
                <w:highlight w:val="none"/>
                <w:u w:val="single"/>
                <w:lang w:val="en-US" w:eastAsia="zh-CN"/>
              </w:rPr>
              <w:t>24</w:t>
            </w:r>
            <w:r>
              <w:rPr>
                <w:rFonts w:hint="eastAsia" w:ascii="宋体" w:hAnsi="宋体" w:cs="宋体"/>
                <w:b/>
                <w:bCs/>
                <w:color w:val="auto"/>
                <w:sz w:val="24"/>
                <w:highlight w:val="none"/>
              </w:rPr>
              <w:t>日</w:t>
            </w:r>
            <w:r>
              <w:rPr>
                <w:rFonts w:hint="eastAsia" w:ascii="宋体" w:hAnsi="宋体" w:cs="宋体"/>
                <w:b/>
                <w:bCs/>
                <w:color w:val="auto"/>
                <w:sz w:val="24"/>
                <w:highlight w:val="none"/>
                <w:u w:val="single"/>
                <w:lang w:val="en-US" w:eastAsia="zh-CN"/>
              </w:rPr>
              <w:t>8</w:t>
            </w:r>
            <w:r>
              <w:rPr>
                <w:rFonts w:hint="eastAsia" w:ascii="宋体" w:hAnsi="宋体" w:cs="宋体"/>
                <w:b/>
                <w:bCs/>
                <w:color w:val="auto"/>
                <w:sz w:val="24"/>
                <w:highlight w:val="none"/>
              </w:rPr>
              <w:t>时</w:t>
            </w:r>
            <w:r>
              <w:rPr>
                <w:rFonts w:hint="eastAsia" w:ascii="宋体" w:hAnsi="宋体" w:cs="宋体"/>
                <w:b/>
                <w:bCs/>
                <w:color w:val="auto"/>
                <w:sz w:val="24"/>
                <w:highlight w:val="none"/>
                <w:u w:val="single"/>
                <w:lang w:val="en-US" w:eastAsia="zh-CN"/>
              </w:rPr>
              <w:t>30</w:t>
            </w:r>
            <w:r>
              <w:rPr>
                <w:rFonts w:hint="eastAsia" w:ascii="宋体" w:hAnsi="宋体" w:cs="宋体"/>
                <w:b/>
                <w:bCs/>
                <w:color w:val="auto"/>
                <w:sz w:val="24"/>
                <w:highlight w:val="none"/>
              </w:rPr>
              <w:t>分至</w:t>
            </w:r>
            <w:r>
              <w:rPr>
                <w:rFonts w:hint="eastAsia" w:ascii="宋体" w:hAnsi="宋体" w:cs="宋体"/>
                <w:b/>
                <w:bCs/>
                <w:color w:val="auto"/>
                <w:sz w:val="24"/>
                <w:highlight w:val="none"/>
                <w:u w:val="single"/>
                <w:lang w:val="en-US" w:eastAsia="zh-CN"/>
              </w:rPr>
              <w:t>2026</w:t>
            </w:r>
            <w:r>
              <w:rPr>
                <w:rFonts w:hint="eastAsia" w:ascii="宋体" w:hAnsi="宋体" w:cs="宋体"/>
                <w:b/>
                <w:bCs/>
                <w:color w:val="auto"/>
                <w:sz w:val="24"/>
                <w:highlight w:val="none"/>
              </w:rPr>
              <w:t>年</w:t>
            </w:r>
            <w:r>
              <w:rPr>
                <w:rFonts w:hint="eastAsia" w:ascii="宋体" w:hAnsi="宋体" w:cs="宋体"/>
                <w:b/>
                <w:bCs/>
                <w:color w:val="auto"/>
                <w:sz w:val="24"/>
                <w:highlight w:val="none"/>
                <w:u w:val="single"/>
                <w:lang w:val="en-US" w:eastAsia="zh-CN"/>
              </w:rPr>
              <w:t>8</w:t>
            </w:r>
            <w:r>
              <w:rPr>
                <w:rFonts w:hint="eastAsia" w:ascii="宋体" w:hAnsi="宋体" w:cs="宋体"/>
                <w:b/>
                <w:bCs/>
                <w:color w:val="auto"/>
                <w:sz w:val="24"/>
                <w:highlight w:val="none"/>
              </w:rPr>
              <w:t>月</w:t>
            </w:r>
            <w:r>
              <w:rPr>
                <w:rFonts w:hint="eastAsia" w:ascii="宋体" w:hAnsi="宋体" w:cs="宋体"/>
                <w:b/>
                <w:bCs/>
                <w:color w:val="auto"/>
                <w:sz w:val="24"/>
                <w:highlight w:val="none"/>
                <w:u w:val="single"/>
                <w:lang w:val="en-US" w:eastAsia="zh-CN"/>
              </w:rPr>
              <w:t>24</w:t>
            </w:r>
            <w:r>
              <w:rPr>
                <w:rFonts w:hint="eastAsia" w:ascii="宋体" w:hAnsi="宋体" w:cs="宋体"/>
                <w:b/>
                <w:bCs/>
                <w:color w:val="auto"/>
                <w:sz w:val="24"/>
                <w:highlight w:val="none"/>
              </w:rPr>
              <w:t>日</w:t>
            </w:r>
            <w:r>
              <w:rPr>
                <w:rFonts w:hint="eastAsia" w:ascii="宋体" w:hAnsi="宋体" w:cs="宋体"/>
                <w:b/>
                <w:bCs/>
                <w:color w:val="auto"/>
                <w:sz w:val="24"/>
                <w:highlight w:val="none"/>
                <w:u w:val="single"/>
                <w:lang w:val="en-US" w:eastAsia="zh-CN"/>
              </w:rPr>
              <w:t>9</w:t>
            </w:r>
            <w:r>
              <w:rPr>
                <w:rFonts w:hint="eastAsia" w:ascii="宋体" w:hAnsi="宋体" w:cs="宋体"/>
                <w:b/>
                <w:bCs/>
                <w:color w:val="auto"/>
                <w:sz w:val="24"/>
                <w:highlight w:val="none"/>
              </w:rPr>
              <w:t>时</w:t>
            </w:r>
            <w:r>
              <w:rPr>
                <w:rFonts w:hint="eastAsia" w:ascii="宋体" w:hAnsi="宋体" w:cs="宋体"/>
                <w:b/>
                <w:bCs/>
                <w:color w:val="auto"/>
                <w:sz w:val="24"/>
                <w:highlight w:val="none"/>
                <w:u w:val="single"/>
                <w:lang w:val="en-US" w:eastAsia="zh-CN"/>
              </w:rPr>
              <w:t>30</w:t>
            </w:r>
            <w:r>
              <w:rPr>
                <w:rFonts w:hint="eastAsia" w:ascii="宋体" w:hAnsi="宋体" w:cs="宋体"/>
                <w:b/>
                <w:bCs/>
                <w:color w:val="auto"/>
                <w:sz w:val="24"/>
                <w:highlight w:val="none"/>
              </w:rPr>
              <w:t>分。</w:t>
            </w:r>
          </w:p>
          <w:p w14:paraId="2474BAEF">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公布投标人</w:t>
            </w:r>
            <w:r>
              <w:rPr>
                <w:rFonts w:hint="eastAsia" w:ascii="宋体" w:hAnsi="宋体" w:cs="宋体"/>
                <w:color w:val="auto"/>
                <w:sz w:val="24"/>
                <w:highlight w:val="none"/>
                <w:lang w:val="en-US" w:eastAsia="zh-CN"/>
              </w:rPr>
              <w:t>投标截止时间前通过电子交易系统完成投标文件递交的投标人名称；投标人在投标截止时间后在投标人须知前附表规定的解密时间内完成投标文件的解密工作；招标人或招标代理机构完成解密工作，导入并读取所有成功解密的投标文件；按投标人须知前附表规定公布投标人名称、标段名称、投标报价、质量目标、工期及其他内容；开标结束</w:t>
            </w:r>
            <w:r>
              <w:rPr>
                <w:rFonts w:hint="eastAsia" w:ascii="宋体" w:hAnsi="宋体" w:cs="宋体"/>
                <w:color w:val="auto"/>
                <w:sz w:val="24"/>
                <w:highlight w:val="none"/>
              </w:rPr>
              <w:t xml:space="preserve"> 。</w:t>
            </w:r>
          </w:p>
          <w:p w14:paraId="3665BF16">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多标段开标顺序：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1E069C5C">
        <w:tblPrEx>
          <w:tblCellMar>
            <w:top w:w="0" w:type="dxa"/>
            <w:left w:w="108" w:type="dxa"/>
            <w:bottom w:w="0" w:type="dxa"/>
            <w:right w:w="108" w:type="dxa"/>
          </w:tblCellMar>
        </w:tblPrEx>
        <w:trPr>
          <w:trHeight w:val="488"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1565C302">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6.1.1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1BB11D7">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评标委员会的组建</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1A974D30">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评标委员会构成</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lang w:val="en-US" w:eastAsia="zh-CN"/>
              </w:rPr>
              <w:t>5</w:t>
            </w:r>
            <w:r>
              <w:rPr>
                <w:rFonts w:hint="eastAsia" w:ascii="宋体" w:hAnsi="宋体" w:cs="宋体"/>
                <w:color w:val="auto"/>
                <w:sz w:val="24"/>
                <w:highlight w:val="none"/>
              </w:rPr>
              <w:t>人，其中招标人代表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rPr>
              <w:t>人，评标专家</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w:t>
            </w:r>
          </w:p>
          <w:p w14:paraId="41AA1146">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评标专家确定方式：评标专家由招标人在评标活动开始前24小时内，通过抽取终端从专家库中随机抽取。</w:t>
            </w:r>
          </w:p>
        </w:tc>
      </w:tr>
      <w:tr w14:paraId="1CEFE49C">
        <w:tblPrEx>
          <w:tblCellMar>
            <w:top w:w="0" w:type="dxa"/>
            <w:left w:w="108" w:type="dxa"/>
            <w:bottom w:w="0" w:type="dxa"/>
            <w:right w:w="108" w:type="dxa"/>
          </w:tblCellMar>
        </w:tblPrEx>
        <w:trPr>
          <w:trHeight w:val="88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2680018B">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6.3.2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53B55049">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评标委员会确定中标候选人的人数</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6EF1F7A4">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3名</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不排序）</w:t>
            </w:r>
            <w:r>
              <w:rPr>
                <w:rFonts w:hint="eastAsia" w:ascii="宋体" w:hAnsi="宋体" w:cs="宋体"/>
                <w:color w:val="auto"/>
                <w:sz w:val="24"/>
                <w:highlight w:val="none"/>
              </w:rPr>
              <w:t>。</w:t>
            </w:r>
          </w:p>
        </w:tc>
      </w:tr>
      <w:tr w14:paraId="575AB859">
        <w:tblPrEx>
          <w:tblCellMar>
            <w:top w:w="0" w:type="dxa"/>
            <w:left w:w="108" w:type="dxa"/>
            <w:bottom w:w="0" w:type="dxa"/>
            <w:right w:w="108" w:type="dxa"/>
          </w:tblCellMar>
        </w:tblPrEx>
        <w:trPr>
          <w:trHeight w:val="653"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557F9021">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7.1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224E2A7">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中标候选人公示媒介及期限</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2151B796">
            <w:pPr>
              <w:widowControl/>
              <w:adjustRightInd w:val="0"/>
              <w:snapToGrid w:val="0"/>
              <w:spacing w:line="560" w:lineRule="exact"/>
              <w:jc w:val="left"/>
              <w:rPr>
                <w:rFonts w:hint="eastAsia" w:ascii="宋体" w:hAnsi="宋体" w:cs="宋体"/>
                <w:color w:val="auto"/>
                <w:sz w:val="24"/>
                <w:highlight w:val="none"/>
              </w:rPr>
            </w:pPr>
            <w:r>
              <w:rPr>
                <w:rFonts w:hint="eastAsia" w:ascii="宋体" w:hAnsi="宋体" w:cs="宋体"/>
                <w:color w:val="auto"/>
                <w:sz w:val="24"/>
                <w:highlight w:val="none"/>
              </w:rPr>
              <w:t>公示媒介：同招标公告发布媒介</w:t>
            </w:r>
          </w:p>
          <w:p w14:paraId="52386E65">
            <w:pPr>
              <w:widowControl/>
              <w:adjustRightInd w:val="0"/>
              <w:snapToGrid w:val="0"/>
              <w:spacing w:line="560" w:lineRule="exact"/>
              <w:jc w:val="left"/>
              <w:rPr>
                <w:rFonts w:hint="eastAsia" w:ascii="宋体" w:hAnsi="宋体" w:cs="宋体"/>
                <w:color w:val="auto"/>
                <w:sz w:val="24"/>
                <w:highlight w:val="none"/>
              </w:rPr>
            </w:pPr>
            <w:r>
              <w:rPr>
                <w:rFonts w:hint="eastAsia" w:ascii="宋体" w:hAnsi="宋体" w:cs="宋体"/>
                <w:color w:val="auto"/>
                <w:sz w:val="24"/>
                <w:highlight w:val="none"/>
              </w:rPr>
              <w:t>公示期限：公示发布次日起3日（如公示第三日为休息日或节假日，则顺延至休息日或节假日后第一个工作日）</w:t>
            </w:r>
          </w:p>
        </w:tc>
      </w:tr>
      <w:tr w14:paraId="30A867B2">
        <w:tblPrEx>
          <w:tblCellMar>
            <w:top w:w="0" w:type="dxa"/>
            <w:left w:w="108" w:type="dxa"/>
            <w:bottom w:w="0" w:type="dxa"/>
            <w:right w:w="108" w:type="dxa"/>
          </w:tblCellMar>
        </w:tblPrEx>
        <w:trPr>
          <w:trHeight w:val="653"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21B294C">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7.5</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EA5ECC8">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是否授权评标委员会确定中标人</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63454EA4">
            <w:pPr>
              <w:widowControl/>
              <w:adjustRightInd w:val="0"/>
              <w:snapToGrid w:val="0"/>
              <w:spacing w:line="560" w:lineRule="exact"/>
              <w:jc w:val="left"/>
              <w:rPr>
                <w:rFonts w:hint="eastAsia" w:ascii="宋体" w:hAnsi="宋体" w:cs="宋体"/>
                <w:color w:val="auto"/>
                <w:sz w:val="24"/>
                <w:highlight w:val="none"/>
                <w:u w:val="single"/>
              </w:rPr>
            </w:pPr>
            <w:r>
              <w:rPr>
                <w:rFonts w:hint="eastAsia" w:ascii="宋体" w:hAnsi="宋体" w:cs="宋体"/>
                <w:color w:val="auto"/>
                <w:sz w:val="24"/>
                <w:highlight w:val="none"/>
                <w:u w:val="none"/>
              </w:rPr>
              <w:t>否</w:t>
            </w:r>
          </w:p>
        </w:tc>
      </w:tr>
      <w:tr w14:paraId="05D1D76A">
        <w:tblPrEx>
          <w:tblCellMar>
            <w:top w:w="0" w:type="dxa"/>
            <w:left w:w="108" w:type="dxa"/>
            <w:bottom w:w="0" w:type="dxa"/>
            <w:right w:w="108" w:type="dxa"/>
          </w:tblCellMar>
        </w:tblPrEx>
        <w:trPr>
          <w:trHeight w:val="653"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1278285A">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7.6</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297D264">
            <w:pPr>
              <w:adjustRightInd w:val="0"/>
              <w:snapToGrid w:val="0"/>
              <w:spacing w:line="560" w:lineRule="exact"/>
              <w:jc w:val="center"/>
              <w:rPr>
                <w:rFonts w:hint="eastAsia" w:ascii="宋体" w:hAnsi="宋体" w:cs="宋体"/>
                <w:color w:val="auto"/>
                <w:sz w:val="24"/>
                <w:highlight w:val="none"/>
              </w:rPr>
            </w:pPr>
            <w:r>
              <w:rPr>
                <w:rFonts w:hint="eastAsia"/>
                <w:color w:val="auto"/>
                <w:sz w:val="24"/>
                <w:highlight w:val="none"/>
              </w:rPr>
              <w:t>中标通知书发出形式</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63B3FBAD">
            <w:pPr>
              <w:widowControl/>
              <w:adjustRightInd w:val="0"/>
              <w:snapToGrid w:val="0"/>
              <w:spacing w:line="560" w:lineRule="exact"/>
              <w:rPr>
                <w:rFonts w:hint="eastAsia" w:ascii="宋体" w:hAnsi="宋体" w:cs="宋体"/>
                <w:color w:val="auto"/>
                <w:sz w:val="24"/>
                <w:highlight w:val="none"/>
              </w:rPr>
            </w:pPr>
            <w:r>
              <w:rPr>
                <w:rFonts w:hint="eastAsia"/>
                <w:color w:val="auto"/>
                <w:sz w:val="24"/>
                <w:highlight w:val="none"/>
              </w:rPr>
              <w:t>数据电文</w:t>
            </w:r>
          </w:p>
        </w:tc>
      </w:tr>
      <w:tr w14:paraId="45AE98A5">
        <w:tblPrEx>
          <w:tblCellMar>
            <w:top w:w="0" w:type="dxa"/>
            <w:left w:w="108" w:type="dxa"/>
            <w:bottom w:w="0" w:type="dxa"/>
            <w:right w:w="108" w:type="dxa"/>
          </w:tblCellMar>
        </w:tblPrEx>
        <w:trPr>
          <w:trHeight w:val="653"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4E104BAC">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7.7</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A912579">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中标结果公示媒介</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22847804">
            <w:pPr>
              <w:widowControl/>
              <w:adjustRightInd w:val="0"/>
              <w:snapToGrid w:val="0"/>
              <w:spacing w:line="560" w:lineRule="exact"/>
              <w:jc w:val="left"/>
              <w:rPr>
                <w:rFonts w:hint="eastAsia" w:ascii="宋体" w:hAnsi="宋体" w:cs="宋体"/>
                <w:color w:val="auto"/>
                <w:sz w:val="24"/>
                <w:highlight w:val="none"/>
              </w:rPr>
            </w:pPr>
            <w:r>
              <w:rPr>
                <w:rFonts w:hint="eastAsia" w:ascii="宋体" w:hAnsi="宋体" w:cs="宋体"/>
                <w:color w:val="auto"/>
                <w:sz w:val="24"/>
                <w:highlight w:val="none"/>
              </w:rPr>
              <w:t>公示媒介：同招标公告发布媒介；</w:t>
            </w:r>
          </w:p>
          <w:p w14:paraId="79CE3E72">
            <w:pPr>
              <w:widowControl/>
              <w:adjustRightInd w:val="0"/>
              <w:snapToGrid w:val="0"/>
              <w:spacing w:line="560" w:lineRule="exact"/>
              <w:jc w:val="left"/>
              <w:rPr>
                <w:rFonts w:hint="eastAsia"/>
                <w:color w:val="auto"/>
                <w:highlight w:val="none"/>
              </w:rPr>
            </w:pPr>
            <w:r>
              <w:rPr>
                <w:rFonts w:hint="eastAsia" w:ascii="宋体" w:hAnsi="宋体" w:cs="宋体"/>
                <w:color w:val="auto"/>
                <w:sz w:val="24"/>
                <w:highlight w:val="none"/>
              </w:rPr>
              <w:t>公示期限：</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日（公示期截止时间在法定休息日的顺延至首个工作日）。</w:t>
            </w:r>
          </w:p>
        </w:tc>
      </w:tr>
      <w:tr w14:paraId="13719D61">
        <w:tblPrEx>
          <w:tblCellMar>
            <w:top w:w="0" w:type="dxa"/>
            <w:left w:w="108" w:type="dxa"/>
            <w:bottom w:w="0" w:type="dxa"/>
            <w:right w:w="108" w:type="dxa"/>
          </w:tblCellMar>
        </w:tblPrEx>
        <w:trPr>
          <w:trHeight w:val="97"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6CA2F9A">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7.8</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15A7AAA">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履约担保</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4B4CE9D">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sz w:val="24"/>
                <w:highlight w:val="none"/>
              </w:rPr>
              <w:t>要求中标人提交履约保证金。</w:t>
            </w:r>
          </w:p>
          <w:p w14:paraId="6E1E4BE3">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形式：支持银行转账、银行电汇、银行保函、担保机构担保、保证保险使用。</w:t>
            </w:r>
          </w:p>
          <w:p w14:paraId="72F6E5E1">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金   额：中标合同金额×</w:t>
            </w:r>
            <w:r>
              <w:rPr>
                <w:rFonts w:hint="eastAsia" w:ascii="宋体" w:hAnsi="宋体" w:cs="宋体"/>
                <w:color w:val="auto"/>
                <w:sz w:val="24"/>
                <w:highlight w:val="none"/>
                <w:u w:val="none"/>
              </w:rPr>
              <w:t xml:space="preserve">2% </w:t>
            </w:r>
          </w:p>
          <w:p w14:paraId="1BD4399C">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 xml:space="preserve">收款单位：滁州同业投资发展有限公司 </w:t>
            </w:r>
          </w:p>
          <w:p w14:paraId="2EC7D73A">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:另行通知</w:t>
            </w:r>
            <w:r>
              <w:rPr>
                <w:rFonts w:hint="eastAsia" w:ascii="宋体" w:hAnsi="宋体" w:cs="宋体"/>
                <w:color w:val="auto"/>
                <w:sz w:val="24"/>
                <w:highlight w:val="none"/>
              </w:rPr>
              <w:t xml:space="preserve"> </w:t>
            </w:r>
          </w:p>
          <w:p w14:paraId="31871E24">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另行通知</w:t>
            </w:r>
            <w:r>
              <w:rPr>
                <w:rFonts w:hint="eastAsia" w:ascii="宋体" w:hAnsi="宋体" w:cs="宋体"/>
                <w:color w:val="auto"/>
                <w:sz w:val="24"/>
                <w:highlight w:val="none"/>
              </w:rPr>
              <w:t xml:space="preserve">                </w:t>
            </w:r>
          </w:p>
          <w:p w14:paraId="1561F0D4">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缴纳时限：</w:t>
            </w:r>
            <w:r>
              <w:rPr>
                <w:rFonts w:hint="eastAsia" w:ascii="宋体" w:hAnsi="宋体" w:cs="宋体"/>
                <w:color w:val="auto"/>
                <w:sz w:val="24"/>
                <w:highlight w:val="none"/>
                <w:lang w:val="en-US" w:eastAsia="zh-CN"/>
              </w:rPr>
              <w:t>签订合同前缴纳</w:t>
            </w:r>
            <w:r>
              <w:rPr>
                <w:rFonts w:hint="eastAsia" w:ascii="宋体" w:hAnsi="宋体" w:cs="宋体"/>
                <w:color w:val="auto"/>
                <w:sz w:val="24"/>
                <w:highlight w:val="none"/>
              </w:rPr>
              <w:t xml:space="preserve"> </w:t>
            </w:r>
          </w:p>
          <w:p w14:paraId="6F323712">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中标通知书发出之日起，3个日历天内应委派代表与招标人联系办 </w:t>
            </w:r>
          </w:p>
          <w:p w14:paraId="3DCE79F6">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lang w:val="en-US" w:eastAsia="zh-CN"/>
              </w:rPr>
              <w:t>理履约保证金缴纳并商讨书面合同签订等事宜；30个日历天内足额交纳履约保证金（投标保证金不能转为履约保证金）并根据招标文件和中标人的投标文件订立书面合同。中标人无正当理由拒签合同的，招标人将依据招投标相关法律法规进行处理；给招标人造成的损失，中标人还应当予以赔偿。</w:t>
            </w:r>
          </w:p>
          <w:p w14:paraId="0175DEDB">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履约保证金退还时限：履约保证金有效期满7日内。</w:t>
            </w:r>
          </w:p>
          <w:p w14:paraId="6C2383CB">
            <w:pPr>
              <w:pStyle w:val="19"/>
              <w:adjustRightInd w:val="0"/>
              <w:snapToGrid w:val="0"/>
              <w:spacing w:after="0" w:line="560" w:lineRule="exact"/>
              <w:ind w:left="0" w:leftChars="0" w:firstLine="0" w:firstLineChars="0"/>
              <w:rPr>
                <w:rFonts w:hint="eastAsia" w:ascii="宋体" w:hAnsi="宋体" w:cs="宋体"/>
                <w:color w:val="auto"/>
                <w:position w:val="6"/>
                <w:sz w:val="24"/>
                <w:highlight w:val="none"/>
                <w:u w:val="none"/>
              </w:rPr>
            </w:pPr>
            <w:r>
              <w:rPr>
                <w:rFonts w:hint="eastAsia" w:ascii="宋体" w:hAnsi="宋体" w:cs="宋体"/>
                <w:color w:val="auto"/>
                <w:position w:val="6"/>
                <w:sz w:val="24"/>
                <w:highlight w:val="none"/>
                <w:u w:val="none"/>
              </w:rPr>
              <w:t>其他相关要求：</w:t>
            </w:r>
          </w:p>
          <w:p w14:paraId="5C5C7104">
            <w:pPr>
              <w:pStyle w:val="19"/>
              <w:numPr>
                <w:ilvl w:val="0"/>
                <w:numId w:val="0"/>
              </w:numPr>
              <w:adjustRightInd w:val="0"/>
              <w:snapToGrid w:val="0"/>
              <w:spacing w:after="0" w:line="560" w:lineRule="exact"/>
              <w:ind w:leftChars="0"/>
              <w:rPr>
                <w:rFonts w:hint="eastAsia" w:ascii="宋体" w:hAnsi="宋体" w:cs="宋体"/>
                <w:color w:val="auto"/>
                <w:position w:val="6"/>
                <w:sz w:val="24"/>
                <w:highlight w:val="none"/>
                <w:u w:val="single"/>
              </w:rPr>
            </w:pPr>
            <w:r>
              <w:rPr>
                <w:rFonts w:hint="eastAsia" w:ascii="宋体" w:hAnsi="宋体" w:cs="宋体"/>
                <w:color w:val="auto"/>
                <w:position w:val="6"/>
                <w:sz w:val="24"/>
                <w:highlight w:val="none"/>
                <w:u w:val="none"/>
                <w:lang w:val="en-US" w:eastAsia="zh-CN"/>
              </w:rPr>
              <w:t>1.</w:t>
            </w:r>
            <w:r>
              <w:rPr>
                <w:rFonts w:hint="eastAsia" w:ascii="宋体" w:hAnsi="宋体" w:cs="宋体"/>
                <w:color w:val="auto"/>
                <w:position w:val="6"/>
                <w:sz w:val="24"/>
                <w:highlight w:val="none"/>
                <w:u w:val="none"/>
              </w:rPr>
              <w:t>具体要求：</w:t>
            </w:r>
            <w:r>
              <w:rPr>
                <w:rFonts w:hint="eastAsia" w:ascii="宋体" w:hAnsi="宋体" w:cs="宋体"/>
                <w:color w:val="auto"/>
                <w:position w:val="6"/>
                <w:sz w:val="24"/>
                <w:highlight w:val="none"/>
                <w:u w:val="none"/>
                <w:lang w:val="en-US" w:eastAsia="zh-CN"/>
              </w:rPr>
              <w:t>满足招标人要求</w:t>
            </w:r>
            <w:r>
              <w:rPr>
                <w:rFonts w:hint="eastAsia" w:ascii="宋体" w:hAnsi="宋体" w:cs="宋体"/>
                <w:color w:val="auto"/>
                <w:position w:val="6"/>
                <w:sz w:val="24"/>
                <w:highlight w:val="none"/>
                <w:u w:val="none"/>
              </w:rPr>
              <w:t>；</w:t>
            </w:r>
          </w:p>
          <w:p w14:paraId="0B32D17F">
            <w:pPr>
              <w:pStyle w:val="19"/>
              <w:numPr>
                <w:ilvl w:val="0"/>
                <w:numId w:val="0"/>
              </w:numPr>
              <w:adjustRightInd w:val="0"/>
              <w:snapToGrid w:val="0"/>
              <w:spacing w:after="0" w:line="560" w:lineRule="exact"/>
              <w:ind w:leftChars="0"/>
              <w:rPr>
                <w:rFonts w:hint="eastAsia"/>
                <w:color w:val="auto"/>
                <w:sz w:val="24"/>
                <w:highlight w:val="none"/>
              </w:rPr>
            </w:pPr>
            <w:r>
              <w:rPr>
                <w:rFonts w:hint="eastAsia" w:ascii="宋体" w:hAnsi="宋体" w:cs="宋体"/>
                <w:color w:val="auto"/>
                <w:position w:val="6"/>
                <w:sz w:val="24"/>
                <w:highlight w:val="none"/>
                <w:u w:val="none"/>
                <w:lang w:val="en-US" w:eastAsia="zh-CN"/>
              </w:rPr>
              <w:t>2.</w:t>
            </w:r>
            <w:r>
              <w:rPr>
                <w:rFonts w:hint="eastAsia" w:ascii="宋体" w:hAnsi="宋体" w:cs="宋体"/>
                <w:color w:val="auto"/>
                <w:position w:val="6"/>
                <w:sz w:val="24"/>
                <w:highlight w:val="none"/>
                <w:u w:val="none"/>
              </w:rPr>
              <w:t>联合体参加投标且中标的，以联合体牵头人的名义按上述要求缴纳履约担保。</w:t>
            </w:r>
          </w:p>
        </w:tc>
      </w:tr>
      <w:tr w14:paraId="34259E3D">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2D472845">
            <w:pPr>
              <w:adjustRightInd w:val="0"/>
              <w:snapToGrid w:val="0"/>
              <w:spacing w:line="560" w:lineRule="exact"/>
              <w:jc w:val="center"/>
              <w:rPr>
                <w:rFonts w:ascii="宋体" w:hAnsi="宋体" w:cs="宋体"/>
                <w:color w:val="auto"/>
                <w:sz w:val="24"/>
                <w:highlight w:val="none"/>
              </w:rPr>
            </w:pPr>
            <w:r>
              <w:rPr>
                <w:rFonts w:hint="eastAsia" w:ascii="宋体" w:hAnsi="宋体" w:cs="宋体"/>
                <w:color w:val="auto"/>
                <w:sz w:val="24"/>
                <w:highlight w:val="none"/>
              </w:rPr>
              <w:t>7.9</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757978F">
            <w:pPr>
              <w:adjustRightInd w:val="0"/>
              <w:snapToGrid w:val="0"/>
              <w:spacing w:line="560" w:lineRule="exact"/>
              <w:jc w:val="center"/>
              <w:rPr>
                <w:rFonts w:hint="eastAsia" w:ascii="宋体" w:hAnsi="宋体" w:cs="宋体"/>
                <w:color w:val="auto"/>
                <w:sz w:val="24"/>
                <w:highlight w:val="none"/>
              </w:rPr>
            </w:pPr>
            <w:r>
              <w:rPr>
                <w:rFonts w:hint="eastAsia"/>
                <w:color w:val="auto"/>
                <w:sz w:val="24"/>
                <w:highlight w:val="none"/>
              </w:rPr>
              <w:t>签订合同</w:t>
            </w:r>
          </w:p>
        </w:tc>
        <w:tc>
          <w:tcPr>
            <w:tcW w:w="7175" w:type="dxa"/>
            <w:tcBorders>
              <w:top w:val="single" w:color="auto" w:sz="4" w:space="0"/>
              <w:left w:val="single" w:color="auto" w:sz="4" w:space="0"/>
              <w:bottom w:val="single" w:color="auto" w:sz="4" w:space="0"/>
              <w:right w:val="single" w:color="auto" w:sz="4" w:space="0"/>
            </w:tcBorders>
            <w:noWrap w:val="0"/>
            <w:vAlign w:val="top"/>
          </w:tcPr>
          <w:p w14:paraId="5C788041">
            <w:pPr>
              <w:adjustRightInd w:val="0"/>
              <w:snapToGrid w:val="0"/>
              <w:spacing w:line="560" w:lineRule="exact"/>
              <w:rPr>
                <w:rFonts w:hint="eastAsia" w:ascii="宋体" w:hAnsi="宋体" w:cs="宋体"/>
                <w:color w:val="auto"/>
                <w:sz w:val="24"/>
                <w:highlight w:val="none"/>
              </w:rPr>
            </w:pPr>
            <w:r>
              <w:rPr>
                <w:rFonts w:hint="eastAsia"/>
                <w:color w:val="auto"/>
                <w:sz w:val="24"/>
                <w:highlight w:val="none"/>
              </w:rPr>
              <w:t>中标通知书发出之日起</w:t>
            </w:r>
            <w:r>
              <w:rPr>
                <w:rFonts w:hint="eastAsia"/>
                <w:color w:val="auto"/>
                <w:sz w:val="24"/>
                <w:highlight w:val="none"/>
                <w:u w:val="single"/>
              </w:rPr>
              <w:t xml:space="preserve">  </w:t>
            </w:r>
            <w:r>
              <w:rPr>
                <w:rFonts w:hint="eastAsia"/>
                <w:color w:val="auto"/>
                <w:sz w:val="24"/>
                <w:highlight w:val="none"/>
                <w:u w:val="single"/>
                <w:lang w:val="en-US" w:eastAsia="zh-CN"/>
              </w:rPr>
              <w:t>3</w:t>
            </w:r>
            <w:r>
              <w:rPr>
                <w:rFonts w:hint="eastAsia"/>
                <w:color w:val="auto"/>
                <w:sz w:val="24"/>
                <w:highlight w:val="none"/>
                <w:u w:val="single"/>
              </w:rPr>
              <w:t xml:space="preserve"> </w:t>
            </w:r>
            <w:r>
              <w:rPr>
                <w:rFonts w:hint="eastAsia"/>
                <w:color w:val="auto"/>
                <w:sz w:val="24"/>
                <w:highlight w:val="none"/>
              </w:rPr>
              <w:t>日内，应委派代表与招标人联系并商讨书面合同签订事宜。中标人和招标人应在投标有效期内以及中标通知书发出之日起30日内，根据招标文件和中标人的投标文件订立书面合同。</w:t>
            </w:r>
          </w:p>
        </w:tc>
      </w:tr>
      <w:tr w14:paraId="3A60AF62">
        <w:tblPrEx>
          <w:tblCellMar>
            <w:top w:w="0" w:type="dxa"/>
            <w:left w:w="108" w:type="dxa"/>
            <w:bottom w:w="0" w:type="dxa"/>
            <w:right w:w="108" w:type="dxa"/>
          </w:tblCellMar>
        </w:tblPrEx>
        <w:trPr>
          <w:trHeight w:val="90" w:hRule="atLeast"/>
          <w:jc w:val="center"/>
        </w:trPr>
        <w:tc>
          <w:tcPr>
            <w:tcW w:w="10175" w:type="dxa"/>
            <w:gridSpan w:val="3"/>
            <w:tcBorders>
              <w:top w:val="single" w:color="auto" w:sz="4" w:space="0"/>
              <w:left w:val="single" w:color="auto" w:sz="4" w:space="0"/>
              <w:bottom w:val="single" w:color="auto" w:sz="4" w:space="0"/>
              <w:right w:val="single" w:color="auto" w:sz="4" w:space="0"/>
            </w:tcBorders>
            <w:noWrap w:val="0"/>
            <w:vAlign w:val="center"/>
          </w:tcPr>
          <w:p w14:paraId="49F8276C">
            <w:pPr>
              <w:adjustRightInd w:val="0"/>
              <w:snapToGrid w:val="0"/>
              <w:spacing w:line="560" w:lineRule="exact"/>
              <w:jc w:val="left"/>
              <w:rPr>
                <w:rFonts w:hint="eastAsia" w:ascii="宋体" w:hAnsi="宋体" w:cs="宋体"/>
                <w:color w:val="auto"/>
                <w:sz w:val="24"/>
                <w:highlight w:val="none"/>
              </w:rPr>
            </w:pPr>
            <w:r>
              <w:rPr>
                <w:rFonts w:hint="eastAsia" w:ascii="宋体" w:hAnsi="宋体" w:cs="宋体"/>
                <w:color w:val="auto"/>
                <w:sz w:val="24"/>
                <w:highlight w:val="none"/>
              </w:rPr>
              <w:t>10.需要补充的其他内容</w:t>
            </w:r>
          </w:p>
        </w:tc>
      </w:tr>
      <w:tr w14:paraId="145A9A76">
        <w:tblPrEx>
          <w:tblCellMar>
            <w:top w:w="0" w:type="dxa"/>
            <w:left w:w="108" w:type="dxa"/>
            <w:bottom w:w="0" w:type="dxa"/>
            <w:right w:w="108" w:type="dxa"/>
          </w:tblCellMar>
        </w:tblPrEx>
        <w:trPr>
          <w:trHeight w:val="90" w:hRule="atLeast"/>
          <w:jc w:val="center"/>
        </w:trPr>
        <w:tc>
          <w:tcPr>
            <w:tcW w:w="10175" w:type="dxa"/>
            <w:gridSpan w:val="3"/>
            <w:tcBorders>
              <w:top w:val="single" w:color="auto" w:sz="4" w:space="0"/>
              <w:left w:val="single" w:color="auto" w:sz="4" w:space="0"/>
              <w:bottom w:val="single" w:color="auto" w:sz="4" w:space="0"/>
              <w:right w:val="single" w:color="auto" w:sz="4" w:space="0"/>
            </w:tcBorders>
            <w:noWrap w:val="0"/>
            <w:vAlign w:val="center"/>
          </w:tcPr>
          <w:p w14:paraId="07A8D8CD">
            <w:pPr>
              <w:adjustRightInd w:val="0"/>
              <w:snapToGrid w:val="0"/>
              <w:spacing w:line="560" w:lineRule="exact"/>
              <w:jc w:val="left"/>
              <w:rPr>
                <w:rFonts w:hint="eastAsia" w:ascii="宋体" w:hAnsi="宋体" w:cs="宋体"/>
                <w:color w:val="auto"/>
                <w:sz w:val="24"/>
                <w:highlight w:val="none"/>
              </w:rPr>
            </w:pPr>
            <w:r>
              <w:rPr>
                <w:rFonts w:hint="eastAsia" w:ascii="宋体" w:hAnsi="宋体" w:cs="宋体"/>
                <w:color w:val="auto"/>
                <w:sz w:val="24"/>
                <w:highlight w:val="none"/>
              </w:rPr>
              <w:t>10.1招标代理服务费和专家评审劳务费</w:t>
            </w:r>
          </w:p>
        </w:tc>
      </w:tr>
      <w:tr w14:paraId="6E31561B">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417E302C">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10.1.1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11A2C28">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招标代理服务费</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7CC0322C">
            <w:pPr>
              <w:adjustRightInd w:val="0"/>
              <w:snapToGrid w:val="0"/>
              <w:spacing w:line="560" w:lineRule="exact"/>
              <w:rPr>
                <w:rFonts w:hint="eastAsia" w:ascii="宋体" w:hAnsi="宋体" w:cs="宋体"/>
                <w:color w:val="auto"/>
                <w:kern w:val="0"/>
                <w:sz w:val="24"/>
                <w:highlight w:val="none"/>
                <w:u w:val="single"/>
              </w:rPr>
            </w:pPr>
            <w:r>
              <w:rPr>
                <w:rFonts w:hint="eastAsia" w:ascii="宋体" w:hAnsi="宋体" w:cs="宋体"/>
                <w:color w:val="auto"/>
                <w:sz w:val="24"/>
                <w:highlight w:val="none"/>
              </w:rPr>
              <w:t>代理服务费具体金额：</w:t>
            </w:r>
            <w:r>
              <w:rPr>
                <w:rFonts w:hint="eastAsia" w:ascii="宋体" w:hAnsi="宋体" w:cs="宋体"/>
                <w:color w:val="auto"/>
                <w:kern w:val="0"/>
                <w:sz w:val="24"/>
                <w:highlight w:val="none"/>
                <w:u w:val="single"/>
                <w:lang w:val="en-US" w:eastAsia="zh-CN"/>
              </w:rPr>
              <w:t>106600</w:t>
            </w:r>
            <w:r>
              <w:rPr>
                <w:rFonts w:hint="eastAsia" w:ascii="宋体" w:hAnsi="宋体" w:cs="宋体"/>
                <w:color w:val="auto"/>
                <w:kern w:val="0"/>
                <w:sz w:val="24"/>
                <w:highlight w:val="none"/>
                <w:u w:val="single"/>
              </w:rPr>
              <w:t>元</w:t>
            </w:r>
            <w:r>
              <w:rPr>
                <w:rFonts w:hint="eastAsia" w:ascii="宋体" w:hAnsi="宋体" w:cs="宋体"/>
                <w:color w:val="auto"/>
                <w:kern w:val="0"/>
                <w:sz w:val="24"/>
                <w:highlight w:val="none"/>
                <w:u w:val="single"/>
                <w:lang w:val="en-US" w:eastAsia="zh-CN"/>
              </w:rPr>
              <w:t>，参考计价格【2002】1980号文件规定的30%</w:t>
            </w:r>
            <w:r>
              <w:rPr>
                <w:rFonts w:hint="eastAsia" w:ascii="宋体" w:hAnsi="宋体" w:cs="宋体"/>
                <w:color w:val="auto"/>
                <w:kern w:val="0"/>
                <w:sz w:val="24"/>
                <w:highlight w:val="none"/>
                <w:u w:val="single"/>
              </w:rPr>
              <w:t>；</w:t>
            </w:r>
          </w:p>
          <w:p w14:paraId="04C4D931">
            <w:pPr>
              <w:adjustRightInd w:val="0"/>
              <w:snapToGrid w:val="0"/>
              <w:spacing w:line="560" w:lineRule="exact"/>
              <w:rPr>
                <w:rFonts w:hint="eastAsia" w:ascii="宋体" w:hAnsi="宋体" w:cs="宋体"/>
                <w:color w:val="auto"/>
                <w:sz w:val="24"/>
                <w:highlight w:val="none"/>
                <w:u w:val="single"/>
              </w:rPr>
            </w:pPr>
            <w:r>
              <w:rPr>
                <w:rFonts w:hint="eastAsia" w:ascii="宋体" w:hAnsi="宋体" w:cs="宋体"/>
                <w:color w:val="auto"/>
                <w:kern w:val="0"/>
                <w:sz w:val="24"/>
                <w:highlight w:val="none"/>
              </w:rPr>
              <w:t>代理服务费支付主体</w:t>
            </w:r>
            <w:r>
              <w:rPr>
                <w:rFonts w:hint="eastAsia" w:ascii="宋体" w:hAnsi="宋体" w:cs="宋体"/>
                <w:color w:val="auto"/>
                <w:sz w:val="24"/>
                <w:highlight w:val="none"/>
              </w:rPr>
              <w:t>：</w:t>
            </w:r>
            <w:r>
              <w:rPr>
                <w:rFonts w:hint="eastAsia" w:ascii="宋体" w:hAnsi="宋体" w:cs="宋体"/>
                <w:color w:val="auto"/>
                <w:sz w:val="24"/>
                <w:highlight w:val="none"/>
                <w:u w:val="single"/>
                <w:lang w:val="en-US" w:eastAsia="zh-CN"/>
              </w:rPr>
              <w:t xml:space="preserve">中标人，本项目因故未将此费用列入最高投标限价中，此项费用由中标人支付，投标人投标报价时充分考虑 </w:t>
            </w:r>
          </w:p>
          <w:p w14:paraId="2716C21E">
            <w:pPr>
              <w:adjustRightInd w:val="0"/>
              <w:snapToGrid w:val="0"/>
              <w:spacing w:line="560" w:lineRule="exact"/>
              <w:rPr>
                <w:rFonts w:hint="eastAsia" w:ascii="宋体" w:hAnsi="宋体" w:cs="宋体"/>
                <w:color w:val="auto"/>
                <w:kern w:val="0"/>
                <w:sz w:val="24"/>
                <w:highlight w:val="none"/>
              </w:rPr>
            </w:pPr>
            <w:r>
              <w:rPr>
                <w:rFonts w:hint="eastAsia" w:ascii="宋体" w:hAnsi="宋体" w:cs="宋体"/>
                <w:color w:val="auto"/>
                <w:sz w:val="24"/>
                <w:highlight w:val="none"/>
                <w:u w:val="single"/>
                <w:lang w:val="en-US" w:eastAsia="zh-CN"/>
              </w:rPr>
              <w:t>并谨慎报价</w:t>
            </w:r>
            <w:r>
              <w:rPr>
                <w:rFonts w:hint="eastAsia" w:ascii="宋体" w:hAnsi="宋体" w:cs="宋体"/>
                <w:color w:val="auto"/>
                <w:kern w:val="0"/>
                <w:sz w:val="24"/>
                <w:highlight w:val="none"/>
              </w:rPr>
              <w:t>。</w:t>
            </w:r>
          </w:p>
          <w:p w14:paraId="4827B1B2">
            <w:pPr>
              <w:adjustRightInd w:val="0"/>
              <w:snapToGrid w:val="0"/>
              <w:spacing w:line="560" w:lineRule="exact"/>
              <w:rPr>
                <w:rFonts w:hint="eastAsia" w:ascii="宋体" w:hAnsi="宋体" w:cs="宋体"/>
                <w:color w:val="auto"/>
                <w:kern w:val="0"/>
                <w:sz w:val="24"/>
                <w:highlight w:val="none"/>
              </w:rPr>
            </w:pPr>
            <w:r>
              <w:rPr>
                <w:rFonts w:hint="eastAsia" w:ascii="宋体" w:hAnsi="宋体" w:cs="宋体"/>
                <w:color w:val="auto"/>
                <w:sz w:val="24"/>
                <w:highlight w:val="none"/>
              </w:rPr>
              <w:t>代理服务费收取方式：</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u w:val="single"/>
              </w:rPr>
              <w:t>由中标人在领取中标通知书时一次性支付给代理机构</w:t>
            </w:r>
            <w:r>
              <w:rPr>
                <w:rFonts w:hint="eastAsia" w:ascii="宋体" w:hAnsi="宋体" w:cs="宋体"/>
                <w:color w:val="auto"/>
                <w:kern w:val="0"/>
                <w:sz w:val="24"/>
                <w:highlight w:val="none"/>
                <w:u w:val="single"/>
              </w:rPr>
              <w:t xml:space="preserve"> </w:t>
            </w:r>
          </w:p>
        </w:tc>
      </w:tr>
      <w:tr w14:paraId="55EAA8BD">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AC4DF1F">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10.1.2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AD35FEB">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专家评审劳务费</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75EFE2B">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费用或支付标准：</w:t>
            </w:r>
            <w:r>
              <w:rPr>
                <w:rFonts w:hint="eastAsia" w:ascii="宋体" w:hAnsi="宋体" w:cs="宋体"/>
                <w:color w:val="auto"/>
                <w:sz w:val="24"/>
                <w:highlight w:val="none"/>
                <w:lang w:val="en-US" w:eastAsia="zh-CN"/>
              </w:rPr>
              <w:t>以实际发生费用为准</w:t>
            </w:r>
            <w:r>
              <w:rPr>
                <w:rFonts w:hint="eastAsia" w:ascii="宋体" w:hAnsi="宋体" w:cs="宋体"/>
                <w:color w:val="auto"/>
                <w:sz w:val="24"/>
                <w:highlight w:val="none"/>
              </w:rPr>
              <w:t xml:space="preserve"> </w:t>
            </w:r>
          </w:p>
          <w:p w14:paraId="26EE1C59">
            <w:pPr>
              <w:adjustRightInd w:val="0"/>
              <w:snapToGrid w:val="0"/>
              <w:spacing w:line="560" w:lineRule="exact"/>
              <w:rPr>
                <w:rFonts w:hint="eastAsia" w:eastAsia="宋体"/>
                <w:color w:val="auto"/>
                <w:sz w:val="24"/>
                <w:highlight w:val="none"/>
                <w:lang w:eastAsia="zh-CN"/>
              </w:rPr>
            </w:pPr>
            <w:r>
              <w:rPr>
                <w:rFonts w:hint="eastAsia" w:ascii="宋体" w:hAnsi="宋体" w:cs="宋体"/>
                <w:color w:val="auto"/>
                <w:sz w:val="24"/>
                <w:highlight w:val="none"/>
              </w:rPr>
              <w:t>支付主体：</w:t>
            </w:r>
            <w:r>
              <w:rPr>
                <w:rFonts w:hint="eastAsia" w:ascii="宋体" w:hAnsi="宋体" w:cs="宋体"/>
                <w:color w:val="auto"/>
                <w:sz w:val="24"/>
                <w:highlight w:val="none"/>
                <w:lang w:val="en-US" w:eastAsia="zh-CN"/>
              </w:rPr>
              <w:t>招标人</w:t>
            </w:r>
          </w:p>
        </w:tc>
      </w:tr>
      <w:tr w14:paraId="3F8AD13F">
        <w:tblPrEx>
          <w:tblCellMar>
            <w:top w:w="0" w:type="dxa"/>
            <w:left w:w="108" w:type="dxa"/>
            <w:bottom w:w="0" w:type="dxa"/>
            <w:right w:w="108" w:type="dxa"/>
          </w:tblCellMar>
        </w:tblPrEx>
        <w:trPr>
          <w:trHeight w:val="90" w:hRule="atLeast"/>
          <w:jc w:val="center"/>
        </w:trPr>
        <w:tc>
          <w:tcPr>
            <w:tcW w:w="10175" w:type="dxa"/>
            <w:gridSpan w:val="3"/>
            <w:tcBorders>
              <w:top w:val="single" w:color="auto" w:sz="4" w:space="0"/>
              <w:left w:val="single" w:color="auto" w:sz="4" w:space="0"/>
              <w:bottom w:val="single" w:color="auto" w:sz="4" w:space="0"/>
              <w:right w:val="single" w:color="auto" w:sz="4" w:space="0"/>
            </w:tcBorders>
            <w:noWrap w:val="0"/>
            <w:vAlign w:val="center"/>
          </w:tcPr>
          <w:p w14:paraId="75272590">
            <w:pPr>
              <w:adjustRightInd w:val="0"/>
              <w:snapToGrid w:val="0"/>
              <w:spacing w:line="560" w:lineRule="exact"/>
              <w:rPr>
                <w:rFonts w:hint="eastAsia" w:ascii="宋体" w:hAnsi="宋体" w:cs="宋体"/>
                <w:bCs/>
                <w:snapToGrid w:val="0"/>
                <w:color w:val="auto"/>
                <w:kern w:val="0"/>
                <w:sz w:val="24"/>
                <w:highlight w:val="none"/>
              </w:rPr>
            </w:pPr>
            <w:r>
              <w:rPr>
                <w:rFonts w:hint="eastAsia" w:ascii="宋体" w:hAnsi="宋体" w:cs="宋体"/>
                <w:color w:val="auto"/>
                <w:sz w:val="24"/>
                <w:highlight w:val="none"/>
              </w:rPr>
              <w:t>10.2 招标文件获取与通知</w:t>
            </w:r>
          </w:p>
        </w:tc>
      </w:tr>
      <w:tr w14:paraId="66797335">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3655790F">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10.2.1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BDA4719">
            <w:pPr>
              <w:adjustRightInd w:val="0"/>
              <w:snapToGrid w:val="0"/>
              <w:spacing w:line="560" w:lineRule="exact"/>
              <w:jc w:val="center"/>
              <w:rPr>
                <w:rFonts w:hint="eastAsia"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电子招投标</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E6A52DB">
            <w:pPr>
              <w:adjustRightInd w:val="0"/>
              <w:snapToGrid w:val="0"/>
              <w:spacing w:line="560" w:lineRule="exact"/>
              <w:rPr>
                <w:rFonts w:hint="eastAsia" w:ascii="宋体" w:hAnsi="宋体" w:cs="宋体"/>
                <w:color w:val="auto"/>
                <w:sz w:val="24"/>
                <w:highlight w:val="none"/>
              </w:rPr>
            </w:pPr>
            <w:r>
              <w:rPr>
                <w:rFonts w:hint="eastAsia" w:ascii="宋体" w:hAnsi="宋体" w:cs="宋体"/>
                <w:bCs/>
                <w:snapToGrid w:val="0"/>
                <w:color w:val="auto"/>
                <w:kern w:val="0"/>
                <w:sz w:val="24"/>
                <w:highlight w:val="none"/>
              </w:rPr>
              <w:t>本项目采用电子招标投标方式。</w:t>
            </w:r>
          </w:p>
        </w:tc>
      </w:tr>
      <w:tr w14:paraId="61E52B40">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224ADF1C">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10.2.2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0C3CC53">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bCs/>
                <w:snapToGrid w:val="0"/>
                <w:color w:val="auto"/>
                <w:kern w:val="0"/>
                <w:sz w:val="24"/>
                <w:highlight w:val="none"/>
              </w:rPr>
              <w:t>图纸获取说明</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6FF9520D">
            <w:pPr>
              <w:adjustRightInd w:val="0"/>
              <w:snapToGrid w:val="0"/>
              <w:spacing w:line="560" w:lineRule="exact"/>
              <w:rPr>
                <w:rFonts w:hint="eastAsia" w:ascii="宋体" w:hAnsi="宋体" w:cs="宋体"/>
                <w:color w:val="auto"/>
                <w:sz w:val="24"/>
                <w:highlight w:val="none"/>
              </w:rPr>
            </w:pPr>
            <w:r>
              <w:rPr>
                <w:rFonts w:hint="eastAsia" w:ascii="宋体" w:hAnsi="宋体" w:cs="宋体"/>
                <w:color w:val="auto"/>
                <w:sz w:val="24"/>
                <w:highlight w:val="none"/>
              </w:rPr>
              <w:t xml:space="preserve">通过滁州市公共资源交易中心网站发布，投标人应自行下载。投标人应当及时登录滁州市公共资源交易中心交易系统查看。 </w:t>
            </w:r>
          </w:p>
        </w:tc>
      </w:tr>
      <w:tr w14:paraId="4225B8DC">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54E3B781">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10.2.3</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D428D7F">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bCs/>
                <w:snapToGrid w:val="0"/>
                <w:color w:val="auto"/>
                <w:kern w:val="0"/>
                <w:sz w:val="24"/>
                <w:highlight w:val="none"/>
              </w:rPr>
              <w:t>获取与查看通知</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D3B3FAF">
            <w:pPr>
              <w:adjustRightInd w:val="0"/>
              <w:snapToGrid w:val="0"/>
              <w:spacing w:line="560" w:lineRule="exact"/>
              <w:rPr>
                <w:rFonts w:hint="eastAsia" w:ascii="宋体" w:hAnsi="宋体" w:cs="宋体"/>
                <w:color w:val="auto"/>
                <w:sz w:val="24"/>
                <w:highlight w:val="none"/>
              </w:rPr>
            </w:pPr>
            <w:r>
              <w:rPr>
                <w:rFonts w:hint="eastAsia" w:ascii="宋体" w:hAnsi="宋体" w:cs="宋体"/>
                <w:bCs/>
                <w:snapToGrid w:val="0"/>
                <w:color w:val="auto"/>
                <w:kern w:val="0"/>
                <w:sz w:val="24"/>
                <w:highlight w:val="none"/>
              </w:rPr>
              <w:t>本项目的招标文件、工程量清单、最高投标限价、澄清及修改等相关资料均通过</w:t>
            </w:r>
            <w:r>
              <w:rPr>
                <w:rFonts w:hint="eastAsia" w:ascii="宋体" w:hAnsi="宋体" w:cs="宋体"/>
                <w:bCs/>
                <w:snapToGrid w:val="0"/>
                <w:color w:val="auto"/>
                <w:kern w:val="0"/>
                <w:sz w:val="24"/>
                <w:highlight w:val="none"/>
                <w:u w:val="single"/>
              </w:rPr>
              <w:t>滁州市公共资源交易中心网站</w:t>
            </w:r>
            <w:r>
              <w:rPr>
                <w:rFonts w:hint="eastAsia" w:ascii="宋体" w:hAnsi="宋体" w:cs="宋体"/>
                <w:bCs/>
                <w:snapToGrid w:val="0"/>
                <w:color w:val="auto"/>
                <w:kern w:val="0"/>
                <w:sz w:val="24"/>
                <w:highlight w:val="none"/>
              </w:rPr>
              <w:t>发布，投标人应自行下载。投标人应当及时登录</w:t>
            </w:r>
            <w:r>
              <w:rPr>
                <w:rFonts w:hint="eastAsia" w:ascii="宋体" w:hAnsi="宋体" w:cs="宋体"/>
                <w:bCs/>
                <w:snapToGrid w:val="0"/>
                <w:color w:val="auto"/>
                <w:kern w:val="0"/>
                <w:sz w:val="24"/>
                <w:highlight w:val="none"/>
                <w:u w:val="single"/>
              </w:rPr>
              <w:t>滁州市公共资源交易中心交易</w:t>
            </w:r>
            <w:r>
              <w:rPr>
                <w:rFonts w:hint="eastAsia" w:ascii="宋体" w:hAnsi="宋体" w:cs="宋体"/>
                <w:bCs/>
                <w:snapToGrid w:val="0"/>
                <w:color w:val="auto"/>
                <w:kern w:val="0"/>
                <w:sz w:val="24"/>
                <w:highlight w:val="none"/>
              </w:rPr>
              <w:t>系统查看。</w:t>
            </w:r>
          </w:p>
        </w:tc>
      </w:tr>
      <w:tr w14:paraId="0833FD29">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A87B341">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10.3</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5B83D447">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主要材料要求</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1AE55F4E">
            <w:pPr>
              <w:pStyle w:val="38"/>
              <w:spacing w:line="560" w:lineRule="exact"/>
              <w:jc w:val="left"/>
              <w:rPr>
                <w:rFonts w:hint="eastAsia"/>
                <w:bCs/>
                <w:color w:val="auto"/>
                <w:sz w:val="24"/>
                <w:highlight w:val="none"/>
                <w:lang w:val="en-US" w:eastAsia="zh-CN"/>
              </w:rPr>
            </w:pPr>
            <w:r>
              <w:rPr>
                <w:rFonts w:hint="eastAsia"/>
                <w:bCs/>
                <w:color w:val="auto"/>
                <w:sz w:val="24"/>
                <w:highlight w:val="none"/>
                <w:lang w:val="en-US"/>
              </w:rPr>
              <w:t>主要材料由中标人自行采购</w:t>
            </w:r>
            <w:r>
              <w:rPr>
                <w:rFonts w:hint="eastAsia"/>
                <w:bCs/>
                <w:color w:val="auto"/>
                <w:sz w:val="24"/>
                <w:highlight w:val="none"/>
                <w:lang w:val="en-US" w:eastAsia="zh-CN"/>
              </w:rPr>
              <w:t>。</w:t>
            </w:r>
          </w:p>
          <w:p w14:paraId="2A45FC7C">
            <w:pPr>
              <w:pStyle w:val="38"/>
              <w:spacing w:line="560" w:lineRule="exact"/>
              <w:jc w:val="left"/>
              <w:rPr>
                <w:rFonts w:hint="eastAsia"/>
                <w:bCs/>
                <w:color w:val="auto"/>
                <w:sz w:val="24"/>
                <w:highlight w:val="none"/>
                <w:lang w:val="en-US"/>
              </w:rPr>
            </w:pPr>
            <w:r>
              <w:rPr>
                <w:rFonts w:hint="eastAsia"/>
                <w:bCs/>
                <w:color w:val="auto"/>
                <w:sz w:val="24"/>
                <w:highlight w:val="none"/>
                <w:lang w:val="en-US"/>
              </w:rPr>
              <w:t>如招标人对主要材料、设备的技术性能指标有特殊要求，应在招标文件第八章“技术标准和要求”品牌推荐表中推荐不少于三个品牌。对于招标人推荐品牌的材料、设备，投标人可选用推荐品牌或不低于推荐品牌技术性能指标的其他品牌；采用其他品牌的应在报价文件《招标人推荐的材料品牌响应表》中注明并提供相关技术性能指标、业绩等供评标委员会评审，未在《招标人推荐的材料品牌响应表》中注明且未提供相关技术性能指标、业绩，或经评标委员会评审未通过的，中标后只能从招标人推荐品牌中进行选择，合同价格不予调整。</w:t>
            </w:r>
          </w:p>
          <w:p w14:paraId="560E6A29">
            <w:pPr>
              <w:pStyle w:val="38"/>
              <w:spacing w:line="560" w:lineRule="exact"/>
              <w:jc w:val="left"/>
              <w:rPr>
                <w:rFonts w:hint="eastAsia"/>
                <w:b/>
                <w:bCs/>
                <w:color w:val="auto"/>
                <w:sz w:val="24"/>
                <w:highlight w:val="none"/>
                <w:u w:val="none"/>
                <w:lang w:val="en-US"/>
              </w:rPr>
            </w:pPr>
            <w:r>
              <w:rPr>
                <w:rFonts w:hint="eastAsia"/>
                <w:b/>
                <w:bCs/>
                <w:color w:val="auto"/>
                <w:sz w:val="24"/>
                <w:highlight w:val="none"/>
                <w:u w:val="none"/>
                <w:lang w:val="en-US"/>
              </w:rPr>
              <w:t>1、本工程采用商品砼。</w:t>
            </w:r>
          </w:p>
          <w:p w14:paraId="02927F68">
            <w:pPr>
              <w:pStyle w:val="38"/>
              <w:spacing w:line="560" w:lineRule="exact"/>
              <w:jc w:val="left"/>
              <w:rPr>
                <w:rFonts w:hint="eastAsia"/>
                <w:b/>
                <w:bCs/>
                <w:color w:val="auto"/>
                <w:sz w:val="24"/>
                <w:highlight w:val="none"/>
                <w:u w:val="none"/>
                <w:lang w:val="en-US"/>
              </w:rPr>
            </w:pPr>
            <w:r>
              <w:rPr>
                <w:rFonts w:hint="eastAsia"/>
                <w:b/>
                <w:bCs/>
                <w:color w:val="auto"/>
                <w:sz w:val="24"/>
                <w:highlight w:val="none"/>
                <w:u w:val="none"/>
                <w:lang w:val="en-US"/>
              </w:rPr>
              <w:t>2、本项目采用预拌砂浆。</w:t>
            </w:r>
          </w:p>
          <w:p w14:paraId="50A47403">
            <w:pPr>
              <w:pStyle w:val="38"/>
              <w:adjustRightInd w:val="0"/>
              <w:snapToGrid w:val="0"/>
              <w:spacing w:line="560" w:lineRule="exact"/>
              <w:jc w:val="left"/>
              <w:rPr>
                <w:rFonts w:hint="eastAsia" w:ascii="宋体" w:hAnsi="宋体" w:eastAsia="宋体" w:cs="宋体"/>
                <w:b/>
                <w:bCs/>
                <w:color w:val="auto"/>
                <w:sz w:val="24"/>
                <w:highlight w:val="none"/>
                <w:u w:val="none"/>
                <w:lang w:val="en-US" w:eastAsia="zh-CN"/>
              </w:rPr>
            </w:pPr>
            <w:r>
              <w:rPr>
                <w:rFonts w:hint="eastAsia" w:ascii="宋体" w:hAnsi="宋体" w:eastAsia="宋体" w:cs="宋体"/>
                <w:b/>
                <w:bCs/>
                <w:color w:val="auto"/>
                <w:sz w:val="24"/>
                <w:highlight w:val="none"/>
                <w:u w:val="none"/>
                <w:lang w:val="en-US" w:eastAsia="zh-CN"/>
              </w:rPr>
              <w:t>3.其他相关要求：</w:t>
            </w:r>
          </w:p>
          <w:p w14:paraId="21A7885B">
            <w:pPr>
              <w:pStyle w:val="38"/>
              <w:adjustRightInd w:val="0"/>
              <w:snapToGrid w:val="0"/>
              <w:spacing w:line="560" w:lineRule="exact"/>
              <w:jc w:val="left"/>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 xml:space="preserve">3.1中标人自行采购的材料应满足设计和规范要求的质量等级，并须按有关技术规范要求对材料质量进行检验。如招标人和监理单位对某种或某些材料的质量有异议，有权提出停止使用的要求，中标人必须服从该要求。若该材料经检验部门鉴定确有质量问题，由此发生的一切费用由中标人自付；主要材料供应商发生过质量事故及管理混乱的，不得用于该工程建设，发包人具有否决权。因中标人自行采购的材料质量引起的工程质量问题由中标人承担所造成的一切损失。 </w:t>
            </w:r>
          </w:p>
          <w:p w14:paraId="66936B91">
            <w:pPr>
              <w:pStyle w:val="38"/>
              <w:adjustRightInd w:val="0"/>
              <w:snapToGrid w:val="0"/>
              <w:spacing w:line="560" w:lineRule="exact"/>
              <w:jc w:val="left"/>
              <w:rPr>
                <w:rFonts w:hint="eastAsia"/>
                <w:color w:val="auto"/>
                <w:sz w:val="24"/>
                <w:highlight w:val="none"/>
              </w:rPr>
            </w:pPr>
            <w:r>
              <w:rPr>
                <w:rFonts w:hint="eastAsia" w:ascii="宋体" w:hAnsi="宋体" w:eastAsia="宋体" w:cs="宋体"/>
                <w:bCs/>
                <w:color w:val="auto"/>
                <w:sz w:val="24"/>
                <w:highlight w:val="none"/>
                <w:lang w:val="en-US" w:eastAsia="zh-CN"/>
              </w:rPr>
              <w:t>3.</w:t>
            </w:r>
            <w:r>
              <w:rPr>
                <w:rFonts w:hint="eastAsia" w:cs="宋体"/>
                <w:bCs/>
                <w:color w:val="auto"/>
                <w:sz w:val="24"/>
                <w:highlight w:val="none"/>
                <w:lang w:val="en-US" w:eastAsia="zh-CN"/>
              </w:rPr>
              <w:t>2</w:t>
            </w:r>
            <w:r>
              <w:rPr>
                <w:rFonts w:hint="eastAsia" w:ascii="宋体" w:hAnsi="宋体" w:eastAsia="宋体" w:cs="宋体"/>
                <w:bCs/>
                <w:color w:val="auto"/>
                <w:sz w:val="24"/>
                <w:highlight w:val="none"/>
                <w:lang w:val="en-US" w:eastAsia="zh-CN"/>
              </w:rPr>
              <w:t>招标人有权随机抽取中标人提供的材料进行检测，若检测不合格，检测费用由中标人支付，不合格材料无条件退场并处以1万元/次违约金；二次抽检不合格，不合格材料无条件退场并处以5万元/次违约金并上报主管部门。</w:t>
            </w:r>
          </w:p>
        </w:tc>
      </w:tr>
      <w:tr w14:paraId="4EF49077">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2B6CB119">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10.4</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1D2D544">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bCs/>
                <w:snapToGrid w:val="0"/>
                <w:color w:val="auto"/>
                <w:kern w:val="0"/>
                <w:sz w:val="24"/>
                <w:highlight w:val="none"/>
              </w:rPr>
              <w:t>相关要求</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06AFE047">
            <w:pPr>
              <w:adjustRightInd w:val="0"/>
              <w:snapToGrid w:val="0"/>
              <w:spacing w:line="560" w:lineRule="exact"/>
              <w:rPr>
                <w:rFonts w:hint="eastAsia" w:ascii="宋体" w:hAnsi="宋体" w:eastAsia="宋体" w:cs="宋体"/>
                <w:bCs/>
                <w:color w:val="auto"/>
                <w:kern w:val="2"/>
                <w:sz w:val="24"/>
                <w:szCs w:val="24"/>
                <w:highlight w:val="none"/>
                <w:lang w:val="en-US" w:eastAsia="zh-CN" w:bidi="zh-CN"/>
              </w:rPr>
            </w:pPr>
            <w:r>
              <w:rPr>
                <w:rFonts w:hint="eastAsia" w:ascii="宋体" w:hAnsi="宋体" w:eastAsia="宋体" w:cs="宋体"/>
                <w:bCs/>
                <w:color w:val="auto"/>
                <w:kern w:val="2"/>
                <w:sz w:val="24"/>
                <w:szCs w:val="24"/>
                <w:highlight w:val="none"/>
                <w:lang w:val="en-US" w:eastAsia="zh-CN" w:bidi="zh-CN"/>
              </w:rPr>
              <w:t>1、本项目投标保证金、履约保证金、工程质量保证金、农民工工资保证金均支持保函使用。以现金形式提交保证金的，应当同时退还保证金本金和银行同期存款利息。</w:t>
            </w:r>
          </w:p>
          <w:p w14:paraId="648CFC26">
            <w:pPr>
              <w:adjustRightInd w:val="0"/>
              <w:snapToGrid w:val="0"/>
              <w:spacing w:line="560" w:lineRule="exact"/>
              <w:rPr>
                <w:rFonts w:hint="eastAsia" w:ascii="宋体" w:hAnsi="宋体" w:eastAsia="宋体" w:cs="宋体"/>
                <w:bCs/>
                <w:color w:val="auto"/>
                <w:kern w:val="2"/>
                <w:sz w:val="24"/>
                <w:szCs w:val="24"/>
                <w:highlight w:val="none"/>
                <w:lang w:val="en-US" w:eastAsia="zh-CN" w:bidi="zh-CN"/>
              </w:rPr>
            </w:pPr>
            <w:r>
              <w:rPr>
                <w:rFonts w:hint="eastAsia" w:ascii="宋体" w:hAnsi="宋体" w:eastAsia="宋体" w:cs="宋体"/>
                <w:bCs/>
                <w:color w:val="auto"/>
                <w:kern w:val="2"/>
                <w:sz w:val="24"/>
                <w:szCs w:val="24"/>
                <w:highlight w:val="none"/>
                <w:lang w:val="en-US" w:eastAsia="zh-CN" w:bidi="zh-CN"/>
              </w:rPr>
              <w:t>2、承包人在工程实施过程中的用工行为，必须严格按照《保障农民工工资支付条例》（国务院令 第724号）、《安徽省人民政府办公厅关于全面治理拖欠农民工工资问题的实施意见》（皖政办〔2016〕22号）以及《贯彻落实&lt;工程建设领域农民工工资专用账户管理暂行办法&gt;的通知》（皖人社发〔2022〕5号）、《安徽省工程建设领域农民工工资保证金实施办法》（皖人社发〔2022〕8号）等文件精神的有关规定，依法与招用的农民工签订劳动合同，并按规定及时足额支付工资。</w:t>
            </w:r>
          </w:p>
          <w:p w14:paraId="05F5EFA5">
            <w:pPr>
              <w:adjustRightInd w:val="0"/>
              <w:snapToGrid w:val="0"/>
              <w:spacing w:line="560" w:lineRule="exact"/>
              <w:rPr>
                <w:rFonts w:hint="eastAsia" w:ascii="宋体" w:hAnsi="宋体" w:eastAsia="宋体" w:cs="宋体"/>
                <w:bCs/>
                <w:color w:val="auto"/>
                <w:kern w:val="2"/>
                <w:sz w:val="24"/>
                <w:szCs w:val="24"/>
                <w:highlight w:val="none"/>
                <w:lang w:val="en-US" w:eastAsia="zh-CN" w:bidi="zh-CN"/>
              </w:rPr>
            </w:pPr>
            <w:r>
              <w:rPr>
                <w:rFonts w:hint="eastAsia" w:ascii="宋体" w:hAnsi="宋体" w:eastAsia="宋体" w:cs="宋体"/>
                <w:bCs/>
                <w:color w:val="auto"/>
                <w:kern w:val="2"/>
                <w:sz w:val="24"/>
                <w:szCs w:val="24"/>
                <w:highlight w:val="none"/>
                <w:lang w:val="en-US" w:eastAsia="zh-CN" w:bidi="zh-CN"/>
              </w:rPr>
              <w:t>为切实保障建筑行业农民工工资支付、加快培育新时代建筑产业工人队伍、有效破解拖欠工程款问题，承包人应严格落实安徽省住建厅《关于建立长效机制切实保障建筑行业农民工工资支付工作的通知》（建市函〔2022〕490号），《关于加快培育和壮大我省建筑产业工人队伍的意见》（建市规〔2023〕1号）以及《关于印发〈安徽省房屋建筑和市政基础设施工程施工过程结算管理办法〉 的通知》（建市规〔2023〕2号）等文件要求。</w:t>
            </w:r>
          </w:p>
          <w:p w14:paraId="7BB971C9">
            <w:pPr>
              <w:adjustRightInd w:val="0"/>
              <w:snapToGrid w:val="0"/>
              <w:spacing w:line="560" w:lineRule="exact"/>
              <w:rPr>
                <w:rFonts w:hint="eastAsia" w:ascii="宋体" w:hAnsi="宋体" w:eastAsia="宋体" w:cs="宋体"/>
                <w:bCs/>
                <w:color w:val="auto"/>
                <w:kern w:val="2"/>
                <w:sz w:val="24"/>
                <w:szCs w:val="24"/>
                <w:highlight w:val="none"/>
                <w:lang w:val="en-US" w:eastAsia="zh-CN" w:bidi="zh-CN"/>
              </w:rPr>
            </w:pPr>
            <w:r>
              <w:rPr>
                <w:rFonts w:hint="eastAsia" w:ascii="宋体" w:hAnsi="宋体" w:eastAsia="宋体" w:cs="宋体"/>
                <w:bCs/>
                <w:color w:val="auto"/>
                <w:kern w:val="2"/>
                <w:sz w:val="24"/>
                <w:szCs w:val="24"/>
                <w:highlight w:val="none"/>
                <w:lang w:val="en-US" w:eastAsia="zh-CN" w:bidi="zh-CN"/>
              </w:rPr>
              <w:t>《贯彻落实&lt;工程建设领域农民工工资专用账户管理暂行办法&gt;的通知》（皖人社发【2022】5号），其中工资保证金和工资专户由工程建设项目的施工总承包企业（包括直接承包建设单位发包工程的专业承包企业）缴存和开设。若为联合体中标，由联合体中牵头人缴存和开设专户。</w:t>
            </w:r>
          </w:p>
          <w:p w14:paraId="51E7DBC4">
            <w:pPr>
              <w:adjustRightInd w:val="0"/>
              <w:snapToGrid w:val="0"/>
              <w:spacing w:line="560" w:lineRule="exact"/>
              <w:rPr>
                <w:rFonts w:hint="eastAsia" w:ascii="宋体" w:hAnsi="宋体" w:eastAsia="宋体" w:cs="宋体"/>
                <w:bCs/>
                <w:color w:val="auto"/>
                <w:kern w:val="2"/>
                <w:sz w:val="24"/>
                <w:szCs w:val="24"/>
                <w:highlight w:val="none"/>
                <w:lang w:val="en-US" w:eastAsia="zh-CN" w:bidi="zh-CN"/>
              </w:rPr>
            </w:pPr>
            <w:r>
              <w:rPr>
                <w:rFonts w:hint="eastAsia" w:ascii="宋体" w:hAnsi="宋体" w:eastAsia="宋体" w:cs="宋体"/>
                <w:bCs/>
                <w:color w:val="auto"/>
                <w:kern w:val="2"/>
                <w:sz w:val="24"/>
                <w:szCs w:val="24"/>
                <w:highlight w:val="none"/>
                <w:lang w:val="en-US" w:eastAsia="zh-CN" w:bidi="zh-CN"/>
              </w:rPr>
              <w:t xml:space="preserve">3、省外建设工程企业按照《关于优化进皖建设工程企业信息登记服务和管理有关工作的通知》（建市函〔2022〕580号）进行相关信息登记。 </w:t>
            </w:r>
          </w:p>
          <w:p w14:paraId="0C932635">
            <w:pPr>
              <w:adjustRightInd w:val="0"/>
              <w:snapToGrid w:val="0"/>
              <w:spacing w:line="560" w:lineRule="exact"/>
              <w:rPr>
                <w:rFonts w:hint="eastAsia" w:ascii="宋体" w:hAnsi="宋体" w:eastAsia="宋体" w:cs="宋体"/>
                <w:bCs/>
                <w:color w:val="auto"/>
                <w:kern w:val="2"/>
                <w:sz w:val="24"/>
                <w:szCs w:val="24"/>
                <w:highlight w:val="none"/>
                <w:lang w:val="en-US" w:eastAsia="zh-CN" w:bidi="zh-CN"/>
              </w:rPr>
            </w:pPr>
            <w:r>
              <w:rPr>
                <w:rFonts w:hint="eastAsia" w:ascii="宋体" w:hAnsi="宋体" w:eastAsia="宋体" w:cs="宋体"/>
                <w:bCs/>
                <w:color w:val="auto"/>
                <w:kern w:val="2"/>
                <w:sz w:val="24"/>
                <w:szCs w:val="24"/>
                <w:highlight w:val="none"/>
                <w:lang w:val="en-US" w:eastAsia="zh-CN" w:bidi="zh-CN"/>
              </w:rPr>
              <w:t>4、保证保险产品应按《中国银保监会办公厅关于进一步加强和改进财产保险公司产品监管有关问题的通知》执行。</w:t>
            </w:r>
          </w:p>
          <w:p w14:paraId="76A07498">
            <w:pPr>
              <w:adjustRightInd w:val="0"/>
              <w:snapToGrid w:val="0"/>
              <w:spacing w:line="560" w:lineRule="exact"/>
              <w:rPr>
                <w:rFonts w:hint="eastAsia" w:ascii="宋体" w:hAnsi="宋体" w:eastAsia="宋体" w:cs="宋体"/>
                <w:bCs/>
                <w:color w:val="auto"/>
                <w:kern w:val="2"/>
                <w:sz w:val="24"/>
                <w:szCs w:val="24"/>
                <w:highlight w:val="none"/>
                <w:lang w:val="en-US" w:eastAsia="zh-CN" w:bidi="zh-CN"/>
              </w:rPr>
            </w:pPr>
            <w:r>
              <w:rPr>
                <w:rFonts w:hint="eastAsia" w:ascii="宋体" w:hAnsi="宋体" w:eastAsia="宋体" w:cs="宋体"/>
                <w:bCs/>
                <w:color w:val="auto"/>
                <w:kern w:val="2"/>
                <w:sz w:val="24"/>
                <w:szCs w:val="24"/>
                <w:highlight w:val="none"/>
                <w:lang w:val="en-US" w:eastAsia="zh-CN" w:bidi="zh-CN"/>
              </w:rPr>
              <w:t>5、我省行政区域内按照规定应办理建筑工程施工许可证的房屋建筑和市政工程建设项目，均应办理工程款支付担保。具体金额、担保方式等按《安徽省住房和城乡建设厅关于加强房屋建筑和市政基础设施工程建设领域工程款支付担保管理工作的通知》（建市〔2022〕54号）执行。</w:t>
            </w:r>
          </w:p>
        </w:tc>
      </w:tr>
      <w:tr w14:paraId="5C7921BF">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1ECA3DB">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10.5</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E17DD41">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评标过程中的澄清、说明或补正</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AA08B8D">
            <w:pPr>
              <w:pStyle w:val="38"/>
              <w:tabs>
                <w:tab w:val="left" w:pos="636"/>
              </w:tabs>
              <w:adjustRightInd w:val="0"/>
              <w:snapToGrid w:val="0"/>
              <w:spacing w:line="560" w:lineRule="exact"/>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1.评标委员会通过网上开评标系统将需要澄清、说明或补正的内容以询标函的形式发送给投标人，投标人应安排专人登录网上开评标系统并保持在线状态，并确保联系方式有效，以便及时接收评标委员会可能发出的询标函。</w:t>
            </w:r>
          </w:p>
          <w:p w14:paraId="0B035F4D">
            <w:pPr>
              <w:pStyle w:val="38"/>
              <w:tabs>
                <w:tab w:val="left" w:pos="636"/>
              </w:tabs>
              <w:adjustRightInd w:val="0"/>
              <w:snapToGrid w:val="0"/>
              <w:spacing w:line="560" w:lineRule="exact"/>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因投标人未登录网上开评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1EDDF4D7">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7245B53">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10.6</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61EC85F">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解释权</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3F212D51">
            <w:pPr>
              <w:pStyle w:val="38"/>
              <w:tabs>
                <w:tab w:val="left" w:pos="636"/>
              </w:tabs>
              <w:adjustRightInd w:val="0"/>
              <w:snapToGrid w:val="0"/>
              <w:spacing w:line="560" w:lineRule="exact"/>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1、构成本招标文件的各个组成文件应互为解释，互为说明；</w:t>
            </w:r>
          </w:p>
          <w:p w14:paraId="27AE6A17">
            <w:pPr>
              <w:pStyle w:val="38"/>
              <w:tabs>
                <w:tab w:val="left" w:pos="636"/>
              </w:tabs>
              <w:adjustRightInd w:val="0"/>
              <w:snapToGrid w:val="0"/>
              <w:spacing w:line="560" w:lineRule="exact"/>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2、同一组成文件中就同一事项的规定或约定不一致的，以编排顺序在后者为准；</w:t>
            </w:r>
          </w:p>
          <w:p w14:paraId="00A6A542">
            <w:pPr>
              <w:pStyle w:val="38"/>
              <w:tabs>
                <w:tab w:val="left" w:pos="636"/>
              </w:tabs>
              <w:adjustRightInd w:val="0"/>
              <w:snapToGrid w:val="0"/>
              <w:spacing w:line="560" w:lineRule="exact"/>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3、如有不明确或不一致，构成合同文件组成内容的，以合同文件约定内容为准，且以专用合同条款约定的合同文件优先顺序解释；</w:t>
            </w:r>
          </w:p>
          <w:p w14:paraId="2D997DDC">
            <w:pPr>
              <w:pStyle w:val="38"/>
              <w:tabs>
                <w:tab w:val="left" w:pos="636"/>
              </w:tabs>
              <w:adjustRightInd w:val="0"/>
              <w:snapToGrid w:val="0"/>
              <w:spacing w:line="560" w:lineRule="exact"/>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4、系统中提供的表格（或格式文件）与招标文件中不一致时，以招标文件中提供的为准；</w:t>
            </w:r>
          </w:p>
          <w:p w14:paraId="16FB9B5E">
            <w:pPr>
              <w:pStyle w:val="38"/>
              <w:tabs>
                <w:tab w:val="left" w:pos="636"/>
              </w:tabs>
              <w:adjustRightInd w:val="0"/>
              <w:snapToGrid w:val="0"/>
              <w:spacing w:line="560" w:lineRule="exact"/>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5、按本款前述规定仍不能形成结论的，由招标人负责解释。</w:t>
            </w:r>
          </w:p>
        </w:tc>
      </w:tr>
      <w:tr w14:paraId="468A19BC">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36A7BFE">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10.7</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879C4BC">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同义词语</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169446BD">
            <w:pPr>
              <w:pStyle w:val="38"/>
              <w:adjustRightInd w:val="0"/>
              <w:snapToGrid w:val="0"/>
              <w:spacing w:line="560" w:lineRule="exac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构成招标文件组成部分的“通用合同条款”、“专用合同条款”、“技术标准和要求”和“工程量清单”等章节中 “发包人”和“承包人”，等同于招标投标阶段的“招标人”和“投标人/中标人”。</w:t>
            </w:r>
          </w:p>
        </w:tc>
      </w:tr>
      <w:tr w14:paraId="0E82336F">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E620EDD">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10.8</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D0274EC">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关于招标工程量清单、最高投标限价及投标报价编制特别说明</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6DA23D72">
            <w:pPr>
              <w:pStyle w:val="38"/>
              <w:adjustRightInd w:val="0"/>
              <w:snapToGrid w:val="0"/>
              <w:spacing w:line="560" w:lineRule="exac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本项目最高投标限价材料、设备价格依据造价管理部门发布的市场价格信息并结合市场实际价格综合考虑编制，投标人应根据施工图纸、招标工程量清单、补遗，并结合企业自身实力理性报价。</w:t>
            </w:r>
          </w:p>
        </w:tc>
      </w:tr>
      <w:tr w14:paraId="24CA4750">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3AD581CB">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10.9</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C269D8D">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其他</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0B6E0ABE">
            <w:pPr>
              <w:pStyle w:val="38"/>
              <w:adjustRightInd w:val="0"/>
              <w:snapToGrid w:val="0"/>
              <w:spacing w:line="560" w:lineRule="exact"/>
              <w:jc w:val="left"/>
              <w:rPr>
                <w:rFonts w:hint="eastAsia"/>
                <w:color w:val="auto"/>
                <w:sz w:val="24"/>
                <w:highlight w:val="none"/>
                <w:lang w:val="en-US"/>
              </w:rPr>
            </w:pPr>
            <w:r>
              <w:rPr>
                <w:rFonts w:hint="eastAsia"/>
                <w:color w:val="auto"/>
                <w:sz w:val="24"/>
                <w:highlight w:val="none"/>
                <w:lang w:val="en-US"/>
              </w:rPr>
              <w:t>1</w:t>
            </w:r>
            <w:r>
              <w:rPr>
                <w:rFonts w:hint="eastAsia"/>
                <w:color w:val="auto"/>
                <w:sz w:val="24"/>
                <w:highlight w:val="none"/>
                <w:lang w:val="en-US" w:eastAsia="zh-CN"/>
              </w:rPr>
              <w:t>.</w:t>
            </w:r>
            <w:r>
              <w:rPr>
                <w:rFonts w:hint="eastAsia"/>
                <w:bCs/>
                <w:snapToGrid w:val="0"/>
                <w:color w:val="auto"/>
                <w:kern w:val="0"/>
                <w:sz w:val="24"/>
                <w:highlight w:val="none"/>
              </w:rPr>
              <w:t>如本项目招标文件中出现特定性、唯一性品牌的表述，该品牌仅作为参考，施工过程中不具有限定性。</w:t>
            </w:r>
          </w:p>
          <w:p w14:paraId="1E5AEBD7">
            <w:pPr>
              <w:pStyle w:val="38"/>
              <w:adjustRightInd w:val="0"/>
              <w:snapToGrid w:val="0"/>
              <w:spacing w:line="560" w:lineRule="exact"/>
              <w:jc w:val="left"/>
              <w:rPr>
                <w:rFonts w:hint="eastAsia"/>
                <w:bCs/>
                <w:snapToGrid w:val="0"/>
                <w:color w:val="auto"/>
                <w:kern w:val="0"/>
                <w:sz w:val="24"/>
                <w:highlight w:val="none"/>
              </w:rPr>
            </w:pPr>
            <w:r>
              <w:rPr>
                <w:rFonts w:hint="eastAsia"/>
                <w:color w:val="auto"/>
                <w:sz w:val="24"/>
                <w:highlight w:val="none"/>
                <w:lang w:val="en-US"/>
              </w:rPr>
              <w:t>2</w:t>
            </w:r>
            <w:r>
              <w:rPr>
                <w:rFonts w:hint="eastAsia"/>
                <w:color w:val="auto"/>
                <w:sz w:val="24"/>
                <w:highlight w:val="none"/>
                <w:lang w:val="en-US" w:eastAsia="zh-CN"/>
              </w:rPr>
              <w:t>.</w:t>
            </w:r>
            <w:r>
              <w:rPr>
                <w:rFonts w:hint="eastAsia"/>
                <w:color w:val="auto"/>
                <w:sz w:val="24"/>
                <w:highlight w:val="none"/>
                <w:lang w:val="en-US"/>
              </w:rPr>
              <w:t>项目经理必</w:t>
            </w:r>
            <w:r>
              <w:rPr>
                <w:rFonts w:hint="eastAsia"/>
                <w:bCs/>
                <w:snapToGrid w:val="0"/>
                <w:color w:val="auto"/>
                <w:kern w:val="0"/>
                <w:sz w:val="24"/>
                <w:highlight w:val="none"/>
                <w:lang w:val="en-US"/>
              </w:rPr>
              <w:t>须是投标人本单位工作人员，提供虚假资料谋取中标将被依法处罚。</w:t>
            </w:r>
            <w:r>
              <w:rPr>
                <w:rFonts w:hint="eastAsia"/>
                <w:bCs/>
                <w:snapToGrid w:val="0"/>
                <w:color w:val="auto"/>
                <w:kern w:val="0"/>
                <w:sz w:val="24"/>
                <w:highlight w:val="none"/>
              </w:rPr>
              <w:t>投标人对所提交的投标人或拟派项目经理业绩、投标人资质等证明资料承担缔约过失责任和法律责任。若投诉人或举报人对前述资料或证明资料存在争议，进行有效投诉或举报， 被投诉人、被举报人应当主动配合执法机关调查，并在规定的期限内举证，提供有关证明资料的原件；拒不配合执法机构调查，且未在规定期限内举证、提供证明资料原件的，执法机构</w:t>
            </w:r>
            <w:r>
              <w:rPr>
                <w:rFonts w:hint="eastAsia"/>
                <w:bCs/>
                <w:snapToGrid w:val="0"/>
                <w:color w:val="auto"/>
                <w:kern w:val="0"/>
                <w:sz w:val="24"/>
                <w:highlight w:val="none"/>
                <w:lang w:val="en-US"/>
              </w:rPr>
              <w:t>滁州市</w:t>
            </w:r>
            <w:r>
              <w:rPr>
                <w:rFonts w:hint="eastAsia"/>
                <w:bCs/>
                <w:snapToGrid w:val="0"/>
                <w:color w:val="auto"/>
                <w:kern w:val="0"/>
                <w:sz w:val="24"/>
                <w:highlight w:val="none"/>
              </w:rPr>
              <w:t>公共资源交易监督管理局依法处理。</w:t>
            </w:r>
          </w:p>
          <w:p w14:paraId="316182B0">
            <w:pPr>
              <w:pStyle w:val="38"/>
              <w:tabs>
                <w:tab w:val="left" w:pos="636"/>
              </w:tabs>
              <w:adjustRightInd w:val="0"/>
              <w:snapToGrid w:val="0"/>
              <w:spacing w:line="560" w:lineRule="exact"/>
              <w:jc w:val="left"/>
              <w:rPr>
                <w:color w:val="auto"/>
                <w:sz w:val="24"/>
                <w:highlight w:val="none"/>
              </w:rPr>
            </w:pPr>
            <w:r>
              <w:rPr>
                <w:rFonts w:hint="eastAsia"/>
                <w:color w:val="auto"/>
                <w:sz w:val="24"/>
                <w:highlight w:val="none"/>
                <w:lang w:val="en-US"/>
              </w:rPr>
              <w:t>3</w:t>
            </w:r>
            <w:r>
              <w:rPr>
                <w:rFonts w:hint="eastAsia"/>
                <w:color w:val="auto"/>
                <w:sz w:val="24"/>
                <w:highlight w:val="none"/>
                <w:lang w:val="en-US" w:eastAsia="zh-CN"/>
              </w:rPr>
              <w:t>.</w:t>
            </w:r>
            <w:r>
              <w:rPr>
                <w:color w:val="auto"/>
                <w:sz w:val="24"/>
                <w:highlight w:val="none"/>
              </w:rPr>
              <w:t>中标人未履行下述义务的，</w:t>
            </w:r>
            <w:r>
              <w:rPr>
                <w:rFonts w:hint="eastAsia"/>
                <w:color w:val="auto"/>
                <w:sz w:val="24"/>
                <w:highlight w:val="none"/>
                <w:lang w:val="en-US"/>
              </w:rPr>
              <w:t>滁州市</w:t>
            </w:r>
            <w:r>
              <w:rPr>
                <w:color w:val="auto"/>
                <w:sz w:val="24"/>
                <w:highlight w:val="none"/>
              </w:rPr>
              <w:t>公共资源交</w:t>
            </w:r>
            <w:r>
              <w:rPr>
                <w:color w:val="auto"/>
                <w:spacing w:val="-7"/>
                <w:sz w:val="24"/>
                <w:highlight w:val="none"/>
              </w:rPr>
              <w:t>易监督管理局将依法对中标人进行处理，追究相关责</w:t>
            </w:r>
            <w:r>
              <w:rPr>
                <w:color w:val="auto"/>
                <w:sz w:val="24"/>
                <w:highlight w:val="none"/>
              </w:rPr>
              <w:t>任：</w:t>
            </w:r>
          </w:p>
          <w:p w14:paraId="3ECCF66E">
            <w:pPr>
              <w:pStyle w:val="38"/>
              <w:adjustRightInd w:val="0"/>
              <w:snapToGrid w:val="0"/>
              <w:spacing w:line="560" w:lineRule="exact"/>
              <w:jc w:val="left"/>
              <w:rPr>
                <w:rFonts w:hint="eastAsia"/>
                <w:bCs/>
                <w:snapToGrid w:val="0"/>
                <w:color w:val="auto"/>
                <w:kern w:val="0"/>
                <w:sz w:val="24"/>
                <w:highlight w:val="none"/>
              </w:rPr>
            </w:pPr>
            <w:r>
              <w:rPr>
                <w:rFonts w:hint="eastAsia"/>
                <w:bCs/>
                <w:snapToGrid w:val="0"/>
                <w:color w:val="auto"/>
                <w:kern w:val="0"/>
                <w:sz w:val="24"/>
                <w:highlight w:val="none"/>
              </w:rPr>
              <w:t>①中标人无正当理由不与招标人订立合同，在签订合同时向招标人提出附加条件，或者不按照招标文件要求提交履约保证金的，招标人有权取消中标人中标资格，并将相关违约行为报送监管部门处理；</w:t>
            </w:r>
          </w:p>
          <w:p w14:paraId="187D287C">
            <w:pPr>
              <w:pStyle w:val="38"/>
              <w:adjustRightInd w:val="0"/>
              <w:snapToGrid w:val="0"/>
              <w:spacing w:line="560" w:lineRule="exact"/>
              <w:jc w:val="left"/>
              <w:rPr>
                <w:rFonts w:hint="eastAsia"/>
                <w:bCs/>
                <w:snapToGrid w:val="0"/>
                <w:color w:val="auto"/>
                <w:kern w:val="0"/>
                <w:sz w:val="24"/>
                <w:highlight w:val="none"/>
              </w:rPr>
            </w:pPr>
            <w:r>
              <w:rPr>
                <w:rFonts w:hint="eastAsia"/>
                <w:bCs/>
                <w:snapToGrid w:val="0"/>
                <w:color w:val="auto"/>
                <w:kern w:val="0"/>
                <w:sz w:val="24"/>
                <w:highlight w:val="none"/>
              </w:rPr>
              <w:t>②合同签订后，中标人存在规定时间内不组织人员进场开工、不履行供货安装义务等情况，招标人有权解除合同，并追究违约责任，同时将相关违约行为报送监管部门，记不良行为记录， 实施信用惩戒。</w:t>
            </w:r>
          </w:p>
          <w:p w14:paraId="6D643B82">
            <w:pPr>
              <w:pStyle w:val="38"/>
              <w:adjustRightInd w:val="0"/>
              <w:snapToGrid w:val="0"/>
              <w:spacing w:line="560" w:lineRule="exact"/>
              <w:jc w:val="left"/>
              <w:rPr>
                <w:rFonts w:hint="eastAsia"/>
                <w:color w:val="auto"/>
                <w:sz w:val="24"/>
                <w:highlight w:val="none"/>
                <w:lang w:val="en-US"/>
              </w:rPr>
            </w:pPr>
            <w:r>
              <w:rPr>
                <w:rFonts w:hint="eastAsia"/>
                <w:bCs/>
                <w:snapToGrid w:val="0"/>
                <w:color w:val="auto"/>
                <w:kern w:val="0"/>
                <w:sz w:val="24"/>
                <w:highlight w:val="none"/>
                <w:lang w:val="en-US"/>
              </w:rPr>
              <w:t>4</w:t>
            </w:r>
            <w:r>
              <w:rPr>
                <w:rFonts w:hint="eastAsia"/>
                <w:bCs/>
                <w:snapToGrid w:val="0"/>
                <w:color w:val="auto"/>
                <w:kern w:val="0"/>
                <w:sz w:val="24"/>
                <w:highlight w:val="none"/>
                <w:lang w:val="en-US" w:eastAsia="zh-CN"/>
              </w:rPr>
              <w:t>.</w:t>
            </w:r>
            <w:r>
              <w:rPr>
                <w:rFonts w:hint="eastAsia"/>
                <w:bCs/>
                <w:snapToGrid w:val="0"/>
                <w:color w:val="auto"/>
                <w:kern w:val="0"/>
                <w:sz w:val="24"/>
                <w:highlight w:val="none"/>
                <w:lang w:val="en-US"/>
              </w:rPr>
              <w:t>项目经理（建造师）变更按照《关于进一步加强建筑施工现场项目经理（建造师）变更行为管理的通知》（滁公管〔2020〕1号）规定，需经发包人以及公管、住建</w:t>
            </w:r>
            <w:r>
              <w:rPr>
                <w:rFonts w:hint="eastAsia"/>
                <w:color w:val="auto"/>
                <w:sz w:val="24"/>
                <w:highlight w:val="none"/>
                <w:lang w:val="en-US"/>
              </w:rPr>
              <w:t>部门同意。技术负责人变更需经发包人同意。</w:t>
            </w:r>
          </w:p>
          <w:p w14:paraId="2BDB4323">
            <w:pPr>
              <w:pStyle w:val="38"/>
              <w:adjustRightInd w:val="0"/>
              <w:snapToGrid w:val="0"/>
              <w:spacing w:line="560" w:lineRule="exact"/>
              <w:jc w:val="left"/>
              <w:rPr>
                <w:color w:val="auto"/>
                <w:sz w:val="24"/>
                <w:highlight w:val="none"/>
                <w:lang w:val="en-US"/>
              </w:rPr>
            </w:pPr>
            <w:r>
              <w:rPr>
                <w:rFonts w:hint="eastAsia"/>
                <w:color w:val="auto"/>
                <w:sz w:val="24"/>
                <w:highlight w:val="none"/>
                <w:lang w:val="en-US"/>
              </w:rPr>
              <w:t>中标人因下列原因变更项目经理（建造师），须缴纳违约金</w:t>
            </w:r>
            <w:r>
              <w:rPr>
                <w:color w:val="auto"/>
                <w:sz w:val="24"/>
                <w:highlight w:val="none"/>
                <w:u w:val="single"/>
                <w:lang w:val="en-US"/>
              </w:rPr>
              <w:t xml:space="preserve"> </w:t>
            </w:r>
            <w:r>
              <w:rPr>
                <w:rFonts w:hint="eastAsia"/>
                <w:color w:val="auto"/>
                <w:sz w:val="24"/>
                <w:highlight w:val="none"/>
                <w:u w:val="single"/>
                <w:lang w:val="en-US" w:eastAsia="zh-CN"/>
              </w:rPr>
              <w:t>300000</w:t>
            </w:r>
            <w:r>
              <w:rPr>
                <w:rFonts w:hint="eastAsia"/>
                <w:color w:val="auto"/>
                <w:sz w:val="24"/>
                <w:highlight w:val="none"/>
                <w:lang w:val="en-US"/>
              </w:rPr>
              <w:t>元</w:t>
            </w:r>
            <w:r>
              <w:rPr>
                <w:color w:val="auto"/>
                <w:sz w:val="24"/>
                <w:highlight w:val="none"/>
                <w:lang w:val="en-US"/>
              </w:rPr>
              <w:t xml:space="preserve">: </w:t>
            </w:r>
            <w:r>
              <w:rPr>
                <w:rFonts w:hint="eastAsia"/>
                <w:color w:val="auto"/>
                <w:sz w:val="24"/>
                <w:highlight w:val="none"/>
                <w:lang w:val="en-US"/>
              </w:rPr>
              <w:t>①患重病、发生意外等身体原因不能在施工现场进行管理的；②离职的；③违法违规行为不能继续从事施工现场管理工作的；④无能力履行合同责任义务被建设行政主管部门或建设单位责令更换的</w:t>
            </w:r>
            <w:r>
              <w:rPr>
                <w:rFonts w:hint="eastAsia"/>
                <w:color w:val="auto"/>
                <w:sz w:val="24"/>
                <w:highlight w:val="none"/>
                <w:lang w:val="en-US" w:eastAsia="zh-CN"/>
              </w:rPr>
              <w:t>.</w:t>
            </w:r>
          </w:p>
          <w:p w14:paraId="76A0C23A">
            <w:pPr>
              <w:pStyle w:val="38"/>
              <w:adjustRightInd w:val="0"/>
              <w:snapToGrid w:val="0"/>
              <w:spacing w:line="560" w:lineRule="exact"/>
              <w:jc w:val="left"/>
              <w:rPr>
                <w:rFonts w:ascii="MS Mincho" w:hAnsi="MS Mincho" w:cs="MS Mincho"/>
                <w:color w:val="auto"/>
                <w:sz w:val="24"/>
                <w:highlight w:val="none"/>
                <w:lang w:val="en-US"/>
              </w:rPr>
            </w:pPr>
            <w:r>
              <w:rPr>
                <w:rFonts w:hint="eastAsia"/>
                <w:color w:val="auto"/>
                <w:sz w:val="24"/>
                <w:highlight w:val="none"/>
                <w:lang w:val="en-US"/>
              </w:rPr>
              <w:t>中标人因下列原因变更技术负责人，须缴纳违约金</w:t>
            </w:r>
            <w:r>
              <w:rPr>
                <w:rFonts w:hint="eastAsia"/>
                <w:color w:val="auto"/>
                <w:sz w:val="24"/>
                <w:highlight w:val="none"/>
                <w:u w:val="single"/>
                <w:lang w:val="en-US" w:eastAsia="zh-CN"/>
              </w:rPr>
              <w:t>200000</w:t>
            </w:r>
            <w:r>
              <w:rPr>
                <w:rFonts w:hint="eastAsia"/>
                <w:color w:val="auto"/>
                <w:sz w:val="24"/>
                <w:highlight w:val="none"/>
                <w:lang w:val="en-US"/>
              </w:rPr>
              <w:t>元</w:t>
            </w:r>
            <w:r>
              <w:rPr>
                <w:color w:val="auto"/>
                <w:sz w:val="24"/>
                <w:highlight w:val="none"/>
                <w:lang w:val="en-US"/>
              </w:rPr>
              <w:t xml:space="preserve">: </w:t>
            </w:r>
            <w:r>
              <w:rPr>
                <w:rFonts w:hint="eastAsia"/>
                <w:color w:val="auto"/>
                <w:sz w:val="24"/>
                <w:highlight w:val="none"/>
                <w:lang w:val="en-US"/>
              </w:rPr>
              <w:t>①患重病、发生意外等身体原因不能在施工现场进行管理的；②离职的；③违法违规行为不能继续从事施工现场管理工作的；④无能力履行合同责任义务被建设行政主管部门或建设单位责令更换的。</w:t>
            </w:r>
          </w:p>
        </w:tc>
      </w:tr>
      <w:tr w14:paraId="5A1FC6F8">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E22589A">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w:t>
            </w:r>
            <w:r>
              <w:rPr>
                <w:rFonts w:ascii="宋体" w:hAnsi="宋体" w:cs="宋体"/>
                <w:color w:val="auto"/>
                <w:sz w:val="24"/>
                <w:highlight w:val="none"/>
              </w:rPr>
              <w:t>.10</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6075481">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重点项目约谈</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F771A21">
            <w:pPr>
              <w:adjustRightInd w:val="0"/>
              <w:snapToGrid w:val="0"/>
              <w:spacing w:line="520" w:lineRule="exact"/>
              <w:rPr>
                <w:rFonts w:hint="eastAsia" w:ascii="宋体" w:hAnsi="宋体" w:cs="宋体"/>
                <w:b/>
                <w:bCs/>
                <w:color w:val="auto"/>
                <w:sz w:val="24"/>
                <w:highlight w:val="none"/>
              </w:rPr>
            </w:pPr>
            <w:r>
              <w:rPr>
                <w:rFonts w:hint="eastAsia" w:ascii="宋体" w:hAnsi="宋体" w:cs="宋体"/>
                <w:color w:val="auto"/>
                <w:sz w:val="24"/>
                <w:highlight w:val="none"/>
                <w:lang w:bidi="zh-CN"/>
              </w:rPr>
              <w:t>实行重点工程项目考察约谈机制。项目单位牵头负责，公管等部门参与对预中标单位进行考察约谈、警醒提示，防止非法转包、违法分包、挂靠及出借资质的情况发生。</w:t>
            </w:r>
          </w:p>
        </w:tc>
      </w:tr>
      <w:tr w14:paraId="7315189B">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216556D">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10.11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D6B263E">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变更招标方式</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1F364DCD">
            <w:pPr>
              <w:pStyle w:val="11"/>
              <w:adjustRightInd w:val="0"/>
              <w:snapToGrid w:val="0"/>
              <w:spacing w:after="0" w:line="560" w:lineRule="exact"/>
              <w:rPr>
                <w:rFonts w:hint="eastAsia"/>
                <w:color w:val="auto"/>
                <w:sz w:val="22"/>
                <w:highlight w:val="none"/>
              </w:rPr>
            </w:pPr>
            <w:r>
              <w:rPr>
                <w:rFonts w:hint="eastAsia" w:ascii="宋体" w:hAnsi="宋体" w:cs="宋体"/>
                <w:color w:val="auto"/>
                <w:sz w:val="24"/>
                <w:highlight w:val="none"/>
                <w:lang w:bidi="zh-CN"/>
              </w:rPr>
              <w:t>按照滁州市公共资源交易监督管理局现行规定执行。</w:t>
            </w:r>
          </w:p>
        </w:tc>
      </w:tr>
      <w:tr w14:paraId="1627FA52">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33CB5EA8">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10.12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698698A">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招标人补充的</w:t>
            </w:r>
          </w:p>
          <w:p w14:paraId="1E08A693">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其他内容</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35C37EC1">
            <w:pPr>
              <w:keepNext/>
              <w:keepLines/>
              <w:adjustRightInd w:val="0"/>
              <w:snapToGrid w:val="0"/>
              <w:spacing w:line="520" w:lineRule="exact"/>
              <w:outlineLvl w:val="3"/>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rPr>
              <w:t>（1）创建优质工程</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本项目不要求）</w:t>
            </w:r>
          </w:p>
          <w:p w14:paraId="7DD5F02D">
            <w:pPr>
              <w:spacing w:line="520" w:lineRule="exact"/>
              <w:ind w:firstLine="480" w:firstLineChars="200"/>
              <w:rPr>
                <w:rFonts w:hint="eastAsia" w:ascii="Calibri" w:hAnsi="Calibri" w:cs="Calibri"/>
                <w:color w:val="auto"/>
                <w:sz w:val="24"/>
                <w:highlight w:val="none"/>
              </w:rPr>
            </w:pPr>
            <w:r>
              <w:rPr>
                <w:rFonts w:hint="eastAsia" w:ascii="Calibri" w:hAnsi="Calibri" w:cs="Calibri"/>
                <w:color w:val="auto"/>
                <w:sz w:val="24"/>
                <w:highlight w:val="none"/>
              </w:rPr>
              <w:t>①创建优质工程奖励要求：</w:t>
            </w:r>
          </w:p>
          <w:p w14:paraId="2A2E602C">
            <w:pPr>
              <w:spacing w:line="520" w:lineRule="exact"/>
              <w:ind w:firstLine="480" w:firstLineChars="200"/>
              <w:rPr>
                <w:rFonts w:hint="eastAsia" w:ascii="Calibri" w:hAnsi="Calibri" w:cs="Calibri"/>
                <w:color w:val="auto"/>
                <w:sz w:val="24"/>
                <w:highlight w:val="none"/>
              </w:rPr>
            </w:pPr>
            <w:r>
              <w:rPr>
                <w:rFonts w:hint="eastAsia" w:ascii="Calibri" w:hAnsi="Calibri" w:cs="Calibri"/>
                <w:color w:val="auto"/>
                <w:sz w:val="24"/>
                <w:highlight w:val="none"/>
              </w:rPr>
              <w:t>获得市级优质工程奖项，给予工程结算金额的</w:t>
            </w:r>
            <w:r>
              <w:rPr>
                <w:rFonts w:hint="eastAsia" w:ascii="Calibri" w:hAnsi="Calibri" w:cs="Calibri"/>
                <w:color w:val="auto"/>
                <w:sz w:val="24"/>
                <w:highlight w:val="none"/>
                <w:u w:val="single"/>
              </w:rPr>
              <w:t xml:space="preserve">       </w:t>
            </w:r>
            <w:r>
              <w:rPr>
                <w:rFonts w:hint="eastAsia" w:ascii="Calibri" w:hAnsi="Calibri" w:cs="Calibri"/>
                <w:color w:val="auto"/>
                <w:sz w:val="24"/>
                <w:highlight w:val="none"/>
              </w:rPr>
              <w:t>奖励；</w:t>
            </w:r>
          </w:p>
          <w:p w14:paraId="160E8418">
            <w:pPr>
              <w:spacing w:line="520" w:lineRule="exact"/>
              <w:ind w:firstLine="480" w:firstLineChars="200"/>
              <w:rPr>
                <w:rFonts w:hint="eastAsia" w:ascii="Calibri" w:hAnsi="Calibri" w:cs="Calibri"/>
                <w:color w:val="auto"/>
                <w:sz w:val="24"/>
                <w:highlight w:val="none"/>
              </w:rPr>
            </w:pPr>
            <w:r>
              <w:rPr>
                <w:rFonts w:hint="eastAsia" w:ascii="Calibri" w:hAnsi="Calibri" w:cs="Calibri"/>
                <w:color w:val="auto"/>
                <w:sz w:val="24"/>
                <w:highlight w:val="none"/>
              </w:rPr>
              <w:t>获得省级优质工程奖项，给予工程结算金额的</w:t>
            </w:r>
            <w:r>
              <w:rPr>
                <w:rFonts w:hint="eastAsia" w:ascii="Calibri" w:hAnsi="Calibri" w:cs="Calibri"/>
                <w:color w:val="auto"/>
                <w:sz w:val="24"/>
                <w:highlight w:val="none"/>
                <w:u w:val="single"/>
              </w:rPr>
              <w:t xml:space="preserve">       </w:t>
            </w:r>
            <w:r>
              <w:rPr>
                <w:rFonts w:hint="eastAsia" w:ascii="Calibri" w:hAnsi="Calibri" w:cs="Calibri"/>
                <w:color w:val="auto"/>
                <w:sz w:val="24"/>
                <w:highlight w:val="none"/>
              </w:rPr>
              <w:t>奖励；</w:t>
            </w:r>
          </w:p>
          <w:p w14:paraId="1C53B92C">
            <w:pPr>
              <w:spacing w:line="520" w:lineRule="exact"/>
              <w:ind w:firstLine="480" w:firstLineChars="200"/>
              <w:rPr>
                <w:rFonts w:hint="eastAsia" w:ascii="Calibri" w:hAnsi="Calibri" w:cs="Calibri"/>
                <w:color w:val="auto"/>
                <w:sz w:val="24"/>
                <w:highlight w:val="none"/>
              </w:rPr>
            </w:pPr>
            <w:r>
              <w:rPr>
                <w:rFonts w:hint="eastAsia" w:ascii="Calibri" w:hAnsi="Calibri" w:cs="Calibri"/>
                <w:color w:val="auto"/>
                <w:sz w:val="24"/>
                <w:highlight w:val="none"/>
              </w:rPr>
              <w:t>获得国家级优质工程奖项，给予工程结算金额的</w:t>
            </w:r>
            <w:r>
              <w:rPr>
                <w:rFonts w:hint="eastAsia" w:ascii="Calibri" w:hAnsi="Calibri" w:cs="Calibri"/>
                <w:color w:val="auto"/>
                <w:sz w:val="24"/>
                <w:highlight w:val="none"/>
                <w:u w:val="single"/>
              </w:rPr>
              <w:t xml:space="preserve">     </w:t>
            </w:r>
            <w:r>
              <w:rPr>
                <w:rFonts w:hint="eastAsia" w:ascii="Calibri" w:hAnsi="Calibri" w:cs="Calibri"/>
                <w:color w:val="auto"/>
                <w:sz w:val="24"/>
                <w:highlight w:val="none"/>
              </w:rPr>
              <w:t>奖励；</w:t>
            </w:r>
          </w:p>
          <w:p w14:paraId="0EF40925">
            <w:pPr>
              <w:spacing w:line="520" w:lineRule="exact"/>
              <w:ind w:firstLine="480" w:firstLineChars="200"/>
              <w:rPr>
                <w:rFonts w:hint="eastAsia" w:ascii="宋体" w:hAnsi="宋体" w:eastAsia="宋体" w:cs="宋体"/>
                <w:color w:val="auto"/>
                <w:kern w:val="2"/>
                <w:sz w:val="24"/>
                <w:szCs w:val="24"/>
                <w:highlight w:val="none"/>
                <w:lang w:val="en-US" w:eastAsia="zh-CN" w:bidi="zh-CN"/>
              </w:rPr>
            </w:pPr>
            <w:r>
              <w:rPr>
                <w:rFonts w:hint="eastAsia" w:ascii="Calibri" w:hAnsi="Calibri" w:cs="Calibri"/>
                <w:color w:val="auto"/>
                <w:sz w:val="24"/>
                <w:highlight w:val="none"/>
              </w:rPr>
              <w:t>②创建优质工程其他要求：</w:t>
            </w:r>
            <w:r>
              <w:rPr>
                <w:rFonts w:hint="eastAsia" w:ascii="Calibri" w:hAnsi="Calibri" w:cs="Calibri"/>
                <w:color w:val="auto"/>
                <w:sz w:val="24"/>
                <w:highlight w:val="none"/>
                <w:u w:val="single"/>
              </w:rPr>
              <w:t xml:space="preserve">  </w:t>
            </w:r>
            <w:r>
              <w:rPr>
                <w:rFonts w:hint="eastAsia" w:ascii="Calibri" w:hAnsi="Calibri" w:cs="Calibri"/>
                <w:color w:val="auto"/>
                <w:sz w:val="24"/>
                <w:highlight w:val="none"/>
                <w:u w:val="single"/>
                <w:lang w:val="en-US" w:eastAsia="zh-CN"/>
              </w:rPr>
              <w:t xml:space="preserve">无 </w:t>
            </w:r>
            <w:r>
              <w:rPr>
                <w:rFonts w:hint="eastAsia" w:ascii="Calibri" w:hAnsi="Calibri" w:cs="Calibri"/>
                <w:color w:val="auto"/>
                <w:sz w:val="24"/>
                <w:highlight w:val="none"/>
                <w:u w:val="single"/>
              </w:rPr>
              <w:t xml:space="preserve">        </w:t>
            </w:r>
            <w:r>
              <w:rPr>
                <w:rFonts w:hint="eastAsia" w:ascii="Calibri" w:hAnsi="Calibri" w:cs="Calibri"/>
                <w:color w:val="auto"/>
                <w:sz w:val="24"/>
                <w:highlight w:val="none"/>
              </w:rPr>
              <w:t>。</w:t>
            </w:r>
          </w:p>
          <w:p w14:paraId="4644400D">
            <w:pPr>
              <w:keepNext/>
              <w:keepLines/>
              <w:adjustRightInd w:val="0"/>
              <w:snapToGrid w:val="0"/>
              <w:spacing w:line="520" w:lineRule="exact"/>
              <w:outlineLvl w:val="3"/>
              <w:rPr>
                <w:rFonts w:hint="eastAsia" w:ascii="宋体" w:hAnsi="宋体" w:cs="宋体"/>
                <w:b/>
                <w:color w:val="auto"/>
                <w:sz w:val="24"/>
                <w:highlight w:val="none"/>
              </w:rPr>
            </w:pPr>
            <w:r>
              <w:rPr>
                <w:rFonts w:hint="eastAsia" w:ascii="宋体" w:hAnsi="宋体" w:cs="宋体"/>
                <w:b/>
                <w:color w:val="auto"/>
                <w:sz w:val="24"/>
                <w:highlight w:val="none"/>
              </w:rPr>
              <w:t>（2）暂估价</w:t>
            </w:r>
          </w:p>
          <w:p w14:paraId="5918C323">
            <w:pPr>
              <w:adjustRightInd w:val="0"/>
              <w:snapToGrid w:val="0"/>
              <w:spacing w:line="520" w:lineRule="exact"/>
              <w:rPr>
                <w:rFonts w:hint="eastAsia" w:ascii="宋体" w:hAnsi="宋体" w:cs="宋体"/>
                <w:color w:val="auto"/>
                <w:sz w:val="24"/>
                <w:highlight w:val="none"/>
                <w:u w:val="single"/>
              </w:rPr>
            </w:pPr>
            <w:r>
              <w:rPr>
                <w:rFonts w:hint="eastAsia" w:ascii="宋体" w:hAnsi="宋体" w:cs="宋体"/>
                <w:color w:val="auto"/>
                <w:kern w:val="0"/>
                <w:sz w:val="24"/>
                <w:highlight w:val="none"/>
              </w:rPr>
              <w:t xml:space="preserve">暂估价材料、工程设备及专业工程约定： </w:t>
            </w:r>
            <w:r>
              <w:rPr>
                <w:rFonts w:hint="eastAsia" w:ascii="宋体" w:hAnsi="宋体" w:cs="宋体"/>
                <w:color w:val="auto"/>
                <w:kern w:val="0"/>
                <w:sz w:val="24"/>
                <w:highlight w:val="none"/>
                <w:u w:val="single"/>
                <w:lang w:val="en-US" w:eastAsia="zh-CN"/>
              </w:rPr>
              <w:t>详见工程量清单</w:t>
            </w:r>
            <w:r>
              <w:rPr>
                <w:rFonts w:hint="eastAsia" w:ascii="宋体" w:hAnsi="宋体" w:cs="宋体"/>
                <w:color w:val="auto"/>
                <w:kern w:val="0"/>
                <w:sz w:val="24"/>
                <w:highlight w:val="none"/>
              </w:rPr>
              <w:t>。</w:t>
            </w:r>
          </w:p>
          <w:p w14:paraId="190D85A2">
            <w:pPr>
              <w:spacing w:line="520" w:lineRule="exact"/>
              <w:rPr>
                <w:rFonts w:ascii="宋体" w:hAnsi="宋体" w:cs="宋体"/>
                <w:b/>
                <w:bCs/>
                <w:color w:val="auto"/>
                <w:sz w:val="24"/>
                <w:highlight w:val="none"/>
              </w:rPr>
            </w:pPr>
            <w:r>
              <w:rPr>
                <w:rFonts w:hint="eastAsia" w:ascii="宋体" w:hAnsi="宋体" w:cs="宋体"/>
                <w:b/>
                <w:bCs/>
                <w:color w:val="auto"/>
                <w:sz w:val="24"/>
                <w:highlight w:val="none"/>
              </w:rPr>
              <w:t>（3）安全生产</w:t>
            </w:r>
          </w:p>
          <w:p w14:paraId="21B78D6C">
            <w:pPr>
              <w:spacing w:line="520" w:lineRule="exact"/>
              <w:rPr>
                <w:rFonts w:hint="eastAsia" w:ascii="宋体" w:hAnsi="宋体" w:cs="宋体"/>
                <w:color w:val="auto"/>
                <w:sz w:val="24"/>
                <w:highlight w:val="none"/>
              </w:rPr>
            </w:pPr>
            <w:r>
              <w:rPr>
                <w:rFonts w:hint="eastAsia" w:ascii="宋体" w:hAnsi="宋体" w:cs="宋体"/>
                <w:color w:val="auto"/>
                <w:sz w:val="24"/>
                <w:highlight w:val="none"/>
              </w:rPr>
              <w:t>①须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52FE9261">
            <w:pPr>
              <w:spacing w:line="520" w:lineRule="exact"/>
              <w:rPr>
                <w:rFonts w:hint="eastAsia" w:ascii="宋体" w:hAnsi="宋体" w:cs="宋体"/>
                <w:color w:val="auto"/>
                <w:sz w:val="24"/>
                <w:highlight w:val="none"/>
              </w:rPr>
            </w:pPr>
            <w:r>
              <w:rPr>
                <w:rFonts w:hint="eastAsia" w:ascii="宋体" w:hAnsi="宋体" w:cs="宋体"/>
                <w:color w:val="auto"/>
                <w:sz w:val="24"/>
                <w:highlight w:val="none"/>
              </w:rPr>
              <w:t>②坚持“安全第一、预防为主、综合治理”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合同的各项规定，做到生产与安全工作同时计划、布置、检查、总结和评比。</w:t>
            </w:r>
          </w:p>
        </w:tc>
      </w:tr>
      <w:tr w14:paraId="05F2B336">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E6E2BBF">
            <w:pPr>
              <w:adjustRightInd w:val="0"/>
              <w:snapToGrid w:val="0"/>
              <w:spacing w:line="560" w:lineRule="exact"/>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10.13</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7FE874E">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采用“实名认证”投标</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5E6A7DDF">
            <w:pPr>
              <w:spacing w:line="520" w:lineRule="exact"/>
              <w:rPr>
                <w:rFonts w:hint="eastAsia" w:ascii="宋体" w:hAnsi="宋体" w:cs="宋体"/>
                <w:color w:val="auto"/>
                <w:sz w:val="24"/>
                <w:highlight w:val="none"/>
              </w:rPr>
            </w:pPr>
            <w:r>
              <w:rPr>
                <w:rFonts w:hint="eastAsia" w:ascii="宋体" w:hAnsi="宋体" w:cs="宋体"/>
                <w:color w:val="auto"/>
                <w:sz w:val="24"/>
                <w:highlight w:val="none"/>
              </w:rPr>
              <w:t>是，是，本项目采用“实名认证”投标，相关要求如下：</w:t>
            </w:r>
          </w:p>
          <w:p w14:paraId="5D94BA08">
            <w:pPr>
              <w:spacing w:line="520" w:lineRule="exact"/>
              <w:rPr>
                <w:rFonts w:hint="eastAsia" w:ascii="宋体" w:hAnsi="宋体" w:cs="宋体"/>
                <w:color w:val="auto"/>
                <w:sz w:val="24"/>
                <w:highlight w:val="none"/>
              </w:rPr>
            </w:pPr>
            <w:r>
              <w:rPr>
                <w:rFonts w:hint="eastAsia" w:ascii="宋体" w:hAnsi="宋体" w:cs="宋体"/>
                <w:color w:val="auto"/>
                <w:sz w:val="24"/>
                <w:highlight w:val="none"/>
              </w:rPr>
              <w:t>1、“实名认证”投标是指应用“人脸识别”技术，对法定代表人或对投标联系人身份进行实名验证的投标活动。投标联系人或法定代表人在下载招标文件、上传投标文件前，在电子交易系统中完成实名认证比对。</w:t>
            </w:r>
          </w:p>
          <w:p w14:paraId="6B36889F">
            <w:pPr>
              <w:spacing w:line="520" w:lineRule="exact"/>
              <w:rPr>
                <w:rFonts w:hint="eastAsia" w:ascii="宋体" w:hAnsi="宋体" w:cs="宋体"/>
                <w:color w:val="auto"/>
                <w:sz w:val="24"/>
                <w:highlight w:val="none"/>
              </w:rPr>
            </w:pPr>
            <w:r>
              <w:rPr>
                <w:rFonts w:hint="eastAsia" w:ascii="宋体" w:hAnsi="宋体" w:cs="宋体"/>
                <w:color w:val="auto"/>
                <w:sz w:val="24"/>
                <w:highlight w:val="none"/>
              </w:rPr>
              <w:t>2、“实名认证”投标基于“皖企通”APP完成，各投标人提前在手机上下载、安装、调试好“皖企通”APP（具体操作详见滁州市公共资源交易中心网/网上课堂/全部课程/《滁州市公共资源交易系统操作手册（投标人）》）。</w:t>
            </w:r>
          </w:p>
          <w:p w14:paraId="6FFA9A1D">
            <w:pPr>
              <w:spacing w:line="520" w:lineRule="exact"/>
              <w:rPr>
                <w:rFonts w:hint="eastAsia" w:ascii="宋体" w:hAnsi="宋体" w:cs="宋体"/>
                <w:color w:val="auto"/>
                <w:sz w:val="24"/>
                <w:highlight w:val="none"/>
              </w:rPr>
            </w:pPr>
            <w:r>
              <w:rPr>
                <w:rFonts w:hint="eastAsia" w:ascii="宋体" w:hAnsi="宋体" w:cs="宋体"/>
                <w:color w:val="auto"/>
                <w:sz w:val="24"/>
                <w:highlight w:val="none"/>
              </w:rPr>
              <w:t>3、“人脸识别”身份认证出现异常情况的，作如下处理：</w:t>
            </w:r>
          </w:p>
          <w:p w14:paraId="163ED3A8">
            <w:pPr>
              <w:spacing w:line="520" w:lineRule="exact"/>
              <w:rPr>
                <w:rFonts w:hint="eastAsia" w:ascii="宋体" w:hAnsi="宋体" w:cs="宋体"/>
                <w:color w:val="auto"/>
                <w:sz w:val="24"/>
                <w:highlight w:val="none"/>
              </w:rPr>
            </w:pPr>
            <w:r>
              <w:rPr>
                <w:rFonts w:hint="eastAsia" w:ascii="宋体" w:hAnsi="宋体" w:cs="宋体"/>
                <w:color w:val="auto"/>
                <w:sz w:val="24"/>
                <w:highlight w:val="none"/>
              </w:rPr>
              <w:t>（1）下载招标文件人脸比对：未参与“人脸识别”身份认证或“人脸识别”身份认证失败的，将无法下载招标文件。</w:t>
            </w:r>
          </w:p>
          <w:p w14:paraId="167B1368">
            <w:pPr>
              <w:spacing w:line="520" w:lineRule="exact"/>
              <w:rPr>
                <w:rFonts w:hint="eastAsia" w:ascii="宋体" w:hAnsi="宋体" w:cs="宋体"/>
                <w:color w:val="auto"/>
                <w:sz w:val="24"/>
                <w:highlight w:val="none"/>
              </w:rPr>
            </w:pPr>
            <w:r>
              <w:rPr>
                <w:rFonts w:hint="eastAsia" w:ascii="宋体" w:hAnsi="宋体" w:cs="宋体"/>
                <w:color w:val="auto"/>
                <w:sz w:val="24"/>
                <w:highlight w:val="none"/>
              </w:rPr>
              <w:t>（2）上传投标文件人脸比对：未参与“人脸识别”身份认证或“人脸识别”身份认证失败的，将无法上传投标文件。</w:t>
            </w:r>
          </w:p>
          <w:p w14:paraId="1EA5672E">
            <w:pPr>
              <w:spacing w:line="520" w:lineRule="exact"/>
              <w:rPr>
                <w:rFonts w:hint="eastAsia" w:ascii="宋体" w:hAnsi="宋体" w:eastAsia="宋体" w:cs="宋体"/>
                <w:color w:val="auto"/>
                <w:sz w:val="24"/>
                <w:highlight w:val="none"/>
                <w:lang w:eastAsia="zh-CN"/>
              </w:rPr>
            </w:pPr>
            <w:r>
              <w:rPr>
                <w:rFonts w:hint="eastAsia" w:ascii="宋体" w:hAnsi="宋体" w:cs="宋体"/>
                <w:color w:val="auto"/>
                <w:sz w:val="24"/>
                <w:highlight w:val="none"/>
              </w:rPr>
              <w:t>注：投标联系人是指下载招标文件、上传投标文件等参与投标活动的经办人。在投标活动中，投标联系人可以不为同一人。</w:t>
            </w:r>
          </w:p>
        </w:tc>
      </w:tr>
      <w:tr w14:paraId="4A6943DD">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0290BD0C">
            <w:pPr>
              <w:adjustRightInd w:val="0"/>
              <w:snapToGrid w:val="0"/>
              <w:spacing w:line="56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10.14</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CAF13B8">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政府采购政策</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39D49E6">
            <w:pPr>
              <w:spacing w:line="520" w:lineRule="exac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不适用</w:t>
            </w:r>
          </w:p>
        </w:tc>
      </w:tr>
      <w:tr w14:paraId="503D56F3">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55BA5254">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10.15</w:t>
            </w:r>
            <w:r>
              <w:rPr>
                <w:rFonts w:hint="eastAsia" w:ascii="宋体" w:hAnsi="宋体" w:cs="宋体"/>
                <w:color w:val="auto"/>
                <w:sz w:val="24"/>
                <w:highlight w:val="none"/>
              </w:rPr>
              <w:t xml:space="preserve"> </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CAF38F8">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进场考核考勤</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01A23360">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人员考核：工程开工进场后，承包人必须按招标文件要求和投标承诺配备项目经理、技术负责人等施工项目部关键岗位人员。未经发包人同意，不得更换上述人员并满足《关于进一步加强建筑施工现场项目负责人变更行为管理的通知》及滁州市其他相关规定要求。发包人将组织对上述人员进行业务能力考核，对未按投标文件配备或经考核不合格要求更换人员的，承包人 7 日 内必须整改调整到位。对项目经理（建造师）和技术负责人处以</w:t>
            </w:r>
            <w:r>
              <w:rPr>
                <w:rFonts w:hint="eastAsia" w:ascii="宋体" w:hAnsi="宋体" w:eastAsia="宋体" w:cs="宋体"/>
                <w:color w:val="auto"/>
                <w:sz w:val="24"/>
                <w:highlight w:val="none"/>
                <w:lang w:val="en-US" w:eastAsia="zh-CN"/>
              </w:rPr>
              <w:t>5000</w:t>
            </w:r>
            <w:r>
              <w:rPr>
                <w:rFonts w:hint="eastAsia" w:ascii="宋体" w:hAnsi="宋体" w:eastAsia="宋体" w:cs="宋体"/>
                <w:color w:val="auto"/>
                <w:sz w:val="24"/>
                <w:highlight w:val="none"/>
              </w:rPr>
              <w:t>元/人·天的违约金，对项目经理（建造师）和技术负责外以外的其他管理人员处以</w:t>
            </w:r>
            <w:r>
              <w:rPr>
                <w:rFonts w:hint="eastAsia" w:ascii="宋体" w:hAnsi="宋体" w:eastAsia="宋体" w:cs="宋体"/>
                <w:color w:val="auto"/>
                <w:sz w:val="24"/>
                <w:highlight w:val="none"/>
                <w:lang w:val="en-US" w:eastAsia="zh-CN"/>
              </w:rPr>
              <w:t>3000</w:t>
            </w:r>
            <w:r>
              <w:rPr>
                <w:rFonts w:hint="eastAsia" w:ascii="宋体" w:hAnsi="宋体" w:eastAsia="宋体" w:cs="宋体"/>
                <w:color w:val="auto"/>
                <w:sz w:val="24"/>
                <w:highlight w:val="none"/>
              </w:rPr>
              <w:t>元/人·天的违约金。28 日内未整改调整到位的，发包人有权终止合同，并提请相关行政主管部门对企业和人员进行“黑名单”处罚。发包人在施工进场第一个月或施工过程中发现承包人转包、挂靠等行为的，发包人立即解除合同，清退出场，承包人已完合格工程量按合同价款 60%进行结算。</w:t>
            </w:r>
          </w:p>
          <w:p w14:paraId="3EF8E178">
            <w:pPr>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人员考勤：①项目部所有管理人员上下班实行人脸识别电子考勤，人脸识别电子考勤系统设备必须与招标人现行使用的监管平台无缝对接。②监管平台设备及人脸识别电子考勤系统设备，承包人可以租赁或购买，但租赁或购买费用由承包人在投标报价时自行考虑，含在投标报价中，招标人将不再支付任何费用。③监管平台考勤范围为本项目监理部和项目部所有管理人员，监管平台信息及数据录入（包括质量、进度、安全、施工许可办理等）均由监理单位负责。④项目经理（建造师）每月在岗时间不得少于22天，每天不少于8小时，其他管理人员每月在岗时间不得少于25天，每天不少于8小时。未按规定在岗履责的，对项目经理（建造师）和技术负责人处以</w:t>
            </w:r>
            <w:r>
              <w:rPr>
                <w:rFonts w:hint="eastAsia" w:ascii="宋体" w:hAnsi="宋体" w:eastAsia="宋体" w:cs="宋体"/>
                <w:color w:val="auto"/>
                <w:sz w:val="24"/>
                <w:highlight w:val="none"/>
                <w:lang w:val="en-US" w:eastAsia="zh-CN"/>
              </w:rPr>
              <w:t>5000</w:t>
            </w:r>
            <w:r>
              <w:rPr>
                <w:rFonts w:hint="eastAsia" w:ascii="宋体" w:hAnsi="宋体" w:eastAsia="宋体" w:cs="宋体"/>
                <w:color w:val="auto"/>
                <w:sz w:val="24"/>
                <w:highlight w:val="none"/>
              </w:rPr>
              <w:t>元/人·天的违约金，对项目经理（建造师）和技术负责外以外的其他管理人员处以</w:t>
            </w:r>
            <w:r>
              <w:rPr>
                <w:rFonts w:hint="eastAsia" w:ascii="宋体" w:hAnsi="宋体" w:eastAsia="宋体" w:cs="宋体"/>
                <w:color w:val="auto"/>
                <w:sz w:val="24"/>
                <w:highlight w:val="none"/>
                <w:lang w:val="en-US" w:eastAsia="zh-CN"/>
              </w:rPr>
              <w:t>3000</w:t>
            </w:r>
            <w:r>
              <w:rPr>
                <w:rFonts w:hint="eastAsia" w:ascii="宋体" w:hAnsi="宋体" w:eastAsia="宋体" w:cs="宋体"/>
                <w:color w:val="auto"/>
                <w:sz w:val="24"/>
                <w:highlight w:val="none"/>
              </w:rPr>
              <w:t xml:space="preserve">元/人·天的违约金。 </w:t>
            </w:r>
          </w:p>
          <w:p w14:paraId="6EC3A9CB">
            <w:pPr>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在经开区及各级相关部门现场检查过程中发现项目经理（建造师）、技术负责人、安全员、质检员等主要管理人员未按合同约定在岗三次及以上的，将上报建设行政主管部门依法依规处理，并在相关信用信息平台披露。 </w:t>
            </w:r>
          </w:p>
          <w:p w14:paraId="4382BD45">
            <w:pPr>
              <w:spacing w:line="520" w:lineRule="exact"/>
              <w:rPr>
                <w:rFonts w:hint="eastAsia" w:ascii="宋体" w:hAnsi="宋体" w:cs="宋体"/>
                <w:b/>
                <w:bCs/>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中标人未能按照承诺到岗尽职的，招标人将视情况严重程度对其作出相应处理，给予警告并发出整改通知。如仍未及时整改，招标人有权责令其停工整改、直至终止合同，招标人还将停止支付工程款项，扣留任何未付的工程进度款项补偿建设单位的有关损失或工期延误的损失，并就此向承包单位索赔。</w:t>
            </w:r>
          </w:p>
        </w:tc>
      </w:tr>
      <w:tr w14:paraId="048B66AE">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72004208">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10.16</w:t>
            </w:r>
            <w:r>
              <w:rPr>
                <w:rFonts w:hint="eastAsia" w:ascii="宋体" w:hAnsi="宋体" w:cs="宋体"/>
                <w:color w:val="auto"/>
                <w:sz w:val="24"/>
                <w:highlight w:val="none"/>
              </w:rPr>
              <w:t xml:space="preserve"> </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93D61EE">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工程进度管理 </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BC8892A">
            <w:pPr>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工程有下列原因影响合同工期的，由承包人提出，经发包人批准可顺延合同工期：（1）土地和房屋征收进度不符合施工要求，涉铁路、涉部队、涉供电等影响施工；（2）因地震、洪涝灾害、突发重大事件等不可抗力影响施工；（3）因规划设计调整或重大变更，对工期造成影响的；（4）其它非承包人原因影响工期的。承包人未提出工期顺延的申请或申请未经批准的，工期不予顺延。</w:t>
            </w:r>
          </w:p>
          <w:p w14:paraId="706DDE57">
            <w:pPr>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因承包人原因造成合同工期延误，每延误一天，处以</w:t>
            </w:r>
            <w:r>
              <w:rPr>
                <w:rFonts w:hint="eastAsia" w:ascii="宋体" w:hAnsi="宋体" w:eastAsia="宋体" w:cs="宋体"/>
                <w:color w:val="auto"/>
                <w:sz w:val="24"/>
                <w:highlight w:val="none"/>
                <w:lang w:val="en-US" w:eastAsia="zh-CN"/>
              </w:rPr>
              <w:t>10000</w:t>
            </w:r>
            <w:r>
              <w:rPr>
                <w:rFonts w:hint="eastAsia" w:ascii="宋体" w:hAnsi="宋体" w:eastAsia="宋体" w:cs="宋体"/>
                <w:color w:val="auto"/>
                <w:sz w:val="24"/>
                <w:highlight w:val="none"/>
              </w:rPr>
              <w:t>元违约金。月工程量未完成的当期不得请款，当月未完成的工程量纳入下月一并完成，完不成的仍不予请款，依次类推。</w:t>
            </w:r>
          </w:p>
          <w:p w14:paraId="5D6878A2">
            <w:pPr>
              <w:spacing w:line="520" w:lineRule="exact"/>
              <w:rPr>
                <w:rFonts w:hint="eastAsia"/>
                <w:color w:val="auto"/>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对严重拖延工期，经发包人多次督促，承包人拒不整改或整改不到位的，招标人可终止施工合同，同时处以合同金额×2%×50%的金额作为违约金，另选施工队伍，承包人须无条件配合，不得以任何借口阻挠另选的施工队伍施工，不得向发包人提出任何索赔要求。 </w:t>
            </w:r>
          </w:p>
        </w:tc>
      </w:tr>
      <w:tr w14:paraId="17EE4E35">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3F97BA87">
            <w:pPr>
              <w:adjustRightInd w:val="0"/>
              <w:snapToGrid w:val="0"/>
              <w:spacing w:line="560" w:lineRule="exact"/>
              <w:jc w:val="center"/>
              <w:rPr>
                <w:rFonts w:hint="default" w:ascii="宋体" w:hAnsi="宋体" w:eastAsia="宋体" w:cs="宋体"/>
                <w:color w:val="auto"/>
                <w:sz w:val="24"/>
                <w:highlight w:val="none"/>
                <w:lang w:val="en-US" w:eastAsia="zh-CN"/>
              </w:rPr>
            </w:pPr>
            <w:bookmarkStart w:id="48" w:name="_Toc283798422"/>
            <w:bookmarkStart w:id="49" w:name="_Toc25869"/>
            <w:bookmarkStart w:id="50" w:name="_Toc95223335"/>
            <w:bookmarkStart w:id="51" w:name="_Toc38879323"/>
            <w:r>
              <w:rPr>
                <w:rFonts w:hint="eastAsia" w:ascii="宋体" w:hAnsi="宋体" w:cs="宋体"/>
                <w:color w:val="auto"/>
                <w:sz w:val="24"/>
                <w:highlight w:val="none"/>
                <w:lang w:val="en-US" w:eastAsia="zh-CN"/>
              </w:rPr>
              <w:t>10.17</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6ADFB77">
            <w:pPr>
              <w:adjustRightInd w:val="0"/>
              <w:snapToGrid w:val="0"/>
              <w:spacing w:line="560" w:lineRule="exact"/>
              <w:jc w:val="center"/>
              <w:rPr>
                <w:rFonts w:hint="eastAsia" w:ascii="宋体" w:hAnsi="宋体" w:cs="宋体"/>
                <w:color w:val="auto"/>
                <w:sz w:val="24"/>
                <w:highlight w:val="none"/>
              </w:rPr>
            </w:pPr>
            <w:r>
              <w:rPr>
                <w:rFonts w:hint="eastAsia" w:ascii="宋体" w:hAnsi="宋体" w:eastAsia="宋体" w:cs="宋体"/>
                <w:color w:val="auto"/>
                <w:highlight w:val="none"/>
              </w:rPr>
              <w:t>工程质量管理</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38B13B90">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1.承包人被发包人项目组日常检查、专项检查或第三方巡查等检查出未按设计文件和相关规范施工，存在质量问题的，由监理单位记录错误细节，每次处以2000元罚款，直接纳入近期付款申请兑现。</w:t>
            </w:r>
          </w:p>
          <w:p w14:paraId="76C28F66">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2.质量缺陷责任期内出现质量问题，发包人书面通知承包人，在规定时间内不及时处理的，发包人有权直接委托其他单位进行维修，相关费用直接从工程质保金中支付。 </w:t>
            </w:r>
          </w:p>
        </w:tc>
      </w:tr>
      <w:tr w14:paraId="626A4B32">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4069C86E">
            <w:pPr>
              <w:adjustRightInd w:val="0"/>
              <w:snapToGrid w:val="0"/>
              <w:spacing w:line="560" w:lineRule="exact"/>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10.18</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28CA436">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安全文明管理</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28DB1DA0">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承包人必须确保安全文明施工，严格执行国家、安徽省、滁州市的相关规定，同时遵守建设单位对安全文明施工的相关要求。经检查，达不到相关规定和要求的，由项目组及时下发整改通知书，拒不整改或限期整改不到位的，处以承包人2000元/项/次的违约金。施工现场卫生保洁自开工之日起至工程竣工移交结束，切实做好项目管理人员和工人宿舍安全、卫生工作。 </w:t>
            </w:r>
          </w:p>
          <w:p w14:paraId="0E5DC183">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2.按关于印发《滁州市建筑工地围挡提档升级标准》的通知（建质﹝2022﹞34 号文）执行。 </w:t>
            </w:r>
          </w:p>
        </w:tc>
      </w:tr>
      <w:tr w14:paraId="14009564">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17CCACCD">
            <w:pPr>
              <w:adjustRightInd w:val="0"/>
              <w:snapToGrid w:val="0"/>
              <w:spacing w:line="560" w:lineRule="exact"/>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10.19</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A442AA2">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扬尘治理</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1DB21793">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严格执行《安徽省建筑工程施工扬尘污染防治规定》、《滁州市城市扬尘管理办法》和《滁州市建筑工程施工扬尘污染防治实施细则》等相关规定。对违反规定或经检查达不到规定和要求，被相关部门批评、曝光、通报的，处以承包人 10000 元/次的违约金。 </w:t>
            </w:r>
          </w:p>
        </w:tc>
      </w:tr>
      <w:tr w14:paraId="486B833E">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475D74BA">
            <w:pPr>
              <w:adjustRightInd w:val="0"/>
              <w:snapToGrid w:val="0"/>
              <w:spacing w:line="560" w:lineRule="exact"/>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10.20</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BA4423F">
            <w:pPr>
              <w:adjustRightInd w:val="0"/>
              <w:snapToGrid w:val="0"/>
              <w:spacing w:line="560" w:lineRule="exact"/>
              <w:jc w:val="center"/>
              <w:rPr>
                <w:rFonts w:hint="eastAsia" w:ascii="宋体" w:hAnsi="宋体" w:cs="宋体"/>
                <w:color w:val="auto"/>
                <w:sz w:val="24"/>
                <w:highlight w:val="none"/>
              </w:rPr>
            </w:pPr>
            <w:r>
              <w:rPr>
                <w:rFonts w:hint="eastAsia" w:ascii="宋体" w:hAnsi="宋体" w:cs="宋体"/>
                <w:color w:val="auto"/>
                <w:sz w:val="24"/>
                <w:highlight w:val="none"/>
              </w:rPr>
              <w:t>农民工工资支付</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13BF9EC9">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凡到市经开区上访，滞留时间半个工作日（不足半个工作日以半个工作日计算），工程款支付比例在 30%-40%（含）的，按每人每半个工作日 200 元的标准给予处罚，每增加工程款支付比例 10%，每人每半个工作日处罚标准增加 100元，依此类推。</w:t>
            </w:r>
          </w:p>
          <w:p w14:paraId="3289C70A">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2.凡赴市政府或市根治办上访，滞留时间半个工作日（不足半个工作日以半个工作日计算），工程款支付比例在 30%-40%（含）的，按每人每半个工作日400 元的标准给予处罚，每增加工程款支付比例 10%，每人每半个工作日处罚标准增加 200元，依此类推。</w:t>
            </w:r>
          </w:p>
          <w:p w14:paraId="57EA6C23">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3.凡赴省政府上访，滞留时间半个工作日（不足半个工作日以半个工作日计算），工程款支付比例在 30%-40%（含）的，按每人每半个工作日 600 元的标准给予处罚，每增加工程款支付比例 10%，每人每半个工作日处罚标准增加 300元，依此类推。</w:t>
            </w:r>
          </w:p>
        </w:tc>
      </w:tr>
      <w:tr w14:paraId="34810A11">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4264D7ED">
            <w:pPr>
              <w:adjustRightInd w:val="0"/>
              <w:snapToGrid w:val="0"/>
              <w:spacing w:line="56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10.21</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B318547">
            <w:pPr>
              <w:adjustRightInd w:val="0"/>
              <w:snapToGrid w:val="0"/>
              <w:spacing w:line="560" w:lineRule="exact"/>
              <w:jc w:val="center"/>
              <w:rPr>
                <w:rFonts w:hint="eastAsia" w:ascii="宋体" w:hAnsi="宋体" w:cs="宋体"/>
                <w:color w:val="auto"/>
                <w:sz w:val="24"/>
                <w:highlight w:val="none"/>
              </w:rPr>
            </w:pPr>
            <w:r>
              <w:rPr>
                <w:rFonts w:hint="eastAsia" w:ascii="宋体" w:hAnsi="宋体" w:eastAsia="宋体" w:cs="宋体"/>
                <w:color w:val="auto"/>
                <w:highlight w:val="none"/>
              </w:rPr>
              <w:t>现场管理</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71F70D27">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1.施工过程中，除临时办公、管理用房（施工进场前建设单位有权指定其具体位置）外，其他人员一律不得住施工现场；若发现上述问题，项目经理（建造师）负责组织、管理及清理出场。 </w:t>
            </w:r>
          </w:p>
          <w:p w14:paraId="51204046">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2.投标人自行勘察施工现场情况，因投标人未踏勘现场而造成的损失由投标人承担。  </w:t>
            </w:r>
          </w:p>
          <w:p w14:paraId="0ED214AB">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3.投标人在标前应自行踏勘现场，充分考虑难度系数和不可预见因素。施工期间的协调工作由承包人自行解决，此部分费用包含在投标报价中。 </w:t>
            </w:r>
          </w:p>
          <w:p w14:paraId="6C1A9D83">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施工现场和取、弃土场内的施工便道、机械整平以及协调渣土、环保等相关部门办理相关手续、缴纳保证金及费用等由投标人自行承担，此部分费用包含在投标报价中。施工渣土、淤泥、建筑垃圾等弃置点需经相关部门批准并报发包人备案后，方可施工，不得弃在施工区域500M范围内。严禁违规倾倒堆存。否则，责任自负。</w:t>
            </w:r>
          </w:p>
          <w:p w14:paraId="2A6CA43A">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5.施工过程中，严格执行国家及地方针对环保、禁噪、防尘、防护等措施，必须满足当地行政主管部门相关规定及要求。 </w:t>
            </w:r>
          </w:p>
          <w:p w14:paraId="181602C2">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6.施工场地及周边场地、道路、绿化、管线、设施设备等，若被施工方（中标人）损坏，施工方（中标人）必须无偿按照原貌恢复。</w:t>
            </w:r>
          </w:p>
          <w:p w14:paraId="78CC54FF">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10.7本项目必须按规定设置封闭围挡，费用含在投标总价中，投标人自行考虑。围挡设置必须符合相关部门要求，对于围挡的宣传标语（图案）等设置，必须按照建设单位要求进行布置，并且及时更新、更换。</w:t>
            </w:r>
          </w:p>
          <w:p w14:paraId="2EC871C4">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投标人自行勘察施工现场情况，因投标人未勘察现场而造成的损失由投标人承担。在工程建设过程中，出现质量、安全、进度、文明施工、扬尘污染、人员不在岗履职等违约行为的，招标人将给予违约处罚；如中标人拒不缴纳违约金的，招标人有权从履约保证金中直接扣除。</w:t>
            </w:r>
          </w:p>
          <w:p w14:paraId="07694101">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8.道路、房屋等防护费用、临时设施、施工便道、场地内外的高低压线路保护、建筑物及道路等安全防护等费用由投标人自行勘察现场考虑，综合考虑在报价中，招标人不另行支付其他任何费用。 </w:t>
            </w:r>
          </w:p>
          <w:p w14:paraId="04B1AB6B">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9.招标人负责提供水、电接入点，具体手续及费用由中标人负责办理，由施工单位自行解决，费用自理且投标报价时需含在投标报价中，工程量清单已考虑的除外。工程未完全交付甲方前，所有水电费用由乙方承担并管理。</w:t>
            </w:r>
          </w:p>
          <w:p w14:paraId="41435589">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10.施工现场必须采用门禁管理系统，施工现场必须采用刷脸进入，费用由中标人自行承担。 </w:t>
            </w:r>
          </w:p>
          <w:p w14:paraId="51CF4B45">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11.施工现场需专门配备定点摄像设备，采用建筑施工现场视频监控系统，便于实时监控，要求设备稳定，图像清晰，分辨率高，配备专用储存设备，15天以内的现场摄像资料必须完整保存，含在投标总报价中。 </w:t>
            </w:r>
          </w:p>
          <w:p w14:paraId="49696267">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12.中标人须提供室外雨污水管道全部影像检测试验合格报告。</w:t>
            </w:r>
          </w:p>
          <w:p w14:paraId="047941EB">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13.中标后，在项目建设期间，中标人向发包人指定专人配合办理相关手续。</w:t>
            </w:r>
          </w:p>
        </w:tc>
      </w:tr>
      <w:tr w14:paraId="6326CD56">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58AA630E">
            <w:pPr>
              <w:adjustRightInd w:val="0"/>
              <w:snapToGrid w:val="0"/>
              <w:spacing w:line="56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10.22</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30FD4D9">
            <w:pPr>
              <w:adjustRightInd w:val="0"/>
              <w:snapToGrid w:val="0"/>
              <w:spacing w:line="56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文明施工要求</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1223768">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1.公共环境 </w:t>
            </w:r>
          </w:p>
          <w:p w14:paraId="38E7442C">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①建筑工地采用砌体、钢结构或彩钢夹芯板等封闭管理，高度不低于 3 米；储备用地、路面施工应一律设置建筑围墙进行遮挡。环境卫生干净整洁，围墙内外无乱堆放现象，无生活垃圾；施工现场标识明显，四周设置围墙、围挡，并符合标准；施工车辆有硬化的进出通道和冲洗设备，无抛洒和污染路面现象。 </w:t>
            </w:r>
          </w:p>
          <w:p w14:paraId="1182084D">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②场内设有不少于 15 米硬化面，车辆进出工地实行密闭运输，有车辆冲洗平台和冲洗设备、临时厕所、垃圾收集容器、污水处理排放系统、降尘设备等设施；场内干净整洁，机械设备、物料等摆放有序，安全施工措施到位，文明施工氛围浓厚。能够开展文明工地创建，施工噪音、粉尘等达到国家环保要求。 </w:t>
            </w:r>
          </w:p>
          <w:p w14:paraId="623A5428">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2.公益宣传 </w:t>
            </w:r>
          </w:p>
          <w:p w14:paraId="2CBA081C">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①运用建筑围挡宣传展示社会主义核心价值观 12 个主题词、市民文明行为规范，及时更新中宣部、中央文明办发布的“讲文明树新风”、“图说我们的价值观”通稿作品以及本市自创的公益广告（建筑围挡无破墙开洞现象，公益广告无污染、破旧现象）。 </w:t>
            </w:r>
          </w:p>
          <w:p w14:paraId="53BC57C0">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②公益广告展示面积占围挡总面积的比例不少于 50%，且公益广告要与商业广告穿插展示（每3块广告中必须要有1块公益广告），且单面围挡墙体均能看到公益宣传。步行30米，达到50%面积比例。</w:t>
            </w:r>
          </w:p>
        </w:tc>
      </w:tr>
      <w:tr w14:paraId="56A89FA1">
        <w:tblPrEx>
          <w:tblCellMar>
            <w:top w:w="0" w:type="dxa"/>
            <w:left w:w="108" w:type="dxa"/>
            <w:bottom w:w="0" w:type="dxa"/>
            <w:right w:w="108" w:type="dxa"/>
          </w:tblCellMar>
        </w:tblPrEx>
        <w:trPr>
          <w:trHeight w:val="90"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0FFB1D4B">
            <w:pPr>
              <w:adjustRightInd w:val="0"/>
              <w:snapToGrid w:val="0"/>
              <w:spacing w:line="56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10.23</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0704726">
            <w:pPr>
              <w:adjustRightInd w:val="0"/>
              <w:snapToGrid w:val="0"/>
              <w:spacing w:line="560" w:lineRule="exact"/>
              <w:jc w:val="center"/>
              <w:rPr>
                <w:rFonts w:hint="eastAsia" w:ascii="宋体" w:hAnsi="宋体" w:eastAsia="宋体" w:cs="宋体"/>
                <w:color w:val="auto"/>
                <w:highlight w:val="none"/>
              </w:rPr>
            </w:pPr>
            <w:r>
              <w:rPr>
                <w:rFonts w:hint="eastAsia" w:ascii="宋体" w:hAnsi="宋体" w:eastAsia="宋体" w:cs="宋体"/>
                <w:color w:val="auto"/>
                <w:sz w:val="24"/>
                <w:highlight w:val="none"/>
                <w:lang w:val="en-US" w:eastAsia="zh-CN"/>
              </w:rPr>
              <w:t>约谈制度</w:t>
            </w:r>
          </w:p>
        </w:tc>
        <w:tc>
          <w:tcPr>
            <w:tcW w:w="7175" w:type="dxa"/>
            <w:tcBorders>
              <w:top w:val="single" w:color="auto" w:sz="4" w:space="0"/>
              <w:left w:val="single" w:color="auto" w:sz="4" w:space="0"/>
              <w:bottom w:val="single" w:color="auto" w:sz="4" w:space="0"/>
              <w:right w:val="single" w:color="auto" w:sz="4" w:space="0"/>
            </w:tcBorders>
            <w:noWrap w:val="0"/>
            <w:vAlign w:val="center"/>
          </w:tcPr>
          <w:p w14:paraId="435BA00B">
            <w:pPr>
              <w:adjustRightInd w:val="0"/>
              <w:snapToGrid w:val="0"/>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项目公示期满，下发中标通知书前，中标单位必须按照招标单位的规定参加项目实施前约谈，中标单位(若为联合体，指联合体所有成员）的法人代表或负责人（公司副总以上）和项目负责人（指项目经理A岗、项目经理B岗（如有）、设计项目负责人）必须参加约谈会议。</w:t>
            </w:r>
          </w:p>
          <w:p w14:paraId="3AA95D5E">
            <w:pPr>
              <w:spacing w:line="52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注：中标单位(若为联合体，指联合体所有成员）的法人代表参加约谈的，参与会议时须提供有效身份证明和职务任命文件；中标单位的负责人（公司副总以上）参加约谈的，参与会议时须提供授权委托书、有效身份证明和职务任命文件，以及社保部门出具的本单位为其缴纳的养老保险证明（证明文件两个月内有效）。未按照规定要求参加约谈的，视为放弃中标。</w:t>
            </w:r>
            <w:r>
              <w:rPr>
                <w:rFonts w:hint="eastAsia" w:ascii="宋体" w:hAnsi="宋体" w:cs="宋体"/>
                <w:b/>
                <w:bCs/>
                <w:color w:val="auto"/>
                <w:sz w:val="24"/>
                <w:highlight w:val="none"/>
                <w:lang w:val="en-US" w:eastAsia="zh-CN"/>
              </w:rPr>
              <w:t xml:space="preserve">  </w:t>
            </w:r>
            <w:r>
              <w:rPr>
                <w:rFonts w:hint="eastAsia" w:ascii="宋体" w:hAnsi="宋体" w:cs="宋体"/>
                <w:b/>
                <w:bCs/>
                <w:color w:val="auto"/>
                <w:sz w:val="24"/>
                <w:highlight w:val="none"/>
              </w:rPr>
              <w:t xml:space="preserve"> </w:t>
            </w:r>
          </w:p>
        </w:tc>
      </w:tr>
      <w:bookmarkEnd w:id="48"/>
      <w:bookmarkEnd w:id="49"/>
      <w:bookmarkEnd w:id="50"/>
      <w:bookmarkEnd w:id="51"/>
    </w:tbl>
    <w:p w14:paraId="4A4762A7">
      <w:pPr>
        <w:pStyle w:val="3"/>
        <w:pageBreakBefore/>
        <w:adjustRightInd w:val="0"/>
        <w:snapToGrid w:val="0"/>
        <w:spacing w:before="0" w:after="0" w:line="560" w:lineRule="exact"/>
        <w:ind w:firstLine="422" w:firstLineChars="200"/>
        <w:rPr>
          <w:rFonts w:hint="eastAsia" w:ascii="黑体" w:hAnsi="黑体" w:cs="黑体"/>
          <w:color w:val="auto"/>
          <w:sz w:val="21"/>
          <w:szCs w:val="21"/>
          <w:highlight w:val="none"/>
        </w:rPr>
      </w:pPr>
      <w:bookmarkStart w:id="52" w:name="_Toc60061433"/>
      <w:bookmarkStart w:id="53" w:name="_Toc83301688"/>
      <w:bookmarkStart w:id="54" w:name="_Toc95223336"/>
      <w:r>
        <w:rPr>
          <w:rFonts w:hint="eastAsia" w:ascii="黑体" w:hAnsi="黑体" w:cs="黑体"/>
          <w:color w:val="auto"/>
          <w:sz w:val="21"/>
          <w:szCs w:val="21"/>
          <w:highlight w:val="none"/>
        </w:rPr>
        <w:t>1. 总则</w:t>
      </w:r>
      <w:bookmarkEnd w:id="38"/>
      <w:bookmarkEnd w:id="39"/>
      <w:bookmarkEnd w:id="40"/>
      <w:bookmarkEnd w:id="41"/>
      <w:bookmarkEnd w:id="42"/>
      <w:bookmarkEnd w:id="43"/>
      <w:bookmarkEnd w:id="44"/>
      <w:bookmarkEnd w:id="45"/>
      <w:bookmarkEnd w:id="46"/>
      <w:bookmarkEnd w:id="47"/>
      <w:bookmarkEnd w:id="52"/>
      <w:bookmarkEnd w:id="53"/>
      <w:bookmarkEnd w:id="54"/>
    </w:p>
    <w:p w14:paraId="3734A667">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55" w:name="_Toc247085690"/>
      <w:bookmarkStart w:id="56" w:name="_Toc179632547"/>
      <w:bookmarkStart w:id="57" w:name="_Toc152042306"/>
      <w:bookmarkStart w:id="58" w:name="_Toc83301689"/>
      <w:bookmarkStart w:id="59" w:name="_Toc246996919"/>
      <w:bookmarkStart w:id="60" w:name="_Toc15058847"/>
      <w:bookmarkStart w:id="61" w:name="_Toc246996176"/>
      <w:bookmarkStart w:id="62" w:name="_Toc324404816"/>
      <w:bookmarkStart w:id="63" w:name="_Toc95223337"/>
      <w:bookmarkStart w:id="64" w:name="_Toc296602421"/>
      <w:bookmarkStart w:id="65" w:name="_Toc152045530"/>
      <w:bookmarkStart w:id="66" w:name="_Toc144974498"/>
      <w:bookmarkStart w:id="67" w:name="_Toc506107270"/>
      <w:bookmarkStart w:id="68" w:name="_Toc60061434"/>
      <w:r>
        <w:rPr>
          <w:rFonts w:hint="eastAsia" w:ascii="黑体" w:hAnsi="黑体" w:eastAsia="黑体" w:cs="黑体"/>
          <w:color w:val="auto"/>
          <w:sz w:val="21"/>
          <w:szCs w:val="21"/>
          <w:highlight w:val="none"/>
        </w:rPr>
        <w:t>1.1 项目概况</w:t>
      </w:r>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07545A50">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1.1.1根据《中华人民共和国招标投标法》《中华人民共和国招标投标法实施条例》等有关法律、法规和规章的规定，本招标项目已具备招标条件，现对本项目施工进行招标。</w:t>
      </w:r>
    </w:p>
    <w:p w14:paraId="691115ED">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1.1.2 本招标项目招标人：见投标人须知前附表。</w:t>
      </w:r>
    </w:p>
    <w:p w14:paraId="436367A7">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1.1.3 本招标项目招标代理机构：见投标人须知前附表。</w:t>
      </w:r>
    </w:p>
    <w:p w14:paraId="76164347">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1.1.4 本招标项目名称：见投标人须知前附表。</w:t>
      </w:r>
    </w:p>
    <w:p w14:paraId="29C2A2BD">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1.1.5 本招标项目建设地点：见投标人须知前附表。</w:t>
      </w:r>
    </w:p>
    <w:p w14:paraId="2145E048">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69" w:name="_Toc152042307"/>
      <w:bookmarkStart w:id="70" w:name="_Toc15058848"/>
      <w:bookmarkStart w:id="71" w:name="_Toc60061435"/>
      <w:bookmarkStart w:id="72" w:name="_Toc296602422"/>
      <w:bookmarkStart w:id="73" w:name="_Toc95223338"/>
      <w:bookmarkStart w:id="74" w:name="_Toc324404817"/>
      <w:bookmarkStart w:id="75" w:name="_Toc144974499"/>
      <w:bookmarkStart w:id="76" w:name="_Toc83301690"/>
      <w:bookmarkStart w:id="77" w:name="_Toc246996177"/>
      <w:bookmarkStart w:id="78" w:name="_Toc179632548"/>
      <w:bookmarkStart w:id="79" w:name="_Toc506107271"/>
      <w:bookmarkStart w:id="80" w:name="_Toc246996920"/>
      <w:bookmarkStart w:id="81" w:name="_Toc152045531"/>
      <w:bookmarkStart w:id="82" w:name="_Toc247085691"/>
      <w:r>
        <w:rPr>
          <w:rFonts w:hint="eastAsia" w:ascii="黑体" w:hAnsi="黑体" w:eastAsia="黑体" w:cs="黑体"/>
          <w:color w:val="auto"/>
          <w:sz w:val="21"/>
          <w:szCs w:val="21"/>
          <w:highlight w:val="none"/>
        </w:rPr>
        <w:t>1.2 资金来源和落实情况</w:t>
      </w:r>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0E31CED6">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 本招标项目的资金来源及出资比例：见投标人须知前附表。</w:t>
      </w:r>
    </w:p>
    <w:p w14:paraId="1AF54077">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 本招标项目的资金落实情况：见投标人须知前附表。</w:t>
      </w:r>
    </w:p>
    <w:p w14:paraId="282D1BAA">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83" w:name="_Toc246996178"/>
      <w:bookmarkStart w:id="84" w:name="_Toc95223339"/>
      <w:bookmarkStart w:id="85" w:name="_Toc60061436"/>
      <w:bookmarkStart w:id="86" w:name="_Toc324404818"/>
      <w:bookmarkStart w:id="87" w:name="_Toc144974500"/>
      <w:bookmarkStart w:id="88" w:name="_Toc179632549"/>
      <w:bookmarkStart w:id="89" w:name="_Toc15058849"/>
      <w:bookmarkStart w:id="90" w:name="_Toc83301691"/>
      <w:bookmarkStart w:id="91" w:name="_Toc296602423"/>
      <w:bookmarkStart w:id="92" w:name="_Toc247085692"/>
      <w:bookmarkStart w:id="93" w:name="_Toc152045532"/>
      <w:bookmarkStart w:id="94" w:name="_Toc506107272"/>
      <w:bookmarkStart w:id="95" w:name="_Toc152042308"/>
      <w:bookmarkStart w:id="96" w:name="_Toc246996921"/>
      <w:r>
        <w:rPr>
          <w:rFonts w:hint="eastAsia" w:ascii="黑体" w:hAnsi="黑体" w:eastAsia="黑体" w:cs="黑体"/>
          <w:color w:val="auto"/>
          <w:sz w:val="21"/>
          <w:szCs w:val="21"/>
          <w:highlight w:val="none"/>
        </w:rPr>
        <w:t>1.3 招标范围、计划工期、质量要求</w:t>
      </w:r>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5D534984">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 本次招标范围：见投标人须知前附表。</w:t>
      </w:r>
    </w:p>
    <w:p w14:paraId="15FB9F48">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1.3.2 本招标项目的计划工期：见投标人须知前附表。</w:t>
      </w:r>
    </w:p>
    <w:p w14:paraId="0D57CE50">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1.3.3 本招标项目的质量要求：见投标人须知前附表。</w:t>
      </w:r>
    </w:p>
    <w:p w14:paraId="4E3AB0A4">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97" w:name="_Toc60061437"/>
      <w:bookmarkStart w:id="98" w:name="_Toc83301692"/>
      <w:bookmarkStart w:id="99" w:name="_Toc95223340"/>
      <w:bookmarkStart w:id="100" w:name="_Toc296602424"/>
      <w:bookmarkStart w:id="101" w:name="_Toc247085693"/>
      <w:bookmarkStart w:id="102" w:name="_Toc246996179"/>
      <w:bookmarkStart w:id="103" w:name="_Toc144974502"/>
      <w:bookmarkStart w:id="104" w:name="_Toc15058850"/>
      <w:bookmarkStart w:id="105" w:name="_Toc179632551"/>
      <w:bookmarkStart w:id="106" w:name="_Toc506107273"/>
      <w:bookmarkStart w:id="107" w:name="_Toc152045534"/>
      <w:bookmarkStart w:id="108" w:name="_Toc152042310"/>
      <w:bookmarkStart w:id="109" w:name="_Toc324404819"/>
      <w:bookmarkStart w:id="110" w:name="_Toc246996922"/>
      <w:r>
        <w:rPr>
          <w:rFonts w:hint="eastAsia" w:ascii="黑体" w:hAnsi="黑体" w:eastAsia="黑体" w:cs="黑体"/>
          <w:color w:val="auto"/>
          <w:sz w:val="21"/>
          <w:szCs w:val="21"/>
          <w:highlight w:val="none"/>
        </w:rPr>
        <w:t>1.4 投标人资格要求</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20F327DD">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1.4.1 投标人应具备承担本项目施工的资质条件、能力和信誉。</w:t>
      </w:r>
    </w:p>
    <w:p w14:paraId="4F368185">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（1）资质条件：见投标人须知前附表；</w:t>
      </w:r>
    </w:p>
    <w:p w14:paraId="5486D569">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（2）信誉要求：见投标人须知前附表；</w:t>
      </w:r>
    </w:p>
    <w:p w14:paraId="3466043B">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（3）项目经理（建造师）资格：见投标人须知前附表；</w:t>
      </w:r>
    </w:p>
    <w:p w14:paraId="7928CE5F">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（4）其他要求：见投标人须知前附表。</w:t>
      </w:r>
    </w:p>
    <w:p w14:paraId="1B1FDCA9">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1.4.2 投标人须知前附表规定接受联合体投标的，除应符合本章第1.4.1项和投标人须知前附表的要求外，还应遵守以下规定： </w:t>
      </w:r>
    </w:p>
    <w:p w14:paraId="327300F2">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（1）联合体各方应按招标文件提供的格式签订联合体协议书，明确联合体各方权利义务</w:t>
      </w:r>
      <w:r>
        <w:rPr>
          <w:color w:val="auto"/>
          <w:spacing w:val="-3"/>
          <w:highlight w:val="none"/>
        </w:rPr>
        <w:t>，并承诺就中标项目向招标人承担连带责任</w:t>
      </w:r>
      <w:r>
        <w:rPr>
          <w:rFonts w:hint="eastAsia" w:ascii="宋体" w:hAnsi="宋体" w:cs="宋体"/>
          <w:color w:val="auto"/>
          <w:szCs w:val="21"/>
          <w:highlight w:val="none"/>
        </w:rPr>
        <w:t>；</w:t>
      </w:r>
    </w:p>
    <w:p w14:paraId="48809019">
      <w:pPr>
        <w:adjustRightInd w:val="0"/>
        <w:snapToGrid w:val="0"/>
        <w:spacing w:line="560" w:lineRule="exact"/>
        <w:ind w:firstLine="420" w:firstLineChars="200"/>
        <w:rPr>
          <w:rFonts w:hint="eastAsia"/>
          <w:color w:val="auto"/>
          <w:highlight w:val="none"/>
        </w:rPr>
      </w:pPr>
      <w:bookmarkStart w:id="111" w:name="_Toc246996923"/>
      <w:bookmarkStart w:id="112" w:name="_Toc246996180"/>
      <w:bookmarkStart w:id="113" w:name="_Toc506107274"/>
      <w:bookmarkStart w:id="114" w:name="_Toc15058851"/>
      <w:bookmarkStart w:id="115" w:name="_Toc296602425"/>
      <w:bookmarkStart w:id="116" w:name="_Toc152042311"/>
      <w:bookmarkStart w:id="117" w:name="_Toc247085694"/>
      <w:bookmarkStart w:id="118" w:name="_Toc144974503"/>
      <w:bookmarkStart w:id="119" w:name="_Toc60061438"/>
      <w:bookmarkStart w:id="120" w:name="_Toc95223341"/>
      <w:bookmarkStart w:id="121" w:name="_Toc152045535"/>
      <w:bookmarkStart w:id="122" w:name="_Toc179632552"/>
      <w:bookmarkStart w:id="123" w:name="_Toc324404820"/>
      <w:bookmarkStart w:id="124" w:name="_Toc83301693"/>
      <w:r>
        <w:rPr>
          <w:rFonts w:hint="eastAsia" w:ascii="宋体" w:hAnsi="宋体" w:cs="宋体"/>
          <w:color w:val="auto"/>
          <w:szCs w:val="21"/>
          <w:highlight w:val="none"/>
        </w:rPr>
        <w:t>（2）联合体各方不得再以自己名义单独或参加其他联合体在同一标段中投标。</w:t>
      </w:r>
    </w:p>
    <w:p w14:paraId="0251B79B">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1.4.3投标人（包括联合体各</w:t>
      </w:r>
      <w:r>
        <w:rPr>
          <w:rFonts w:hint="eastAsia" w:ascii="宋体" w:hAnsi="宋体" w:eastAsia="宋体" w:cs="宋体"/>
          <w:color w:val="auto"/>
          <w:szCs w:val="21"/>
          <w:highlight w:val="none"/>
        </w:rPr>
        <w:t>成员）</w:t>
      </w:r>
      <w:r>
        <w:rPr>
          <w:rFonts w:hint="eastAsia" w:ascii="宋体" w:hAnsi="宋体" w:eastAsia="宋体" w:cs="宋体"/>
          <w:color w:val="auto"/>
          <w:szCs w:val="21"/>
          <w:highlight w:val="none"/>
          <w:lang w:val="en-US" w:eastAsia="zh-CN"/>
        </w:rPr>
        <w:t>不得存在以下情形</w:t>
      </w:r>
      <w:r>
        <w:rPr>
          <w:rFonts w:hint="eastAsia" w:ascii="宋体" w:hAnsi="宋体" w:eastAsia="宋体" w:cs="宋体"/>
          <w:color w:val="auto"/>
          <w:szCs w:val="21"/>
          <w:highlight w:val="none"/>
        </w:rPr>
        <w:t>：</w:t>
      </w:r>
    </w:p>
    <w:p w14:paraId="5DD96618">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（1）为招标人不具有独立法人资格的附属机构（单位）；</w:t>
      </w:r>
    </w:p>
    <w:p w14:paraId="582DA50D">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（2）与招标人存在利害关系且可能影响招标公正性；</w:t>
      </w:r>
    </w:p>
    <w:p w14:paraId="23F9ECE7">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（3）与本标段的其他投标人同为一个单位负责人；</w:t>
      </w:r>
    </w:p>
    <w:p w14:paraId="4A091AAE">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（4）与本标段的其他投标人存在控股、管理关系；</w:t>
      </w:r>
    </w:p>
    <w:p w14:paraId="2EA94BE2">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（5）为本标段前期准备提供设计或咨询服务的法人或其任何附属机构（单位）</w:t>
      </w:r>
      <w:r>
        <w:rPr>
          <w:rFonts w:hint="eastAsia" w:ascii="宋体" w:hAnsi="宋体" w:cs="宋体"/>
          <w:b/>
          <w:color w:val="auto"/>
          <w:szCs w:val="21"/>
          <w:highlight w:val="none"/>
        </w:rPr>
        <w:t>(工程总承包项目本目不采用)</w:t>
      </w:r>
      <w:r>
        <w:rPr>
          <w:rFonts w:hint="eastAsia" w:ascii="宋体" w:hAnsi="宋体" w:cs="宋体"/>
          <w:color w:val="auto"/>
          <w:szCs w:val="21"/>
          <w:highlight w:val="none"/>
        </w:rPr>
        <w:t>；</w:t>
      </w:r>
    </w:p>
    <w:p w14:paraId="1B4EC076">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（6）为本标段的监理人；</w:t>
      </w:r>
    </w:p>
    <w:p w14:paraId="53728A88">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（7）为本标段的代建人；</w:t>
      </w:r>
    </w:p>
    <w:p w14:paraId="0152069C">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（8）为本标段的招标代理机构；</w:t>
      </w:r>
    </w:p>
    <w:p w14:paraId="0D277A29">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（9）与本标段的监理人或代建人或招标代理机构同为一个法定代表人；</w:t>
      </w:r>
    </w:p>
    <w:p w14:paraId="7314A21F">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（10）与本标段的监理人或代建人或招标代理机构存在控股或参股关系；</w:t>
      </w:r>
    </w:p>
    <w:p w14:paraId="4AA7C892">
      <w:pPr>
        <w:adjustRightInd w:val="0"/>
        <w:snapToGrid w:val="0"/>
        <w:spacing w:line="5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（11）被依法取消投标资格，且在处罚期和处罚范围内（以有关行政管理部门的行政处罚决定或司法机关出具的有关法律文书为准）；</w:t>
      </w:r>
    </w:p>
    <w:p w14:paraId="23F5097D">
      <w:pPr>
        <w:adjustRightInd w:val="0"/>
        <w:snapToGrid w:val="0"/>
        <w:spacing w:line="5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（12）在最近三年内（自投标截止之日向前追溯3年）有骗取中标或串通投标或严重违约或重大工程质量事故</w:t>
      </w:r>
      <w:r>
        <w:rPr>
          <w:rFonts w:hint="eastAsia" w:ascii="宋体" w:hAnsi="宋体" w:eastAsia="宋体" w:cs="宋体"/>
          <w:color w:val="auto"/>
          <w:szCs w:val="21"/>
          <w:highlight w:val="none"/>
          <w:lang w:val="en-US" w:eastAsia="zh-CN"/>
        </w:rPr>
        <w:footnoteReference w:id="0"/>
      </w:r>
      <w:r>
        <w:rPr>
          <w:rFonts w:hint="eastAsia" w:ascii="宋体" w:hAnsi="宋体" w:eastAsia="宋体" w:cs="宋体"/>
          <w:color w:val="auto"/>
          <w:szCs w:val="21"/>
          <w:highlight w:val="none"/>
          <w:lang w:val="en-US" w:eastAsia="zh-CN"/>
        </w:rPr>
        <w:t>或重大生产安全事故</w:t>
      </w:r>
      <w:r>
        <w:rPr>
          <w:rFonts w:hint="eastAsia" w:ascii="宋体" w:hAnsi="宋体" w:eastAsia="宋体" w:cs="宋体"/>
          <w:color w:val="auto"/>
          <w:szCs w:val="21"/>
          <w:highlight w:val="none"/>
          <w:lang w:val="en-US" w:eastAsia="zh-CN"/>
        </w:rPr>
        <w:footnoteReference w:id="1"/>
      </w:r>
      <w:r>
        <w:rPr>
          <w:rFonts w:hint="eastAsia" w:ascii="宋体" w:hAnsi="宋体" w:eastAsia="宋体" w:cs="宋体"/>
          <w:color w:val="auto"/>
          <w:szCs w:val="21"/>
          <w:highlight w:val="none"/>
          <w:lang w:val="en-US" w:eastAsia="zh-CN"/>
        </w:rPr>
        <w:t>的（以相关行业主管部门的行政处罚决定或司法机关出具的有关法律文书为准）。上述情形已完成信用修复的除外；</w:t>
      </w:r>
    </w:p>
    <w:p w14:paraId="20122B0B">
      <w:pPr>
        <w:adjustRightInd w:val="0"/>
        <w:snapToGrid w:val="0"/>
        <w:spacing w:line="5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（13）被责令停业，暂扣或吊销执照、安全生产许可证，或吊销资质证书；</w:t>
      </w:r>
    </w:p>
    <w:p w14:paraId="60E91825">
      <w:pPr>
        <w:adjustRightInd w:val="0"/>
        <w:snapToGrid w:val="0"/>
        <w:spacing w:line="5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（14）进入清算程序，或被宣告破产，或其他丧失履约能力的情形；</w:t>
      </w:r>
    </w:p>
    <w:p w14:paraId="25C6771B">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（15）投标人或其法定代表人、项目经理在最近三年内（自投标截止之日向前追溯3年）有行贿犯罪行为；</w:t>
      </w:r>
    </w:p>
    <w:p w14:paraId="0F0B3DE4">
      <w:pPr>
        <w:adjustRightInd w:val="0"/>
        <w:snapToGrid w:val="0"/>
        <w:spacing w:line="5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）法律法规或投标人须知前附表规定的其他情形。</w:t>
      </w:r>
    </w:p>
    <w:p w14:paraId="73701F08">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1.5 费用承担</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7CD2E522">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投标人准备和参加投标活动发生的费用自理。</w:t>
      </w:r>
    </w:p>
    <w:p w14:paraId="0977B400">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125" w:name="_Toc83301694"/>
      <w:bookmarkStart w:id="126" w:name="_Toc296602426"/>
      <w:bookmarkStart w:id="127" w:name="_Toc247085695"/>
      <w:bookmarkStart w:id="128" w:name="_Toc95223342"/>
      <w:bookmarkStart w:id="129" w:name="_Toc15058852"/>
      <w:bookmarkStart w:id="130" w:name="_Toc246996181"/>
      <w:bookmarkStart w:id="131" w:name="_Toc144974504"/>
      <w:bookmarkStart w:id="132" w:name="_Toc60061439"/>
      <w:bookmarkStart w:id="133" w:name="_Toc179632553"/>
      <w:bookmarkStart w:id="134" w:name="_Toc324404821"/>
      <w:bookmarkStart w:id="135" w:name="_Toc152042312"/>
      <w:bookmarkStart w:id="136" w:name="_Toc506107275"/>
      <w:bookmarkStart w:id="137" w:name="_Toc152045536"/>
      <w:bookmarkStart w:id="138" w:name="_Toc246996924"/>
      <w:r>
        <w:rPr>
          <w:rFonts w:hint="eastAsia" w:ascii="黑体" w:hAnsi="黑体" w:eastAsia="黑体" w:cs="黑体"/>
          <w:color w:val="auto"/>
          <w:sz w:val="21"/>
          <w:szCs w:val="21"/>
          <w:highlight w:val="none"/>
        </w:rPr>
        <w:t>1.6 保密</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44881A06">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参与招标投标活动的各方应对招标文件和投标文件中的商业和技术等秘密保密，违者应对由此造成的后果承担法律责任。 </w:t>
      </w:r>
    </w:p>
    <w:p w14:paraId="672D536C">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139" w:name="_Toc144974505"/>
      <w:bookmarkStart w:id="140" w:name="_Toc179632554"/>
      <w:bookmarkStart w:id="141" w:name="_Toc296602427"/>
      <w:bookmarkStart w:id="142" w:name="_Toc324404822"/>
      <w:bookmarkStart w:id="143" w:name="_Toc247085696"/>
      <w:bookmarkStart w:id="144" w:name="_Toc60061440"/>
      <w:bookmarkStart w:id="145" w:name="_Toc152042313"/>
      <w:bookmarkStart w:id="146" w:name="_Toc506107276"/>
      <w:bookmarkStart w:id="147" w:name="_Toc246996925"/>
      <w:bookmarkStart w:id="148" w:name="_Toc83301695"/>
      <w:bookmarkStart w:id="149" w:name="_Toc152045537"/>
      <w:bookmarkStart w:id="150" w:name="_Toc95223343"/>
      <w:bookmarkStart w:id="151" w:name="_Toc246996182"/>
      <w:bookmarkStart w:id="152" w:name="_Toc15058853"/>
      <w:r>
        <w:rPr>
          <w:rFonts w:hint="eastAsia" w:ascii="黑体" w:hAnsi="黑体" w:eastAsia="黑体" w:cs="黑体"/>
          <w:color w:val="auto"/>
          <w:sz w:val="21"/>
          <w:szCs w:val="21"/>
          <w:highlight w:val="none"/>
        </w:rPr>
        <w:t>1.7 语言</w:t>
      </w:r>
      <w:bookmarkEnd w:id="139"/>
      <w:r>
        <w:rPr>
          <w:rFonts w:hint="eastAsia" w:ascii="黑体" w:hAnsi="黑体" w:eastAsia="黑体" w:cs="黑体"/>
          <w:color w:val="auto"/>
          <w:sz w:val="21"/>
          <w:szCs w:val="21"/>
          <w:highlight w:val="none"/>
        </w:rPr>
        <w:t>文字</w:t>
      </w:r>
      <w:bookmarkEnd w:id="140"/>
      <w:bookmarkEnd w:id="141"/>
      <w:bookmarkEnd w:id="142"/>
      <w:bookmarkEnd w:id="143"/>
      <w:bookmarkEnd w:id="144"/>
      <w:bookmarkEnd w:id="145"/>
      <w:bookmarkEnd w:id="146"/>
      <w:bookmarkEnd w:id="147"/>
      <w:bookmarkEnd w:id="148"/>
      <w:bookmarkEnd w:id="149"/>
      <w:bookmarkEnd w:id="150"/>
      <w:bookmarkEnd w:id="151"/>
      <w:bookmarkEnd w:id="152"/>
    </w:p>
    <w:p w14:paraId="79318887">
      <w:pPr>
        <w:adjustRightInd w:val="0"/>
        <w:snapToGrid w:val="0"/>
        <w:spacing w:line="560" w:lineRule="exact"/>
        <w:ind w:firstLine="420" w:firstLineChars="200"/>
        <w:rPr>
          <w:rFonts w:hint="eastAsia" w:ascii="宋体" w:hAnsi="宋体" w:cs="宋体"/>
          <w:color w:val="auto"/>
          <w:szCs w:val="21"/>
          <w:highlight w:val="none"/>
        </w:rPr>
      </w:pPr>
      <w:bookmarkStart w:id="153" w:name="_Toc144974506"/>
      <w:bookmarkStart w:id="154" w:name="_Toc246996183"/>
      <w:bookmarkStart w:id="155" w:name="_Toc247085697"/>
      <w:bookmarkStart w:id="156" w:name="_Toc246996926"/>
      <w:bookmarkStart w:id="157" w:name="_Toc152045538"/>
      <w:bookmarkStart w:id="158" w:name="_Toc152042314"/>
      <w:bookmarkStart w:id="159" w:name="_Toc179632555"/>
      <w:r>
        <w:rPr>
          <w:rFonts w:hint="eastAsia" w:ascii="宋体" w:hAnsi="宋体" w:cs="宋体"/>
          <w:color w:val="auto"/>
          <w:szCs w:val="21"/>
          <w:highlight w:val="none"/>
        </w:rPr>
        <w:t>招标投标文件使用的语言文字为中文。专用术语使用外文的，应附有中文注释。</w:t>
      </w:r>
    </w:p>
    <w:p w14:paraId="21B609B1">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160" w:name="_Toc324404823"/>
      <w:bookmarkStart w:id="161" w:name="_Toc296602428"/>
      <w:bookmarkStart w:id="162" w:name="_Toc15058854"/>
      <w:bookmarkStart w:id="163" w:name="_Toc83301696"/>
      <w:bookmarkStart w:id="164" w:name="_Toc95223344"/>
      <w:bookmarkStart w:id="165" w:name="_Toc506107277"/>
      <w:bookmarkStart w:id="166" w:name="_Toc60061441"/>
      <w:r>
        <w:rPr>
          <w:rFonts w:hint="eastAsia" w:ascii="黑体" w:hAnsi="黑体" w:eastAsia="黑体" w:cs="黑体"/>
          <w:color w:val="auto"/>
          <w:sz w:val="21"/>
          <w:szCs w:val="21"/>
          <w:highlight w:val="none"/>
        </w:rPr>
        <w:t>1.8 计量单位</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27ADCBDC">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14:paraId="6F914BEC">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167" w:name="_Toc296602429"/>
      <w:bookmarkStart w:id="168" w:name="_Toc324404824"/>
      <w:bookmarkStart w:id="169" w:name="_Toc152042315"/>
      <w:bookmarkStart w:id="170" w:name="_Toc247592876"/>
      <w:bookmarkStart w:id="171" w:name="_Toc15058855"/>
      <w:bookmarkStart w:id="172" w:name="_Toc506107278"/>
      <w:bookmarkStart w:id="173" w:name="_Toc152045539"/>
      <w:bookmarkStart w:id="174" w:name="_Toc144974507"/>
      <w:bookmarkStart w:id="175" w:name="_Toc83301697"/>
      <w:bookmarkStart w:id="176" w:name="_Toc247513962"/>
      <w:bookmarkStart w:id="177" w:name="_Toc60061442"/>
      <w:bookmarkStart w:id="178" w:name="_Toc247527563"/>
      <w:bookmarkStart w:id="179" w:name="_Toc95223345"/>
      <w:r>
        <w:rPr>
          <w:rFonts w:hint="eastAsia" w:ascii="黑体" w:hAnsi="黑体" w:eastAsia="黑体" w:cs="黑体"/>
          <w:color w:val="auto"/>
          <w:sz w:val="21"/>
          <w:szCs w:val="21"/>
          <w:highlight w:val="none"/>
        </w:rPr>
        <w:t>1.9 踏勘现场</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4DFE2772">
      <w:pPr>
        <w:adjustRightInd w:val="0"/>
        <w:snapToGrid w:val="0"/>
        <w:spacing w:line="560" w:lineRule="exact"/>
        <w:ind w:firstLine="420" w:firstLineChars="200"/>
        <w:rPr>
          <w:rFonts w:hint="eastAsia" w:ascii="宋体" w:hAnsi="宋体" w:cs="宋体"/>
          <w:color w:val="auto"/>
          <w:szCs w:val="21"/>
          <w:highlight w:val="none"/>
        </w:rPr>
      </w:pPr>
      <w:bookmarkStart w:id="180" w:name="_Toc83301698"/>
      <w:bookmarkStart w:id="181" w:name="_Toc506107279"/>
      <w:bookmarkStart w:id="182" w:name="_Toc152042316"/>
      <w:bookmarkStart w:id="183" w:name="_Toc60061443"/>
      <w:bookmarkStart w:id="184" w:name="_Toc247513963"/>
      <w:bookmarkStart w:id="185" w:name="_Toc95223346"/>
      <w:bookmarkStart w:id="186" w:name="_Toc296602430"/>
      <w:bookmarkStart w:id="187" w:name="_Toc247527564"/>
      <w:bookmarkStart w:id="188" w:name="_Toc152045540"/>
      <w:bookmarkStart w:id="189" w:name="_Toc247592877"/>
      <w:bookmarkStart w:id="190" w:name="_Toc15058856"/>
      <w:bookmarkStart w:id="191" w:name="_Toc144974508"/>
      <w:bookmarkStart w:id="192" w:name="_Toc324404825"/>
      <w:r>
        <w:rPr>
          <w:rFonts w:hint="eastAsia" w:ascii="宋体" w:hAnsi="宋体" w:cs="宋体"/>
          <w:color w:val="auto"/>
          <w:szCs w:val="21"/>
          <w:highlight w:val="none"/>
        </w:rPr>
        <w:t>1.9.1前附表规定组织踏勘现场的，招标人按投标人须知前附表规定的时间、地点组织投标人踏勘项目现场。</w:t>
      </w:r>
      <w:r>
        <w:rPr>
          <w:color w:val="auto"/>
          <w:spacing w:val="-7"/>
          <w:highlight w:val="none"/>
        </w:rPr>
        <w:t>部分投标人未按时参加踏勘现场的，不影响踏勘现场的正常进行。招标</w:t>
      </w:r>
      <w:r>
        <w:rPr>
          <w:color w:val="auto"/>
          <w:spacing w:val="-5"/>
          <w:highlight w:val="none"/>
        </w:rPr>
        <w:t>人不得组织单个或部分投标人踏勘项目现场。</w:t>
      </w:r>
      <w:r>
        <w:rPr>
          <w:rFonts w:hint="eastAsia" w:ascii="宋体" w:hAnsi="宋体" w:cs="宋体"/>
          <w:color w:val="auto"/>
          <w:szCs w:val="21"/>
          <w:highlight w:val="none"/>
        </w:rPr>
        <w:t xml:space="preserve"> </w:t>
      </w:r>
    </w:p>
    <w:p w14:paraId="107A14EF">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1.9.2 投标人踏勘现场发生的费用自理。</w:t>
      </w:r>
    </w:p>
    <w:p w14:paraId="56457FBD">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1.9.3 除招标人的原因外，投标人自行负责在踏勘现场中所发生的人员伤亡和财产损失。</w:t>
      </w:r>
    </w:p>
    <w:p w14:paraId="141C24D3">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1.9.4 招标人在踏勘现场中介绍的工程场地和相关的周边环境情况，供投标人在编制投标文件时参考，招标人不对投标人据此作出的判断和决策负责。</w:t>
      </w:r>
    </w:p>
    <w:p w14:paraId="5600AE24">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1.9.5无论投标人是否到施工现场实地踏勘，中标后签订合同时和履约过程中，投标人不得以不完全了解现场情况或现场情况与招标文件描述不一致等为由，提出任何形式的增加工程造价或索赔的要求。</w:t>
      </w:r>
    </w:p>
    <w:p w14:paraId="53A5F9A3">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1.10 投标预备会</w:t>
      </w:r>
      <w:bookmarkEnd w:id="180"/>
      <w:bookmarkEnd w:id="181"/>
      <w:bookmarkEnd w:id="182"/>
      <w:bookmarkEnd w:id="183"/>
      <w:bookmarkEnd w:id="184"/>
      <w:bookmarkEnd w:id="185"/>
      <w:bookmarkEnd w:id="186"/>
      <w:bookmarkEnd w:id="187"/>
      <w:bookmarkEnd w:id="188"/>
      <w:bookmarkEnd w:id="189"/>
      <w:bookmarkEnd w:id="190"/>
      <w:bookmarkEnd w:id="191"/>
      <w:bookmarkEnd w:id="192"/>
    </w:p>
    <w:p w14:paraId="52843ED4">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1.10.1投标人须知前附表规定召开投标预备会的，招标人按投标人须知前附表规定的时间和地点召开投标预备会，澄清投标人提出的问题。</w:t>
      </w:r>
    </w:p>
    <w:p w14:paraId="32C67537">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1.10.2投标人应在投标人须知前附表规定的时间前，将提出的问题送达招标人，以便招标人澄清。</w:t>
      </w:r>
    </w:p>
    <w:p w14:paraId="6E38FF6E">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193" w:name="_Toc296602431"/>
      <w:bookmarkStart w:id="194" w:name="_Toc15058857"/>
      <w:bookmarkStart w:id="195" w:name="_Toc324404826"/>
      <w:bookmarkStart w:id="196" w:name="_Toc506107280"/>
      <w:bookmarkStart w:id="197" w:name="_Toc95223347"/>
      <w:bookmarkStart w:id="198" w:name="_Toc60061444"/>
      <w:bookmarkStart w:id="199" w:name="_Toc83301699"/>
      <w:r>
        <w:rPr>
          <w:rFonts w:hint="eastAsia" w:ascii="黑体" w:hAnsi="黑体" w:eastAsia="黑体" w:cs="黑体"/>
          <w:color w:val="auto"/>
          <w:sz w:val="21"/>
          <w:szCs w:val="21"/>
          <w:highlight w:val="none"/>
        </w:rPr>
        <w:t xml:space="preserve">1.11 </w:t>
      </w:r>
      <w:bookmarkEnd w:id="193"/>
      <w:bookmarkEnd w:id="194"/>
      <w:bookmarkEnd w:id="195"/>
      <w:bookmarkEnd w:id="196"/>
      <w:r>
        <w:rPr>
          <w:rFonts w:hint="eastAsia" w:ascii="黑体" w:hAnsi="黑体" w:eastAsia="黑体" w:cs="黑体"/>
          <w:color w:val="auto"/>
          <w:sz w:val="21"/>
          <w:szCs w:val="21"/>
          <w:highlight w:val="none"/>
        </w:rPr>
        <w:t>分包</w:t>
      </w:r>
      <w:bookmarkEnd w:id="197"/>
      <w:bookmarkEnd w:id="198"/>
      <w:bookmarkEnd w:id="199"/>
    </w:p>
    <w:p w14:paraId="6243511E">
      <w:pPr>
        <w:pStyle w:val="19"/>
        <w:adjustRightInd w:val="0"/>
        <w:snapToGrid w:val="0"/>
        <w:spacing w:after="0" w:line="560" w:lineRule="exact"/>
        <w:ind w:left="0" w:leftChars="0" w:firstLine="420" w:firstLineChars="200"/>
        <w:rPr>
          <w:rFonts w:hint="eastAsia"/>
          <w:color w:val="auto"/>
          <w:highlight w:val="none"/>
        </w:rPr>
      </w:pPr>
      <w:r>
        <w:rPr>
          <w:rFonts w:hint="eastAsia"/>
          <w:color w:val="auto"/>
          <w:highlight w:val="none"/>
        </w:rPr>
        <w:t>1.11.1 投标人拟在中标后将中标项目的部分非主体、非关键性工作进行分包的，应符合以下规定：</w:t>
      </w:r>
    </w:p>
    <w:p w14:paraId="5B0A586B">
      <w:pPr>
        <w:pStyle w:val="19"/>
        <w:adjustRightInd w:val="0"/>
        <w:snapToGrid w:val="0"/>
        <w:spacing w:after="0" w:line="560" w:lineRule="exact"/>
        <w:ind w:left="0" w:leftChars="0" w:firstLine="0" w:firstLineChars="0"/>
        <w:rPr>
          <w:rFonts w:hint="eastAsia"/>
          <w:color w:val="auto"/>
          <w:highlight w:val="none"/>
        </w:rPr>
      </w:pPr>
      <w:r>
        <w:rPr>
          <w:rFonts w:hint="eastAsia"/>
          <w:color w:val="auto"/>
          <w:highlight w:val="none"/>
        </w:rPr>
        <w:t>（1）分包内容要求：招标人允许分包或不允许分包的专业工程（如有）应在投标人须知前附表中载明；</w:t>
      </w:r>
    </w:p>
    <w:p w14:paraId="170EB352">
      <w:pPr>
        <w:pStyle w:val="19"/>
        <w:adjustRightInd w:val="0"/>
        <w:snapToGrid w:val="0"/>
        <w:spacing w:after="0" w:line="560" w:lineRule="exact"/>
        <w:ind w:left="0" w:leftChars="0" w:firstLine="0" w:firstLineChars="0"/>
        <w:rPr>
          <w:rFonts w:hint="eastAsia"/>
          <w:color w:val="auto"/>
          <w:highlight w:val="none"/>
        </w:rPr>
      </w:pPr>
      <w:r>
        <w:rPr>
          <w:rFonts w:hint="eastAsia"/>
          <w:color w:val="auto"/>
          <w:highlight w:val="none"/>
        </w:rPr>
        <w:t>（2）接受分包的第三人资格要求：分包人的资格能力应与其分包工程的标准和规模相适应，且具备投标人须知前附表中规定的资格条件；</w:t>
      </w:r>
    </w:p>
    <w:p w14:paraId="596271D9">
      <w:pPr>
        <w:pStyle w:val="19"/>
        <w:adjustRightInd w:val="0"/>
        <w:snapToGrid w:val="0"/>
        <w:spacing w:after="0" w:line="560" w:lineRule="exact"/>
        <w:ind w:left="0" w:leftChars="0" w:firstLine="0" w:firstLineChars="0"/>
        <w:rPr>
          <w:rFonts w:hint="eastAsia"/>
          <w:color w:val="auto"/>
          <w:highlight w:val="none"/>
        </w:rPr>
      </w:pPr>
      <w:r>
        <w:rPr>
          <w:rFonts w:hint="eastAsia"/>
          <w:color w:val="auto"/>
          <w:highlight w:val="none"/>
        </w:rPr>
        <w:t>（3）其他要求：投标人如有分包计划，应按第九章“投标文件格式”的要求填写“拟分包项目情况表”，明确拟分包的工程及规模，且投标人中标后的分包应满足合同条款的相关要求。</w:t>
      </w:r>
    </w:p>
    <w:p w14:paraId="6049D9ED">
      <w:pPr>
        <w:pStyle w:val="19"/>
        <w:adjustRightInd w:val="0"/>
        <w:snapToGrid w:val="0"/>
        <w:spacing w:after="0" w:line="560" w:lineRule="exact"/>
        <w:ind w:left="0" w:leftChars="0" w:firstLine="0" w:firstLineChars="0"/>
        <w:rPr>
          <w:rFonts w:hint="eastAsia"/>
          <w:color w:val="auto"/>
          <w:highlight w:val="none"/>
        </w:rPr>
      </w:pPr>
      <w:r>
        <w:rPr>
          <w:rFonts w:hint="eastAsia"/>
          <w:color w:val="auto"/>
          <w:highlight w:val="none"/>
        </w:rPr>
        <w:t xml:space="preserve">   1.11.2中标人不得向他人转让中标项目，接受分包的人不得再次分包。中标人应就分包项目</w:t>
      </w:r>
    </w:p>
    <w:p w14:paraId="337FE0FE">
      <w:pPr>
        <w:pStyle w:val="19"/>
        <w:adjustRightInd w:val="0"/>
        <w:snapToGrid w:val="0"/>
        <w:spacing w:after="0" w:line="560" w:lineRule="exact"/>
        <w:ind w:left="0" w:leftChars="0" w:firstLine="0" w:firstLineChars="0"/>
        <w:rPr>
          <w:rFonts w:hint="eastAsia"/>
          <w:color w:val="auto"/>
          <w:highlight w:val="none"/>
        </w:rPr>
      </w:pPr>
      <w:r>
        <w:rPr>
          <w:rFonts w:hint="eastAsia"/>
          <w:color w:val="auto"/>
          <w:highlight w:val="none"/>
        </w:rPr>
        <w:t>向招标人负责，接受分包的人就分包项目承担连带责任。</w:t>
      </w:r>
    </w:p>
    <w:p w14:paraId="7325CE34">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200" w:name="_Toc60061445"/>
      <w:bookmarkStart w:id="201" w:name="_Toc95223348"/>
      <w:bookmarkStart w:id="202" w:name="_Toc83301700"/>
      <w:r>
        <w:rPr>
          <w:rFonts w:hint="eastAsia" w:ascii="黑体" w:hAnsi="黑体" w:eastAsia="黑体" w:cs="黑体"/>
          <w:color w:val="auto"/>
          <w:sz w:val="21"/>
          <w:szCs w:val="21"/>
          <w:highlight w:val="none"/>
        </w:rPr>
        <w:t>1.12 偏离</w:t>
      </w:r>
      <w:bookmarkEnd w:id="200"/>
      <w:bookmarkEnd w:id="201"/>
      <w:bookmarkEnd w:id="202"/>
    </w:p>
    <w:p w14:paraId="77E592A5">
      <w:pPr>
        <w:adjustRightInd w:val="0"/>
        <w:snapToGrid w:val="0"/>
        <w:spacing w:line="560" w:lineRule="exact"/>
        <w:ind w:firstLine="420" w:firstLineChars="200"/>
        <w:rPr>
          <w:rFonts w:hint="eastAsia" w:ascii="宋体" w:hAnsi="宋体" w:cs="宋体"/>
          <w:color w:val="auto"/>
          <w:szCs w:val="21"/>
          <w:highlight w:val="none"/>
        </w:rPr>
      </w:pPr>
      <w:bookmarkStart w:id="203" w:name="_Toc324404827"/>
      <w:bookmarkStart w:id="204" w:name="_Toc83301701"/>
      <w:bookmarkStart w:id="205" w:name="_Toc152042318"/>
      <w:bookmarkStart w:id="206" w:name="_Toc246996930"/>
      <w:bookmarkStart w:id="207" w:name="_Toc246996187"/>
      <w:bookmarkStart w:id="208" w:name="_Toc247085701"/>
      <w:bookmarkStart w:id="209" w:name="_Toc179632560"/>
      <w:bookmarkStart w:id="210" w:name="_Toc506107281"/>
      <w:bookmarkStart w:id="211" w:name="_Toc144974510"/>
      <w:bookmarkStart w:id="212" w:name="_Toc95223349"/>
      <w:bookmarkStart w:id="213" w:name="_Toc15058858"/>
      <w:bookmarkStart w:id="214" w:name="_Toc60061446"/>
      <w:bookmarkStart w:id="215" w:name="_Toc152045542"/>
      <w:r>
        <w:rPr>
          <w:rFonts w:hint="eastAsia" w:ascii="宋体" w:hAnsi="宋体" w:cs="宋体"/>
          <w:color w:val="auto"/>
          <w:szCs w:val="21"/>
          <w:highlight w:val="none"/>
        </w:rPr>
        <w:t>1.12.1投标文件偏离招标文件某些要求，视为投标文件存在偏差。偏差包括重大偏差和细微偏差。</w:t>
      </w:r>
    </w:p>
    <w:p w14:paraId="4E0EA124">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1.12.2投标文件应对招标文件的实质性要求和条件作出满足性或更有利于招标人的响应，否则，视为投标文件存在重大偏差，投标人的投标将被否决。</w:t>
      </w:r>
    </w:p>
    <w:p w14:paraId="204F0E91">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投标文件存在第四章“评标办法”中所列任一无效投标情形的，均属于存在重大偏差。</w:t>
      </w:r>
    </w:p>
    <w:p w14:paraId="5CA0E630">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1.12.3投标文件中的下列偏差为细微偏差：</w:t>
      </w:r>
    </w:p>
    <w:p w14:paraId="70CBCB69">
      <w:pPr>
        <w:tabs>
          <w:tab w:val="left" w:pos="1014"/>
        </w:tabs>
        <w:adjustRightInd w:val="0"/>
        <w:snapToGrid w:val="0"/>
        <w:spacing w:line="600" w:lineRule="exact"/>
        <w:ind w:firstLine="420" w:firstLineChars="200"/>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7659B3FB">
      <w:pPr>
        <w:tabs>
          <w:tab w:val="left" w:pos="1014"/>
        </w:tabs>
        <w:adjustRightInd w:val="0"/>
        <w:snapToGrid w:val="0"/>
        <w:spacing w:line="600" w:lineRule="exact"/>
        <w:ind w:firstLine="420" w:firstLineChars="200"/>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（2）投标文件个别文字有遗漏错误等不影响投标文件实质性内容的偏差。</w:t>
      </w:r>
    </w:p>
    <w:p w14:paraId="6DD4A700">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1.12.4评标委员会对投标文件中的细微偏差按如下规定处理：</w:t>
      </w:r>
    </w:p>
    <w:p w14:paraId="198CCE04">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对于本章第 1.12.3 项（1）目所述的细微偏差，按照第四章“评标办法”的规定予以修正并要求投标人进行澄清；</w:t>
      </w:r>
    </w:p>
    <w:p w14:paraId="2D85E7D5">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对于本章第 1.12.3 项（2）目所述的细微偏差，可要求投标人对细微偏差进行澄清。</w:t>
      </w:r>
    </w:p>
    <w:p w14:paraId="3238E5D3">
      <w:pPr>
        <w:pStyle w:val="3"/>
        <w:adjustRightInd w:val="0"/>
        <w:snapToGrid w:val="0"/>
        <w:spacing w:before="0" w:after="0" w:line="560" w:lineRule="exact"/>
        <w:ind w:firstLine="422" w:firstLineChars="200"/>
        <w:rPr>
          <w:rFonts w:hint="eastAsia" w:ascii="黑体" w:hAnsi="黑体" w:cs="黑体"/>
          <w:color w:val="auto"/>
          <w:sz w:val="21"/>
          <w:szCs w:val="21"/>
          <w:highlight w:val="none"/>
        </w:rPr>
      </w:pPr>
      <w:r>
        <w:rPr>
          <w:rFonts w:hint="eastAsia" w:ascii="黑体" w:hAnsi="黑体" w:cs="黑体"/>
          <w:color w:val="auto"/>
          <w:sz w:val="21"/>
          <w:szCs w:val="21"/>
          <w:highlight w:val="none"/>
        </w:rPr>
        <w:t>2. 招标文件</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4FBA07BF">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216" w:name="_Toc296602433"/>
      <w:bookmarkStart w:id="217" w:name="_Toc152042319"/>
      <w:bookmarkStart w:id="218" w:name="_Toc15058859"/>
      <w:bookmarkStart w:id="219" w:name="_Toc247085702"/>
      <w:bookmarkStart w:id="220" w:name="_Toc83301702"/>
      <w:bookmarkStart w:id="221" w:name="_Toc179632561"/>
      <w:bookmarkStart w:id="222" w:name="_Toc246996931"/>
      <w:bookmarkStart w:id="223" w:name="_Toc152045543"/>
      <w:bookmarkStart w:id="224" w:name="_Toc60061447"/>
      <w:bookmarkStart w:id="225" w:name="_Toc144974511"/>
      <w:bookmarkStart w:id="226" w:name="_Toc506107282"/>
      <w:bookmarkStart w:id="227" w:name="_Toc246996188"/>
      <w:bookmarkStart w:id="228" w:name="_Toc324404828"/>
      <w:bookmarkStart w:id="229" w:name="_Toc95223350"/>
      <w:r>
        <w:rPr>
          <w:rFonts w:hint="eastAsia" w:ascii="黑体" w:hAnsi="黑体" w:eastAsia="黑体" w:cs="黑体"/>
          <w:color w:val="auto"/>
          <w:sz w:val="21"/>
          <w:szCs w:val="21"/>
          <w:highlight w:val="none"/>
        </w:rPr>
        <w:t>2.1 招标文件的组成</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7AB57658">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 本招标文件包括：</w:t>
      </w:r>
    </w:p>
    <w:p w14:paraId="2E5152E0">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（1）招标公告；</w:t>
      </w:r>
    </w:p>
    <w:p w14:paraId="74A17ABB">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（2）投标人须知；</w:t>
      </w:r>
    </w:p>
    <w:p w14:paraId="198062C3">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）评标</w:t>
      </w:r>
      <w:r>
        <w:rPr>
          <w:rFonts w:hint="eastAsia" w:ascii="宋体" w:hAnsi="宋体" w:cs="宋体"/>
          <w:color w:val="auto"/>
          <w:szCs w:val="21"/>
          <w:highlight w:val="none"/>
          <w:lang w:val="en-US" w:eastAsia="zh-CN"/>
        </w:rPr>
        <w:t>及定标</w:t>
      </w:r>
      <w:r>
        <w:rPr>
          <w:rFonts w:hint="eastAsia" w:ascii="宋体" w:hAnsi="宋体" w:cs="宋体"/>
          <w:color w:val="auto"/>
          <w:szCs w:val="21"/>
          <w:highlight w:val="none"/>
        </w:rPr>
        <w:t>；</w:t>
      </w:r>
    </w:p>
    <w:p w14:paraId="6FC0E3AE">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）合同条款及格式；</w:t>
      </w:r>
    </w:p>
    <w:p w14:paraId="2386F056">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）工程量清单； </w:t>
      </w:r>
    </w:p>
    <w:p w14:paraId="2047177A">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）图纸；</w:t>
      </w:r>
    </w:p>
    <w:p w14:paraId="03259F6F">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 xml:space="preserve">）技术标准和要求； </w:t>
      </w:r>
    </w:p>
    <w:p w14:paraId="7F7EA128">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）投标文件格式；</w:t>
      </w:r>
    </w:p>
    <w:p w14:paraId="77171128">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）投标人须知前附表规定的其他材料。</w:t>
      </w:r>
    </w:p>
    <w:p w14:paraId="60BDAA22">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 根据本章第1.10款、第2.2款和第2.3款对招标文件所作的澄清、修改，构成招标文件的组成部分。</w:t>
      </w:r>
    </w:p>
    <w:p w14:paraId="35792E7F">
      <w:pPr>
        <w:pStyle w:val="11"/>
        <w:adjustRightInd w:val="0"/>
        <w:snapToGrid w:val="0"/>
        <w:spacing w:after="0"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2.1.3当招标文件、招标文件的澄清或修改等在同一内容的表述上不一致时，以最后发出的文件为准。</w:t>
      </w:r>
    </w:p>
    <w:p w14:paraId="4FD4DADA">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230" w:name="_Toc296602434"/>
      <w:bookmarkStart w:id="231" w:name="_Toc83301703"/>
      <w:bookmarkStart w:id="232" w:name="_Toc95223351"/>
      <w:bookmarkStart w:id="233" w:name="_Toc152042320"/>
      <w:bookmarkStart w:id="234" w:name="_Toc246996189"/>
      <w:bookmarkStart w:id="235" w:name="_Toc247085703"/>
      <w:bookmarkStart w:id="236" w:name="_Toc15058860"/>
      <w:bookmarkStart w:id="237" w:name="_Toc152045544"/>
      <w:bookmarkStart w:id="238" w:name="_Toc60061448"/>
      <w:bookmarkStart w:id="239" w:name="_Toc506107283"/>
      <w:bookmarkStart w:id="240" w:name="_Toc179632562"/>
      <w:bookmarkStart w:id="241" w:name="_Toc324404829"/>
      <w:bookmarkStart w:id="242" w:name="_Toc246996932"/>
      <w:bookmarkStart w:id="243" w:name="_Toc144974512"/>
      <w:bookmarkStart w:id="244" w:name="_Toc83301706"/>
      <w:bookmarkStart w:id="245" w:name="_Toc246996191"/>
      <w:bookmarkStart w:id="246" w:name="_Toc247085705"/>
      <w:bookmarkStart w:id="247" w:name="_Toc506107285"/>
      <w:bookmarkStart w:id="248" w:name="_Toc152042322"/>
      <w:bookmarkStart w:id="249" w:name="_Toc144974514"/>
      <w:bookmarkStart w:id="250" w:name="_Toc179632564"/>
      <w:bookmarkStart w:id="251" w:name="_Toc152045546"/>
      <w:bookmarkStart w:id="252" w:name="_Toc60061451"/>
      <w:bookmarkStart w:id="253" w:name="_Toc324404832"/>
      <w:bookmarkStart w:id="254" w:name="_Toc95223354"/>
      <w:bookmarkStart w:id="255" w:name="_Toc15058863"/>
      <w:bookmarkStart w:id="256" w:name="_Toc246996934"/>
      <w:r>
        <w:rPr>
          <w:rFonts w:hint="eastAsia" w:ascii="黑体" w:hAnsi="黑体" w:eastAsia="黑体" w:cs="黑体"/>
          <w:color w:val="auto"/>
          <w:sz w:val="21"/>
          <w:szCs w:val="21"/>
          <w:highlight w:val="none"/>
        </w:rPr>
        <w:t>2.2招标文件的异议</w:t>
      </w:r>
    </w:p>
    <w:p w14:paraId="30474DA9">
      <w:pPr>
        <w:pStyle w:val="19"/>
        <w:adjustRightInd w:val="0"/>
        <w:snapToGrid w:val="0"/>
        <w:spacing w:after="0" w:line="560" w:lineRule="exact"/>
        <w:ind w:left="0" w:leftChars="0" w:firstLine="0" w:firstLineChars="0"/>
        <w:rPr>
          <w:rFonts w:hint="eastAsia"/>
          <w:color w:val="auto"/>
          <w:highlight w:val="none"/>
        </w:rPr>
      </w:pPr>
      <w:r>
        <w:rPr>
          <w:rFonts w:hint="eastAsia"/>
          <w:color w:val="auto"/>
          <w:highlight w:val="none"/>
        </w:rPr>
        <w:t xml:space="preserve"> </w:t>
      </w:r>
      <w:r>
        <w:rPr>
          <w:rFonts w:hint="eastAsia" w:ascii="宋体" w:hAnsi="宋体" w:eastAsia="宋体" w:cs="宋体"/>
          <w:color w:val="auto"/>
          <w:kern w:val="2"/>
          <w:sz w:val="21"/>
          <w:szCs w:val="21"/>
          <w:highlight w:val="none"/>
          <w:lang w:val="en-US" w:eastAsia="zh-CN" w:bidi="ar-SA"/>
        </w:rPr>
        <w:t xml:space="preserve">  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14:paraId="53DDE578">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r>
        <w:rPr>
          <w:rFonts w:ascii="黑体" w:hAnsi="黑体" w:eastAsia="黑体" w:cs="黑体"/>
          <w:color w:val="auto"/>
          <w:sz w:val="21"/>
          <w:szCs w:val="21"/>
          <w:highlight w:val="none"/>
        </w:rPr>
        <w:t>2.3</w:t>
      </w:r>
      <w:r>
        <w:rPr>
          <w:rFonts w:hint="eastAsia" w:ascii="黑体" w:hAnsi="黑体" w:eastAsia="黑体" w:cs="黑体"/>
          <w:color w:val="auto"/>
          <w:sz w:val="21"/>
          <w:szCs w:val="21"/>
          <w:highlight w:val="none"/>
        </w:rPr>
        <w:t>招标文件的澄清</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Pr>
          <w:rFonts w:hint="eastAsia" w:ascii="黑体" w:hAnsi="黑体" w:eastAsia="黑体" w:cs="黑体"/>
          <w:color w:val="auto"/>
          <w:sz w:val="21"/>
          <w:szCs w:val="21"/>
          <w:highlight w:val="none"/>
        </w:rPr>
        <w:t xml:space="preserve"> </w:t>
      </w:r>
    </w:p>
    <w:p w14:paraId="59AAA816">
      <w:pPr>
        <w:adjustRightInd w:val="0"/>
        <w:snapToGrid w:val="0"/>
        <w:spacing w:line="560" w:lineRule="exact"/>
        <w:ind w:firstLine="420" w:firstLineChars="200"/>
        <w:rPr>
          <w:rFonts w:hint="eastAsia"/>
          <w:color w:val="auto"/>
          <w:highlight w:val="none"/>
        </w:rPr>
      </w:pPr>
      <w:r>
        <w:rPr>
          <w:rFonts w:hint="eastAsia" w:ascii="宋体" w:hAnsi="宋体" w:cs="宋体"/>
          <w:color w:val="auto"/>
          <w:szCs w:val="21"/>
          <w:highlight w:val="none"/>
        </w:rPr>
        <w:t>招标人可以澄清招标文件，并以投标人须知前附表规定澄清的方式在滁州市公共资源交易中心网站发布。但如果修改招标文件的时间距投标截止时间不足15天，并且修改内容影响投标文件编制的，将相应延长投标截止时间。</w:t>
      </w:r>
    </w:p>
    <w:p w14:paraId="4A81470A">
      <w:pPr>
        <w:pStyle w:val="3"/>
        <w:adjustRightInd w:val="0"/>
        <w:snapToGrid w:val="0"/>
        <w:spacing w:before="0" w:after="0" w:line="560" w:lineRule="exact"/>
        <w:ind w:firstLine="422" w:firstLineChars="200"/>
        <w:rPr>
          <w:rFonts w:hint="eastAsia" w:ascii="黑体" w:hAnsi="黑体" w:cs="黑体"/>
          <w:color w:val="auto"/>
          <w:sz w:val="21"/>
          <w:szCs w:val="21"/>
          <w:highlight w:val="none"/>
        </w:rPr>
      </w:pPr>
      <w:r>
        <w:rPr>
          <w:rFonts w:hint="eastAsia" w:ascii="黑体" w:hAnsi="黑体" w:cs="黑体"/>
          <w:color w:val="auto"/>
          <w:sz w:val="21"/>
          <w:szCs w:val="21"/>
          <w:highlight w:val="none"/>
        </w:rPr>
        <w:t>3. 投标文件</w:t>
      </w:r>
      <w:bookmarkEnd w:id="244"/>
      <w:bookmarkEnd w:id="245"/>
      <w:bookmarkEnd w:id="246"/>
      <w:bookmarkEnd w:id="247"/>
      <w:bookmarkEnd w:id="248"/>
      <w:bookmarkEnd w:id="249"/>
      <w:bookmarkEnd w:id="250"/>
      <w:bookmarkEnd w:id="251"/>
      <w:bookmarkEnd w:id="252"/>
      <w:bookmarkEnd w:id="253"/>
      <w:bookmarkEnd w:id="254"/>
      <w:bookmarkEnd w:id="255"/>
      <w:bookmarkEnd w:id="256"/>
    </w:p>
    <w:p w14:paraId="3F11A7DE">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257" w:name="_Toc60061452"/>
      <w:bookmarkStart w:id="258" w:name="_Toc179632565"/>
      <w:bookmarkStart w:id="259" w:name="_Toc506107286"/>
      <w:bookmarkStart w:id="260" w:name="_Toc246996935"/>
      <w:bookmarkStart w:id="261" w:name="_Toc152042323"/>
      <w:bookmarkStart w:id="262" w:name="_Toc324404833"/>
      <w:bookmarkStart w:id="263" w:name="_Toc247085706"/>
      <w:bookmarkStart w:id="264" w:name="_Toc152045547"/>
      <w:bookmarkStart w:id="265" w:name="_Toc144974515"/>
      <w:bookmarkStart w:id="266" w:name="_Toc246996192"/>
      <w:bookmarkStart w:id="267" w:name="_Toc95223355"/>
      <w:bookmarkStart w:id="268" w:name="_Toc296602437"/>
      <w:bookmarkStart w:id="269" w:name="_Toc83301707"/>
      <w:bookmarkStart w:id="270" w:name="_Toc15058864"/>
      <w:r>
        <w:rPr>
          <w:rFonts w:hint="eastAsia" w:ascii="黑体" w:hAnsi="黑体" w:eastAsia="黑体" w:cs="黑体"/>
          <w:color w:val="auto"/>
          <w:sz w:val="21"/>
          <w:szCs w:val="21"/>
          <w:highlight w:val="none"/>
        </w:rPr>
        <w:t>3.1 投标文件的组成</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38E44B99">
      <w:pPr>
        <w:adjustRightInd w:val="0"/>
        <w:snapToGrid w:val="0"/>
        <w:spacing w:line="560" w:lineRule="exact"/>
        <w:ind w:firstLine="420" w:firstLineChars="200"/>
        <w:rPr>
          <w:rFonts w:hint="eastAsia" w:ascii="宋体" w:hAnsi="宋体" w:cs="宋体"/>
          <w:color w:val="auto"/>
          <w:szCs w:val="21"/>
          <w:highlight w:val="none"/>
        </w:rPr>
      </w:pPr>
      <w:bookmarkStart w:id="271" w:name="_Toc152042324"/>
      <w:bookmarkStart w:id="272" w:name="_Toc15058865"/>
      <w:bookmarkStart w:id="273" w:name="_Toc246996193"/>
      <w:bookmarkStart w:id="274" w:name="_Toc152045548"/>
      <w:bookmarkStart w:id="275" w:name="_Toc296602438"/>
      <w:bookmarkStart w:id="276" w:name="_Toc95223356"/>
      <w:bookmarkStart w:id="277" w:name="_Toc247085707"/>
      <w:bookmarkStart w:id="278" w:name="_Toc60061453"/>
      <w:bookmarkStart w:id="279" w:name="_Toc324404834"/>
      <w:bookmarkStart w:id="280" w:name="_Toc506107287"/>
      <w:bookmarkStart w:id="281" w:name="_Toc179632566"/>
      <w:bookmarkStart w:id="282" w:name="_Toc83301708"/>
      <w:bookmarkStart w:id="283" w:name="_Toc144974516"/>
      <w:bookmarkStart w:id="284" w:name="_Toc246996936"/>
      <w:r>
        <w:rPr>
          <w:rFonts w:hint="eastAsia" w:ascii="宋体" w:hAnsi="宋体" w:cs="宋体"/>
          <w:color w:val="auto"/>
          <w:szCs w:val="21"/>
          <w:highlight w:val="none"/>
        </w:rPr>
        <w:t>3.1.1 投标文件应包括下列内容：</w:t>
      </w:r>
    </w:p>
    <w:p w14:paraId="6D649DA5">
      <w:pPr>
        <w:adjustRightInd w:val="0"/>
        <w:snapToGrid w:val="0"/>
        <w:spacing w:line="5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商务</w:t>
      </w:r>
      <w:r>
        <w:rPr>
          <w:rFonts w:hint="eastAsia" w:ascii="宋体" w:hAnsi="宋体" w:cs="宋体"/>
          <w:b/>
          <w:bCs/>
          <w:color w:val="auto"/>
          <w:szCs w:val="21"/>
          <w:highlight w:val="none"/>
        </w:rPr>
        <w:t>文件：</w:t>
      </w:r>
    </w:p>
    <w:p w14:paraId="4C921947">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（1）投标人基本情况表（联合体投标的，联合体各方均须提供）；</w:t>
      </w:r>
    </w:p>
    <w:p w14:paraId="070C195F">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（2）近年财务状况表（</w:t>
      </w:r>
      <w:r>
        <w:rPr>
          <w:rFonts w:hint="eastAsia" w:ascii="宋体" w:hAnsi="宋体" w:cs="宋体"/>
          <w:color w:val="auto"/>
          <w:szCs w:val="21"/>
          <w:highlight w:val="none"/>
          <w:lang w:val="en-US" w:eastAsia="zh-CN"/>
        </w:rPr>
        <w:t>本项目不采用</w:t>
      </w:r>
      <w:r>
        <w:rPr>
          <w:rFonts w:hint="eastAsia" w:ascii="宋体" w:hAnsi="宋体" w:cs="宋体"/>
          <w:color w:val="auto"/>
          <w:szCs w:val="21"/>
          <w:highlight w:val="none"/>
        </w:rPr>
        <w:t>）；</w:t>
      </w:r>
    </w:p>
    <w:p w14:paraId="6B88E063">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（3）近年完成的类似项目情况表（</w:t>
      </w:r>
      <w:r>
        <w:rPr>
          <w:rFonts w:hint="eastAsia" w:ascii="宋体" w:hAnsi="宋体" w:cs="宋体"/>
          <w:color w:val="auto"/>
          <w:szCs w:val="21"/>
          <w:highlight w:val="none"/>
          <w:lang w:val="en-US" w:eastAsia="zh-CN"/>
        </w:rPr>
        <w:t>本项目不采用</w:t>
      </w:r>
      <w:r>
        <w:rPr>
          <w:rFonts w:hint="eastAsia" w:ascii="宋体" w:hAnsi="宋体" w:cs="宋体"/>
          <w:color w:val="auto"/>
          <w:szCs w:val="21"/>
          <w:highlight w:val="none"/>
        </w:rPr>
        <w:t>）；</w:t>
      </w:r>
    </w:p>
    <w:p w14:paraId="4D4044DF">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（4）正在实施的和新承接的项目情况表（</w:t>
      </w:r>
      <w:r>
        <w:rPr>
          <w:rFonts w:hint="eastAsia" w:ascii="宋体" w:hAnsi="宋体" w:cs="宋体"/>
          <w:color w:val="auto"/>
          <w:szCs w:val="21"/>
          <w:highlight w:val="none"/>
          <w:lang w:val="en-US" w:eastAsia="zh-CN"/>
        </w:rPr>
        <w:t>本项目不采用</w:t>
      </w:r>
      <w:r>
        <w:rPr>
          <w:rFonts w:hint="eastAsia" w:ascii="宋体" w:hAnsi="宋体" w:cs="宋体"/>
          <w:color w:val="auto"/>
          <w:szCs w:val="21"/>
          <w:highlight w:val="none"/>
        </w:rPr>
        <w:t>）；</w:t>
      </w:r>
    </w:p>
    <w:p w14:paraId="6FCA42E9">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（5）联合体协议书 （如有）；</w:t>
      </w:r>
    </w:p>
    <w:p w14:paraId="0C78BB0A">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6</w:t>
      </w:r>
      <w:r>
        <w:rPr>
          <w:rFonts w:hint="eastAsia" w:ascii="宋体" w:hAnsi="宋体" w:cs="宋体"/>
          <w:color w:val="auto"/>
          <w:highlight w:val="none"/>
        </w:rPr>
        <w:t>）</w:t>
      </w:r>
      <w:r>
        <w:rPr>
          <w:rFonts w:hint="eastAsia" w:ascii="宋体" w:hAnsi="宋体" w:cs="宋体"/>
          <w:bCs/>
          <w:snapToGrid w:val="0"/>
          <w:color w:val="auto"/>
          <w:kern w:val="0"/>
          <w:szCs w:val="21"/>
          <w:highlight w:val="none"/>
        </w:rPr>
        <w:t>拟分包项目情况表</w:t>
      </w:r>
      <w:r>
        <w:rPr>
          <w:rFonts w:hint="eastAsia" w:ascii="宋体" w:hAnsi="宋体" w:cs="宋体"/>
          <w:color w:val="auto"/>
          <w:highlight w:val="none"/>
        </w:rPr>
        <w:t xml:space="preserve"> （如有）；</w:t>
      </w:r>
    </w:p>
    <w:p w14:paraId="71FE7ABA">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）项目管理机构；</w:t>
      </w:r>
    </w:p>
    <w:p w14:paraId="243F8082">
      <w:pPr>
        <w:adjustRightInd w:val="0"/>
        <w:snapToGrid w:val="0"/>
        <w:spacing w:line="5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）其他资格审查资料</w:t>
      </w:r>
      <w:r>
        <w:rPr>
          <w:rFonts w:hint="eastAsia" w:ascii="宋体" w:hAnsi="宋体" w:cs="宋体"/>
          <w:color w:val="auto"/>
          <w:szCs w:val="21"/>
          <w:highlight w:val="none"/>
          <w:lang w:eastAsia="zh-CN"/>
        </w:rPr>
        <w:t>；</w:t>
      </w:r>
    </w:p>
    <w:p w14:paraId="26F4D53E">
      <w:pPr>
        <w:adjustRightInd w:val="0"/>
        <w:snapToGrid w:val="0"/>
        <w:spacing w:line="5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技术文件：</w:t>
      </w:r>
    </w:p>
    <w:p w14:paraId="6AE81E93">
      <w:pPr>
        <w:adjustRightInd w:val="0"/>
        <w:snapToGrid w:val="0"/>
        <w:spacing w:line="560" w:lineRule="exact"/>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(1)工程重点难点及危大工程的保障体系；</w:t>
      </w:r>
    </w:p>
    <w:p w14:paraId="27B19453">
      <w:pPr>
        <w:adjustRightInd w:val="0"/>
        <w:snapToGrid w:val="0"/>
        <w:spacing w:line="560"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(2)确保工期与质量的保障体系与措施、确保安全文明生产的管理体系与措施；</w:t>
      </w:r>
    </w:p>
    <w:p w14:paraId="242262AF">
      <w:pPr>
        <w:adjustRightInd w:val="0"/>
        <w:snapToGrid w:val="0"/>
        <w:spacing w:line="560"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(3)确保人、材、机的保障体系与措施。</w:t>
      </w:r>
    </w:p>
    <w:p w14:paraId="602618F1">
      <w:pPr>
        <w:numPr>
          <w:ilvl w:val="0"/>
          <w:numId w:val="0"/>
        </w:numPr>
        <w:adjustRightInd w:val="0"/>
        <w:snapToGrid w:val="0"/>
        <w:spacing w:line="56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注：本项目采用横向暗标评审，请投标人结合技术标评审细则和系统内容在对应模块上传技术标评审内容。</w:t>
      </w:r>
    </w:p>
    <w:p w14:paraId="76172178">
      <w:pPr>
        <w:adjustRightInd w:val="0"/>
        <w:snapToGrid w:val="0"/>
        <w:spacing w:line="56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报价</w:t>
      </w:r>
      <w:r>
        <w:rPr>
          <w:rFonts w:hint="eastAsia" w:ascii="宋体" w:hAnsi="宋体" w:cs="宋体"/>
          <w:b/>
          <w:bCs/>
          <w:color w:val="auto"/>
          <w:szCs w:val="21"/>
          <w:highlight w:val="none"/>
        </w:rPr>
        <w:t>文件</w:t>
      </w:r>
      <w:r>
        <w:rPr>
          <w:rFonts w:hint="eastAsia" w:ascii="宋体" w:hAnsi="宋体" w:cs="宋体"/>
          <w:color w:val="auto"/>
          <w:szCs w:val="21"/>
          <w:highlight w:val="none"/>
        </w:rPr>
        <w:t>：</w:t>
      </w:r>
    </w:p>
    <w:p w14:paraId="544D0157">
      <w:pPr>
        <w:adjustRightInd w:val="0"/>
        <w:snapToGrid w:val="0"/>
        <w:spacing w:line="5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（1）投标函；</w:t>
      </w:r>
    </w:p>
    <w:p w14:paraId="0E0C2259">
      <w:pPr>
        <w:adjustRightInd w:val="0"/>
        <w:snapToGrid w:val="0"/>
        <w:spacing w:line="560" w:lineRule="exact"/>
        <w:ind w:firstLine="420" w:firstLineChars="200"/>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2）工程量清单报价书；</w:t>
      </w:r>
    </w:p>
    <w:p w14:paraId="6FCF30A2">
      <w:pPr>
        <w:adjustRightInd w:val="0"/>
        <w:snapToGrid w:val="0"/>
        <w:spacing w:line="5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rPr>
        <w:t>）招标人推荐的材料品牌响应表（如有）；</w:t>
      </w:r>
    </w:p>
    <w:p w14:paraId="3E5AB6E7">
      <w:pPr>
        <w:adjustRightInd w:val="0"/>
        <w:snapToGrid w:val="0"/>
        <w:spacing w:line="5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rPr>
        <w:t>）全国建筑市场监管公共服务平台(四库一平台)企业注册人员网页截图；</w:t>
      </w:r>
    </w:p>
    <w:p w14:paraId="3FE85E25">
      <w:pPr>
        <w:adjustRightInd w:val="0"/>
        <w:snapToGrid w:val="0"/>
        <w:spacing w:line="5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5</w:t>
      </w:r>
      <w:r>
        <w:rPr>
          <w:rFonts w:hint="eastAsia" w:ascii="宋体" w:hAnsi="宋体" w:eastAsia="宋体" w:cs="Times New Roman"/>
          <w:color w:val="auto"/>
          <w:szCs w:val="21"/>
          <w:highlight w:val="none"/>
        </w:rPr>
        <w:t>）商务标评审所需其他材料。</w:t>
      </w:r>
    </w:p>
    <w:p w14:paraId="56D0DB8B">
      <w:pPr>
        <w:adjustRightInd w:val="0"/>
        <w:snapToGrid w:val="0"/>
        <w:spacing w:line="600" w:lineRule="exact"/>
        <w:ind w:firstLine="359" w:firstLineChars="171"/>
        <w:rPr>
          <w:rFonts w:hint="eastAsia" w:ascii="宋体" w:hAnsi="宋体" w:cs="宋体"/>
          <w:color w:val="auto"/>
          <w:highlight w:val="none"/>
        </w:rPr>
      </w:pPr>
      <w:r>
        <w:rPr>
          <w:rFonts w:hint="eastAsia" w:ascii="宋体" w:hAnsi="宋体" w:cs="宋体"/>
          <w:color w:val="auto"/>
          <w:highlight w:val="none"/>
        </w:rPr>
        <w:t>3.1.2 投标人须知前附表规定不接受联合体投标的，或投标人没有组成联合体的，投标文件不包括本章第3.1.1（5）目所指的联合体协议书。</w:t>
      </w:r>
    </w:p>
    <w:p w14:paraId="55D40DE9">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3.2 投标报价</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7FBA7233">
      <w:pPr>
        <w:adjustRightInd w:val="0"/>
        <w:snapToGrid w:val="0"/>
        <w:spacing w:line="560" w:lineRule="exact"/>
        <w:ind w:firstLine="420" w:firstLineChars="200"/>
        <w:rPr>
          <w:rFonts w:hint="eastAsia" w:ascii="宋体" w:hAnsi="宋体" w:cs="宋体"/>
          <w:color w:val="auto"/>
          <w:szCs w:val="21"/>
          <w:highlight w:val="none"/>
        </w:rPr>
      </w:pPr>
      <w:bookmarkStart w:id="285" w:name="_Toc296602439"/>
      <w:bookmarkStart w:id="286" w:name="_Toc179632567"/>
      <w:bookmarkStart w:id="287" w:name="_Toc247085708"/>
      <w:bookmarkStart w:id="288" w:name="_Toc60061454"/>
      <w:bookmarkStart w:id="289" w:name="_Toc506107288"/>
      <w:bookmarkStart w:id="290" w:name="_Toc144974517"/>
      <w:bookmarkStart w:id="291" w:name="_Toc152042325"/>
      <w:bookmarkStart w:id="292" w:name="_Toc83301709"/>
      <w:bookmarkStart w:id="293" w:name="_Toc246996194"/>
      <w:bookmarkStart w:id="294" w:name="_Toc152045549"/>
      <w:bookmarkStart w:id="295" w:name="_Toc246996937"/>
      <w:bookmarkStart w:id="296" w:name="_Toc95223357"/>
      <w:bookmarkStart w:id="297" w:name="_Toc324404835"/>
      <w:bookmarkStart w:id="298" w:name="_Toc15058866"/>
      <w:r>
        <w:rPr>
          <w:rFonts w:hint="eastAsia" w:ascii="宋体" w:hAnsi="宋体" w:cs="宋体"/>
          <w:color w:val="auto"/>
          <w:szCs w:val="21"/>
          <w:highlight w:val="none"/>
        </w:rPr>
        <w:t>3.2.1投标报价应包括国家规定的增值税税金，除投标人须知前附表另有规定外，增值税税金按一般计税方法计算。投标人应按第</w:t>
      </w:r>
      <w:r>
        <w:rPr>
          <w:rFonts w:hint="eastAsia" w:ascii="宋体" w:hAnsi="宋体" w:cs="宋体"/>
          <w:color w:val="auto"/>
          <w:szCs w:val="21"/>
          <w:highlight w:val="none"/>
          <w:lang w:val="en-US" w:eastAsia="zh-CN"/>
        </w:rPr>
        <w:t>八</w:t>
      </w:r>
      <w:r>
        <w:rPr>
          <w:rFonts w:hint="eastAsia" w:ascii="宋体" w:hAnsi="宋体" w:cs="宋体"/>
          <w:color w:val="auto"/>
          <w:szCs w:val="21"/>
          <w:highlight w:val="none"/>
        </w:rPr>
        <w:t>章“投标文件格式”的要求在投标函中进行报价并填写工程量清单相应表格。</w:t>
      </w:r>
    </w:p>
    <w:p w14:paraId="43759342">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3.2.2投标人应充分了解本项目的总体情况以及影响投标报价的其他要素。</w:t>
      </w:r>
    </w:p>
    <w:p w14:paraId="0441CD0C">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3.2.3投标人在投标截止时间前修改投标函中的投标报价总额，应同时修改“已标价工程量清单”中的相应报价，投标报价总额为各分项金额之和。此修改须符合本章第4.4款的有关要求。</w:t>
      </w:r>
    </w:p>
    <w:p w14:paraId="1BBAC3B7">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3.2.4招标人设有最高投标限价的，投标人的投标报价不得超过最高投标限价，最高投标限价在投标人须知前附表中载明。</w:t>
      </w:r>
    </w:p>
    <w:p w14:paraId="6FB7CE02">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3.2.5 投标报价的其他要求见投标人须知前附表。</w:t>
      </w:r>
    </w:p>
    <w:p w14:paraId="45BEBE36">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3.3 投标有效期</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544379E6">
      <w:pPr>
        <w:adjustRightInd w:val="0"/>
        <w:snapToGrid w:val="0"/>
        <w:spacing w:line="560" w:lineRule="exact"/>
        <w:ind w:firstLine="420" w:firstLineChars="200"/>
        <w:rPr>
          <w:rFonts w:hint="eastAsia" w:ascii="宋体" w:hAnsi="宋体" w:cs="宋体"/>
          <w:color w:val="auto"/>
          <w:szCs w:val="21"/>
          <w:highlight w:val="none"/>
        </w:rPr>
      </w:pPr>
      <w:bookmarkStart w:id="299" w:name="_Toc324404836"/>
      <w:bookmarkStart w:id="300" w:name="_Toc296602440"/>
      <w:bookmarkStart w:id="301" w:name="_Toc83301710"/>
      <w:bookmarkStart w:id="302" w:name="_Toc152045550"/>
      <w:bookmarkStart w:id="303" w:name="_Toc247085709"/>
      <w:bookmarkStart w:id="304" w:name="_Toc506107289"/>
      <w:bookmarkStart w:id="305" w:name="_Toc152042326"/>
      <w:bookmarkStart w:id="306" w:name="_Toc60061455"/>
      <w:bookmarkStart w:id="307" w:name="_Toc144974518"/>
      <w:bookmarkStart w:id="308" w:name="_Toc246996195"/>
      <w:bookmarkStart w:id="309" w:name="_Toc15058867"/>
      <w:bookmarkStart w:id="310" w:name="_Toc246996938"/>
      <w:bookmarkStart w:id="311" w:name="_Toc179632568"/>
      <w:bookmarkStart w:id="312" w:name="_Toc95223358"/>
      <w:r>
        <w:rPr>
          <w:rFonts w:hint="eastAsia" w:ascii="宋体" w:hAnsi="宋体" w:cs="宋体"/>
          <w:color w:val="auto"/>
          <w:szCs w:val="21"/>
          <w:highlight w:val="none"/>
        </w:rPr>
        <w:t>3.3.1 除投标人须知前附表另有规定外，投标有效期为 90天。</w:t>
      </w:r>
    </w:p>
    <w:p w14:paraId="4353A9AC">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3.3.2在投标有效期内，投标人撤销或修改其投标文件的，应承担招标文件和法律规定的责任。</w:t>
      </w:r>
    </w:p>
    <w:p w14:paraId="0D194927">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4511873">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3.4 投标保证金</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0217694D">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3.4.1 投标人须知前附表规定递交投标保证金的，投标人在递交投标文件的同时，应按投标人须知前附表规定的金额、担保形式和第</w:t>
      </w:r>
      <w:r>
        <w:rPr>
          <w:rFonts w:hint="eastAsia" w:ascii="宋体" w:hAnsi="宋体" w:cs="宋体"/>
          <w:color w:val="auto"/>
          <w:szCs w:val="21"/>
          <w:highlight w:val="none"/>
          <w:lang w:eastAsia="zh-CN"/>
        </w:rPr>
        <w:t>八</w:t>
      </w:r>
      <w:r>
        <w:rPr>
          <w:rFonts w:hint="eastAsia" w:ascii="宋体" w:hAnsi="宋体" w:cs="宋体"/>
          <w:color w:val="auto"/>
          <w:szCs w:val="21"/>
          <w:highlight w:val="none"/>
        </w:rPr>
        <w:t>章“投标文件格式”规定的或者事先经过招标人认可的保证金格式递交保证金，并作为其投标文件的组成部分。联合体投标的，其投标保证金由牵头人递交，并应符合投标人须知前附表的规定。</w:t>
      </w:r>
    </w:p>
    <w:p w14:paraId="3875425D">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无论采取何种形式的投标保证金，投标保证金有效期均应与投标有效期一致（采用投标电子保函的保证期截止时间不得早于该项目投标有效期的截止时间）。招标人如果按本章第 3.3.3 项的规定延长了投标有效期，则投标保证金的有效期也相应延长。</w:t>
      </w:r>
    </w:p>
    <w:p w14:paraId="2088CA76">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3.4.2 投标人不按本章第3.4.1项要求提交投标保证金的，评标委员会将否决其投标。</w:t>
      </w:r>
    </w:p>
    <w:p w14:paraId="459EB5F8">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3.4.3 未中标投标人的投标保证金，中标通知书同步推送至交易中心服务端，银行接到退还指令后一个工作日内退还保证金到达原交纳的基本账户；中标人的投标保证金，在中标人与招标人签订合同并将公开信息推送至交易中心服务端，银行接到退还指令后一个工作日内退付保证金到达原交纳的基本账户。</w:t>
      </w:r>
    </w:p>
    <w:p w14:paraId="707BEB5B">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3.4.4 有下列情形之一的，投标保证金将不予退还： </w:t>
      </w:r>
    </w:p>
    <w:p w14:paraId="77F4C5EC">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（1）投标截止后投标人撤销投标文件的；</w:t>
      </w:r>
    </w:p>
    <w:p w14:paraId="4C740067">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（2）中标人无正当理由不与招标人订立合同，在签订合同时向招标人提出附加条件，或者不按照招标文件要求提交履约保证金的。</w:t>
      </w:r>
    </w:p>
    <w:p w14:paraId="64EEA6F2">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3.4.5 投标保证金按《滁州市公共资源交易投标保证金管理规定》（滁公管〔2021〕7号）规定执行。</w:t>
      </w:r>
    </w:p>
    <w:p w14:paraId="5C028E75">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313" w:name="_Toc60061456"/>
      <w:bookmarkStart w:id="314" w:name="_Toc506107290"/>
      <w:bookmarkStart w:id="315" w:name="_Toc296602442"/>
      <w:bookmarkStart w:id="316" w:name="_Toc324404837"/>
      <w:bookmarkStart w:id="317" w:name="_Toc15058868"/>
      <w:bookmarkStart w:id="318" w:name="_Toc83301711"/>
      <w:bookmarkStart w:id="319" w:name="_Toc95223359"/>
      <w:bookmarkStart w:id="320" w:name="_Toc144974521"/>
      <w:bookmarkStart w:id="321" w:name="_Toc247085711"/>
      <w:bookmarkStart w:id="322" w:name="_Toc246996197"/>
      <w:bookmarkStart w:id="323" w:name="_Toc179632571"/>
      <w:bookmarkStart w:id="324" w:name="_Toc246996940"/>
      <w:bookmarkStart w:id="325" w:name="_Toc152042329"/>
      <w:bookmarkStart w:id="326" w:name="_Toc152045553"/>
      <w:r>
        <w:rPr>
          <w:rFonts w:hint="eastAsia" w:ascii="黑体" w:hAnsi="黑体" w:eastAsia="黑体" w:cs="黑体"/>
          <w:color w:val="auto"/>
          <w:sz w:val="21"/>
          <w:szCs w:val="21"/>
          <w:highlight w:val="none"/>
        </w:rPr>
        <w:t>3.5投标文件的编制</w:t>
      </w:r>
      <w:bookmarkEnd w:id="313"/>
      <w:bookmarkEnd w:id="314"/>
      <w:bookmarkEnd w:id="315"/>
      <w:bookmarkEnd w:id="316"/>
      <w:bookmarkEnd w:id="317"/>
      <w:bookmarkEnd w:id="318"/>
      <w:bookmarkEnd w:id="319"/>
    </w:p>
    <w:p w14:paraId="63BC27BB">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3.5.1投标文件应按第</w:t>
      </w:r>
      <w:r>
        <w:rPr>
          <w:rFonts w:hint="eastAsia" w:ascii="宋体" w:hAnsi="宋体" w:cs="宋体"/>
          <w:color w:val="auto"/>
          <w:szCs w:val="21"/>
          <w:highlight w:val="none"/>
          <w:lang w:val="en-US" w:eastAsia="zh-CN"/>
        </w:rPr>
        <w:t>八</w:t>
      </w:r>
      <w:r>
        <w:rPr>
          <w:rFonts w:hint="eastAsia" w:ascii="宋体" w:hAnsi="宋体" w:cs="宋体"/>
          <w:color w:val="auto"/>
          <w:szCs w:val="21"/>
          <w:highlight w:val="none"/>
        </w:rPr>
        <w:t>章“投标文件格式”进行编写，如有必要，可以增加附页，作为投标文件的组成部分。其中，投标函在满足招标文件实质性要求的基础上，可以提出比招标文件要求更有利于招标人的承诺。施工组织设计编制的特殊要求见投标人须知前附表。</w:t>
      </w:r>
    </w:p>
    <w:p w14:paraId="1DEBB503">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3.5.2本次投标不需要提供纸质投标文件，投标人应按照电子招标投标的要求，在投标人的电子系统中制作、签章、上传加密的电子投标文件。</w:t>
      </w:r>
    </w:p>
    <w:p w14:paraId="4FBE7949">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3.5.3 投标文件应当对招标文件有关工期、投标有效期、质量要求、技术标准和要求、招标范围等实质性内容作出响应。</w:t>
      </w:r>
    </w:p>
    <w:bookmarkEnd w:id="320"/>
    <w:bookmarkEnd w:id="321"/>
    <w:bookmarkEnd w:id="322"/>
    <w:bookmarkEnd w:id="323"/>
    <w:bookmarkEnd w:id="324"/>
    <w:bookmarkEnd w:id="325"/>
    <w:bookmarkEnd w:id="326"/>
    <w:p w14:paraId="3B6A9DD1">
      <w:pPr>
        <w:adjustRightInd w:val="0"/>
        <w:snapToGrid w:val="0"/>
        <w:spacing w:line="600" w:lineRule="exact"/>
        <w:ind w:firstLine="420" w:firstLineChars="200"/>
        <w:rPr>
          <w:rFonts w:hint="eastAsia" w:ascii="宋体" w:hAnsi="宋体" w:cs="宋体"/>
          <w:bCs/>
          <w:snapToGrid w:val="0"/>
          <w:color w:val="auto"/>
          <w:kern w:val="0"/>
          <w:szCs w:val="21"/>
          <w:highlight w:val="none"/>
        </w:rPr>
      </w:pPr>
      <w:bookmarkStart w:id="327" w:name="_Toc144974523"/>
      <w:bookmarkStart w:id="328" w:name="_Toc152042331"/>
      <w:bookmarkStart w:id="329" w:name="_Toc246996942"/>
      <w:bookmarkStart w:id="330" w:name="_Toc247085713"/>
      <w:bookmarkStart w:id="331" w:name="_Toc179632573"/>
      <w:bookmarkStart w:id="332" w:name="_Toc246996199"/>
      <w:bookmarkStart w:id="333" w:name="_Toc324404838"/>
      <w:bookmarkStart w:id="334" w:name="_Toc152045555"/>
      <w:r>
        <w:rPr>
          <w:rFonts w:hint="eastAsia" w:ascii="宋体" w:hAnsi="宋体" w:cs="宋体"/>
          <w:bCs/>
          <w:snapToGrid w:val="0"/>
          <w:color w:val="auto"/>
          <w:kern w:val="0"/>
          <w:szCs w:val="21"/>
          <w:highlight w:val="none"/>
        </w:rPr>
        <w:t>3.5.4 投标人须知前附表规定接受联合体投标的，资格审查资料应包括联合体各方相关情况 。</w:t>
      </w:r>
    </w:p>
    <w:p w14:paraId="15B9AC71">
      <w:pPr>
        <w:adjustRightInd w:val="0"/>
        <w:snapToGrid w:val="0"/>
        <w:spacing w:line="600" w:lineRule="exact"/>
        <w:ind w:firstLine="420" w:firstLineChars="200"/>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3.5.5招标人有权核查投标人在投标文件中提供的资料，若发现投标人以他人名义投标或者以其他方式弄虚作假骗取中标的，中标无效；</w:t>
      </w:r>
      <w:r>
        <w:rPr>
          <w:rFonts w:hint="eastAsia" w:ascii="宋体" w:hAnsi="宋体" w:cs="宋体"/>
          <w:b/>
          <w:snapToGrid w:val="0"/>
          <w:color w:val="auto"/>
          <w:kern w:val="0"/>
          <w:szCs w:val="21"/>
          <w:highlight w:val="none"/>
        </w:rPr>
        <w:t>如果签订合同后发现中标人提供了虚假材料，招标人有权解除合同</w:t>
      </w:r>
      <w:r>
        <w:rPr>
          <w:rFonts w:hint="eastAsia" w:ascii="宋体" w:hAnsi="宋体" w:cs="宋体"/>
          <w:bCs/>
          <w:snapToGrid w:val="0"/>
          <w:color w:val="auto"/>
          <w:kern w:val="0"/>
          <w:szCs w:val="21"/>
          <w:highlight w:val="none"/>
        </w:rPr>
        <w:t>。同时招标人将投标人上述弄虚作假行为上报公共资源交易监督管理部门处理。</w:t>
      </w:r>
    </w:p>
    <w:p w14:paraId="67924944">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3.5.6投标文件的制作应满足以下规定：</w:t>
      </w:r>
    </w:p>
    <w:p w14:paraId="12765029">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（1）投标文件由投标人使用电子交易系统提供的“投标文件制作工具”制作生成。“投标文件制作工具”可以通过电子交易系统下载。</w:t>
      </w:r>
    </w:p>
    <w:p w14:paraId="5134CAE9">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招标文件中“签章”是指签字或盖章。</w:t>
      </w:r>
      <w:r>
        <w:rPr>
          <w:rFonts w:hint="eastAsia" w:ascii="宋体" w:hAnsi="宋体" w:cs="宋体"/>
          <w:color w:val="auto"/>
          <w:szCs w:val="21"/>
          <w:highlight w:val="none"/>
        </w:rPr>
        <w:t>在第</w:t>
      </w:r>
      <w:r>
        <w:rPr>
          <w:rFonts w:hint="eastAsia" w:ascii="宋体" w:hAnsi="宋体" w:cs="宋体"/>
          <w:color w:val="auto"/>
          <w:szCs w:val="21"/>
          <w:highlight w:val="none"/>
          <w:lang w:val="en-US" w:eastAsia="zh-CN"/>
        </w:rPr>
        <w:t>八</w:t>
      </w:r>
      <w:r>
        <w:rPr>
          <w:rFonts w:hint="eastAsia" w:ascii="宋体" w:hAnsi="宋体" w:cs="宋体"/>
          <w:color w:val="auto"/>
          <w:szCs w:val="21"/>
          <w:highlight w:val="none"/>
        </w:rPr>
        <w:t>章“投标文件格式”中要求签章处，投标人应加盖投标人单位电子印章和法定代表人的个人电子印章/电子签名章或直接上传加盖投标人单位印章和法定代表人的印章（或签字）的原件彩色扫描件。联合体投标的，除联合体协议书外， 投标文件由联合体牵头人按上述规定加盖联合体牵头人单位电子印章和法定代表人的个人电子印章/电子签名章或直接上传加盖联合体牵头人单位印章和法定代表人的印章（或签字）的原件彩色扫描件。</w:t>
      </w:r>
    </w:p>
    <w:p w14:paraId="3BB9F631">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文件制作完成后，投标人应对投标文件进行文件加密，形成加密的投标文件。采用CA数字证书加密的，加密时投标文件的所有内容均只能使用同一把CA数字证书进行加密，否则引起的解密失败责任由投标人自行承担。</w:t>
      </w:r>
    </w:p>
    <w:p w14:paraId="4A3CC294">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（4）投标文件制作的具体方法详见“投标文件制作工具”中的帮助文档。</w:t>
      </w:r>
    </w:p>
    <w:p w14:paraId="38195BFA">
      <w:pPr>
        <w:adjustRightInd w:val="0"/>
        <w:snapToGrid w:val="0"/>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3.5.7 因投标人自身原因而导致投标文件无法导入电子交易系统电子开标、评标系统，该投标视为无效投标，投标人自行承担由此导致的全部责任。</w:t>
      </w:r>
    </w:p>
    <w:p w14:paraId="5456C483">
      <w:pPr>
        <w:adjustRightInd w:val="0"/>
        <w:snapToGrid w:val="0"/>
        <w:spacing w:line="5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3.5.8 投标人中标后须递交与网上电子投标文件完全一致的纸质版投标文件，在领取中标通知书时，一并递交给招标代理机构。</w:t>
      </w:r>
    </w:p>
    <w:p w14:paraId="2587FD26">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3.6 备选投标方案</w:t>
      </w:r>
    </w:p>
    <w:p w14:paraId="642726D4">
      <w:pPr>
        <w:adjustRightInd w:val="0"/>
        <w:snapToGrid w:val="0"/>
        <w:spacing w:line="6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3.6.1 </w:t>
      </w:r>
      <w:r>
        <w:rPr>
          <w:rFonts w:hint="eastAsia" w:ascii="宋体" w:hAnsi="宋体" w:cs="宋体"/>
          <w:bCs/>
          <w:snapToGrid w:val="0"/>
          <w:color w:val="auto"/>
          <w:kern w:val="0"/>
          <w:szCs w:val="21"/>
          <w:highlight w:val="none"/>
        </w:rPr>
        <w:t>除投标人须知前附表规定允许外，投标人不得递交备选投标方案，否则其投标将被否决。</w:t>
      </w:r>
    </w:p>
    <w:p w14:paraId="0514C4AD">
      <w:pPr>
        <w:adjustRightInd w:val="0"/>
        <w:snapToGrid w:val="0"/>
        <w:spacing w:line="6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3.6.2 </w:t>
      </w:r>
      <w:r>
        <w:rPr>
          <w:rFonts w:hint="eastAsia" w:ascii="宋体" w:hAnsi="宋体" w:cs="宋体"/>
          <w:bCs/>
          <w:snapToGrid w:val="0"/>
          <w:color w:val="auto"/>
          <w:kern w:val="0"/>
          <w:szCs w:val="21"/>
          <w:highlight w:val="none"/>
        </w:rPr>
        <w:t>允许投标人递交备选投标方案的，只有中标人所递交的备选投标方案方可予以考虑。评标委员会认为中标人的备选投标方案优于其按照招标文件要求编制的投标方案的，招标人可以接受该备选投标方案。</w:t>
      </w:r>
    </w:p>
    <w:p w14:paraId="5F0F0EB8">
      <w:pPr>
        <w:adjustRightInd w:val="0"/>
        <w:snapToGrid w:val="0"/>
        <w:spacing w:line="600" w:lineRule="exact"/>
        <w:ind w:firstLine="420" w:firstLineChars="200"/>
        <w:rPr>
          <w:rFonts w:hint="eastAsia" w:ascii="宋体" w:hAnsi="宋体" w:cs="宋体"/>
          <w:bCs/>
          <w:snapToGrid w:val="0"/>
          <w:color w:val="auto"/>
          <w:kern w:val="0"/>
          <w:szCs w:val="21"/>
          <w:highlight w:val="none"/>
        </w:rPr>
      </w:pPr>
      <w:r>
        <w:rPr>
          <w:rFonts w:hint="eastAsia" w:ascii="宋体" w:hAnsi="宋体" w:cs="宋体"/>
          <w:color w:val="auto"/>
          <w:highlight w:val="none"/>
        </w:rPr>
        <w:t xml:space="preserve">3.6.3 </w:t>
      </w:r>
      <w:r>
        <w:rPr>
          <w:rFonts w:hint="eastAsia" w:ascii="宋体" w:hAnsi="宋体" w:cs="宋体"/>
          <w:bCs/>
          <w:snapToGrid w:val="0"/>
          <w:color w:val="auto"/>
          <w:kern w:val="0"/>
          <w:szCs w:val="21"/>
          <w:highlight w:val="none"/>
        </w:rPr>
        <w:t>投标人提供两个或两个以上投标报价，或在投标文件中提供一个报价，但同时提供两个或两个以上施工组织设计的，视为提供备选方案。</w:t>
      </w:r>
    </w:p>
    <w:p w14:paraId="3EB9381D">
      <w:pPr>
        <w:pStyle w:val="3"/>
        <w:adjustRightInd w:val="0"/>
        <w:snapToGrid w:val="0"/>
        <w:spacing w:before="0" w:after="0" w:line="560" w:lineRule="exact"/>
        <w:ind w:firstLine="422" w:firstLineChars="200"/>
        <w:rPr>
          <w:rFonts w:hint="eastAsia" w:ascii="黑体" w:hAnsi="黑体" w:cs="黑体"/>
          <w:color w:val="auto"/>
          <w:sz w:val="21"/>
          <w:szCs w:val="21"/>
          <w:highlight w:val="none"/>
        </w:rPr>
      </w:pPr>
      <w:bookmarkStart w:id="335" w:name="_Toc15058869"/>
      <w:bookmarkStart w:id="336" w:name="_Toc60061457"/>
      <w:bookmarkStart w:id="337" w:name="_Toc83301712"/>
      <w:bookmarkStart w:id="338" w:name="_Toc95223360"/>
      <w:bookmarkStart w:id="339" w:name="_Toc506107291"/>
      <w:r>
        <w:rPr>
          <w:rFonts w:hint="eastAsia" w:ascii="黑体" w:hAnsi="黑体" w:cs="黑体"/>
          <w:color w:val="auto"/>
          <w:sz w:val="21"/>
          <w:szCs w:val="21"/>
          <w:highlight w:val="none"/>
        </w:rPr>
        <w:t>4.投标</w:t>
      </w:r>
      <w:bookmarkEnd w:id="335"/>
      <w:bookmarkEnd w:id="336"/>
      <w:bookmarkEnd w:id="337"/>
      <w:bookmarkEnd w:id="338"/>
      <w:bookmarkEnd w:id="339"/>
    </w:p>
    <w:p w14:paraId="1CF37819">
      <w:pPr>
        <w:pStyle w:val="4"/>
        <w:adjustRightInd w:val="0"/>
        <w:snapToGrid w:val="0"/>
        <w:spacing w:before="0" w:after="0" w:line="560" w:lineRule="exact"/>
        <w:ind w:firstLine="422" w:firstLineChars="200"/>
        <w:rPr>
          <w:rFonts w:hint="eastAsia" w:ascii="黑体" w:hAnsi="黑体" w:cs="黑体"/>
          <w:color w:val="auto"/>
          <w:sz w:val="21"/>
          <w:szCs w:val="21"/>
          <w:highlight w:val="none"/>
        </w:rPr>
      </w:pPr>
      <w:bookmarkStart w:id="340" w:name="_Toc15058870"/>
      <w:bookmarkStart w:id="341" w:name="_Toc83301713"/>
      <w:bookmarkStart w:id="342" w:name="_Toc95223361"/>
      <w:bookmarkStart w:id="343" w:name="_Toc60061458"/>
      <w:r>
        <w:rPr>
          <w:rFonts w:hint="eastAsia" w:ascii="黑体" w:hAnsi="黑体" w:eastAsia="黑体" w:cs="黑体"/>
          <w:color w:val="auto"/>
          <w:sz w:val="21"/>
          <w:szCs w:val="21"/>
          <w:highlight w:val="none"/>
        </w:rPr>
        <w:t>4.1投标文件上传</w:t>
      </w:r>
      <w:bookmarkEnd w:id="340"/>
      <w:bookmarkEnd w:id="341"/>
      <w:bookmarkEnd w:id="342"/>
      <w:bookmarkEnd w:id="343"/>
    </w:p>
    <w:p w14:paraId="7176BFA3">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4.1.1请投标人通过系统下载投标工具制作投标文件，并利用CA数字证书进行上传投标文件，上传已加密的投标文件，务必通过此方式上传投标文件。</w:t>
      </w:r>
    </w:p>
    <w:p w14:paraId="5ED2CE84">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4.1.2投标人在投标文件编制、签章、上传过程中如有任何操作的疑问请及时联系技术支持，电话：0550-3801701。</w:t>
      </w:r>
    </w:p>
    <w:p w14:paraId="176E275A">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344" w:name="_Toc179632574"/>
      <w:bookmarkStart w:id="345" w:name="_Toc15058871"/>
      <w:bookmarkStart w:id="346" w:name="_Toc246996200"/>
      <w:bookmarkStart w:id="347" w:name="_Toc144974524"/>
      <w:bookmarkStart w:id="348" w:name="_Toc296602444"/>
      <w:bookmarkStart w:id="349" w:name="_Toc152042332"/>
      <w:bookmarkStart w:id="350" w:name="_Toc83301714"/>
      <w:bookmarkStart w:id="351" w:name="_Toc506107292"/>
      <w:bookmarkStart w:id="352" w:name="_Toc152045556"/>
      <w:bookmarkStart w:id="353" w:name="_Toc246996943"/>
      <w:bookmarkStart w:id="354" w:name="_Toc95223362"/>
      <w:bookmarkStart w:id="355" w:name="_Toc60061459"/>
      <w:bookmarkStart w:id="356" w:name="_Toc247085714"/>
      <w:bookmarkStart w:id="357" w:name="_Toc324404839"/>
      <w:r>
        <w:rPr>
          <w:rFonts w:hint="eastAsia" w:ascii="黑体" w:hAnsi="黑体" w:eastAsia="黑体" w:cs="黑体"/>
          <w:color w:val="auto"/>
          <w:sz w:val="21"/>
          <w:szCs w:val="21"/>
          <w:highlight w:val="none"/>
        </w:rPr>
        <w:t>4.2投标文件的密封和标记</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773780A6">
      <w:pPr>
        <w:adjustRightInd w:val="0"/>
        <w:snapToGrid w:val="0"/>
        <w:spacing w:line="560" w:lineRule="exact"/>
        <w:ind w:firstLine="420" w:firstLineChars="200"/>
        <w:rPr>
          <w:rFonts w:hint="eastAsia" w:ascii="宋体" w:hAnsi="宋体" w:cs="宋体"/>
          <w:color w:val="auto"/>
          <w:szCs w:val="21"/>
          <w:highlight w:val="none"/>
        </w:rPr>
      </w:pPr>
      <w:bookmarkStart w:id="358" w:name="_Toc324404840"/>
      <w:bookmarkStart w:id="359" w:name="_Toc247085715"/>
      <w:bookmarkStart w:id="360" w:name="_Toc152045557"/>
      <w:bookmarkStart w:id="361" w:name="_Toc246996201"/>
      <w:bookmarkStart w:id="362" w:name="_Toc179632575"/>
      <w:bookmarkStart w:id="363" w:name="_Toc246996944"/>
      <w:bookmarkStart w:id="364" w:name="_Toc296602445"/>
      <w:bookmarkStart w:id="365" w:name="_Toc152042333"/>
      <w:bookmarkStart w:id="366" w:name="_Toc144974525"/>
      <w:r>
        <w:rPr>
          <w:rFonts w:hint="eastAsia" w:ascii="宋体" w:hAnsi="宋体" w:cs="宋体"/>
          <w:color w:val="auto"/>
          <w:szCs w:val="21"/>
          <w:highlight w:val="none"/>
        </w:rPr>
        <w:t>4.2.1投标文件应按照本章第3.5.6项要求制作并加密，未按要求加密的投标文件将被拒绝接收。以投标人在投标截止时间前网上递交的电子投标文件为准。</w:t>
      </w:r>
    </w:p>
    <w:p w14:paraId="2D1718EB">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367" w:name="_Toc60061460"/>
      <w:bookmarkStart w:id="368" w:name="_Toc95223363"/>
      <w:bookmarkStart w:id="369" w:name="_Toc506107293"/>
      <w:bookmarkStart w:id="370" w:name="_Toc83301715"/>
      <w:bookmarkStart w:id="371" w:name="_Toc15058872"/>
      <w:r>
        <w:rPr>
          <w:rFonts w:hint="eastAsia" w:ascii="黑体" w:hAnsi="黑体" w:eastAsia="黑体" w:cs="黑体"/>
          <w:color w:val="auto"/>
          <w:sz w:val="21"/>
          <w:szCs w:val="21"/>
          <w:highlight w:val="none"/>
        </w:rPr>
        <w:t>4.3 投标文件的递交</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31BE5232">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4.3.1 投标人应当在第一章“招标公告”规定的投标截止时间前，将加密投标文件上传至电子交易系统。</w:t>
      </w:r>
    </w:p>
    <w:p w14:paraId="70577995">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4.3.2 除投标人须知前附表另有规定外，投标人所递交的投标文件不予退还。</w:t>
      </w:r>
    </w:p>
    <w:p w14:paraId="4DC84E31">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4.3.3 </w:t>
      </w:r>
      <w:r>
        <w:rPr>
          <w:rFonts w:ascii="宋体" w:hAnsi="宋体" w:cs="宋体"/>
          <w:color w:val="auto"/>
          <w:szCs w:val="21"/>
          <w:highlight w:val="none"/>
        </w:rPr>
        <w:t>投标人应当在投标截止时间前完成投标文件的</w:t>
      </w:r>
      <w:r>
        <w:rPr>
          <w:rFonts w:hint="eastAsia" w:ascii="宋体" w:hAnsi="宋体" w:cs="宋体"/>
          <w:color w:val="auto"/>
          <w:szCs w:val="21"/>
          <w:highlight w:val="none"/>
        </w:rPr>
        <w:t>网上递交，</w:t>
      </w:r>
      <w:r>
        <w:rPr>
          <w:rFonts w:ascii="宋体" w:hAnsi="宋体" w:cs="宋体"/>
          <w:color w:val="auto"/>
          <w:szCs w:val="21"/>
          <w:highlight w:val="none"/>
        </w:rPr>
        <w:t xml:space="preserve"> 并可以补充、修改或者撤回投标文件。投标截止时间前未完成投标文件</w:t>
      </w:r>
      <w:r>
        <w:rPr>
          <w:rFonts w:hint="eastAsia" w:ascii="宋体" w:hAnsi="宋体" w:cs="宋体"/>
          <w:color w:val="auto"/>
          <w:szCs w:val="21"/>
          <w:highlight w:val="none"/>
        </w:rPr>
        <w:t>网上递交</w:t>
      </w:r>
      <w:r>
        <w:rPr>
          <w:rFonts w:ascii="宋体" w:hAnsi="宋体" w:cs="宋体"/>
          <w:color w:val="auto"/>
          <w:szCs w:val="21"/>
          <w:highlight w:val="none"/>
        </w:rPr>
        <w:t>的，视为撤回投标文件。未按规定加密或投标截止时间后</w:t>
      </w:r>
      <w:r>
        <w:rPr>
          <w:rFonts w:hint="eastAsia" w:ascii="宋体" w:hAnsi="宋体" w:cs="宋体"/>
          <w:color w:val="auto"/>
          <w:szCs w:val="21"/>
          <w:highlight w:val="none"/>
        </w:rPr>
        <w:t>通过网上招标投标系统递交电子投标文件的</w:t>
      </w:r>
      <w:r>
        <w:rPr>
          <w:rFonts w:ascii="宋体" w:hAnsi="宋体" w:cs="宋体"/>
          <w:color w:val="auto"/>
          <w:szCs w:val="21"/>
          <w:highlight w:val="none"/>
        </w:rPr>
        <w:t>，电子交易系统应当拒收</w:t>
      </w:r>
      <w:r>
        <w:rPr>
          <w:rFonts w:hint="eastAsia" w:ascii="宋体" w:hAnsi="宋体" w:cs="宋体"/>
          <w:color w:val="auto"/>
          <w:szCs w:val="21"/>
          <w:highlight w:val="none"/>
        </w:rPr>
        <w:t>，投标无效。</w:t>
      </w:r>
    </w:p>
    <w:p w14:paraId="4F7D526E">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372" w:name="_Toc144974526"/>
      <w:bookmarkStart w:id="373" w:name="_Toc60061461"/>
      <w:bookmarkStart w:id="374" w:name="_Toc246996202"/>
      <w:bookmarkStart w:id="375" w:name="_Toc179632576"/>
      <w:bookmarkStart w:id="376" w:name="_Toc83301716"/>
      <w:bookmarkStart w:id="377" w:name="_Toc296602446"/>
      <w:bookmarkStart w:id="378" w:name="_Toc152045558"/>
      <w:bookmarkStart w:id="379" w:name="_Toc246996945"/>
      <w:bookmarkStart w:id="380" w:name="_Toc247085716"/>
      <w:bookmarkStart w:id="381" w:name="_Toc95223364"/>
      <w:bookmarkStart w:id="382" w:name="_Toc324404841"/>
      <w:bookmarkStart w:id="383" w:name="_Toc15058873"/>
      <w:bookmarkStart w:id="384" w:name="_Toc506107294"/>
      <w:bookmarkStart w:id="385" w:name="_Toc152042334"/>
      <w:r>
        <w:rPr>
          <w:rFonts w:hint="eastAsia" w:ascii="黑体" w:hAnsi="黑体" w:eastAsia="黑体" w:cs="黑体"/>
          <w:color w:val="auto"/>
          <w:sz w:val="21"/>
          <w:szCs w:val="21"/>
          <w:highlight w:val="none"/>
        </w:rPr>
        <w:t>4.4 投标文件的修改与撤回</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048FFBBC">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4.4.1在第一章“招标公告”规定的投标截止时间前，投标人可以自行从网上开评标系统撤回已递交的投标文件，并可修改后重新加密上传，开标时以投标截止时间前投标人最终上传的投标文件为准。</w:t>
      </w:r>
    </w:p>
    <w:p w14:paraId="73EE8132">
      <w:pPr>
        <w:pStyle w:val="3"/>
        <w:adjustRightInd w:val="0"/>
        <w:snapToGrid w:val="0"/>
        <w:spacing w:before="0" w:after="0" w:line="560" w:lineRule="exact"/>
        <w:ind w:firstLine="422" w:firstLineChars="200"/>
        <w:rPr>
          <w:rFonts w:hint="eastAsia" w:ascii="黑体" w:hAnsi="黑体" w:cs="黑体"/>
          <w:color w:val="auto"/>
          <w:sz w:val="21"/>
          <w:szCs w:val="21"/>
          <w:highlight w:val="none"/>
        </w:rPr>
      </w:pPr>
      <w:bookmarkStart w:id="386" w:name="_Toc95223365"/>
      <w:bookmarkStart w:id="387" w:name="_Toc60061462"/>
      <w:bookmarkStart w:id="388" w:name="_Toc152045559"/>
      <w:bookmarkStart w:id="389" w:name="_Toc83301717"/>
      <w:bookmarkStart w:id="390" w:name="_Toc246996946"/>
      <w:bookmarkStart w:id="391" w:name="_Toc144974527"/>
      <w:bookmarkStart w:id="392" w:name="_Toc152042335"/>
      <w:bookmarkStart w:id="393" w:name="_Toc324404842"/>
      <w:bookmarkStart w:id="394" w:name="_Toc247085717"/>
      <w:bookmarkStart w:id="395" w:name="_Toc506107295"/>
      <w:bookmarkStart w:id="396" w:name="_Toc179632577"/>
      <w:bookmarkStart w:id="397" w:name="_Toc246996203"/>
      <w:bookmarkStart w:id="398" w:name="_Toc15058874"/>
      <w:r>
        <w:rPr>
          <w:rFonts w:hint="eastAsia" w:ascii="黑体" w:hAnsi="黑体" w:cs="黑体"/>
          <w:color w:val="auto"/>
          <w:sz w:val="21"/>
          <w:szCs w:val="21"/>
          <w:highlight w:val="none"/>
        </w:rPr>
        <w:t>5. 开标</w:t>
      </w:r>
      <w:bookmarkEnd w:id="386"/>
      <w:bookmarkEnd w:id="387"/>
      <w:bookmarkEnd w:id="388"/>
      <w:bookmarkEnd w:id="389"/>
      <w:bookmarkEnd w:id="390"/>
      <w:bookmarkEnd w:id="391"/>
      <w:bookmarkEnd w:id="392"/>
      <w:bookmarkEnd w:id="393"/>
      <w:bookmarkEnd w:id="394"/>
      <w:bookmarkEnd w:id="395"/>
      <w:bookmarkEnd w:id="396"/>
      <w:bookmarkEnd w:id="397"/>
      <w:bookmarkEnd w:id="398"/>
    </w:p>
    <w:p w14:paraId="1CC78E0A">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399" w:name="_Toc152042336"/>
      <w:bookmarkStart w:id="400" w:name="_Toc247085718"/>
      <w:bookmarkStart w:id="401" w:name="_Toc15058875"/>
      <w:bookmarkStart w:id="402" w:name="_Toc324404843"/>
      <w:bookmarkStart w:id="403" w:name="_Toc83301718"/>
      <w:bookmarkStart w:id="404" w:name="_Toc506107296"/>
      <w:bookmarkStart w:id="405" w:name="_Toc246996947"/>
      <w:bookmarkStart w:id="406" w:name="_Toc144974528"/>
      <w:bookmarkStart w:id="407" w:name="_Toc60061463"/>
      <w:bookmarkStart w:id="408" w:name="_Toc296602448"/>
      <w:bookmarkStart w:id="409" w:name="_Toc152045560"/>
      <w:bookmarkStart w:id="410" w:name="_Toc246996204"/>
      <w:bookmarkStart w:id="411" w:name="_Toc95223366"/>
      <w:bookmarkStart w:id="412" w:name="_Toc179632578"/>
      <w:r>
        <w:rPr>
          <w:rFonts w:hint="eastAsia" w:ascii="黑体" w:hAnsi="黑体" w:eastAsia="黑体" w:cs="黑体"/>
          <w:color w:val="auto"/>
          <w:sz w:val="21"/>
          <w:szCs w:val="21"/>
          <w:highlight w:val="none"/>
        </w:rPr>
        <w:t>5.1 开标时间和地点</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5A762A60">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招标人在第一章“招标公告”规定的投标截止时间前（开标时间）和地点</w:t>
      </w:r>
      <w:r>
        <w:rPr>
          <w:color w:val="auto"/>
          <w:highlight w:val="none"/>
        </w:rPr>
        <w:t>通过电子交易系统公开开标</w:t>
      </w:r>
      <w:r>
        <w:rPr>
          <w:rFonts w:hint="eastAsia" w:ascii="宋体" w:hAnsi="宋体" w:cs="宋体"/>
          <w:color w:val="auto"/>
          <w:szCs w:val="21"/>
          <w:highlight w:val="none"/>
        </w:rPr>
        <w:t>。</w:t>
      </w:r>
    </w:p>
    <w:p w14:paraId="29B6E81A">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413" w:name="_Toc152045561"/>
      <w:bookmarkStart w:id="414" w:name="_Toc324404844"/>
      <w:bookmarkStart w:id="415" w:name="_Toc83301719"/>
      <w:bookmarkStart w:id="416" w:name="_Toc246996948"/>
      <w:bookmarkStart w:id="417" w:name="_Toc144974529"/>
      <w:bookmarkStart w:id="418" w:name="_Toc152042337"/>
      <w:bookmarkStart w:id="419" w:name="_Toc246996205"/>
      <w:bookmarkStart w:id="420" w:name="_Toc296602449"/>
      <w:bookmarkStart w:id="421" w:name="_Toc60061464"/>
      <w:bookmarkStart w:id="422" w:name="_Toc247085719"/>
      <w:bookmarkStart w:id="423" w:name="_Toc15058876"/>
      <w:bookmarkStart w:id="424" w:name="_Toc506107297"/>
      <w:bookmarkStart w:id="425" w:name="_Toc95223367"/>
      <w:bookmarkStart w:id="426" w:name="_Toc179632579"/>
      <w:r>
        <w:rPr>
          <w:rFonts w:hint="eastAsia" w:ascii="黑体" w:hAnsi="黑体" w:eastAsia="黑体" w:cs="黑体"/>
          <w:color w:val="auto"/>
          <w:sz w:val="21"/>
          <w:szCs w:val="21"/>
          <w:highlight w:val="none"/>
        </w:rPr>
        <w:t>5.2 开标程序</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2CD6FADE">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主持人按下列程序进行开标：</w:t>
      </w:r>
    </w:p>
    <w:p w14:paraId="7AC41223">
      <w:pPr>
        <w:adjustRightInd w:val="0"/>
        <w:snapToGrid w:val="0"/>
        <w:spacing w:line="600" w:lineRule="exact"/>
        <w:ind w:firstLine="420" w:firstLineChars="200"/>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（1）公布在投标截止时间前通过电子交易系统完成投标文件递交的投标人名称；</w:t>
      </w:r>
    </w:p>
    <w:p w14:paraId="7F81C8C4">
      <w:pPr>
        <w:adjustRightInd w:val="0"/>
        <w:snapToGrid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 xml:space="preserve">    （2）投标人在投标截止时间后在投标人须知前附表规定的解密时间内完成投标文件的解密工作；</w:t>
      </w:r>
    </w:p>
    <w:p w14:paraId="093A651F">
      <w:pPr>
        <w:adjustRightInd w:val="0"/>
        <w:snapToGrid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 xml:space="preserve">    （3）</w:t>
      </w:r>
      <w:r>
        <w:rPr>
          <w:rFonts w:hint="eastAsia" w:ascii="宋体" w:hAnsi="宋体" w:cs="宋体"/>
          <w:bCs/>
          <w:snapToGrid w:val="0"/>
          <w:color w:val="auto"/>
          <w:kern w:val="0"/>
          <w:szCs w:val="21"/>
          <w:highlight w:val="none"/>
        </w:rPr>
        <w:t>招标人或招标代理机构完成解密工作，导入并读取所有成功解密的投标文件；</w:t>
      </w:r>
    </w:p>
    <w:p w14:paraId="66499061">
      <w:pPr>
        <w:adjustRightInd w:val="0"/>
        <w:snapToGrid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 xml:space="preserve">    （4）按投标人须知前附表规定公布投标人名称、标段名称、投标报价、质量目标、工期及其他内容；</w:t>
      </w:r>
    </w:p>
    <w:p w14:paraId="4C29526D">
      <w:pPr>
        <w:adjustRightInd w:val="0"/>
        <w:snapToGrid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 xml:space="preserve">    （5）开标结束。</w:t>
      </w:r>
    </w:p>
    <w:bookmarkEnd w:id="327"/>
    <w:bookmarkEnd w:id="328"/>
    <w:bookmarkEnd w:id="329"/>
    <w:bookmarkEnd w:id="330"/>
    <w:bookmarkEnd w:id="331"/>
    <w:bookmarkEnd w:id="332"/>
    <w:bookmarkEnd w:id="333"/>
    <w:bookmarkEnd w:id="334"/>
    <w:p w14:paraId="67F0D546">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427" w:name="_Toc60061465"/>
      <w:bookmarkStart w:id="428" w:name="_Toc296602450"/>
      <w:bookmarkStart w:id="429" w:name="_Toc95223368"/>
      <w:bookmarkStart w:id="430" w:name="_Toc15058883"/>
      <w:bookmarkStart w:id="431" w:name="_Toc506107298"/>
      <w:bookmarkStart w:id="432" w:name="_Toc83301720"/>
      <w:bookmarkStart w:id="433" w:name="_Toc324404845"/>
      <w:r>
        <w:rPr>
          <w:rFonts w:hint="eastAsia" w:ascii="黑体" w:hAnsi="黑体" w:eastAsia="黑体" w:cs="黑体"/>
          <w:color w:val="auto"/>
          <w:sz w:val="21"/>
          <w:szCs w:val="21"/>
          <w:highlight w:val="none"/>
        </w:rPr>
        <w:t>5.3 开标异议</w:t>
      </w:r>
      <w:bookmarkEnd w:id="427"/>
      <w:bookmarkEnd w:id="428"/>
      <w:bookmarkEnd w:id="429"/>
      <w:bookmarkEnd w:id="430"/>
      <w:bookmarkEnd w:id="431"/>
      <w:bookmarkEnd w:id="432"/>
      <w:bookmarkEnd w:id="433"/>
    </w:p>
    <w:p w14:paraId="7A4F8B46">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投标人对开标有异议的，应当在开标过程中提出，招标人在开标过程中作出答复，并制作记录。</w:t>
      </w:r>
      <w:r>
        <w:rPr>
          <w:color w:val="auto"/>
          <w:spacing w:val="-5"/>
          <w:highlight w:val="none"/>
        </w:rPr>
        <w:t>异议与答复应通过电子交易系统进行。</w:t>
      </w:r>
    </w:p>
    <w:p w14:paraId="2E7485DA">
      <w:pPr>
        <w:pStyle w:val="3"/>
        <w:adjustRightInd w:val="0"/>
        <w:snapToGrid w:val="0"/>
        <w:spacing w:before="0" w:after="0" w:line="560" w:lineRule="exact"/>
        <w:ind w:firstLine="422" w:firstLineChars="200"/>
        <w:rPr>
          <w:rFonts w:hint="eastAsia" w:ascii="黑体" w:hAnsi="黑体" w:cs="黑体"/>
          <w:color w:val="auto"/>
          <w:sz w:val="21"/>
          <w:szCs w:val="21"/>
          <w:highlight w:val="none"/>
        </w:rPr>
      </w:pPr>
      <w:bookmarkStart w:id="434" w:name="_Toc83301721"/>
      <w:bookmarkStart w:id="435" w:name="_Toc247085720"/>
      <w:bookmarkStart w:id="436" w:name="_Toc144974530"/>
      <w:bookmarkStart w:id="437" w:name="_Toc152042338"/>
      <w:bookmarkStart w:id="438" w:name="_Toc95223369"/>
      <w:bookmarkStart w:id="439" w:name="_Toc179632580"/>
      <w:bookmarkStart w:id="440" w:name="_Toc246996949"/>
      <w:bookmarkStart w:id="441" w:name="_Toc324404846"/>
      <w:bookmarkStart w:id="442" w:name="_Toc246996206"/>
      <w:bookmarkStart w:id="443" w:name="_Toc60061466"/>
      <w:bookmarkStart w:id="444" w:name="_Toc506107299"/>
      <w:bookmarkStart w:id="445" w:name="_Toc15058884"/>
      <w:bookmarkStart w:id="446" w:name="_Toc152045562"/>
      <w:r>
        <w:rPr>
          <w:rFonts w:hint="eastAsia" w:ascii="黑体" w:hAnsi="黑体" w:cs="黑体"/>
          <w:color w:val="auto"/>
          <w:sz w:val="21"/>
          <w:szCs w:val="21"/>
          <w:highlight w:val="none"/>
        </w:rPr>
        <w:t>6. 评标</w:t>
      </w:r>
      <w:bookmarkEnd w:id="434"/>
      <w:bookmarkEnd w:id="435"/>
      <w:bookmarkEnd w:id="436"/>
      <w:bookmarkEnd w:id="437"/>
      <w:bookmarkEnd w:id="438"/>
      <w:bookmarkEnd w:id="439"/>
      <w:bookmarkEnd w:id="440"/>
      <w:bookmarkEnd w:id="441"/>
      <w:bookmarkEnd w:id="442"/>
      <w:bookmarkEnd w:id="443"/>
      <w:bookmarkEnd w:id="444"/>
      <w:bookmarkEnd w:id="445"/>
      <w:bookmarkEnd w:id="446"/>
    </w:p>
    <w:p w14:paraId="32D5C97F">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447" w:name="_Toc247085721"/>
      <w:bookmarkStart w:id="448" w:name="_Toc246996207"/>
      <w:bookmarkStart w:id="449" w:name="_Toc179632581"/>
      <w:bookmarkStart w:id="450" w:name="_Toc246996950"/>
      <w:bookmarkStart w:id="451" w:name="_Toc83301722"/>
      <w:bookmarkStart w:id="452" w:name="_Toc152042339"/>
      <w:bookmarkStart w:id="453" w:name="_Toc60061467"/>
      <w:bookmarkStart w:id="454" w:name="_Toc95223370"/>
      <w:bookmarkStart w:id="455" w:name="_Toc15058885"/>
      <w:bookmarkStart w:id="456" w:name="_Toc506107300"/>
      <w:bookmarkStart w:id="457" w:name="_Toc144974531"/>
      <w:bookmarkStart w:id="458" w:name="_Toc296602452"/>
      <w:bookmarkStart w:id="459" w:name="_Toc152045563"/>
      <w:bookmarkStart w:id="460" w:name="_Toc324404847"/>
      <w:r>
        <w:rPr>
          <w:rFonts w:hint="eastAsia" w:ascii="黑体" w:hAnsi="黑体" w:eastAsia="黑体" w:cs="黑体"/>
          <w:color w:val="auto"/>
          <w:sz w:val="21"/>
          <w:szCs w:val="21"/>
          <w:highlight w:val="none"/>
        </w:rPr>
        <w:t>6.1 评标委员会</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701E2313">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3FADFD5B">
      <w:pPr>
        <w:adjustRightInd w:val="0"/>
        <w:snapToGrid w:val="0"/>
        <w:spacing w:line="56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6.1.2 评标委员会成员有下列情形之一的，应当回避：</w:t>
      </w:r>
    </w:p>
    <w:p w14:paraId="4BA75443">
      <w:pPr>
        <w:adjustRightInd w:val="0"/>
        <w:snapToGrid w:val="0"/>
        <w:spacing w:line="56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（1）项目主管部门或行政监督管理部门，项目属地的公共资源交易综合管理部门、交易中心的工作人员； </w:t>
      </w:r>
    </w:p>
    <w:p w14:paraId="3277FD20">
      <w:pPr>
        <w:adjustRightInd w:val="0"/>
        <w:snapToGrid w:val="0"/>
        <w:spacing w:line="56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（2）与竞争主体主要负责人或者授权参与交易的代理人有近亲属关系的人员； </w:t>
      </w:r>
    </w:p>
    <w:p w14:paraId="3EA6452F">
      <w:pPr>
        <w:adjustRightInd w:val="0"/>
        <w:snapToGrid w:val="0"/>
        <w:spacing w:line="56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（3）竞争主体的工作人员或者退休人员； </w:t>
      </w:r>
    </w:p>
    <w:p w14:paraId="0ECF3029">
      <w:pPr>
        <w:adjustRightInd w:val="0"/>
        <w:snapToGrid w:val="0"/>
        <w:spacing w:line="56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（4）竞争主体的上级主管、控股或者被控股单位等相关利害关系的人员，或任职单位与竞争主体单位为同一法定代表人的； </w:t>
      </w:r>
    </w:p>
    <w:p w14:paraId="4EBA2AA0">
      <w:pPr>
        <w:adjustRightInd w:val="0"/>
        <w:snapToGrid w:val="0"/>
        <w:spacing w:line="56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（5）存在其他法定回避情形的。</w:t>
      </w:r>
    </w:p>
    <w:p w14:paraId="18A9254E">
      <w:pPr>
        <w:adjustRightInd w:val="0"/>
        <w:snapToGrid w:val="0"/>
        <w:spacing w:line="56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项目实施主体及其子公司、下属单位、上级主管部门或者控股公司的工作人员或者退休人员不得以专家身份参与本单位或者代理项目的评标评审。 </w:t>
      </w:r>
    </w:p>
    <w:p w14:paraId="66260D8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 xml:space="preserve">评标委员会或评审机构成员有前两款规定情形的，应当主动提出回避；已经进入的应当更换，被更换的成员评标评审意见无效。 </w:t>
      </w:r>
    </w:p>
    <w:p w14:paraId="7D54BDE9">
      <w:pPr>
        <w:pStyle w:val="19"/>
        <w:adjustRightInd w:val="0"/>
        <w:snapToGrid w:val="0"/>
        <w:spacing w:after="0" w:line="560" w:lineRule="exact"/>
        <w:ind w:left="0" w:leftChars="0"/>
        <w:rPr>
          <w:rFonts w:hint="eastAsia"/>
          <w:color w:val="auto"/>
          <w:highlight w:val="none"/>
        </w:rPr>
      </w:pPr>
      <w:r>
        <w:rPr>
          <w:rFonts w:hint="eastAsia" w:ascii="宋体" w:hAnsi="宋体" w:cs="宋体"/>
          <w:color w:val="auto"/>
          <w:szCs w:val="21"/>
          <w:highlight w:val="none"/>
        </w:rPr>
        <w:t>6.1.3评标过程中，评标委员会成员有回避事由、擅离职守或因健康等原因不能继续评标的， 招标人有权更换。被更换的评标委员会成员作出的评审结论无效，由更换后的评标委员会成员重新进行评审。</w:t>
      </w:r>
    </w:p>
    <w:p w14:paraId="1770270A">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461" w:name="_Toc246996951"/>
      <w:bookmarkStart w:id="462" w:name="_Toc324404848"/>
      <w:bookmarkStart w:id="463" w:name="_Toc246996208"/>
      <w:bookmarkStart w:id="464" w:name="_Toc179632582"/>
      <w:bookmarkStart w:id="465" w:name="_Toc247085722"/>
      <w:bookmarkStart w:id="466" w:name="_Toc95223371"/>
      <w:bookmarkStart w:id="467" w:name="_Toc152045564"/>
      <w:bookmarkStart w:id="468" w:name="_Toc152042340"/>
      <w:bookmarkStart w:id="469" w:name="_Toc60061468"/>
      <w:bookmarkStart w:id="470" w:name="_Toc506107301"/>
      <w:bookmarkStart w:id="471" w:name="_Toc144974532"/>
      <w:bookmarkStart w:id="472" w:name="_Toc83301723"/>
      <w:bookmarkStart w:id="473" w:name="_Toc296602453"/>
      <w:bookmarkStart w:id="474" w:name="_Toc15058886"/>
      <w:r>
        <w:rPr>
          <w:rFonts w:hint="eastAsia" w:ascii="黑体" w:hAnsi="黑体" w:eastAsia="黑体" w:cs="黑体"/>
          <w:color w:val="auto"/>
          <w:sz w:val="21"/>
          <w:szCs w:val="21"/>
          <w:highlight w:val="none"/>
        </w:rPr>
        <w:t>6.2 评标原则</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07BD479E">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评标活动遵循公平、公正、科学和择优的原则。</w:t>
      </w:r>
    </w:p>
    <w:p w14:paraId="3BD2A677">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475" w:name="_Toc246996952"/>
      <w:bookmarkStart w:id="476" w:name="_Toc152042341"/>
      <w:bookmarkStart w:id="477" w:name="_Toc246996209"/>
      <w:bookmarkStart w:id="478" w:name="_Toc296602454"/>
      <w:bookmarkStart w:id="479" w:name="_Toc324404849"/>
      <w:bookmarkStart w:id="480" w:name="_Toc60061469"/>
      <w:bookmarkStart w:id="481" w:name="_Toc506107302"/>
      <w:bookmarkStart w:id="482" w:name="_Toc83301724"/>
      <w:bookmarkStart w:id="483" w:name="_Toc152045565"/>
      <w:bookmarkStart w:id="484" w:name="_Toc144974533"/>
      <w:bookmarkStart w:id="485" w:name="_Toc247085723"/>
      <w:bookmarkStart w:id="486" w:name="_Toc15058887"/>
      <w:bookmarkStart w:id="487" w:name="_Toc179632583"/>
      <w:bookmarkStart w:id="488" w:name="_Toc95223372"/>
      <w:r>
        <w:rPr>
          <w:rFonts w:hint="eastAsia" w:ascii="黑体" w:hAnsi="黑体" w:eastAsia="黑体" w:cs="黑体"/>
          <w:color w:val="auto"/>
          <w:sz w:val="21"/>
          <w:szCs w:val="21"/>
          <w:highlight w:val="none"/>
        </w:rPr>
        <w:t>6.3 评标</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Start w:id="489" w:name="_Toc324404850"/>
      <w:bookmarkStart w:id="490" w:name="_Toc152042342"/>
      <w:bookmarkStart w:id="491" w:name="_Toc179632584"/>
      <w:bookmarkStart w:id="492" w:name="_Toc152045566"/>
      <w:bookmarkStart w:id="493" w:name="_Toc60061470"/>
      <w:bookmarkStart w:id="494" w:name="_Toc506107303"/>
      <w:bookmarkStart w:id="495" w:name="_Toc247085724"/>
      <w:bookmarkStart w:id="496" w:name="_Toc15058888"/>
      <w:bookmarkStart w:id="497" w:name="_Toc144974534"/>
      <w:bookmarkStart w:id="498" w:name="_Toc246996953"/>
      <w:bookmarkStart w:id="499" w:name="_Toc246996210"/>
      <w:r>
        <w:rPr>
          <w:rFonts w:hint="eastAsia" w:ascii="黑体" w:hAnsi="黑体" w:eastAsia="黑体" w:cs="黑体"/>
          <w:color w:val="auto"/>
          <w:sz w:val="21"/>
          <w:szCs w:val="21"/>
          <w:highlight w:val="none"/>
        </w:rPr>
        <w:t xml:space="preserve">    </w:t>
      </w:r>
    </w:p>
    <w:p w14:paraId="71ECE534">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6.3.1评标委员会按照第四章“评标办法”规定的方法、评审因素、标准和程序对投标文件进行评审。第四章“评标办法”没有规定的方法、评审因素和标准，不作为评标依据。</w:t>
      </w:r>
    </w:p>
    <w:p w14:paraId="696AA139">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6.3.2评标完成后，评标委员会应向招标人提交书面评标报告和中标候选人名单。评标委员会推荐中标候选人的人数见投标人须知前附表。</w:t>
      </w:r>
    </w:p>
    <w:p w14:paraId="23CA39AA">
      <w:pPr>
        <w:pStyle w:val="3"/>
        <w:adjustRightInd w:val="0"/>
        <w:snapToGrid w:val="0"/>
        <w:spacing w:before="0" w:after="0" w:line="560" w:lineRule="exact"/>
        <w:ind w:firstLine="422" w:firstLineChars="200"/>
        <w:rPr>
          <w:rFonts w:hint="eastAsia" w:ascii="黑体" w:hAnsi="黑体" w:cs="黑体"/>
          <w:color w:val="auto"/>
          <w:sz w:val="21"/>
          <w:szCs w:val="21"/>
          <w:highlight w:val="none"/>
        </w:rPr>
      </w:pPr>
      <w:bookmarkStart w:id="500" w:name="_Toc95223373"/>
      <w:bookmarkStart w:id="501" w:name="_Toc83301725"/>
      <w:r>
        <w:rPr>
          <w:rFonts w:hint="eastAsia" w:ascii="黑体" w:hAnsi="黑体" w:cs="黑体"/>
          <w:color w:val="auto"/>
          <w:sz w:val="21"/>
          <w:szCs w:val="21"/>
          <w:highlight w:val="none"/>
        </w:rPr>
        <w:t>7. 合同授予</w:t>
      </w:r>
      <w:bookmarkEnd w:id="489"/>
      <w:bookmarkEnd w:id="490"/>
      <w:bookmarkEnd w:id="491"/>
      <w:bookmarkEnd w:id="492"/>
      <w:bookmarkEnd w:id="493"/>
      <w:bookmarkEnd w:id="494"/>
      <w:bookmarkEnd w:id="495"/>
      <w:bookmarkEnd w:id="496"/>
      <w:bookmarkEnd w:id="497"/>
      <w:bookmarkEnd w:id="498"/>
      <w:bookmarkEnd w:id="499"/>
      <w:bookmarkEnd w:id="500"/>
      <w:bookmarkEnd w:id="501"/>
    </w:p>
    <w:p w14:paraId="030DA0E9">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502" w:name="_Toc296602457"/>
      <w:bookmarkStart w:id="503" w:name="_Toc83301726"/>
      <w:bookmarkStart w:id="504" w:name="_Toc95223374"/>
      <w:bookmarkStart w:id="505" w:name="_Toc506107305"/>
      <w:bookmarkStart w:id="506" w:name="_Toc324404852"/>
      <w:bookmarkStart w:id="507" w:name="_Toc15058890"/>
      <w:bookmarkStart w:id="508" w:name="_Toc60061472"/>
      <w:r>
        <w:rPr>
          <w:rFonts w:hint="eastAsia" w:ascii="黑体" w:hAnsi="黑体" w:eastAsia="黑体" w:cs="黑体"/>
          <w:color w:val="auto"/>
          <w:sz w:val="21"/>
          <w:szCs w:val="21"/>
          <w:highlight w:val="none"/>
        </w:rPr>
        <w:t>7.1 中标候选人公示</w:t>
      </w:r>
      <w:bookmarkEnd w:id="502"/>
      <w:bookmarkEnd w:id="503"/>
      <w:bookmarkEnd w:id="504"/>
      <w:bookmarkEnd w:id="505"/>
      <w:bookmarkEnd w:id="506"/>
      <w:bookmarkEnd w:id="507"/>
      <w:bookmarkEnd w:id="508"/>
    </w:p>
    <w:p w14:paraId="623588E7">
      <w:pPr>
        <w:adjustRightInd w:val="0"/>
        <w:snapToGrid w:val="0"/>
        <w:spacing w:line="560" w:lineRule="exact"/>
        <w:ind w:firstLine="420" w:firstLineChars="200"/>
        <w:rPr>
          <w:rFonts w:hint="eastAsia" w:ascii="宋体" w:hAnsi="宋体" w:cs="宋体"/>
          <w:color w:val="auto"/>
          <w:szCs w:val="21"/>
          <w:highlight w:val="none"/>
        </w:rPr>
      </w:pPr>
      <w:bookmarkStart w:id="509" w:name="_Toc60061473"/>
      <w:bookmarkStart w:id="510" w:name="_Toc296602458"/>
      <w:bookmarkStart w:id="511" w:name="_Toc246996212"/>
      <w:bookmarkStart w:id="512" w:name="_Toc247085726"/>
      <w:bookmarkStart w:id="513" w:name="_Toc324404853"/>
      <w:bookmarkStart w:id="514" w:name="_Toc152042344"/>
      <w:bookmarkStart w:id="515" w:name="_Toc179632586"/>
      <w:bookmarkStart w:id="516" w:name="_Toc246996955"/>
      <w:bookmarkStart w:id="517" w:name="_Toc152045568"/>
      <w:bookmarkStart w:id="518" w:name="_Toc144974536"/>
      <w:r>
        <w:rPr>
          <w:rFonts w:hint="eastAsia" w:ascii="宋体" w:hAnsi="宋体" w:cs="宋体"/>
          <w:color w:val="auto"/>
          <w:szCs w:val="21"/>
          <w:highlight w:val="none"/>
        </w:rPr>
        <w:t>招标人在收到评标报告之日起3日内，按照投标人须知前附表规定的公示媒介和期限依法公示。中标候选人公示期不得少于3日。</w:t>
      </w:r>
    </w:p>
    <w:p w14:paraId="70161591">
      <w:pPr>
        <w:adjustRightInd w:val="0"/>
        <w:snapToGrid w:val="0"/>
        <w:spacing w:line="560" w:lineRule="exact"/>
        <w:ind w:firstLine="422" w:firstLineChars="200"/>
        <w:rPr>
          <w:rFonts w:hint="eastAsia" w:ascii="黑体" w:hAnsi="黑体" w:eastAsia="黑体" w:cs="黑体"/>
          <w:bCs/>
          <w:color w:val="auto"/>
          <w:kern w:val="0"/>
          <w:szCs w:val="21"/>
          <w:highlight w:val="none"/>
        </w:rPr>
      </w:pPr>
      <w:r>
        <w:rPr>
          <w:rFonts w:hint="eastAsia" w:ascii="黑体" w:hAnsi="黑体" w:eastAsia="黑体" w:cs="黑体"/>
          <w:b/>
          <w:bCs/>
          <w:color w:val="auto"/>
          <w:kern w:val="0"/>
          <w:szCs w:val="21"/>
          <w:highlight w:val="none"/>
        </w:rPr>
        <w:t>7.2 评标结果异议</w:t>
      </w:r>
    </w:p>
    <w:p w14:paraId="3D559B8A">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投标人或其他利害关系人对评标结果有异议的，应在中标候选人公示期内提出。招标人将在收到异议之日起3日内作出答复；作出答复前，将暂停招标投标活动。</w:t>
      </w:r>
    </w:p>
    <w:p w14:paraId="6EE7B31C">
      <w:pPr>
        <w:adjustRightInd w:val="0"/>
        <w:snapToGrid w:val="0"/>
        <w:spacing w:line="560" w:lineRule="exact"/>
        <w:ind w:firstLine="422" w:firstLineChars="200"/>
        <w:rPr>
          <w:rFonts w:hint="eastAsia" w:ascii="黑体" w:hAnsi="黑体" w:eastAsia="黑体" w:cs="黑体"/>
          <w:b/>
          <w:bCs/>
          <w:color w:val="auto"/>
          <w:kern w:val="0"/>
          <w:szCs w:val="21"/>
          <w:highlight w:val="none"/>
        </w:rPr>
      </w:pPr>
      <w:r>
        <w:rPr>
          <w:rFonts w:hint="eastAsia" w:ascii="黑体" w:hAnsi="黑体" w:eastAsia="黑体" w:cs="黑体"/>
          <w:b/>
          <w:bCs/>
          <w:color w:val="auto"/>
          <w:kern w:val="0"/>
          <w:szCs w:val="21"/>
          <w:highlight w:val="none"/>
        </w:rPr>
        <w:t>7.3 中标候选人履约能力审查</w:t>
      </w:r>
    </w:p>
    <w:p w14:paraId="6E7EAF05">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中标候选人的经营、财务状况发生较大变化或者存在违法行为，招标人认为可能影响其履约能力的，应当在发出中标通知书前由原评标委员会按照招标文件规定的标准和方法审查确认。</w:t>
      </w:r>
    </w:p>
    <w:p w14:paraId="58C29ABB">
      <w:pPr>
        <w:adjustRightInd w:val="0"/>
        <w:snapToGrid w:val="0"/>
        <w:spacing w:line="560" w:lineRule="exact"/>
        <w:ind w:firstLine="422" w:firstLineChars="200"/>
        <w:rPr>
          <w:rFonts w:hint="eastAsia" w:ascii="黑体" w:hAnsi="黑体" w:eastAsia="黑体" w:cs="黑体"/>
          <w:b/>
          <w:bCs/>
          <w:color w:val="auto"/>
          <w:kern w:val="0"/>
          <w:szCs w:val="21"/>
          <w:highlight w:val="none"/>
        </w:rPr>
      </w:pPr>
      <w:r>
        <w:rPr>
          <w:rFonts w:hint="eastAsia" w:ascii="黑体" w:hAnsi="黑体" w:eastAsia="黑体" w:cs="黑体"/>
          <w:b/>
          <w:bCs/>
          <w:color w:val="auto"/>
          <w:kern w:val="0"/>
          <w:szCs w:val="21"/>
          <w:highlight w:val="none"/>
        </w:rPr>
        <w:t>7.4 业绩奖项公示</w:t>
      </w:r>
      <w:bookmarkEnd w:id="509"/>
    </w:p>
    <w:p w14:paraId="70AD0D8B">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招标人对中标候选人的得分业绩和奖项进行公示。</w:t>
      </w:r>
    </w:p>
    <w:p w14:paraId="28055F51">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519" w:name="_Toc83301727"/>
      <w:bookmarkStart w:id="520" w:name="_Toc95223375"/>
      <w:bookmarkStart w:id="521" w:name="_Toc506107306"/>
      <w:bookmarkStart w:id="522" w:name="_Toc15058891"/>
      <w:bookmarkStart w:id="523" w:name="_Toc60061474"/>
      <w:r>
        <w:rPr>
          <w:rFonts w:hint="eastAsia" w:ascii="黑体" w:hAnsi="黑体" w:eastAsia="黑体" w:cs="黑体"/>
          <w:color w:val="auto"/>
          <w:sz w:val="21"/>
          <w:szCs w:val="21"/>
          <w:highlight w:val="none"/>
        </w:rPr>
        <w:t>7.5 定标</w:t>
      </w:r>
      <w:bookmarkEnd w:id="519"/>
      <w:bookmarkEnd w:id="520"/>
    </w:p>
    <w:p w14:paraId="42DDAC41">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7.5.1招标人应当自收到评标报告之日起5个工作日内召开定标会议（如因招标文件约定或异议或投诉或其他特殊原因，定标会议时间可以适当延期，但不得超过投标有效期。）。定标会议应当在公共资源交易中心召开</w:t>
      </w:r>
      <w:r>
        <w:rPr>
          <w:rFonts w:hint="eastAsia" w:ascii="宋体" w:hAnsi="宋体" w:cs="宋体"/>
          <w:color w:val="auto"/>
          <w:szCs w:val="21"/>
          <w:highlight w:val="none"/>
        </w:rPr>
        <w:t>。</w:t>
      </w:r>
    </w:p>
    <w:p w14:paraId="104E6FC3">
      <w:pPr>
        <w:adjustRightInd w:val="0"/>
        <w:snapToGrid w:val="0"/>
        <w:spacing w:line="5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7.5.2定标委员会应当按照招标文件约定的定标方式客观、公正定标，确定中标人。具体定标方法详见投标人须知前附表。</w:t>
      </w:r>
    </w:p>
    <w:p w14:paraId="5053CA03">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 xml:space="preserve"> </w:t>
      </w:r>
      <w:bookmarkStart w:id="524" w:name="_Toc95223376"/>
      <w:bookmarkStart w:id="525" w:name="_Toc83301728"/>
      <w:r>
        <w:rPr>
          <w:rFonts w:hint="eastAsia" w:ascii="黑体" w:hAnsi="黑体" w:eastAsia="黑体" w:cs="黑体"/>
          <w:color w:val="auto"/>
          <w:sz w:val="21"/>
          <w:szCs w:val="21"/>
          <w:highlight w:val="none"/>
        </w:rPr>
        <w:t>7.6 中标通知</w:t>
      </w:r>
      <w:bookmarkEnd w:id="510"/>
      <w:bookmarkEnd w:id="511"/>
      <w:bookmarkEnd w:id="512"/>
      <w:bookmarkEnd w:id="513"/>
      <w:bookmarkEnd w:id="514"/>
      <w:bookmarkEnd w:id="515"/>
      <w:bookmarkEnd w:id="516"/>
      <w:bookmarkEnd w:id="517"/>
      <w:bookmarkEnd w:id="518"/>
      <w:bookmarkEnd w:id="521"/>
      <w:bookmarkEnd w:id="522"/>
      <w:bookmarkEnd w:id="523"/>
      <w:bookmarkEnd w:id="524"/>
      <w:bookmarkEnd w:id="525"/>
    </w:p>
    <w:p w14:paraId="38AEBE66">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在本招标文件规定的投标有效期内，招标人以数据电文向中标人发出中标通知书，同时将中标结果通知未中标的投标人。</w:t>
      </w:r>
    </w:p>
    <w:p w14:paraId="4250C41F">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526" w:name="_Toc95223377"/>
      <w:r>
        <w:rPr>
          <w:rFonts w:hint="eastAsia" w:ascii="黑体" w:hAnsi="黑体" w:eastAsia="黑体" w:cs="黑体"/>
          <w:color w:val="auto"/>
          <w:sz w:val="21"/>
          <w:szCs w:val="21"/>
          <w:highlight w:val="none"/>
        </w:rPr>
        <w:t>7.7 中标结果公示</w:t>
      </w:r>
      <w:bookmarkEnd w:id="526"/>
    </w:p>
    <w:p w14:paraId="4E93D66C">
      <w:pPr>
        <w:adjustRightInd w:val="0"/>
        <w:snapToGrid w:val="0"/>
        <w:spacing w:line="600" w:lineRule="exact"/>
        <w:ind w:firstLine="420" w:firstLineChars="200"/>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招标人在确定中标人之日起3日内，按照投标人须知前附表规定的公示媒介和期限依法公示中标结果。</w:t>
      </w:r>
    </w:p>
    <w:p w14:paraId="319DBC90">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527" w:name="_Toc296602459"/>
      <w:bookmarkStart w:id="528" w:name="_Toc247085727"/>
      <w:bookmarkStart w:id="529" w:name="_Toc179632587"/>
      <w:bookmarkStart w:id="530" w:name="_Toc324404854"/>
      <w:bookmarkStart w:id="531" w:name="_Toc506107307"/>
      <w:bookmarkStart w:id="532" w:name="_Toc95223378"/>
      <w:bookmarkStart w:id="533" w:name="_Toc60061476"/>
      <w:bookmarkStart w:id="534" w:name="_Toc246996213"/>
      <w:bookmarkStart w:id="535" w:name="_Toc152042345"/>
      <w:bookmarkStart w:id="536" w:name="_Toc83301730"/>
      <w:bookmarkStart w:id="537" w:name="_Toc152045569"/>
      <w:bookmarkStart w:id="538" w:name="_Toc15058892"/>
      <w:bookmarkStart w:id="539" w:name="_Toc144974537"/>
      <w:bookmarkStart w:id="540" w:name="_Toc246996956"/>
      <w:r>
        <w:rPr>
          <w:rFonts w:hint="eastAsia" w:ascii="黑体" w:hAnsi="黑体" w:eastAsia="黑体" w:cs="黑体"/>
          <w:color w:val="auto"/>
          <w:sz w:val="21"/>
          <w:szCs w:val="21"/>
          <w:highlight w:val="none"/>
        </w:rPr>
        <w:t>7.8 履约担保</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551AC284">
      <w:pPr>
        <w:adjustRightInd w:val="0"/>
        <w:snapToGrid w:val="0"/>
        <w:spacing w:line="56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7.8.1在签订合同前，中标人应按投标人须知前附表规定的担保形式和招标文件第</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章“合同条款及格式”规定的或者事先经过招标人书面认可的履约担保格式向招标人提交履约担保。</w:t>
      </w:r>
      <w:r>
        <w:rPr>
          <w:rFonts w:hint="eastAsia"/>
          <w:color w:val="auto"/>
          <w:highlight w:val="none"/>
        </w:rPr>
        <w:t>联合体中标的，其履约担保应符合投标人须知前附表规定的金额、担保形式和招标文件第</w:t>
      </w:r>
      <w:r>
        <w:rPr>
          <w:rFonts w:hint="eastAsia"/>
          <w:color w:val="auto"/>
          <w:highlight w:val="none"/>
          <w:lang w:val="en-US" w:eastAsia="zh-CN"/>
        </w:rPr>
        <w:t>四</w:t>
      </w:r>
      <w:r>
        <w:rPr>
          <w:rFonts w:hint="eastAsia"/>
          <w:color w:val="auto"/>
          <w:highlight w:val="none"/>
        </w:rPr>
        <w:t>章“合同条款及格式”规定的履约担保格式要求。</w:t>
      </w:r>
    </w:p>
    <w:p w14:paraId="2861C789">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7.8.2 中标人不能按本章第7.8.1项要求提交履约担保的，视为放弃中标，其投标保证金不予退还，给招标人造成的损失超过投标保证金数额的，中标人还应当对超过部分予以赔偿。</w:t>
      </w:r>
    </w:p>
    <w:p w14:paraId="12EF6136">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541" w:name="_Toc246996214"/>
      <w:bookmarkStart w:id="542" w:name="_Toc296602460"/>
      <w:bookmarkStart w:id="543" w:name="_Toc60061477"/>
      <w:bookmarkStart w:id="544" w:name="_Toc152042346"/>
      <w:bookmarkStart w:id="545" w:name="_Toc15058893"/>
      <w:bookmarkStart w:id="546" w:name="_Toc506107308"/>
      <w:bookmarkStart w:id="547" w:name="_Toc83301731"/>
      <w:bookmarkStart w:id="548" w:name="_Toc144974538"/>
      <w:bookmarkStart w:id="549" w:name="_Toc247085728"/>
      <w:bookmarkStart w:id="550" w:name="_Toc152045570"/>
      <w:bookmarkStart w:id="551" w:name="_Toc324404855"/>
      <w:bookmarkStart w:id="552" w:name="_Toc246996957"/>
      <w:bookmarkStart w:id="553" w:name="_Toc95223379"/>
      <w:bookmarkStart w:id="554" w:name="_Toc179632588"/>
      <w:r>
        <w:rPr>
          <w:rFonts w:hint="eastAsia" w:ascii="黑体" w:hAnsi="黑体" w:eastAsia="黑体" w:cs="黑体"/>
          <w:color w:val="auto"/>
          <w:sz w:val="21"/>
          <w:szCs w:val="21"/>
          <w:highlight w:val="none"/>
        </w:rPr>
        <w:t>7.9 签订合同</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0FFC419D">
      <w:pPr>
        <w:adjustRightInd w:val="0"/>
        <w:snapToGrid w:val="0"/>
        <w:spacing w:line="5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7.9.1本招标工程的施工合同将授予按本须知第7.6款规定所确定的中标人。</w:t>
      </w:r>
    </w:p>
    <w:p w14:paraId="723FD6AD">
      <w:pPr>
        <w:adjustRightInd w:val="0"/>
        <w:snapToGrid w:val="0"/>
        <w:spacing w:line="5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人所派出项目经理（建造师）须不得有在其他尚未完工（以竣工、交工、完工验收报告等手续为准）项目或已中标项目（以发放中标通知书为准）中担任项目经理（建造师）情形。如有，项目在滁州市区域内的，中标无效，记入不良行为记录；项目在滁州市区域外的，须在中标候选人公示期第一日起开始计算7日内，提供经行政主管部门备案的变更证明材料，否则视为弄虚作假材料骗取中标，中标无效，按有关规定进行处理。</w:t>
      </w:r>
    </w:p>
    <w:p w14:paraId="4DEA6088">
      <w:pPr>
        <w:adjustRightInd w:val="0"/>
        <w:snapToGrid w:val="0"/>
        <w:spacing w:line="560" w:lineRule="exact"/>
        <w:ind w:firstLine="420" w:firstLineChars="200"/>
        <w:rPr>
          <w:rFonts w:hint="eastAsia" w:ascii="宋体" w:hAnsi="宋体" w:cs="宋体"/>
          <w:bCs/>
          <w:color w:val="auto"/>
          <w:szCs w:val="21"/>
          <w:highlight w:val="none"/>
        </w:rPr>
      </w:pPr>
      <w:bookmarkStart w:id="555" w:name="_Toc324404856"/>
      <w:r>
        <w:rPr>
          <w:rFonts w:hint="eastAsia" w:ascii="宋体" w:hAnsi="宋体" w:cs="宋体"/>
          <w:bCs/>
          <w:color w:val="auto"/>
          <w:szCs w:val="21"/>
          <w:highlight w:val="none"/>
        </w:rPr>
        <w:t>7.9.2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其投标保证金不予退还；给招标人造成的损失超过投标保证金数额的，中标人还应当对超过部分予以赔偿。</w:t>
      </w:r>
    </w:p>
    <w:p w14:paraId="3ADB2A76">
      <w:pPr>
        <w:adjustRightInd w:val="0"/>
        <w:snapToGrid w:val="0"/>
        <w:spacing w:line="5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7.9.3发出中标通知书后，招标人无正当理由拒签合同的，招标人向中标人退还投标保证金；给中标人造成损失的，还应当赔偿损失。</w:t>
      </w:r>
    </w:p>
    <w:p w14:paraId="10961956">
      <w:pPr>
        <w:adjustRightInd w:val="0"/>
        <w:snapToGrid w:val="0"/>
        <w:spacing w:line="5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7.9.4除法定情形外，建设工程合同履行期间项目经理（建造师）不得更换。项目经理（建造师）确需变更的，应根据招标文件要求，变更后的项目经理（建造师）不低于投标文件中拟派项目经理（建造师）的资格条件。</w:t>
      </w:r>
    </w:p>
    <w:p w14:paraId="5322694E">
      <w:pPr>
        <w:adjustRightInd w:val="0"/>
        <w:snapToGrid w:val="0"/>
        <w:spacing w:line="600" w:lineRule="exact"/>
        <w:ind w:firstLine="420" w:firstLineChars="200"/>
        <w:rPr>
          <w:rFonts w:hint="eastAsia" w:ascii="宋体" w:hAnsi="宋体" w:cs="宋体"/>
          <w:bCs/>
          <w:snapToGrid w:val="0"/>
          <w:color w:val="auto"/>
          <w:kern w:val="0"/>
          <w:szCs w:val="21"/>
          <w:highlight w:val="none"/>
        </w:rPr>
      </w:pPr>
      <w:r>
        <w:rPr>
          <w:rFonts w:hint="eastAsia" w:ascii="宋体" w:hAnsi="宋体" w:cs="宋体"/>
          <w:color w:val="auto"/>
          <w:highlight w:val="none"/>
        </w:rPr>
        <w:t>7.9.5</w:t>
      </w:r>
      <w:r>
        <w:rPr>
          <w:rFonts w:hint="eastAsia" w:ascii="宋体" w:hAnsi="宋体" w:cs="宋体"/>
          <w:bCs/>
          <w:snapToGrid w:val="0"/>
          <w:color w:val="auto"/>
          <w:kern w:val="0"/>
          <w:szCs w:val="21"/>
          <w:highlight w:val="none"/>
        </w:rPr>
        <w:t>联合体中标的，联合体各方应当共同与招标人签订合同，就中标项目向招标人承担连带责任。</w:t>
      </w:r>
    </w:p>
    <w:p w14:paraId="5CCE2B74">
      <w:pPr>
        <w:pStyle w:val="3"/>
        <w:adjustRightInd w:val="0"/>
        <w:snapToGrid w:val="0"/>
        <w:spacing w:before="0" w:after="0" w:line="560" w:lineRule="exact"/>
        <w:ind w:firstLine="422" w:firstLineChars="200"/>
        <w:rPr>
          <w:rFonts w:hint="eastAsia"/>
          <w:color w:val="auto"/>
          <w:highlight w:val="none"/>
        </w:rPr>
      </w:pPr>
      <w:bookmarkStart w:id="556" w:name="_Toc179632589"/>
      <w:bookmarkStart w:id="557" w:name="_Toc144974539"/>
      <w:bookmarkStart w:id="558" w:name="_Toc60061478"/>
      <w:bookmarkStart w:id="559" w:name="_Toc152042347"/>
      <w:bookmarkStart w:id="560" w:name="_Toc152045571"/>
      <w:bookmarkStart w:id="561" w:name="_Toc83301732"/>
      <w:bookmarkStart w:id="562" w:name="_Toc95223381"/>
      <w:r>
        <w:rPr>
          <w:rFonts w:hint="eastAsia" w:ascii="黑体" w:hAnsi="黑体" w:cs="黑体"/>
          <w:color w:val="auto"/>
          <w:sz w:val="21"/>
          <w:szCs w:val="21"/>
          <w:highlight w:val="none"/>
        </w:rPr>
        <w:t>8.重新招标和不再招标</w:t>
      </w:r>
      <w:bookmarkEnd w:id="556"/>
      <w:bookmarkEnd w:id="557"/>
      <w:bookmarkEnd w:id="558"/>
      <w:bookmarkEnd w:id="559"/>
      <w:bookmarkEnd w:id="560"/>
      <w:bookmarkEnd w:id="561"/>
      <w:bookmarkEnd w:id="562"/>
    </w:p>
    <w:p w14:paraId="562C6006">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563" w:name="_Toc152042348"/>
      <w:bookmarkStart w:id="564" w:name="_Toc95223382"/>
      <w:bookmarkStart w:id="565" w:name="_Toc144974540"/>
      <w:bookmarkStart w:id="566" w:name="_Toc83301733"/>
      <w:bookmarkStart w:id="567" w:name="_Toc60061479"/>
      <w:bookmarkStart w:id="568" w:name="_Toc152045572"/>
      <w:bookmarkStart w:id="569" w:name="_Toc179632590"/>
      <w:r>
        <w:rPr>
          <w:rFonts w:hint="eastAsia" w:ascii="黑体" w:hAnsi="黑体" w:eastAsia="黑体" w:cs="黑体"/>
          <w:color w:val="auto"/>
          <w:sz w:val="21"/>
          <w:szCs w:val="21"/>
          <w:highlight w:val="none"/>
        </w:rPr>
        <w:t>8.1重新招标</w:t>
      </w:r>
      <w:bookmarkEnd w:id="563"/>
      <w:bookmarkEnd w:id="564"/>
      <w:bookmarkEnd w:id="565"/>
      <w:bookmarkEnd w:id="566"/>
      <w:bookmarkEnd w:id="567"/>
      <w:bookmarkEnd w:id="568"/>
      <w:bookmarkEnd w:id="569"/>
    </w:p>
    <w:p w14:paraId="39A0B06F">
      <w:pPr>
        <w:adjustRightInd w:val="0"/>
        <w:snapToGrid w:val="0"/>
        <w:spacing w:line="600" w:lineRule="exact"/>
        <w:ind w:firstLine="359" w:firstLineChars="171"/>
        <w:rPr>
          <w:rFonts w:hint="eastAsia" w:ascii="宋体" w:hAnsi="宋体" w:cs="宋体"/>
          <w:color w:val="auto"/>
          <w:highlight w:val="none"/>
        </w:rPr>
      </w:pPr>
      <w:r>
        <w:rPr>
          <w:rFonts w:hint="eastAsia" w:ascii="宋体" w:hAnsi="宋体" w:cs="宋体"/>
          <w:color w:val="auto"/>
          <w:highlight w:val="none"/>
        </w:rPr>
        <w:t>依法必须招标的项目有下列情形之一的，招标人将重新招标：</w:t>
      </w:r>
    </w:p>
    <w:p w14:paraId="4E2BC05C">
      <w:pPr>
        <w:adjustRightInd w:val="0"/>
        <w:snapToGrid w:val="0"/>
        <w:spacing w:line="600" w:lineRule="exact"/>
        <w:ind w:firstLine="359" w:firstLineChars="171"/>
        <w:rPr>
          <w:rFonts w:hint="eastAsia" w:ascii="宋体" w:hAnsi="宋体" w:cs="宋体"/>
          <w:color w:val="auto"/>
          <w:highlight w:val="none"/>
        </w:rPr>
      </w:pPr>
      <w:r>
        <w:rPr>
          <w:rFonts w:hint="eastAsia" w:ascii="宋体" w:hAnsi="宋体" w:cs="宋体"/>
          <w:color w:val="auto"/>
          <w:highlight w:val="none"/>
        </w:rPr>
        <w:t>（1）投标截止时间止，投标人少于3个的；</w:t>
      </w:r>
    </w:p>
    <w:p w14:paraId="45CC001C">
      <w:pPr>
        <w:adjustRightInd w:val="0"/>
        <w:snapToGrid w:val="0"/>
        <w:spacing w:line="600" w:lineRule="exact"/>
        <w:ind w:firstLine="359" w:firstLineChars="171"/>
        <w:rPr>
          <w:rFonts w:hint="eastAsia" w:ascii="宋体" w:hAnsi="宋体" w:cs="宋体"/>
          <w:color w:val="auto"/>
          <w:highlight w:val="none"/>
        </w:rPr>
      </w:pPr>
      <w:r>
        <w:rPr>
          <w:rFonts w:hint="eastAsia" w:ascii="宋体" w:hAnsi="宋体" w:cs="宋体"/>
          <w:color w:val="auto"/>
          <w:highlight w:val="none"/>
        </w:rPr>
        <w:t>（2）经评标委员会评审后否决所有投标的；</w:t>
      </w:r>
    </w:p>
    <w:p w14:paraId="27CFACB6">
      <w:pPr>
        <w:adjustRightInd w:val="0"/>
        <w:snapToGrid w:val="0"/>
        <w:spacing w:line="600" w:lineRule="exact"/>
        <w:ind w:firstLine="359" w:firstLineChars="171"/>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（3）中标候选人均未与招标人签订合同的；</w:t>
      </w:r>
    </w:p>
    <w:p w14:paraId="309C094E">
      <w:pPr>
        <w:adjustRightInd w:val="0"/>
        <w:snapToGrid w:val="0"/>
        <w:spacing w:line="600" w:lineRule="exact"/>
        <w:ind w:firstLine="359" w:firstLineChars="171"/>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（4）</w:t>
      </w:r>
      <w:r>
        <w:rPr>
          <w:rFonts w:hint="eastAsia" w:ascii="宋体" w:hAnsi="宋体" w:cs="宋体"/>
          <w:bCs/>
          <w:snapToGrid w:val="0"/>
          <w:color w:val="auto"/>
          <w:kern w:val="0"/>
          <w:szCs w:val="21"/>
          <w:highlight w:val="none"/>
          <w:lang w:val="en-US" w:eastAsia="zh-CN"/>
        </w:rPr>
        <w:t>招标文件及</w:t>
      </w:r>
      <w:r>
        <w:rPr>
          <w:rFonts w:hint="eastAsia" w:ascii="宋体" w:hAnsi="宋体" w:cs="宋体"/>
          <w:bCs/>
          <w:snapToGrid w:val="0"/>
          <w:color w:val="auto"/>
          <w:kern w:val="0"/>
          <w:szCs w:val="21"/>
          <w:highlight w:val="none"/>
        </w:rPr>
        <w:t>法律、法规规定的其他情形。</w:t>
      </w:r>
    </w:p>
    <w:p w14:paraId="2C397754">
      <w:pPr>
        <w:pStyle w:val="4"/>
        <w:adjustRightInd w:val="0"/>
        <w:snapToGrid w:val="0"/>
        <w:spacing w:before="0" w:after="0" w:line="560" w:lineRule="exact"/>
        <w:ind w:firstLine="422" w:firstLineChars="200"/>
        <w:rPr>
          <w:rFonts w:hint="eastAsia"/>
          <w:color w:val="auto"/>
          <w:highlight w:val="none"/>
        </w:rPr>
      </w:pPr>
      <w:bookmarkStart w:id="570" w:name="_Toc152042349"/>
      <w:bookmarkStart w:id="571" w:name="_Toc152045573"/>
      <w:bookmarkStart w:id="572" w:name="_Toc60061480"/>
      <w:bookmarkStart w:id="573" w:name="_Toc95223383"/>
      <w:bookmarkStart w:id="574" w:name="_Toc144974541"/>
      <w:bookmarkStart w:id="575" w:name="_Toc179632591"/>
      <w:bookmarkStart w:id="576" w:name="_Toc83301734"/>
      <w:r>
        <w:rPr>
          <w:rFonts w:hint="eastAsia" w:ascii="黑体" w:hAnsi="黑体" w:eastAsia="黑体" w:cs="黑体"/>
          <w:color w:val="auto"/>
          <w:sz w:val="21"/>
          <w:szCs w:val="21"/>
          <w:highlight w:val="none"/>
        </w:rPr>
        <w:t>8.2 不再招标</w:t>
      </w:r>
      <w:bookmarkEnd w:id="570"/>
      <w:bookmarkEnd w:id="571"/>
      <w:bookmarkEnd w:id="572"/>
      <w:bookmarkEnd w:id="573"/>
      <w:bookmarkEnd w:id="574"/>
      <w:bookmarkEnd w:id="575"/>
      <w:bookmarkEnd w:id="576"/>
    </w:p>
    <w:p w14:paraId="3C70119A">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重新招标后投标人仍少于3个或者所有投标被否决的，属于必须审批或核准的工程建设项目，经原审批或核准部门批准后不再进行招标。</w:t>
      </w:r>
    </w:p>
    <w:p w14:paraId="5DC466B6">
      <w:pPr>
        <w:pStyle w:val="3"/>
        <w:adjustRightInd w:val="0"/>
        <w:snapToGrid w:val="0"/>
        <w:spacing w:before="0" w:after="0" w:line="560" w:lineRule="exact"/>
        <w:ind w:firstLine="422" w:firstLineChars="200"/>
        <w:rPr>
          <w:rFonts w:hint="eastAsia" w:ascii="黑体" w:hAnsi="黑体" w:cs="黑体"/>
          <w:color w:val="auto"/>
          <w:sz w:val="21"/>
          <w:szCs w:val="21"/>
          <w:highlight w:val="none"/>
        </w:rPr>
      </w:pPr>
      <w:bookmarkStart w:id="577" w:name="_Toc60061481"/>
      <w:bookmarkStart w:id="578" w:name="_Toc15058894"/>
      <w:bookmarkStart w:id="579" w:name="_Toc95223384"/>
      <w:bookmarkStart w:id="580" w:name="_Toc506107309"/>
      <w:bookmarkStart w:id="581" w:name="_Toc83301735"/>
      <w:r>
        <w:rPr>
          <w:rFonts w:hint="eastAsia" w:ascii="黑体" w:hAnsi="黑体" w:cs="黑体"/>
          <w:color w:val="auto"/>
          <w:sz w:val="21"/>
          <w:szCs w:val="21"/>
          <w:highlight w:val="none"/>
        </w:rPr>
        <w:t>9.纪律和监督</w:t>
      </w:r>
      <w:bookmarkEnd w:id="555"/>
      <w:bookmarkEnd w:id="577"/>
      <w:bookmarkEnd w:id="578"/>
      <w:bookmarkEnd w:id="579"/>
      <w:bookmarkEnd w:id="580"/>
      <w:bookmarkEnd w:id="581"/>
    </w:p>
    <w:p w14:paraId="16F0A051">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582" w:name="_Toc506107310"/>
      <w:bookmarkStart w:id="583" w:name="_Toc246996962"/>
      <w:bookmarkStart w:id="584" w:name="_Toc247085733"/>
      <w:bookmarkStart w:id="585" w:name="_Toc296602462"/>
      <w:bookmarkStart w:id="586" w:name="_Toc152045575"/>
      <w:bookmarkStart w:id="587" w:name="_Toc144974543"/>
      <w:bookmarkStart w:id="588" w:name="_Toc95223385"/>
      <w:bookmarkStart w:id="589" w:name="_Toc246996219"/>
      <w:bookmarkStart w:id="590" w:name="_Toc83301736"/>
      <w:bookmarkStart w:id="591" w:name="_Toc324404857"/>
      <w:bookmarkStart w:id="592" w:name="_Toc152042351"/>
      <w:bookmarkStart w:id="593" w:name="_Toc15058895"/>
      <w:bookmarkStart w:id="594" w:name="_Toc60061482"/>
      <w:bookmarkStart w:id="595" w:name="_Toc296590983"/>
      <w:bookmarkStart w:id="596" w:name="_Toc179632593"/>
      <w:r>
        <w:rPr>
          <w:rFonts w:hint="eastAsia" w:ascii="黑体" w:hAnsi="黑体" w:eastAsia="黑体" w:cs="黑体"/>
          <w:color w:val="auto"/>
          <w:sz w:val="21"/>
          <w:szCs w:val="21"/>
          <w:highlight w:val="none"/>
        </w:rPr>
        <w:t>9.1对招标人的纪律要求</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54ABB09A">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招标人不得泄漏招标投标活动中应当保密的情况和资料，不得与投标人串通损害国家利益、社会公共利益或者他人合法权益。</w:t>
      </w:r>
    </w:p>
    <w:p w14:paraId="723F0698">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597" w:name="_Toc95223386"/>
      <w:bookmarkStart w:id="598" w:name="_Toc296602463"/>
      <w:bookmarkStart w:id="599" w:name="_Toc15058896"/>
      <w:bookmarkStart w:id="600" w:name="_Toc144974544"/>
      <w:bookmarkStart w:id="601" w:name="_Toc179632594"/>
      <w:bookmarkStart w:id="602" w:name="_Toc246996963"/>
      <w:bookmarkStart w:id="603" w:name="_Toc246996220"/>
      <w:bookmarkStart w:id="604" w:name="_Toc506107311"/>
      <w:bookmarkStart w:id="605" w:name="_Toc83301737"/>
      <w:bookmarkStart w:id="606" w:name="_Toc324404858"/>
      <w:bookmarkStart w:id="607" w:name="_Toc152045576"/>
      <w:bookmarkStart w:id="608" w:name="_Toc152042352"/>
      <w:bookmarkStart w:id="609" w:name="_Toc60061483"/>
      <w:bookmarkStart w:id="610" w:name="_Toc247085734"/>
      <w:r>
        <w:rPr>
          <w:rFonts w:hint="eastAsia" w:ascii="黑体" w:hAnsi="黑体" w:eastAsia="黑体" w:cs="黑体"/>
          <w:color w:val="auto"/>
          <w:sz w:val="21"/>
          <w:szCs w:val="21"/>
          <w:highlight w:val="none"/>
        </w:rPr>
        <w:t>9.2对投标人的纪律要求</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14:paraId="67A0F17C">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59C93BD">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611" w:name="_Toc144974545"/>
      <w:bookmarkStart w:id="612" w:name="_Toc179632595"/>
      <w:bookmarkStart w:id="613" w:name="_Toc15058897"/>
      <w:bookmarkStart w:id="614" w:name="_Toc246996964"/>
      <w:bookmarkStart w:id="615" w:name="_Toc506107312"/>
      <w:bookmarkStart w:id="616" w:name="_Toc152042353"/>
      <w:bookmarkStart w:id="617" w:name="_Toc247085735"/>
      <w:bookmarkStart w:id="618" w:name="_Toc246996221"/>
      <w:bookmarkStart w:id="619" w:name="_Toc60061484"/>
      <w:bookmarkStart w:id="620" w:name="_Toc296602464"/>
      <w:bookmarkStart w:id="621" w:name="_Toc324404859"/>
      <w:bookmarkStart w:id="622" w:name="_Toc152045577"/>
      <w:bookmarkStart w:id="623" w:name="_Toc95223387"/>
      <w:bookmarkStart w:id="624" w:name="_Toc83301738"/>
      <w:r>
        <w:rPr>
          <w:rFonts w:hint="eastAsia" w:ascii="黑体" w:hAnsi="黑体" w:eastAsia="黑体" w:cs="黑体"/>
          <w:color w:val="auto"/>
          <w:sz w:val="21"/>
          <w:szCs w:val="21"/>
          <w:highlight w:val="none"/>
        </w:rPr>
        <w:t>9.3对评标委员会成员的纪律要求</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14:paraId="3588978E">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四章“评标办法”没有规定的评审因素和标准进行评标。</w:t>
      </w:r>
    </w:p>
    <w:p w14:paraId="383FACCE">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625" w:name="_Toc296602465"/>
      <w:bookmarkStart w:id="626" w:name="_Toc152045578"/>
      <w:bookmarkStart w:id="627" w:name="_Toc60061485"/>
      <w:bookmarkStart w:id="628" w:name="_Toc15058898"/>
      <w:bookmarkStart w:id="629" w:name="_Toc246996965"/>
      <w:bookmarkStart w:id="630" w:name="_Toc246996222"/>
      <w:bookmarkStart w:id="631" w:name="_Toc83301739"/>
      <w:bookmarkStart w:id="632" w:name="_Toc324404860"/>
      <w:bookmarkStart w:id="633" w:name="_Toc247085736"/>
      <w:bookmarkStart w:id="634" w:name="_Toc152042354"/>
      <w:bookmarkStart w:id="635" w:name="_Toc95223388"/>
      <w:bookmarkStart w:id="636" w:name="_Toc506107313"/>
      <w:bookmarkStart w:id="637" w:name="_Toc179632596"/>
      <w:bookmarkStart w:id="638" w:name="_Toc144974546"/>
      <w:r>
        <w:rPr>
          <w:rFonts w:hint="eastAsia" w:ascii="黑体" w:hAnsi="黑体" w:eastAsia="黑体" w:cs="黑体"/>
          <w:color w:val="auto"/>
          <w:sz w:val="21"/>
          <w:szCs w:val="21"/>
          <w:highlight w:val="none"/>
        </w:rPr>
        <w:t>9.4对与评标活动有关的工作人员的纪律要求</w:t>
      </w:r>
      <w:bookmarkEnd w:id="625"/>
      <w:bookmarkEnd w:id="626"/>
      <w:bookmarkEnd w:id="627"/>
      <w:bookmarkEnd w:id="628"/>
      <w:bookmarkEnd w:id="629"/>
      <w:bookmarkEnd w:id="630"/>
      <w:bookmarkEnd w:id="631"/>
      <w:bookmarkEnd w:id="632"/>
      <w:bookmarkEnd w:id="633"/>
      <w:bookmarkEnd w:id="634"/>
      <w:bookmarkEnd w:id="635"/>
      <w:bookmarkEnd w:id="636"/>
      <w:bookmarkEnd w:id="637"/>
    </w:p>
    <w:p w14:paraId="6D0C1AE5">
      <w:pPr>
        <w:adjustRightInd w:val="0"/>
        <w:snapToGrid w:val="0"/>
        <w:spacing w:line="560" w:lineRule="exact"/>
        <w:ind w:firstLine="420" w:firstLineChars="200"/>
        <w:rPr>
          <w:rFonts w:hint="eastAsia" w:ascii="宋体" w:hAnsi="宋体" w:cs="宋体"/>
          <w:color w:val="auto"/>
          <w:szCs w:val="21"/>
          <w:highlight w:val="none"/>
        </w:rPr>
      </w:pPr>
      <w:bookmarkStart w:id="639" w:name="_Toc152042355"/>
      <w:r>
        <w:rPr>
          <w:rFonts w:hint="eastAsia" w:ascii="宋体" w:hAnsi="宋体" w:cs="宋体"/>
          <w:color w:val="auto"/>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639"/>
    </w:p>
    <w:p w14:paraId="7EFCD80A">
      <w:pPr>
        <w:pStyle w:val="4"/>
        <w:adjustRightInd w:val="0"/>
        <w:snapToGrid w:val="0"/>
        <w:spacing w:before="0" w:after="0" w:line="560" w:lineRule="exact"/>
        <w:ind w:firstLine="422" w:firstLineChars="200"/>
        <w:rPr>
          <w:rFonts w:hint="eastAsia" w:ascii="黑体" w:hAnsi="黑体" w:eastAsia="黑体" w:cs="黑体"/>
          <w:color w:val="auto"/>
          <w:sz w:val="21"/>
          <w:szCs w:val="21"/>
          <w:highlight w:val="none"/>
        </w:rPr>
      </w:pPr>
      <w:bookmarkStart w:id="640" w:name="_Toc324404861"/>
      <w:bookmarkStart w:id="641" w:name="_Toc247085737"/>
      <w:bookmarkStart w:id="642" w:name="_Toc83301740"/>
      <w:bookmarkStart w:id="643" w:name="_Toc246996223"/>
      <w:bookmarkStart w:id="644" w:name="_Toc296602466"/>
      <w:bookmarkStart w:id="645" w:name="_Toc179632597"/>
      <w:bookmarkStart w:id="646" w:name="_Toc152042356"/>
      <w:bookmarkStart w:id="647" w:name="_Toc246996966"/>
      <w:bookmarkStart w:id="648" w:name="_Toc95223389"/>
      <w:bookmarkStart w:id="649" w:name="_Toc152045579"/>
      <w:bookmarkStart w:id="650" w:name="_Toc60061486"/>
      <w:bookmarkStart w:id="651" w:name="_Toc506107314"/>
      <w:bookmarkStart w:id="652" w:name="_Toc15058899"/>
      <w:r>
        <w:rPr>
          <w:rFonts w:hint="eastAsia" w:ascii="黑体" w:hAnsi="黑体" w:eastAsia="黑体" w:cs="黑体"/>
          <w:color w:val="auto"/>
          <w:sz w:val="21"/>
          <w:szCs w:val="21"/>
          <w:highlight w:val="none"/>
        </w:rPr>
        <w:t>9.5投诉</w:t>
      </w:r>
      <w:bookmarkEnd w:id="638"/>
      <w:bookmarkEnd w:id="640"/>
      <w:bookmarkEnd w:id="641"/>
      <w:bookmarkEnd w:id="642"/>
      <w:bookmarkEnd w:id="643"/>
      <w:bookmarkEnd w:id="644"/>
      <w:bookmarkEnd w:id="645"/>
      <w:bookmarkEnd w:id="646"/>
      <w:bookmarkEnd w:id="647"/>
      <w:bookmarkEnd w:id="648"/>
      <w:bookmarkEnd w:id="649"/>
      <w:bookmarkEnd w:id="650"/>
      <w:bookmarkEnd w:id="651"/>
      <w:bookmarkEnd w:id="652"/>
    </w:p>
    <w:p w14:paraId="04A0CC79">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9.5.1投标人或者其他利害关系人认为招标投标活动违反法律、法规和规章规定的，有权向相关行政监督部门投诉。投诉应当有明确的请求和必要的证明材料。</w:t>
      </w:r>
    </w:p>
    <w:p w14:paraId="2B82067F">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9.5.2投标人和其他利害关系人对招标文件、开标和评标结果事项投诉的，应当按照投标人须知的规定先向招标人提出异议。异议答复期间不计算在第9.5.1</w:t>
      </w:r>
      <w:r>
        <w:rPr>
          <w:rFonts w:hint="eastAsia"/>
          <w:color w:val="auto"/>
          <w:highlight w:val="none"/>
        </w:rPr>
        <w:t>项</w:t>
      </w:r>
      <w:r>
        <w:rPr>
          <w:rFonts w:hint="eastAsia" w:ascii="宋体" w:hAnsi="宋体" w:cs="宋体"/>
          <w:color w:val="auto"/>
          <w:szCs w:val="21"/>
          <w:highlight w:val="none"/>
        </w:rPr>
        <w:t>规定的期限内。</w:t>
      </w:r>
    </w:p>
    <w:p w14:paraId="1AB84C29">
      <w:pPr>
        <w:pStyle w:val="3"/>
        <w:adjustRightInd w:val="0"/>
        <w:snapToGrid w:val="0"/>
        <w:spacing w:before="0" w:after="0" w:line="560" w:lineRule="exact"/>
        <w:ind w:firstLine="422" w:firstLineChars="200"/>
        <w:rPr>
          <w:rFonts w:hint="eastAsia" w:ascii="黑体" w:hAnsi="黑体" w:cs="黑体"/>
          <w:color w:val="auto"/>
          <w:sz w:val="21"/>
          <w:szCs w:val="21"/>
          <w:highlight w:val="none"/>
        </w:rPr>
      </w:pPr>
      <w:bookmarkStart w:id="653" w:name="_Toc247085738"/>
      <w:bookmarkStart w:id="654" w:name="_Toc95223390"/>
      <w:bookmarkStart w:id="655" w:name="_Toc246996224"/>
      <w:bookmarkStart w:id="656" w:name="_Toc152045580"/>
      <w:bookmarkStart w:id="657" w:name="_Toc60061487"/>
      <w:bookmarkStart w:id="658" w:name="_Toc152042357"/>
      <w:bookmarkStart w:id="659" w:name="_Toc15058900"/>
      <w:bookmarkStart w:id="660" w:name="_Toc144974547"/>
      <w:bookmarkStart w:id="661" w:name="_Toc179632598"/>
      <w:bookmarkStart w:id="662" w:name="_Toc324404862"/>
      <w:bookmarkStart w:id="663" w:name="_Toc506107315"/>
      <w:bookmarkStart w:id="664" w:name="_Toc83301741"/>
      <w:bookmarkStart w:id="665" w:name="_Toc246996967"/>
      <w:r>
        <w:rPr>
          <w:rFonts w:hint="eastAsia" w:ascii="黑体" w:hAnsi="黑体" w:cs="黑体"/>
          <w:color w:val="auto"/>
          <w:sz w:val="21"/>
          <w:szCs w:val="21"/>
          <w:highlight w:val="none"/>
        </w:rPr>
        <w:t>10.需要补充的其他内容</w:t>
      </w:r>
      <w:bookmarkEnd w:id="653"/>
      <w:bookmarkEnd w:id="654"/>
      <w:bookmarkEnd w:id="655"/>
      <w:bookmarkEnd w:id="656"/>
      <w:bookmarkEnd w:id="657"/>
      <w:bookmarkEnd w:id="658"/>
      <w:bookmarkEnd w:id="659"/>
      <w:bookmarkEnd w:id="660"/>
      <w:bookmarkEnd w:id="661"/>
      <w:bookmarkEnd w:id="662"/>
      <w:bookmarkEnd w:id="663"/>
      <w:bookmarkEnd w:id="664"/>
      <w:bookmarkEnd w:id="665"/>
      <w:bookmarkStart w:id="666" w:name="_Toc15058901"/>
      <w:bookmarkStart w:id="667" w:name="_Toc60061488"/>
    </w:p>
    <w:p w14:paraId="6DF7BF24">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需要补充的其他内容：见投标人须知前附表。</w:t>
      </w:r>
      <w:bookmarkEnd w:id="666"/>
      <w:bookmarkEnd w:id="667"/>
    </w:p>
    <w:p w14:paraId="17CE59E0">
      <w:pPr>
        <w:pStyle w:val="19"/>
        <w:ind w:left="0" w:leftChars="0" w:firstLine="0" w:firstLineChars="0"/>
        <w:rPr>
          <w:rFonts w:hint="eastAsia"/>
          <w:color w:val="auto"/>
          <w:highlight w:val="none"/>
        </w:rPr>
      </w:pPr>
    </w:p>
    <w:p w14:paraId="59A1EA0C">
      <w:pPr>
        <w:rPr>
          <w:rFonts w:hint="eastAsia"/>
          <w:color w:val="auto"/>
          <w:highlight w:val="none"/>
        </w:rPr>
      </w:pPr>
      <w:bookmarkStart w:id="668" w:name="_Toc324404865"/>
      <w:bookmarkStart w:id="669" w:name="_Toc95223393"/>
      <w:bookmarkStart w:id="670" w:name="_Toc15058903"/>
      <w:bookmarkStart w:id="671" w:name="_Toc296602475"/>
      <w:bookmarkStart w:id="672" w:name="_Toc60061490"/>
      <w:bookmarkStart w:id="673" w:name="_Toc506107318"/>
      <w:r>
        <w:rPr>
          <w:rFonts w:hint="eastAsia"/>
          <w:color w:val="auto"/>
          <w:highlight w:val="none"/>
        </w:rPr>
        <w:br w:type="page"/>
      </w:r>
    </w:p>
    <w:p w14:paraId="4AE88FF6">
      <w:pPr>
        <w:pStyle w:val="2"/>
        <w:spacing w:before="0" w:after="0" w:line="240" w:lineRule="auto"/>
        <w:jc w:val="center"/>
        <w:rPr>
          <w:rFonts w:hint="default" w:eastAsia="宋体"/>
          <w:color w:val="auto"/>
          <w:highlight w:val="none"/>
          <w:lang w:val="en-US" w:eastAsia="zh-CN"/>
        </w:rPr>
      </w:pPr>
      <w:r>
        <w:rPr>
          <w:rFonts w:hint="eastAsia"/>
          <w:color w:val="auto"/>
          <w:highlight w:val="none"/>
        </w:rPr>
        <w:t xml:space="preserve">第三章 </w:t>
      </w:r>
      <w:r>
        <w:rPr>
          <w:rFonts w:hint="eastAsia"/>
          <w:color w:val="auto"/>
          <w:highlight w:val="none"/>
          <w:lang w:val="en-US" w:eastAsia="zh-CN"/>
        </w:rPr>
        <w:t>评标及定标</w:t>
      </w:r>
    </w:p>
    <w:bookmarkEnd w:id="668"/>
    <w:bookmarkEnd w:id="669"/>
    <w:bookmarkEnd w:id="670"/>
    <w:bookmarkEnd w:id="671"/>
    <w:bookmarkEnd w:id="672"/>
    <w:bookmarkEnd w:id="673"/>
    <w:p w14:paraId="1CA39D5B">
      <w:pPr>
        <w:pStyle w:val="59"/>
        <w:keepNext w:val="0"/>
        <w:keepLines w:val="0"/>
        <w:pageBreakBefore w:val="0"/>
        <w:widowControl w:val="0"/>
        <w:kinsoku/>
        <w:wordWrap/>
        <w:overflowPunct/>
        <w:topLinePunct w:val="0"/>
        <w:autoSpaceDE/>
        <w:autoSpaceDN/>
        <w:bidi w:val="0"/>
        <w:adjustRightInd/>
        <w:snapToGrid/>
        <w:spacing w:before="0" w:after="0" w:line="560" w:lineRule="exact"/>
        <w:textAlignment w:val="auto"/>
        <w:outlineLvl w:val="1"/>
        <w:rPr>
          <w:rFonts w:hint="eastAsia" w:ascii="宋体" w:hAnsi="宋体" w:eastAsia="宋体" w:cs="宋体"/>
          <w:b/>
          <w:bCs w:val="0"/>
          <w:smallCaps w:val="0"/>
          <w:color w:val="auto"/>
          <w:sz w:val="32"/>
          <w:szCs w:val="32"/>
          <w:highlight w:val="none"/>
        </w:rPr>
      </w:pPr>
      <w:bookmarkStart w:id="674" w:name="_Toc2498"/>
      <w:bookmarkStart w:id="675" w:name="_Toc794"/>
      <w:bookmarkStart w:id="676" w:name="_Toc95223458"/>
      <w:r>
        <w:rPr>
          <w:rFonts w:hint="eastAsia" w:ascii="宋体" w:hAnsi="宋体" w:eastAsia="宋体" w:cs="宋体"/>
          <w:b/>
          <w:bCs w:val="0"/>
          <w:smallCaps w:val="0"/>
          <w:color w:val="auto"/>
          <w:sz w:val="32"/>
          <w:szCs w:val="32"/>
          <w:highlight w:val="none"/>
        </w:rPr>
        <w:t>第一节 评标办法</w:t>
      </w:r>
      <w:bookmarkEnd w:id="674"/>
      <w:bookmarkEnd w:id="675"/>
    </w:p>
    <w:p w14:paraId="2D1BC82D">
      <w:pPr>
        <w:pStyle w:val="60"/>
        <w:bidi w:val="0"/>
        <w:jc w:val="center"/>
        <w:outlineLvl w:val="2"/>
        <w:rPr>
          <w:rFonts w:hint="eastAsia" w:ascii="宋体" w:hAnsi="宋体" w:eastAsia="宋体" w:cs="宋体"/>
          <w:b/>
          <w:bCs w:val="0"/>
          <w:smallCaps w:val="0"/>
          <w:snapToGrid w:val="0"/>
          <w:color w:val="auto"/>
          <w:kern w:val="2"/>
          <w:sz w:val="32"/>
          <w:szCs w:val="32"/>
          <w:highlight w:val="none"/>
          <w:lang w:val="en-US" w:eastAsia="zh-CN" w:bidi="ar-SA"/>
        </w:rPr>
      </w:pPr>
      <w:bookmarkStart w:id="677" w:name="_Toc29087"/>
      <w:bookmarkStart w:id="678" w:name="_Toc735"/>
      <w:r>
        <w:rPr>
          <w:rFonts w:hint="eastAsia" w:ascii="宋体" w:hAnsi="宋体" w:eastAsia="宋体" w:cs="宋体"/>
          <w:b/>
          <w:bCs w:val="0"/>
          <w:smallCaps w:val="0"/>
          <w:snapToGrid w:val="0"/>
          <w:color w:val="auto"/>
          <w:kern w:val="2"/>
          <w:sz w:val="32"/>
          <w:szCs w:val="32"/>
          <w:highlight w:val="none"/>
          <w:lang w:val="en-US" w:eastAsia="zh-CN" w:bidi="ar-SA"/>
        </w:rPr>
        <w:t>评标办法前附表</w:t>
      </w:r>
      <w:bookmarkEnd w:id="677"/>
      <w:bookmarkEnd w:id="678"/>
    </w:p>
    <w:tbl>
      <w:tblPr>
        <w:tblStyle w:val="20"/>
        <w:tblW w:w="5617" w:type="pct"/>
        <w:tblInd w:w="-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2"/>
        <w:gridCol w:w="1550"/>
        <w:gridCol w:w="7704"/>
      </w:tblGrid>
      <w:tr w14:paraId="4078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08" w:type="pct"/>
            <w:noWrap w:val="0"/>
            <w:vAlign w:val="center"/>
          </w:tcPr>
          <w:p w14:paraId="08A3E4DA">
            <w:pPr>
              <w:pStyle w:val="61"/>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条款号</w:t>
            </w:r>
          </w:p>
        </w:tc>
        <w:tc>
          <w:tcPr>
            <w:tcW w:w="769" w:type="pct"/>
            <w:noWrap w:val="0"/>
            <w:vAlign w:val="center"/>
          </w:tcPr>
          <w:p w14:paraId="5BEE2511">
            <w:pPr>
              <w:pStyle w:val="6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评审因素</w:t>
            </w:r>
          </w:p>
        </w:tc>
        <w:tc>
          <w:tcPr>
            <w:tcW w:w="3822" w:type="pct"/>
            <w:noWrap w:val="0"/>
            <w:vAlign w:val="center"/>
          </w:tcPr>
          <w:p w14:paraId="141CA630">
            <w:pPr>
              <w:pStyle w:val="61"/>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评审标准</w:t>
            </w:r>
          </w:p>
        </w:tc>
      </w:tr>
      <w:tr w14:paraId="6CC7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08" w:type="pct"/>
            <w:noWrap w:val="0"/>
            <w:vAlign w:val="center"/>
          </w:tcPr>
          <w:p w14:paraId="0D0183AC">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1.</w:t>
            </w:r>
            <w:r>
              <w:rPr>
                <w:rFonts w:hint="eastAsia" w:ascii="宋体" w:hAnsi="宋体" w:eastAsia="宋体" w:cs="宋体"/>
                <w:smallCaps w:val="0"/>
                <w:color w:val="auto"/>
                <w:sz w:val="21"/>
                <w:szCs w:val="21"/>
                <w:highlight w:val="none"/>
                <w:lang w:val="en-US" w:eastAsia="zh-CN"/>
              </w:rPr>
              <w:t>2</w:t>
            </w:r>
          </w:p>
        </w:tc>
        <w:tc>
          <w:tcPr>
            <w:tcW w:w="769" w:type="pct"/>
            <w:noWrap w:val="0"/>
            <w:tcMar>
              <w:left w:w="75" w:type="dxa"/>
            </w:tcMar>
            <w:vAlign w:val="center"/>
          </w:tcPr>
          <w:p w14:paraId="36C79CD1">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lang w:eastAsia="zh-CN"/>
              </w:rPr>
              <w:t>中标候选人</w:t>
            </w:r>
            <w:r>
              <w:rPr>
                <w:rFonts w:hint="eastAsia" w:ascii="宋体" w:hAnsi="宋体" w:eastAsia="宋体" w:cs="宋体"/>
                <w:smallCaps w:val="0"/>
                <w:color w:val="auto"/>
                <w:sz w:val="21"/>
                <w:szCs w:val="21"/>
                <w:highlight w:val="none"/>
              </w:rPr>
              <w:t>推荐</w:t>
            </w:r>
            <w:r>
              <w:rPr>
                <w:rFonts w:hint="eastAsia" w:ascii="宋体" w:hAnsi="宋体" w:eastAsia="宋体" w:cs="宋体"/>
                <w:smallCaps w:val="0"/>
                <w:color w:val="auto"/>
                <w:sz w:val="21"/>
                <w:szCs w:val="21"/>
                <w:highlight w:val="none"/>
                <w:lang w:eastAsia="zh-CN"/>
              </w:rPr>
              <w:t>数量和</w:t>
            </w:r>
            <w:r>
              <w:rPr>
                <w:rFonts w:hint="eastAsia" w:ascii="宋体" w:hAnsi="宋体" w:eastAsia="宋体" w:cs="宋体"/>
                <w:smallCaps w:val="0"/>
                <w:color w:val="auto"/>
                <w:sz w:val="21"/>
                <w:szCs w:val="21"/>
                <w:highlight w:val="none"/>
              </w:rPr>
              <w:t>规则</w:t>
            </w:r>
          </w:p>
        </w:tc>
        <w:tc>
          <w:tcPr>
            <w:tcW w:w="3822" w:type="pct"/>
            <w:noWrap w:val="0"/>
            <w:tcMar>
              <w:left w:w="75" w:type="dxa"/>
            </w:tcMar>
            <w:vAlign w:val="center"/>
          </w:tcPr>
          <w:p w14:paraId="5F6D901A">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u w:val="none"/>
                <w:lang w:val="en-US" w:eastAsia="zh-CN"/>
              </w:rPr>
            </w:pPr>
            <w:r>
              <w:rPr>
                <w:rFonts w:hint="eastAsia" w:ascii="宋体" w:hAnsi="宋体" w:eastAsia="宋体" w:cs="宋体"/>
                <w:smallCaps w:val="0"/>
                <w:color w:val="auto"/>
                <w:sz w:val="21"/>
                <w:szCs w:val="21"/>
                <w:highlight w:val="none"/>
                <w:lang w:val="en-US" w:eastAsia="zh-CN"/>
              </w:rPr>
              <w:t>1.</w:t>
            </w:r>
            <w:r>
              <w:rPr>
                <w:rFonts w:hint="eastAsia" w:ascii="宋体" w:hAnsi="宋体" w:eastAsia="宋体" w:cs="宋体"/>
                <w:smallCaps w:val="0"/>
                <w:color w:val="auto"/>
                <w:sz w:val="21"/>
                <w:szCs w:val="21"/>
                <w:highlight w:val="none"/>
                <w:lang w:eastAsia="zh-CN"/>
              </w:rPr>
              <w:t>推荐中标候选人的数量</w:t>
            </w:r>
            <w:r>
              <w:rPr>
                <w:rFonts w:hint="eastAsia" w:ascii="宋体" w:hAnsi="宋体" w:eastAsia="宋体" w:cs="宋体"/>
                <w:smallCaps w:val="0"/>
                <w:color w:val="auto"/>
                <w:sz w:val="21"/>
                <w:szCs w:val="21"/>
                <w:highlight w:val="none"/>
                <w:u w:val="none"/>
                <w:lang w:eastAsia="zh-CN"/>
              </w:rPr>
              <w:t>：</w:t>
            </w:r>
          </w:p>
          <w:p w14:paraId="6EF6F2F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设定通过商务文件、技术文件和报价文件初步评审的投标人数量为N，按以下规则确定：</w:t>
            </w:r>
          </w:p>
          <w:p w14:paraId="72F24A7C">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（1）当N＜3时，评标委员会应当否决所有投标。</w:t>
            </w:r>
          </w:p>
          <w:p w14:paraId="28882245">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（2）当N≥3时，推荐3家中标候选人。</w:t>
            </w:r>
          </w:p>
          <w:p w14:paraId="3A82B5A1">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val="en-US" w:eastAsia="zh-CN"/>
              </w:rPr>
              <w:t>2.</w:t>
            </w:r>
            <w:r>
              <w:rPr>
                <w:rFonts w:hint="eastAsia" w:ascii="宋体" w:hAnsi="宋体" w:eastAsia="宋体" w:cs="宋体"/>
                <w:smallCaps w:val="0"/>
                <w:color w:val="auto"/>
                <w:sz w:val="21"/>
                <w:szCs w:val="21"/>
                <w:highlight w:val="none"/>
                <w:lang w:eastAsia="zh-CN"/>
              </w:rPr>
              <w:t>推荐中标候选人规则</w:t>
            </w:r>
            <w:r>
              <w:rPr>
                <w:rFonts w:hint="eastAsia" w:ascii="宋体" w:hAnsi="宋体" w:eastAsia="宋体" w:cs="宋体"/>
                <w:smallCaps w:val="0"/>
                <w:color w:val="auto"/>
                <w:sz w:val="21"/>
                <w:szCs w:val="21"/>
                <w:highlight w:val="none"/>
                <w:u w:val="none"/>
                <w:lang w:eastAsia="zh-CN"/>
              </w:rPr>
              <w:t>：</w:t>
            </w:r>
          </w:p>
          <w:p w14:paraId="145F66E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当N≥3时，按以下规则进行推荐：</w:t>
            </w:r>
          </w:p>
          <w:p w14:paraId="6296EAB9">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设定综合评价结果为好的投标人家数为X，综合评价结果为较好的投标人家数为Y。</w:t>
            </w:r>
          </w:p>
          <w:p w14:paraId="0A6E82FD">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（1）当X=3时，则综合评价结果为好的投标人全部推荐为中标候选人；</w:t>
            </w:r>
          </w:p>
          <w:p w14:paraId="7034BFFA">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（2）当X＞3时，则评标委员会应按照以下优先顺序从综合评价结果为好的投标人中确定中标候选人：</w:t>
            </w:r>
          </w:p>
          <w:p w14:paraId="73BA760D">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①技术、商务、报价评价结果：AAA优于AAB（或ABA，或BAA），AAB、ABA与BAA三者不区分优先顺序；</w:t>
            </w:r>
          </w:p>
          <w:p w14:paraId="24E8E665">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②技术文件得分高的优先；</w:t>
            </w:r>
          </w:p>
          <w:p w14:paraId="0B52D6D7">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③商务文件得分高的优先；</w:t>
            </w:r>
          </w:p>
          <w:p w14:paraId="2103F210">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④投标报价低的优先；</w:t>
            </w:r>
          </w:p>
          <w:p w14:paraId="27CA969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⑤由评标委员会根据投标文件投票，按少数服从多数的原则确定中标候选人。</w:t>
            </w:r>
          </w:p>
          <w:p w14:paraId="292D138E">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（3）当X＜3时，则综合评价结果为好的投标人全部推荐为中标候选人，剩余3-X个中标候选人评标委员会应按照以下优先顺序从综合评价结果为较好的投标人中确定中标候选人：</w:t>
            </w:r>
          </w:p>
          <w:p w14:paraId="309952EA">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①技术、商务、报价评价结果：ABB、BAB、BBA优于BBB，ABB、BAB与BBA三者不区分优先顺序；</w:t>
            </w:r>
          </w:p>
          <w:p w14:paraId="402F4AD7">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②技术文件得分高的优先；</w:t>
            </w:r>
          </w:p>
          <w:p w14:paraId="26CFBC94">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③商务文件得分高的优先；</w:t>
            </w:r>
          </w:p>
          <w:p w14:paraId="178D4AF0">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④投标报价低的优先；</w:t>
            </w:r>
          </w:p>
          <w:p w14:paraId="3CBA2AAA">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⑤由评标委员会根据投标文件投票，按少数服从多数的原则确定中标候选人。</w:t>
            </w:r>
          </w:p>
          <w:p w14:paraId="34175DCF">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（4）当X+Y＜3时，评标委员会应当否决所有投标。</w:t>
            </w:r>
          </w:p>
          <w:p w14:paraId="3C7C18A5">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（5）综合评价结果为一般的，不得推荐。</w:t>
            </w:r>
          </w:p>
        </w:tc>
      </w:tr>
      <w:tr w14:paraId="7F4E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08" w:type="pct"/>
            <w:noWrap w:val="0"/>
            <w:vAlign w:val="center"/>
          </w:tcPr>
          <w:p w14:paraId="256ED713">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1.3</w:t>
            </w:r>
          </w:p>
        </w:tc>
        <w:tc>
          <w:tcPr>
            <w:tcW w:w="769" w:type="pct"/>
            <w:noWrap w:val="0"/>
            <w:tcMar>
              <w:left w:w="75" w:type="dxa"/>
            </w:tcMar>
            <w:vAlign w:val="center"/>
          </w:tcPr>
          <w:p w14:paraId="2AD4A2C6">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推荐</w:t>
            </w:r>
            <w:r>
              <w:rPr>
                <w:rFonts w:hint="eastAsia" w:ascii="宋体" w:hAnsi="宋体" w:eastAsia="宋体" w:cs="宋体"/>
                <w:smallCaps w:val="0"/>
                <w:color w:val="auto"/>
                <w:sz w:val="21"/>
                <w:szCs w:val="21"/>
                <w:highlight w:val="none"/>
                <w:lang w:eastAsia="zh-CN"/>
              </w:rPr>
              <w:t>中标候选人</w:t>
            </w:r>
            <w:r>
              <w:rPr>
                <w:rFonts w:hint="eastAsia" w:ascii="宋体" w:hAnsi="宋体" w:eastAsia="宋体" w:cs="宋体"/>
                <w:smallCaps w:val="0"/>
                <w:color w:val="auto"/>
                <w:sz w:val="21"/>
                <w:szCs w:val="21"/>
                <w:highlight w:val="none"/>
              </w:rPr>
              <w:t>先后顺序</w:t>
            </w:r>
          </w:p>
        </w:tc>
        <w:tc>
          <w:tcPr>
            <w:tcW w:w="3822" w:type="pct"/>
            <w:noWrap w:val="0"/>
            <w:tcMar>
              <w:left w:w="75" w:type="dxa"/>
            </w:tcMar>
            <w:vAlign w:val="center"/>
          </w:tcPr>
          <w:p w14:paraId="36705488">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val="en-US" w:eastAsia="zh-CN"/>
              </w:rPr>
              <w:t>/</w:t>
            </w:r>
          </w:p>
        </w:tc>
      </w:tr>
      <w:tr w14:paraId="18D7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08" w:type="pct"/>
            <w:noWrap w:val="0"/>
            <w:vAlign w:val="center"/>
          </w:tcPr>
          <w:p w14:paraId="7FD7EAC0">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2.1</w:t>
            </w:r>
          </w:p>
        </w:tc>
        <w:tc>
          <w:tcPr>
            <w:tcW w:w="769" w:type="pct"/>
            <w:noWrap w:val="0"/>
            <w:tcMar>
              <w:left w:w="75" w:type="dxa"/>
            </w:tcMar>
            <w:vAlign w:val="center"/>
          </w:tcPr>
          <w:p w14:paraId="435BB083">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初步评审标准</w:t>
            </w:r>
          </w:p>
        </w:tc>
        <w:tc>
          <w:tcPr>
            <w:tcW w:w="3822" w:type="pct"/>
            <w:noWrap w:val="0"/>
            <w:vAlign w:val="center"/>
          </w:tcPr>
          <w:p w14:paraId="0FFD253C">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见“商务及技术文件初步评审”、“报价文件初步评审”。</w:t>
            </w:r>
          </w:p>
        </w:tc>
      </w:tr>
      <w:tr w14:paraId="3133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08" w:type="pct"/>
            <w:noWrap w:val="0"/>
            <w:vAlign w:val="center"/>
          </w:tcPr>
          <w:p w14:paraId="22761107">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2.2.1</w:t>
            </w:r>
          </w:p>
        </w:tc>
        <w:tc>
          <w:tcPr>
            <w:tcW w:w="769" w:type="pct"/>
            <w:noWrap w:val="0"/>
            <w:tcMar>
              <w:left w:w="75" w:type="dxa"/>
            </w:tcMar>
            <w:vAlign w:val="center"/>
          </w:tcPr>
          <w:p w14:paraId="18DF9FDE">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详细评审标准</w:t>
            </w:r>
          </w:p>
        </w:tc>
        <w:tc>
          <w:tcPr>
            <w:tcW w:w="3822" w:type="pct"/>
            <w:noWrap w:val="0"/>
            <w:vAlign w:val="center"/>
          </w:tcPr>
          <w:p w14:paraId="511B57C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见“详细评审标准”。</w:t>
            </w:r>
          </w:p>
        </w:tc>
      </w:tr>
      <w:tr w14:paraId="227F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08" w:type="pct"/>
            <w:noWrap w:val="0"/>
            <w:vAlign w:val="center"/>
          </w:tcPr>
          <w:p w14:paraId="1BC79D72">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3.5.2</w:t>
            </w:r>
          </w:p>
        </w:tc>
        <w:tc>
          <w:tcPr>
            <w:tcW w:w="769" w:type="pct"/>
            <w:noWrap w:val="0"/>
            <w:tcMar>
              <w:left w:w="75" w:type="dxa"/>
            </w:tcMar>
            <w:vAlign w:val="center"/>
          </w:tcPr>
          <w:p w14:paraId="606F27CA">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否决投标的其他情形</w:t>
            </w:r>
          </w:p>
        </w:tc>
        <w:tc>
          <w:tcPr>
            <w:tcW w:w="3822" w:type="pct"/>
            <w:noWrap w:val="0"/>
            <w:vAlign w:val="center"/>
          </w:tcPr>
          <w:p w14:paraId="6316FF89">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见附件1。</w:t>
            </w:r>
          </w:p>
        </w:tc>
      </w:tr>
      <w:tr w14:paraId="0590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08" w:type="pct"/>
            <w:noWrap w:val="0"/>
            <w:vAlign w:val="center"/>
          </w:tcPr>
          <w:p w14:paraId="54AC558E">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3.5.6</w:t>
            </w:r>
          </w:p>
        </w:tc>
        <w:tc>
          <w:tcPr>
            <w:tcW w:w="769" w:type="pct"/>
            <w:noWrap w:val="0"/>
            <w:tcMar>
              <w:left w:w="75" w:type="dxa"/>
            </w:tcMar>
            <w:vAlign w:val="center"/>
          </w:tcPr>
          <w:p w14:paraId="3615E61A">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异常低价评审</w:t>
            </w:r>
          </w:p>
        </w:tc>
        <w:tc>
          <w:tcPr>
            <w:tcW w:w="3822" w:type="pct"/>
            <w:noWrap w:val="0"/>
            <w:vAlign w:val="center"/>
          </w:tcPr>
          <w:p w14:paraId="4FBAFFD7">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sym w:font="Wingdings 2" w:char="0052"/>
            </w:r>
            <w:r>
              <w:rPr>
                <w:rFonts w:hint="eastAsia" w:ascii="宋体" w:hAnsi="宋体" w:eastAsia="宋体" w:cs="宋体"/>
                <w:smallCaps w:val="0"/>
                <w:color w:val="auto"/>
                <w:sz w:val="21"/>
                <w:szCs w:val="21"/>
                <w:highlight w:val="none"/>
              </w:rPr>
              <w:t>不</w:t>
            </w:r>
            <w:r>
              <w:rPr>
                <w:rFonts w:hint="eastAsia" w:ascii="宋体" w:hAnsi="宋体" w:eastAsia="宋体" w:cs="宋体"/>
                <w:smallCaps w:val="0"/>
                <w:color w:val="auto"/>
                <w:sz w:val="21"/>
                <w:szCs w:val="21"/>
                <w:highlight w:val="none"/>
                <w:lang w:eastAsia="zh-CN"/>
              </w:rPr>
              <w:t>适用</w:t>
            </w:r>
          </w:p>
          <w:p w14:paraId="728A1D74">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sym w:font="Wingdings 2" w:char="00A3"/>
            </w:r>
            <w:r>
              <w:rPr>
                <w:rFonts w:hint="eastAsia" w:ascii="宋体" w:hAnsi="宋体" w:eastAsia="宋体" w:cs="宋体"/>
                <w:smallCaps w:val="0"/>
                <w:color w:val="auto"/>
                <w:sz w:val="21"/>
                <w:szCs w:val="21"/>
                <w:highlight w:val="none"/>
                <w:lang w:eastAsia="zh-CN"/>
              </w:rPr>
              <w:t>适用</w:t>
            </w:r>
            <w:r>
              <w:rPr>
                <w:rFonts w:hint="eastAsia" w:ascii="宋体" w:hAnsi="宋体" w:eastAsia="宋体" w:cs="宋体"/>
                <w:smallCaps w:val="0"/>
                <w:color w:val="auto"/>
                <w:sz w:val="21"/>
                <w:szCs w:val="21"/>
                <w:highlight w:val="none"/>
              </w:rPr>
              <w:t>，异常低价规定指标</w:t>
            </w:r>
            <w:r>
              <w:rPr>
                <w:rFonts w:hint="eastAsia" w:ascii="宋体" w:hAnsi="宋体" w:eastAsia="宋体" w:cs="宋体"/>
                <w:smallCaps w:val="0"/>
                <w:color w:val="auto"/>
                <w:sz w:val="21"/>
                <w:szCs w:val="21"/>
                <w:highlight w:val="none"/>
                <w:u w:val="none"/>
                <w:lang w:eastAsia="zh-CN"/>
              </w:rPr>
              <w:t>：</w:t>
            </w:r>
            <w:r>
              <w:rPr>
                <w:rFonts w:hint="eastAsia" w:ascii="宋体" w:hAnsi="宋体" w:eastAsia="宋体" w:cs="宋体"/>
                <w:smallCaps w:val="0"/>
                <w:color w:val="auto"/>
                <w:sz w:val="21"/>
                <w:szCs w:val="21"/>
                <w:highlight w:val="none"/>
                <w:u w:val="single"/>
              </w:rPr>
              <w:t xml:space="preserve">     </w:t>
            </w:r>
            <w:r>
              <w:rPr>
                <w:rFonts w:hint="eastAsia" w:ascii="宋体" w:hAnsi="宋体" w:eastAsia="宋体" w:cs="宋体"/>
                <w:smallCaps w:val="0"/>
                <w:color w:val="auto"/>
                <w:sz w:val="21"/>
                <w:szCs w:val="21"/>
                <w:highlight w:val="none"/>
                <w:u w:val="single"/>
                <w:lang w:val="en-US" w:eastAsia="zh-CN"/>
              </w:rPr>
              <w:t xml:space="preserve"> </w:t>
            </w:r>
            <w:r>
              <w:rPr>
                <w:rFonts w:hint="eastAsia" w:ascii="宋体" w:hAnsi="宋体" w:eastAsia="宋体" w:cs="宋体"/>
                <w:smallCaps w:val="0"/>
                <w:color w:val="auto"/>
                <w:sz w:val="21"/>
                <w:szCs w:val="21"/>
                <w:highlight w:val="none"/>
              </w:rPr>
              <w:t>，具体见附件2。</w:t>
            </w:r>
          </w:p>
        </w:tc>
      </w:tr>
      <w:tr w14:paraId="6B52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08" w:type="pct"/>
            <w:noWrap w:val="0"/>
            <w:vAlign w:val="center"/>
          </w:tcPr>
          <w:p w14:paraId="559659DC">
            <w:pPr>
              <w:pStyle w:val="62"/>
              <w:keepNext w:val="0"/>
              <w:keepLines w:val="0"/>
              <w:pageBreakBefore w:val="0"/>
              <w:widowControl w:val="0"/>
              <w:kinsoku/>
              <w:wordWrap/>
              <w:overflowPunct/>
              <w:topLinePunct w:val="0"/>
              <w:autoSpaceDE/>
              <w:autoSpaceDN/>
              <w:bidi w:val="0"/>
              <w:snapToGrid/>
              <w:spacing w:line="560" w:lineRule="exact"/>
              <w:textAlignment w:val="auto"/>
              <w:rPr>
                <w:rFonts w:hint="default" w:ascii="宋体" w:hAnsi="宋体" w:eastAsia="宋体" w:cs="宋体"/>
                <w:smallCaps w:val="0"/>
                <w:color w:val="auto"/>
                <w:sz w:val="21"/>
                <w:szCs w:val="21"/>
                <w:highlight w:val="none"/>
                <w:lang w:val="en-US" w:eastAsia="zh-CN"/>
              </w:rPr>
            </w:pPr>
            <w:bookmarkStart w:id="679" w:name="_Toc18591"/>
            <w:bookmarkStart w:id="680" w:name="_Toc3439"/>
            <w:bookmarkStart w:id="681" w:name="_Toc118586942"/>
            <w:r>
              <w:rPr>
                <w:rFonts w:hint="eastAsia" w:ascii="宋体" w:hAnsi="宋体" w:eastAsia="宋体" w:cs="宋体"/>
                <w:smallCaps w:val="0"/>
                <w:color w:val="auto"/>
                <w:sz w:val="21"/>
                <w:szCs w:val="21"/>
                <w:highlight w:val="none"/>
                <w:lang w:val="en-US" w:eastAsia="zh-CN"/>
              </w:rPr>
              <w:t>3.6</w:t>
            </w:r>
          </w:p>
        </w:tc>
        <w:tc>
          <w:tcPr>
            <w:tcW w:w="769" w:type="pct"/>
            <w:noWrap w:val="0"/>
            <w:tcMar>
              <w:left w:w="75" w:type="dxa"/>
            </w:tcMar>
            <w:vAlign w:val="center"/>
          </w:tcPr>
          <w:p w14:paraId="77A3D33A">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拟推荐中标候选人的注册建造师</w:t>
            </w:r>
          </w:p>
        </w:tc>
        <w:tc>
          <w:tcPr>
            <w:tcW w:w="3822" w:type="pct"/>
            <w:noWrap w:val="0"/>
            <w:vAlign w:val="center"/>
          </w:tcPr>
          <w:p w14:paraId="7528C6D8">
            <w:pPr>
              <w:wordWrap w:val="0"/>
              <w:adjustRightInd w:val="0"/>
              <w:snapToGrid w:val="0"/>
              <w:spacing w:line="560" w:lineRule="exact"/>
              <w:ind w:firstLine="420" w:firstLineChars="200"/>
              <w:jc w:val="left"/>
              <w:rPr>
                <w:rFonts w:hint="eastAsia" w:ascii="宋体" w:hAnsi="宋体" w:eastAsia="宋体" w:cs="宋体"/>
                <w:smallCaps w:val="0"/>
                <w:color w:val="auto"/>
                <w:sz w:val="21"/>
                <w:szCs w:val="21"/>
                <w:highlight w:val="none"/>
              </w:rPr>
            </w:pPr>
            <w:r>
              <w:rPr>
                <w:rFonts w:hint="eastAsia" w:ascii="宋体" w:hAnsi="宋体" w:eastAsia="宋体" w:cs="宋体"/>
                <w:color w:val="auto"/>
                <w:szCs w:val="21"/>
                <w:highlight w:val="none"/>
                <w:lang w:val="en-US" w:eastAsia="zh-CN"/>
              </w:rPr>
              <w:t>投标人（如投标人为联合体，联合体各方均需提供）的注册建造师必须满足相应建筑业企业资质标准要求，评标委员会在评审时，将对此进行评审。投标单位（如投标人为联合体，联合体各方均需提供）应在</w:t>
            </w:r>
            <w:r>
              <w:rPr>
                <w:rFonts w:hint="eastAsia" w:ascii="宋体" w:hAnsi="宋体" w:cs="宋体"/>
                <w:color w:val="auto"/>
                <w:szCs w:val="21"/>
                <w:highlight w:val="none"/>
                <w:lang w:val="en-US" w:eastAsia="zh-CN"/>
              </w:rPr>
              <w:t>报价</w:t>
            </w:r>
            <w:r>
              <w:rPr>
                <w:rFonts w:hint="eastAsia" w:ascii="宋体" w:hAnsi="宋体" w:eastAsia="宋体" w:cs="宋体"/>
                <w:color w:val="auto"/>
                <w:szCs w:val="21"/>
                <w:highlight w:val="none"/>
                <w:lang w:val="en-US" w:eastAsia="zh-CN"/>
              </w:rPr>
              <w:t>文件中提供全国建筑市场监管公共服务平台 (四库一平台)企业注册人员网页截图，并在投标函中承诺，承诺本单位现有注册建造师专业、数量满足《建筑业企业资质标准》及有关文件中对应资质等级标准要求等内容，未提供相关截图或承诺的，按无效标处理。</w:t>
            </w:r>
          </w:p>
        </w:tc>
      </w:tr>
    </w:tbl>
    <w:p w14:paraId="3AACD960">
      <w:pPr>
        <w:spacing w:before="0" w:beforeLines="0" w:after="0" w:afterLines="0"/>
        <w:jc w:val="left"/>
        <w:outlineLvl w:val="9"/>
        <w:rPr>
          <w:rFonts w:hint="default" w:ascii="Times New Roman" w:hAnsi="Times New Roman" w:eastAsia="宋体"/>
          <w:smallCaps w:val="0"/>
          <w:color w:val="auto"/>
          <w:sz w:val="21"/>
          <w:szCs w:val="24"/>
          <w:highlight w:val="none"/>
        </w:rPr>
      </w:pPr>
    </w:p>
    <w:p w14:paraId="0D7622FF">
      <w:pPr>
        <w:rPr>
          <w:rFonts w:hint="eastAsia" w:ascii="Times New Roman" w:hAnsi="Times New Roman" w:eastAsia="宋体" w:cs="宋体"/>
          <w:b/>
          <w:bCs/>
          <w:smallCaps w:val="0"/>
          <w:color w:val="auto"/>
          <w:sz w:val="24"/>
          <w:szCs w:val="24"/>
          <w:highlight w:val="none"/>
        </w:rPr>
      </w:pPr>
      <w:bookmarkStart w:id="682" w:name="_Toc28331"/>
      <w:bookmarkStart w:id="683" w:name="_Toc3658"/>
      <w:bookmarkStart w:id="684" w:name="_Toc13347"/>
      <w:bookmarkStart w:id="685" w:name="_Toc23879"/>
    </w:p>
    <w:p w14:paraId="13FA7FB9">
      <w:pPr>
        <w:pStyle w:val="59"/>
        <w:bidi w:val="0"/>
        <w:outlineLvl w:val="9"/>
        <w:rPr>
          <w:rFonts w:hint="eastAsia" w:ascii="Times New Roman" w:hAnsi="Times New Roman"/>
          <w:smallCaps w:val="0"/>
          <w:color w:val="auto"/>
          <w:highlight w:val="none"/>
        </w:rPr>
      </w:pPr>
      <w:r>
        <w:rPr>
          <w:rFonts w:hint="eastAsia" w:ascii="Times New Roman" w:hAnsi="Times New Roman"/>
          <w:smallCaps w:val="0"/>
          <w:color w:val="auto"/>
          <w:highlight w:val="none"/>
        </w:rPr>
        <w:t>商务及技术文件初步评审标准</w:t>
      </w:r>
      <w:bookmarkEnd w:id="679"/>
      <w:bookmarkEnd w:id="680"/>
      <w:bookmarkEnd w:id="681"/>
      <w:bookmarkEnd w:id="682"/>
      <w:bookmarkEnd w:id="683"/>
      <w:bookmarkEnd w:id="684"/>
      <w:bookmarkEnd w:id="685"/>
    </w:p>
    <w:tbl>
      <w:tblPr>
        <w:tblStyle w:val="20"/>
        <w:tblW w:w="5672" w:type="pct"/>
        <w:tblInd w:w="-7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9"/>
        <w:gridCol w:w="1463"/>
        <w:gridCol w:w="2646"/>
        <w:gridCol w:w="5196"/>
      </w:tblGrid>
      <w:tr w14:paraId="3199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146" w:type="pct"/>
            <w:gridSpan w:val="2"/>
            <w:noWrap w:val="0"/>
            <w:vAlign w:val="center"/>
          </w:tcPr>
          <w:p w14:paraId="30F0745E">
            <w:pPr>
              <w:pStyle w:val="61"/>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条款号</w:t>
            </w:r>
          </w:p>
        </w:tc>
        <w:tc>
          <w:tcPr>
            <w:tcW w:w="1300" w:type="pct"/>
            <w:noWrap w:val="0"/>
            <w:vAlign w:val="center"/>
          </w:tcPr>
          <w:p w14:paraId="4A7A4C00">
            <w:pPr>
              <w:pStyle w:val="61"/>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评审因素</w:t>
            </w:r>
          </w:p>
        </w:tc>
        <w:tc>
          <w:tcPr>
            <w:tcW w:w="2553" w:type="pct"/>
            <w:noWrap w:val="0"/>
            <w:vAlign w:val="center"/>
          </w:tcPr>
          <w:p w14:paraId="750E4873">
            <w:pPr>
              <w:pStyle w:val="61"/>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评审标准</w:t>
            </w:r>
          </w:p>
        </w:tc>
      </w:tr>
      <w:tr w14:paraId="424F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restart"/>
            <w:noWrap w:val="0"/>
            <w:vAlign w:val="center"/>
          </w:tcPr>
          <w:p w14:paraId="325089B0">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2.1.1</w:t>
            </w:r>
          </w:p>
        </w:tc>
        <w:tc>
          <w:tcPr>
            <w:tcW w:w="718" w:type="pct"/>
            <w:vMerge w:val="restart"/>
            <w:noWrap w:val="0"/>
            <w:vAlign w:val="center"/>
          </w:tcPr>
          <w:p w14:paraId="33D3D7BD">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形式评审标准</w:t>
            </w:r>
          </w:p>
        </w:tc>
        <w:tc>
          <w:tcPr>
            <w:tcW w:w="1300" w:type="pct"/>
            <w:noWrap w:val="0"/>
            <w:tcMar>
              <w:left w:w="75" w:type="dxa"/>
            </w:tcMar>
            <w:vAlign w:val="center"/>
          </w:tcPr>
          <w:p w14:paraId="40A8E009">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投标人名称</w:t>
            </w:r>
          </w:p>
        </w:tc>
        <w:tc>
          <w:tcPr>
            <w:tcW w:w="2553" w:type="pct"/>
            <w:noWrap w:val="0"/>
            <w:tcMar>
              <w:left w:w="75" w:type="dxa"/>
            </w:tcMar>
            <w:vAlign w:val="center"/>
          </w:tcPr>
          <w:p w14:paraId="398B6E06">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与营业执照、资质证书、安全生产许可证一致。</w:t>
            </w:r>
          </w:p>
        </w:tc>
      </w:tr>
      <w:tr w14:paraId="7E2D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7F3B87FC">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6867F465">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14DBF220">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签字盖章</w:t>
            </w:r>
          </w:p>
        </w:tc>
        <w:tc>
          <w:tcPr>
            <w:tcW w:w="2553" w:type="pct"/>
            <w:noWrap w:val="0"/>
            <w:tcMar>
              <w:left w:w="75" w:type="dxa"/>
            </w:tcMar>
            <w:vAlign w:val="center"/>
          </w:tcPr>
          <w:p w14:paraId="0640AED2">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符合第二章“投标人须知”第3.</w:t>
            </w:r>
            <w:r>
              <w:rPr>
                <w:rFonts w:hint="eastAsia" w:ascii="宋体" w:hAnsi="宋体" w:cs="宋体"/>
                <w:smallCaps w:val="0"/>
                <w:color w:val="auto"/>
                <w:sz w:val="21"/>
                <w:szCs w:val="21"/>
                <w:highlight w:val="none"/>
                <w:lang w:val="en-US" w:eastAsia="zh-CN"/>
              </w:rPr>
              <w:t>5.6</w:t>
            </w:r>
            <w:r>
              <w:rPr>
                <w:rFonts w:hint="eastAsia" w:ascii="宋体" w:hAnsi="宋体" w:eastAsia="宋体" w:cs="宋体"/>
                <w:smallCaps w:val="0"/>
                <w:color w:val="auto"/>
                <w:sz w:val="21"/>
                <w:szCs w:val="21"/>
                <w:highlight w:val="none"/>
              </w:rPr>
              <w:t>项规定。</w:t>
            </w:r>
          </w:p>
        </w:tc>
      </w:tr>
      <w:tr w14:paraId="5B0F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70955ECD">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17C75C27">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4DED5635">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投标文件格式</w:t>
            </w:r>
          </w:p>
        </w:tc>
        <w:tc>
          <w:tcPr>
            <w:tcW w:w="2553" w:type="pct"/>
            <w:noWrap w:val="0"/>
            <w:tcMar>
              <w:left w:w="75" w:type="dxa"/>
            </w:tcMar>
            <w:vAlign w:val="center"/>
          </w:tcPr>
          <w:p w14:paraId="60804BF0">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符合第八章“投标文件格式”的规定。</w:t>
            </w:r>
          </w:p>
        </w:tc>
      </w:tr>
      <w:tr w14:paraId="7868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6954258C">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4B1E26D8">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74B8DB90">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联合体投标人</w:t>
            </w:r>
          </w:p>
        </w:tc>
        <w:tc>
          <w:tcPr>
            <w:tcW w:w="2553" w:type="pct"/>
            <w:noWrap w:val="0"/>
            <w:tcMar>
              <w:left w:w="75" w:type="dxa"/>
            </w:tcMar>
            <w:vAlign w:val="center"/>
          </w:tcPr>
          <w:p w14:paraId="01BDCBF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提交符合招标文件要求的联合体协议书，明确各方承担连带责任，并明确联合体牵头人。</w:t>
            </w:r>
          </w:p>
        </w:tc>
      </w:tr>
      <w:tr w14:paraId="566B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37039EDD">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3E7EF608">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4732C148">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未出现异常情形</w:t>
            </w:r>
          </w:p>
        </w:tc>
        <w:tc>
          <w:tcPr>
            <w:tcW w:w="2553" w:type="pct"/>
            <w:noWrap w:val="0"/>
            <w:tcMar>
              <w:left w:w="75" w:type="dxa"/>
            </w:tcMar>
            <w:vAlign w:val="center"/>
          </w:tcPr>
          <w:p w14:paraId="64550F90">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不同投标人未出现下列情形：</w:t>
            </w:r>
          </w:p>
          <w:p w14:paraId="688E5EDA">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（1）投标MAC地址一致；</w:t>
            </w:r>
          </w:p>
          <w:p w14:paraId="6720BFC2">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（2）投标文件制作机器码或创建标识码或造价软件加密锁号信息；</w:t>
            </w:r>
          </w:p>
          <w:p w14:paraId="106D66E5">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（3）申请开具电子保函MAC地址一致；</w:t>
            </w:r>
          </w:p>
          <w:p w14:paraId="17FB769A">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（4）投标人联系人或联系电话相同。</w:t>
            </w:r>
          </w:p>
        </w:tc>
      </w:tr>
      <w:tr w14:paraId="2331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678CE334">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1BA2BC51">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68F0CF29">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未出现投标报价</w:t>
            </w:r>
          </w:p>
        </w:tc>
        <w:tc>
          <w:tcPr>
            <w:tcW w:w="2553" w:type="pct"/>
            <w:noWrap w:val="0"/>
            <w:tcMar>
              <w:left w:w="75" w:type="dxa"/>
            </w:tcMar>
            <w:vAlign w:val="center"/>
          </w:tcPr>
          <w:p w14:paraId="13846C64">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商务文件中未出现有关投标报价的内容。</w:t>
            </w:r>
          </w:p>
        </w:tc>
      </w:tr>
      <w:tr w14:paraId="451F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restart"/>
            <w:noWrap w:val="0"/>
            <w:vAlign w:val="center"/>
          </w:tcPr>
          <w:p w14:paraId="7305E4B2">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2.1.2</w:t>
            </w:r>
          </w:p>
        </w:tc>
        <w:tc>
          <w:tcPr>
            <w:tcW w:w="718" w:type="pct"/>
            <w:vMerge w:val="restart"/>
            <w:noWrap w:val="0"/>
            <w:vAlign w:val="center"/>
          </w:tcPr>
          <w:p w14:paraId="0BB97564">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资格评审标准</w:t>
            </w:r>
          </w:p>
        </w:tc>
        <w:tc>
          <w:tcPr>
            <w:tcW w:w="1300" w:type="pct"/>
            <w:noWrap w:val="0"/>
            <w:tcMar>
              <w:left w:w="75" w:type="dxa"/>
            </w:tcMar>
            <w:vAlign w:val="center"/>
          </w:tcPr>
          <w:p w14:paraId="2C6A7A5C">
            <w:pPr>
              <w:adjustRightInd w:val="0"/>
              <w:snapToGrid w:val="0"/>
              <w:spacing w:line="560" w:lineRule="exact"/>
              <w:jc w:val="center"/>
              <w:rPr>
                <w:rFonts w:hint="eastAsia" w:ascii="宋体" w:hAnsi="宋体" w:eastAsia="宋体" w:cs="宋体"/>
                <w:smallCaps w:val="0"/>
                <w:color w:val="auto"/>
                <w:sz w:val="21"/>
                <w:szCs w:val="21"/>
                <w:highlight w:val="none"/>
              </w:rPr>
            </w:pPr>
            <w:r>
              <w:rPr>
                <w:rFonts w:hint="eastAsia" w:ascii="宋体" w:hAnsi="宋体" w:cs="宋体"/>
                <w:color w:val="auto"/>
                <w:szCs w:val="21"/>
                <w:highlight w:val="none"/>
              </w:rPr>
              <w:t>法</w:t>
            </w:r>
            <w:r>
              <w:rPr>
                <w:rFonts w:hint="eastAsia" w:ascii="宋体" w:hAnsi="宋体" w:eastAsia="宋体" w:cs="宋体"/>
                <w:color w:val="auto"/>
                <w:szCs w:val="21"/>
                <w:highlight w:val="none"/>
              </w:rPr>
              <w:t>定代表人身份证明和本人有效身份证(或法定代表人授权委托书和委托代理人有效身份证)</w:t>
            </w:r>
          </w:p>
        </w:tc>
        <w:tc>
          <w:tcPr>
            <w:tcW w:w="2553" w:type="pct"/>
            <w:noWrap w:val="0"/>
            <w:tcMar>
              <w:left w:w="75" w:type="dxa"/>
            </w:tcMar>
            <w:vAlign w:val="center"/>
          </w:tcPr>
          <w:p w14:paraId="33269DBF">
            <w:pPr>
              <w:pStyle w:val="56"/>
              <w:keepNext w:val="0"/>
              <w:keepLines w:val="0"/>
              <w:pageBreakBefore w:val="0"/>
              <w:widowControl w:val="0"/>
              <w:kinsoku/>
              <w:wordWrap/>
              <w:overflowPunct/>
              <w:topLinePunct w:val="0"/>
              <w:autoSpaceDE/>
              <w:autoSpaceDN/>
              <w:bidi w:val="0"/>
              <w:snapToGrid/>
              <w:spacing w:line="560" w:lineRule="exact"/>
              <w:textAlignment w:val="auto"/>
              <w:rPr>
                <w:rFonts w:hint="default"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检验电子标书</w:t>
            </w:r>
          </w:p>
        </w:tc>
      </w:tr>
      <w:tr w14:paraId="574B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6F1EC8AC">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5B115D8A">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590580BE">
            <w:pPr>
              <w:adjustRightInd w:val="0"/>
              <w:snapToGrid w:val="0"/>
              <w:spacing w:line="560" w:lineRule="exact"/>
              <w:jc w:val="center"/>
              <w:rPr>
                <w:rFonts w:hint="eastAsia" w:ascii="宋体" w:hAnsi="宋体" w:eastAsia="宋体" w:cs="宋体"/>
                <w:smallCaps w:val="0"/>
                <w:color w:val="auto"/>
                <w:sz w:val="21"/>
                <w:szCs w:val="21"/>
                <w:highlight w:val="none"/>
              </w:rPr>
            </w:pPr>
            <w:r>
              <w:rPr>
                <w:rFonts w:hint="eastAsia" w:ascii="宋体" w:hAnsi="宋体" w:cs="宋体"/>
                <w:color w:val="auto"/>
                <w:szCs w:val="21"/>
                <w:highlight w:val="none"/>
              </w:rPr>
              <w:t>诚信投标承诺书（或《</w:t>
            </w:r>
            <w:r>
              <w:rPr>
                <w:rFonts w:hint="eastAsia" w:ascii="宋体" w:hAnsi="宋体" w:cs="宋体"/>
                <w:color w:val="auto"/>
                <w:kern w:val="0"/>
                <w:szCs w:val="21"/>
                <w:highlight w:val="none"/>
              </w:rPr>
              <w:t>公共信用信息报告（无违法违规证明版或核查版）</w:t>
            </w:r>
            <w:r>
              <w:rPr>
                <w:rFonts w:hint="eastAsia" w:ascii="宋体" w:hAnsi="宋体" w:cs="宋体"/>
                <w:color w:val="auto"/>
                <w:szCs w:val="21"/>
                <w:highlight w:val="none"/>
              </w:rPr>
              <w:t>》）</w:t>
            </w:r>
          </w:p>
        </w:tc>
        <w:tc>
          <w:tcPr>
            <w:tcW w:w="2553" w:type="pct"/>
            <w:noWrap w:val="0"/>
            <w:tcMar>
              <w:left w:w="75" w:type="dxa"/>
            </w:tcMar>
            <w:vAlign w:val="center"/>
          </w:tcPr>
          <w:p w14:paraId="7499B928">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检验电子标书</w:t>
            </w:r>
          </w:p>
          <w:p w14:paraId="331F727C">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b/>
                <w:bCs/>
                <w:smallCaps w:val="0"/>
                <w:color w:val="auto"/>
                <w:sz w:val="21"/>
                <w:szCs w:val="21"/>
                <w:highlight w:val="none"/>
                <w:lang w:val="en-US" w:eastAsia="zh-CN"/>
              </w:rPr>
              <w:t>注：联合体投标的，联合体各方均须提供</w:t>
            </w:r>
          </w:p>
        </w:tc>
      </w:tr>
      <w:tr w14:paraId="43C5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00A06425">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2AA72AB1">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0172F4BD">
            <w:pPr>
              <w:adjustRightInd w:val="0"/>
              <w:snapToGrid w:val="0"/>
              <w:spacing w:line="560" w:lineRule="exact"/>
              <w:jc w:val="center"/>
              <w:rPr>
                <w:rFonts w:hint="eastAsia" w:ascii="宋体" w:hAnsi="宋体" w:eastAsia="宋体" w:cs="宋体"/>
                <w:smallCaps w:val="0"/>
                <w:color w:val="auto"/>
                <w:sz w:val="21"/>
                <w:szCs w:val="21"/>
                <w:highlight w:val="none"/>
              </w:rPr>
            </w:pPr>
            <w:r>
              <w:rPr>
                <w:rFonts w:hint="eastAsia" w:ascii="宋体" w:hAnsi="宋体" w:cs="宋体"/>
                <w:color w:val="auto"/>
                <w:szCs w:val="21"/>
                <w:highlight w:val="none"/>
              </w:rPr>
              <w:t>企业法人营业执照</w:t>
            </w:r>
          </w:p>
        </w:tc>
        <w:tc>
          <w:tcPr>
            <w:tcW w:w="2553" w:type="pct"/>
            <w:noWrap w:val="0"/>
            <w:tcMar>
              <w:left w:w="75" w:type="dxa"/>
            </w:tcMar>
            <w:vAlign w:val="center"/>
          </w:tcPr>
          <w:p w14:paraId="14E670F5">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检验电子标书</w:t>
            </w:r>
          </w:p>
          <w:p w14:paraId="046AEFDD">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b/>
                <w:bCs/>
                <w:smallCaps w:val="0"/>
                <w:color w:val="auto"/>
                <w:sz w:val="21"/>
                <w:szCs w:val="21"/>
                <w:highlight w:val="none"/>
                <w:lang w:val="en-US" w:eastAsia="zh-CN"/>
              </w:rPr>
              <w:t>注：联合体投标的，联合体各方均须提供</w:t>
            </w:r>
          </w:p>
        </w:tc>
      </w:tr>
      <w:tr w14:paraId="5621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543AA97F">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005A1C33">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26351ACB">
            <w:pPr>
              <w:adjustRightInd w:val="0"/>
              <w:snapToGrid w:val="0"/>
              <w:spacing w:line="560" w:lineRule="exact"/>
              <w:jc w:val="center"/>
              <w:rPr>
                <w:rFonts w:hint="eastAsia" w:ascii="宋体" w:hAnsi="宋体" w:eastAsia="宋体" w:cs="宋体"/>
                <w:smallCaps w:val="0"/>
                <w:color w:val="auto"/>
                <w:sz w:val="21"/>
                <w:szCs w:val="21"/>
                <w:highlight w:val="none"/>
              </w:rPr>
            </w:pPr>
            <w:r>
              <w:rPr>
                <w:rFonts w:hint="eastAsia" w:ascii="宋体" w:hAnsi="宋体" w:cs="宋体"/>
                <w:color w:val="auto"/>
                <w:szCs w:val="21"/>
                <w:highlight w:val="none"/>
              </w:rPr>
              <w:t>企业资质证书</w:t>
            </w:r>
          </w:p>
        </w:tc>
        <w:tc>
          <w:tcPr>
            <w:tcW w:w="2553" w:type="pct"/>
            <w:noWrap w:val="0"/>
            <w:tcMar>
              <w:left w:w="75" w:type="dxa"/>
            </w:tcMar>
            <w:vAlign w:val="center"/>
          </w:tcPr>
          <w:p w14:paraId="426DAFE8">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检验电子标书</w:t>
            </w:r>
          </w:p>
          <w:p w14:paraId="79D1F41A">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b/>
                <w:bCs/>
                <w:smallCaps w:val="0"/>
                <w:color w:val="auto"/>
                <w:sz w:val="21"/>
                <w:szCs w:val="21"/>
                <w:highlight w:val="none"/>
                <w:lang w:val="en-US" w:eastAsia="zh-CN"/>
              </w:rPr>
              <w:t>注：联合体投标的，联合体各方均须提供</w:t>
            </w:r>
          </w:p>
        </w:tc>
      </w:tr>
      <w:tr w14:paraId="2FF8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5014DC9F">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79395E95">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191890E0">
            <w:pPr>
              <w:adjustRightInd w:val="0"/>
              <w:snapToGrid w:val="0"/>
              <w:spacing w:line="560" w:lineRule="exact"/>
              <w:jc w:val="center"/>
              <w:rPr>
                <w:rFonts w:hint="eastAsia" w:ascii="宋体" w:hAnsi="宋体" w:eastAsia="宋体" w:cs="宋体"/>
                <w:smallCaps w:val="0"/>
                <w:color w:val="auto"/>
                <w:sz w:val="21"/>
                <w:szCs w:val="21"/>
                <w:highlight w:val="none"/>
              </w:rPr>
            </w:pPr>
            <w:r>
              <w:rPr>
                <w:rFonts w:hint="eastAsia" w:ascii="宋体" w:hAnsi="宋体" w:cs="宋体"/>
                <w:color w:val="auto"/>
                <w:szCs w:val="21"/>
                <w:highlight w:val="none"/>
              </w:rPr>
              <w:t>企业安全生产许可证</w:t>
            </w:r>
          </w:p>
        </w:tc>
        <w:tc>
          <w:tcPr>
            <w:tcW w:w="2553" w:type="pct"/>
            <w:noWrap w:val="0"/>
            <w:tcMar>
              <w:left w:w="75" w:type="dxa"/>
            </w:tcMar>
            <w:vAlign w:val="center"/>
          </w:tcPr>
          <w:p w14:paraId="576B177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检验电子标书</w:t>
            </w:r>
          </w:p>
          <w:p w14:paraId="506AE235">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b/>
                <w:bCs/>
                <w:smallCaps w:val="0"/>
                <w:color w:val="auto"/>
                <w:sz w:val="21"/>
                <w:szCs w:val="21"/>
                <w:highlight w:val="none"/>
                <w:lang w:val="en-US" w:eastAsia="zh-CN"/>
              </w:rPr>
              <w:t>注：联合体投标的，联合体各方均须提供</w:t>
            </w:r>
          </w:p>
        </w:tc>
      </w:tr>
      <w:tr w14:paraId="0ECD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307EE3EC">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0E43B80E">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7CA4E547">
            <w:pPr>
              <w:adjustRightInd w:val="0"/>
              <w:snapToGrid w:val="0"/>
              <w:spacing w:line="560" w:lineRule="exact"/>
              <w:jc w:val="center"/>
              <w:rPr>
                <w:rFonts w:hint="eastAsia" w:ascii="宋体" w:hAnsi="宋体" w:eastAsia="宋体" w:cs="宋体"/>
                <w:smallCaps w:val="0"/>
                <w:color w:val="auto"/>
                <w:sz w:val="21"/>
                <w:szCs w:val="21"/>
                <w:highlight w:val="none"/>
              </w:rPr>
            </w:pPr>
            <w:r>
              <w:rPr>
                <w:rFonts w:hint="eastAsia" w:ascii="宋体" w:hAnsi="宋体" w:cs="宋体"/>
                <w:color w:val="auto"/>
                <w:szCs w:val="21"/>
                <w:highlight w:val="none"/>
              </w:rPr>
              <w:t>项目经理（建造师）有效身份证、注册证书以及安全生产考核合格证书（B证）</w:t>
            </w:r>
          </w:p>
        </w:tc>
        <w:tc>
          <w:tcPr>
            <w:tcW w:w="2553" w:type="pct"/>
            <w:noWrap w:val="0"/>
            <w:tcMar>
              <w:left w:w="75" w:type="dxa"/>
            </w:tcMar>
            <w:vAlign w:val="center"/>
          </w:tcPr>
          <w:p w14:paraId="6141B491">
            <w:pPr>
              <w:pStyle w:val="56"/>
              <w:keepNext w:val="0"/>
              <w:keepLines w:val="0"/>
              <w:pageBreakBefore w:val="0"/>
              <w:widowControl w:val="0"/>
              <w:kinsoku/>
              <w:wordWrap/>
              <w:overflowPunct/>
              <w:topLinePunct w:val="0"/>
              <w:autoSpaceDE/>
              <w:autoSpaceDN/>
              <w:bidi w:val="0"/>
              <w:snapToGrid/>
              <w:spacing w:line="560" w:lineRule="exact"/>
              <w:textAlignment w:val="auto"/>
              <w:rPr>
                <w:rFonts w:hint="default"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检验电子标书</w:t>
            </w:r>
          </w:p>
        </w:tc>
      </w:tr>
      <w:tr w14:paraId="5CEE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61172D22">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219EF1C2">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702CF5BF">
            <w:pPr>
              <w:adjustRightInd w:val="0"/>
              <w:snapToGrid w:val="0"/>
              <w:spacing w:line="560" w:lineRule="exact"/>
              <w:jc w:val="center"/>
              <w:rPr>
                <w:rFonts w:hint="eastAsia" w:ascii="宋体" w:hAnsi="宋体" w:eastAsia="宋体" w:cs="宋体"/>
                <w:smallCaps w:val="0"/>
                <w:color w:val="auto"/>
                <w:sz w:val="21"/>
                <w:szCs w:val="21"/>
                <w:highlight w:val="none"/>
              </w:rPr>
            </w:pPr>
            <w:r>
              <w:rPr>
                <w:rFonts w:hint="eastAsia" w:ascii="宋体" w:hAnsi="宋体" w:cs="宋体"/>
                <w:color w:val="auto"/>
                <w:szCs w:val="21"/>
                <w:highlight w:val="none"/>
              </w:rPr>
              <w:t>养老保险证明</w:t>
            </w:r>
          </w:p>
        </w:tc>
        <w:tc>
          <w:tcPr>
            <w:tcW w:w="2553" w:type="pct"/>
            <w:noWrap w:val="0"/>
            <w:tcMar>
              <w:left w:w="75" w:type="dxa"/>
            </w:tcMar>
            <w:vAlign w:val="center"/>
          </w:tcPr>
          <w:p w14:paraId="671CA584">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拟任项目经理（建造师）须持有社保部门出具的本单位为其缴纳的</w:t>
            </w:r>
            <w:r>
              <w:rPr>
                <w:rFonts w:hint="eastAsia" w:ascii="宋体" w:hAnsi="宋体" w:cs="宋体"/>
                <w:b/>
                <w:bCs/>
                <w:color w:val="auto"/>
                <w:szCs w:val="21"/>
                <w:highlight w:val="none"/>
                <w:lang w:val="en-US" w:eastAsia="zh-CN"/>
              </w:rPr>
              <w:t>2026</w:t>
            </w:r>
            <w:r>
              <w:rPr>
                <w:rFonts w:hint="eastAsia" w:ascii="宋体" w:hAnsi="宋体" w:cs="宋体"/>
                <w:b/>
                <w:bCs/>
                <w:color w:val="auto"/>
                <w:szCs w:val="21"/>
                <w:highlight w:val="none"/>
                <w:lang w:eastAsia="zh-CN"/>
              </w:rPr>
              <w:t>年</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lang w:eastAsia="zh-CN"/>
              </w:rPr>
              <w:t>月至</w:t>
            </w:r>
            <w:r>
              <w:rPr>
                <w:rFonts w:hint="eastAsia" w:ascii="宋体" w:hAnsi="宋体" w:cs="宋体"/>
                <w:b/>
                <w:bCs/>
                <w:color w:val="auto"/>
                <w:szCs w:val="21"/>
                <w:highlight w:val="none"/>
                <w:lang w:val="en-US" w:eastAsia="zh-CN"/>
              </w:rPr>
              <w:t>2026</w:t>
            </w:r>
            <w:r>
              <w:rPr>
                <w:rFonts w:hint="eastAsia" w:ascii="宋体" w:hAnsi="宋体" w:cs="宋体"/>
                <w:b/>
                <w:bCs/>
                <w:color w:val="auto"/>
                <w:szCs w:val="21"/>
                <w:highlight w:val="none"/>
                <w:lang w:eastAsia="zh-CN"/>
              </w:rPr>
              <w:t>年</w:t>
            </w:r>
            <w:r>
              <w:rPr>
                <w:rFonts w:hint="eastAsia" w:ascii="宋体" w:hAnsi="宋体" w:cs="宋体"/>
                <w:b/>
                <w:bCs/>
                <w:color w:val="auto"/>
                <w:szCs w:val="21"/>
                <w:highlight w:val="none"/>
                <w:lang w:val="en-US" w:eastAsia="zh-CN"/>
              </w:rPr>
              <w:t>7</w:t>
            </w:r>
            <w:r>
              <w:rPr>
                <w:rFonts w:hint="eastAsia" w:ascii="宋体" w:hAnsi="宋体" w:cs="宋体"/>
                <w:b/>
                <w:bCs/>
                <w:color w:val="auto"/>
                <w:szCs w:val="21"/>
                <w:highlight w:val="none"/>
                <w:lang w:eastAsia="zh-CN"/>
              </w:rPr>
              <w:t>月范围内任意连续三个月的养老保险证明。</w:t>
            </w:r>
          </w:p>
          <w:p w14:paraId="548707D2">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cs="宋体"/>
                <w:b/>
                <w:bCs/>
                <w:color w:val="auto"/>
                <w:szCs w:val="21"/>
                <w:highlight w:val="none"/>
                <w:lang w:eastAsia="zh-CN"/>
              </w:rPr>
              <w:t>注：1、投标人是事业单位的，暂未缴纳养老保险的，须由其主管部门出具证明。2、如拟派项目经理为退休人员（包括提前退休人员，年龄在国家规定证书使用年限之前，执业年限应能覆盖项⽬⼯期），无法提供社保证明的，投标人应提供拟派项目经理的退休证及投标人企业聘用合同。提交的注册执业证书中聘用企业名称必须与投标人企业名称一致（</w:t>
            </w:r>
            <w:r>
              <w:rPr>
                <w:rFonts w:hint="eastAsia" w:ascii="宋体" w:hAnsi="宋体" w:cs="宋体"/>
                <w:b/>
                <w:bCs/>
                <w:color w:val="auto"/>
                <w:szCs w:val="21"/>
                <w:highlight w:val="none"/>
                <w:lang w:val="en-US" w:eastAsia="zh-CN"/>
              </w:rPr>
              <w:t xml:space="preserve">联合体投标，如提供项目经理（建造师）B岗的，还须提供项目经理（建造师）B岗的养老保险证明（要求同上）。） </w:t>
            </w:r>
            <w:r>
              <w:rPr>
                <w:rFonts w:hint="eastAsia" w:ascii="宋体" w:hAnsi="宋体" w:cs="宋体"/>
                <w:color w:val="auto"/>
                <w:szCs w:val="21"/>
                <w:highlight w:val="none"/>
                <w:lang w:val="en-US" w:eastAsia="zh-CN"/>
              </w:rPr>
              <w:t xml:space="preserve">  </w:t>
            </w:r>
          </w:p>
        </w:tc>
      </w:tr>
      <w:tr w14:paraId="6EEC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51FADBCB">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2D2DF624">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26A27FDA">
            <w:pPr>
              <w:adjustRightInd w:val="0"/>
              <w:snapToGrid w:val="0"/>
              <w:spacing w:line="560" w:lineRule="exact"/>
              <w:jc w:val="center"/>
              <w:rPr>
                <w:rFonts w:hint="eastAsia" w:ascii="宋体" w:hAnsi="宋体" w:eastAsia="宋体" w:cs="宋体"/>
                <w:smallCaps w:val="0"/>
                <w:color w:val="auto"/>
                <w:sz w:val="21"/>
                <w:szCs w:val="21"/>
                <w:highlight w:val="none"/>
              </w:rPr>
            </w:pPr>
            <w:r>
              <w:rPr>
                <w:rFonts w:hint="eastAsia" w:ascii="宋体" w:hAnsi="宋体" w:cs="宋体"/>
                <w:color w:val="auto"/>
                <w:szCs w:val="21"/>
                <w:highlight w:val="none"/>
              </w:rPr>
              <w:t>项目管理机构。</w:t>
            </w:r>
          </w:p>
        </w:tc>
        <w:tc>
          <w:tcPr>
            <w:tcW w:w="2553" w:type="pct"/>
            <w:noWrap w:val="0"/>
            <w:tcMar>
              <w:left w:w="75" w:type="dxa"/>
            </w:tcMar>
            <w:vAlign w:val="center"/>
          </w:tcPr>
          <w:p w14:paraId="15783635">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检验电子标书</w:t>
            </w:r>
          </w:p>
          <w:p w14:paraId="4AF720B9">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cs="宋体"/>
                <w:b/>
                <w:bCs/>
                <w:color w:val="auto"/>
                <w:szCs w:val="21"/>
                <w:highlight w:val="none"/>
              </w:rPr>
              <w:t>查看项目管理机构主要人员组成表</w:t>
            </w:r>
            <w:r>
              <w:rPr>
                <w:rFonts w:hint="eastAsia" w:ascii="宋体" w:hAnsi="宋体" w:cs="宋体"/>
                <w:b/>
                <w:bCs/>
                <w:color w:val="auto"/>
                <w:szCs w:val="21"/>
                <w:highlight w:val="none"/>
                <w:lang w:eastAsia="zh-CN"/>
              </w:rPr>
              <w:t>。</w:t>
            </w:r>
          </w:p>
        </w:tc>
      </w:tr>
      <w:tr w14:paraId="7864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39446ADE">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1AC23F47">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7379CD21">
            <w:pPr>
              <w:adjustRightInd w:val="0"/>
              <w:snapToGrid w:val="0"/>
              <w:spacing w:line="560" w:lineRule="exact"/>
              <w:jc w:val="center"/>
              <w:rPr>
                <w:rFonts w:hint="eastAsia" w:ascii="宋体" w:hAnsi="宋体" w:eastAsia="宋体" w:cs="宋体"/>
                <w:smallCaps w:val="0"/>
                <w:color w:val="auto"/>
                <w:sz w:val="21"/>
                <w:szCs w:val="21"/>
                <w:highlight w:val="none"/>
              </w:rPr>
            </w:pPr>
            <w:r>
              <w:rPr>
                <w:rFonts w:hint="eastAsia" w:ascii="宋体" w:hAnsi="宋体" w:cs="宋体"/>
                <w:color w:val="auto"/>
                <w:szCs w:val="21"/>
                <w:highlight w:val="none"/>
              </w:rPr>
              <w:t>联合体协议书（如有）</w:t>
            </w:r>
          </w:p>
        </w:tc>
        <w:tc>
          <w:tcPr>
            <w:tcW w:w="2553" w:type="pct"/>
            <w:noWrap w:val="0"/>
            <w:tcMar>
              <w:left w:w="75" w:type="dxa"/>
            </w:tcMar>
            <w:vAlign w:val="center"/>
          </w:tcPr>
          <w:p w14:paraId="47DC7372">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检验电子标书</w:t>
            </w:r>
          </w:p>
          <w:p w14:paraId="13348DB6">
            <w:pPr>
              <w:pStyle w:val="56"/>
              <w:keepNext w:val="0"/>
              <w:keepLines w:val="0"/>
              <w:pageBreakBefore w:val="0"/>
              <w:widowControl w:val="0"/>
              <w:kinsoku/>
              <w:wordWrap/>
              <w:overflowPunct/>
              <w:topLinePunct w:val="0"/>
              <w:autoSpaceDE/>
              <w:autoSpaceDN/>
              <w:bidi w:val="0"/>
              <w:snapToGrid/>
              <w:spacing w:line="560" w:lineRule="exact"/>
              <w:textAlignment w:val="auto"/>
              <w:rPr>
                <w:rFonts w:hint="default" w:ascii="宋体" w:hAnsi="宋体" w:eastAsia="宋体" w:cs="宋体"/>
                <w:smallCaps w:val="0"/>
                <w:color w:val="auto"/>
                <w:sz w:val="21"/>
                <w:szCs w:val="21"/>
                <w:highlight w:val="none"/>
                <w:lang w:val="en-US" w:eastAsia="zh-CN"/>
              </w:rPr>
            </w:pPr>
            <w:r>
              <w:rPr>
                <w:rFonts w:hint="eastAsia" w:ascii="宋体" w:hAnsi="宋体" w:eastAsia="宋体" w:cs="宋体"/>
                <w:b/>
                <w:bCs/>
                <w:color w:val="auto"/>
                <w:szCs w:val="21"/>
                <w:highlight w:val="none"/>
                <w:lang w:val="en-US" w:eastAsia="zh-CN"/>
              </w:rPr>
              <w:t>格式见附件。</w:t>
            </w:r>
          </w:p>
        </w:tc>
      </w:tr>
      <w:tr w14:paraId="0C76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restart"/>
            <w:noWrap w:val="0"/>
            <w:vAlign w:val="center"/>
          </w:tcPr>
          <w:p w14:paraId="042AC60E">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2.1.3</w:t>
            </w:r>
          </w:p>
        </w:tc>
        <w:tc>
          <w:tcPr>
            <w:tcW w:w="718" w:type="pct"/>
            <w:vMerge w:val="restart"/>
            <w:noWrap w:val="0"/>
            <w:vAlign w:val="center"/>
          </w:tcPr>
          <w:p w14:paraId="3C7578F2">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响应性评审标准</w:t>
            </w:r>
          </w:p>
        </w:tc>
        <w:tc>
          <w:tcPr>
            <w:tcW w:w="1300" w:type="pct"/>
            <w:noWrap w:val="0"/>
            <w:tcMar>
              <w:left w:w="75" w:type="dxa"/>
            </w:tcMar>
            <w:vAlign w:val="center"/>
          </w:tcPr>
          <w:p w14:paraId="59619EBF">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投标内容</w:t>
            </w:r>
          </w:p>
        </w:tc>
        <w:tc>
          <w:tcPr>
            <w:tcW w:w="2553" w:type="pct"/>
            <w:noWrap w:val="0"/>
            <w:tcMar>
              <w:left w:w="75" w:type="dxa"/>
            </w:tcMar>
            <w:vAlign w:val="center"/>
          </w:tcPr>
          <w:p w14:paraId="61AC5BE0">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符合第二章“投标人须知”第1.3.1项规定。</w:t>
            </w:r>
          </w:p>
        </w:tc>
      </w:tr>
      <w:tr w14:paraId="23E8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61BB759F">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11901086">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535E62B1">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工期</w:t>
            </w:r>
          </w:p>
        </w:tc>
        <w:tc>
          <w:tcPr>
            <w:tcW w:w="2553" w:type="pct"/>
            <w:noWrap w:val="0"/>
            <w:tcMar>
              <w:left w:w="75" w:type="dxa"/>
            </w:tcMar>
            <w:vAlign w:val="center"/>
          </w:tcPr>
          <w:p w14:paraId="518AE000">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符合第二章“投标人须知”第1.3.2项规定。</w:t>
            </w:r>
          </w:p>
        </w:tc>
      </w:tr>
      <w:tr w14:paraId="0E2C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3D8C1D0E">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115132CA">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0833AAFA">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质量标准</w:t>
            </w:r>
          </w:p>
        </w:tc>
        <w:tc>
          <w:tcPr>
            <w:tcW w:w="2553" w:type="pct"/>
            <w:noWrap w:val="0"/>
            <w:tcMar>
              <w:left w:w="75" w:type="dxa"/>
            </w:tcMar>
            <w:vAlign w:val="center"/>
          </w:tcPr>
          <w:p w14:paraId="67654A00">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符合第二章“投标人须知”第1.3.3项规定。</w:t>
            </w:r>
          </w:p>
        </w:tc>
      </w:tr>
      <w:tr w14:paraId="6F1C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707A6425">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6DB0B5E0">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2C09C402">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投标有效期</w:t>
            </w:r>
          </w:p>
        </w:tc>
        <w:tc>
          <w:tcPr>
            <w:tcW w:w="2553" w:type="pct"/>
            <w:noWrap w:val="0"/>
            <w:tcMar>
              <w:left w:w="75" w:type="dxa"/>
            </w:tcMar>
            <w:vAlign w:val="center"/>
          </w:tcPr>
          <w:p w14:paraId="030B6748">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符合第二章“投标人须知”第3.3.1项规定。</w:t>
            </w:r>
          </w:p>
        </w:tc>
      </w:tr>
      <w:tr w14:paraId="654F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304710BF">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2B30EB61">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1366FF86">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投标保证金</w:t>
            </w:r>
          </w:p>
        </w:tc>
        <w:tc>
          <w:tcPr>
            <w:tcW w:w="2553" w:type="pct"/>
            <w:noWrap w:val="0"/>
            <w:tcMar>
              <w:left w:w="75" w:type="dxa"/>
            </w:tcMar>
            <w:vAlign w:val="center"/>
          </w:tcPr>
          <w:p w14:paraId="61FAB8C9">
            <w:pPr>
              <w:pStyle w:val="56"/>
              <w:keepNext w:val="0"/>
              <w:keepLines w:val="0"/>
              <w:pageBreakBefore w:val="0"/>
              <w:widowControl w:val="0"/>
              <w:kinsoku/>
              <w:wordWrap/>
              <w:overflowPunct/>
              <w:topLinePunct w:val="0"/>
              <w:autoSpaceDE/>
              <w:autoSpaceDN/>
              <w:bidi w:val="0"/>
              <w:snapToGrid/>
              <w:spacing w:line="560" w:lineRule="exact"/>
              <w:jc w:val="lef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符合第二章“投标人须知”第3.4.1项规定。</w:t>
            </w:r>
          </w:p>
        </w:tc>
      </w:tr>
      <w:tr w14:paraId="3705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375330EE">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012AF783">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15D2E9F8">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分包计划</w:t>
            </w:r>
          </w:p>
        </w:tc>
        <w:tc>
          <w:tcPr>
            <w:tcW w:w="2553" w:type="pct"/>
            <w:noWrap w:val="0"/>
            <w:tcMar>
              <w:left w:w="75" w:type="dxa"/>
            </w:tcMar>
            <w:vAlign w:val="center"/>
          </w:tcPr>
          <w:p w14:paraId="6625BCB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投标人如有分包计划，符合招标文件第二章“投标人须知”第1.11款规定，且按照招标文件第八章“投标文件格式”的要求填写了“拟分包项目情况表”。</w:t>
            </w:r>
          </w:p>
        </w:tc>
      </w:tr>
      <w:tr w14:paraId="54E2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7" w:type="pct"/>
            <w:vMerge w:val="continue"/>
            <w:noWrap w:val="0"/>
            <w:vAlign w:val="center"/>
          </w:tcPr>
          <w:p w14:paraId="3460D655">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718" w:type="pct"/>
            <w:vMerge w:val="continue"/>
            <w:noWrap w:val="0"/>
            <w:vAlign w:val="center"/>
          </w:tcPr>
          <w:p w14:paraId="060E266B">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1300" w:type="pct"/>
            <w:noWrap w:val="0"/>
            <w:tcMar>
              <w:left w:w="75" w:type="dxa"/>
            </w:tcMar>
            <w:vAlign w:val="center"/>
          </w:tcPr>
          <w:p w14:paraId="2591C6C5">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其他实质性要求</w:t>
            </w:r>
          </w:p>
        </w:tc>
        <w:tc>
          <w:tcPr>
            <w:tcW w:w="2553" w:type="pct"/>
            <w:noWrap w:val="0"/>
            <w:tcMar>
              <w:left w:w="75" w:type="dxa"/>
            </w:tcMar>
            <w:vAlign w:val="center"/>
          </w:tcPr>
          <w:p w14:paraId="298C16C0">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符合招标文件的其他实质性要求和条件。</w:t>
            </w:r>
          </w:p>
        </w:tc>
      </w:tr>
    </w:tbl>
    <w:p w14:paraId="48F514F2">
      <w:pPr>
        <w:keepNext w:val="0"/>
        <w:keepLines w:val="0"/>
        <w:pageBreakBefore w:val="0"/>
        <w:widowControl w:val="0"/>
        <w:kinsoku/>
        <w:wordWrap/>
        <w:overflowPunct/>
        <w:topLinePunct w:val="0"/>
        <w:autoSpaceDE/>
        <w:autoSpaceDN/>
        <w:bidi w:val="0"/>
        <w:adjustRightInd w:val="0"/>
        <w:snapToGrid w:val="0"/>
        <w:spacing w:line="560" w:lineRule="exact"/>
        <w:ind w:firstLine="422" w:firstLineChars="200"/>
        <w:jc w:val="left"/>
        <w:textAlignment w:val="auto"/>
        <w:rPr>
          <w:rFonts w:hint="eastAsia" w:ascii="黑体" w:hAnsi="黑体" w:eastAsia="黑体" w:cs="黑体"/>
          <w:b/>
          <w:bCs/>
          <w:color w:val="auto"/>
          <w:szCs w:val="21"/>
          <w:highlight w:val="none"/>
        </w:rPr>
      </w:pPr>
      <w:bookmarkStart w:id="686" w:name="_Toc32245"/>
      <w:bookmarkStart w:id="687" w:name="_Toc29298"/>
      <w:bookmarkStart w:id="688" w:name="_Toc27981"/>
      <w:bookmarkStart w:id="689" w:name="_Toc3337"/>
      <w:bookmarkStart w:id="690" w:name="_Toc118586943"/>
      <w:bookmarkStart w:id="691" w:name="_Toc31946"/>
      <w:bookmarkStart w:id="692" w:name="_Toc27196"/>
      <w:bookmarkStart w:id="693" w:name="_Toc29404"/>
      <w:r>
        <w:rPr>
          <w:rFonts w:hint="eastAsia" w:ascii="黑体" w:hAnsi="黑体" w:eastAsia="黑体" w:cs="黑体"/>
          <w:b/>
          <w:bCs/>
          <w:color w:val="auto"/>
          <w:szCs w:val="21"/>
          <w:highlight w:val="none"/>
        </w:rPr>
        <w:t>重要提示：</w:t>
      </w:r>
    </w:p>
    <w:p w14:paraId="16508E80">
      <w:pPr>
        <w:adjustRightInd w:val="0"/>
        <w:snapToGrid w:val="0"/>
        <w:spacing w:line="560" w:lineRule="exact"/>
        <w:ind w:firstLine="422" w:firstLineChars="200"/>
        <w:jc w:val="left"/>
        <w:rPr>
          <w:rFonts w:hint="eastAsia" w:ascii="黑体" w:hAnsi="黑体" w:eastAsia="黑体" w:cs="黑体"/>
          <w:b/>
          <w:bCs/>
          <w:color w:val="auto"/>
          <w:szCs w:val="21"/>
          <w:highlight w:val="none"/>
        </w:rPr>
      </w:pPr>
      <w:r>
        <w:rPr>
          <w:rFonts w:hint="eastAsia" w:ascii="黑体" w:hAnsi="黑体" w:eastAsia="黑体" w:cs="黑体"/>
          <w:b/>
          <w:bCs/>
          <w:color w:val="auto"/>
          <w:szCs w:val="21"/>
          <w:highlight w:val="none"/>
        </w:rPr>
        <w:t>（1）资格审查材料可以选择①上传到安徽省公共资源交易市场主体库中，制作投标文件时插上CA数字证书，从安徽省公共资源交易市场主体库中挑选相关材料，或按招标文件要求上传至指定位置；若所需材料无对应栏目，则将该材料上传至“其他所需材料”里，做电子投标文件时从“其他所需材料”里获取。请各投标人自行完善安徽省公共资源交易市场主体库中的单位信息，保证信息最新且有效。②或使用国家企业信用信息公示系统和全国建筑市场监管公共服务平台接口获取营业执照、建设工程相关证书等政务数据，投标人自行核验政务数据的准确性，对引用的政务数据承担责任。</w:t>
      </w:r>
    </w:p>
    <w:p w14:paraId="79E5D76F">
      <w:pPr>
        <w:adjustRightInd w:val="0"/>
        <w:snapToGrid w:val="0"/>
        <w:spacing w:line="560" w:lineRule="exact"/>
        <w:ind w:firstLine="422" w:firstLineChars="200"/>
        <w:jc w:val="left"/>
        <w:rPr>
          <w:rFonts w:hint="eastAsia" w:ascii="黑体" w:hAnsi="黑体" w:eastAsia="黑体" w:cs="黑体"/>
          <w:b/>
          <w:bCs/>
          <w:color w:val="auto"/>
          <w:szCs w:val="21"/>
          <w:highlight w:val="none"/>
        </w:rPr>
      </w:pPr>
      <w:r>
        <w:rPr>
          <w:rFonts w:hint="eastAsia" w:ascii="黑体" w:hAnsi="黑体" w:eastAsia="黑体" w:cs="黑体"/>
          <w:b/>
          <w:bCs/>
          <w:color w:val="auto"/>
          <w:szCs w:val="21"/>
          <w:highlight w:val="none"/>
        </w:rPr>
        <w:t>（2）评标专家在检验电子投标文件过程中，如果由于投标人自身原因导致评标专家无法查看并检验电子投标文件中相关资料的，视为无效标处理。即使投标人将原件携带至现场的，同样按无效标处理。</w:t>
      </w:r>
    </w:p>
    <w:p w14:paraId="6F6A2D35">
      <w:pPr>
        <w:spacing w:line="560" w:lineRule="exact"/>
        <w:ind w:firstLine="422" w:firstLineChars="200"/>
        <w:rPr>
          <w:rFonts w:hint="eastAsia" w:ascii="黑体" w:hAnsi="黑体" w:eastAsia="黑体" w:cs="黑体"/>
          <w:b/>
          <w:bCs/>
          <w:color w:val="auto"/>
          <w:szCs w:val="21"/>
          <w:highlight w:val="none"/>
        </w:rPr>
      </w:pPr>
      <w:r>
        <w:rPr>
          <w:rFonts w:hint="eastAsia" w:ascii="黑体" w:hAnsi="黑体" w:eastAsia="黑体" w:cs="黑体"/>
          <w:b/>
          <w:bCs/>
          <w:color w:val="auto"/>
          <w:szCs w:val="21"/>
          <w:highlight w:val="none"/>
        </w:rPr>
        <w:t>（3）投标人拟委任项目经理为注册建造师（含一级、二级）的，须提供在电子证书使用有效期内的纸质版电子证书。</w:t>
      </w:r>
      <w:r>
        <w:rPr>
          <w:rFonts w:ascii="黑体" w:hAnsi="黑体" w:eastAsia="黑体" w:cs="黑体"/>
          <w:b/>
          <w:bCs/>
          <w:color w:val="auto"/>
          <w:szCs w:val="21"/>
          <w:highlight w:val="none"/>
        </w:rPr>
        <w:t>一级建造师打印电子证书后，应在个人签名处手写本人签名，未手写签名或与签名图像笔迹不一致的，该电子证书无效。</w:t>
      </w:r>
    </w:p>
    <w:p w14:paraId="29AC1109">
      <w:pPr>
        <w:keepNext w:val="0"/>
        <w:keepLines w:val="0"/>
        <w:pageBreakBefore w:val="0"/>
        <w:widowControl w:val="0"/>
        <w:kinsoku/>
        <w:wordWrap/>
        <w:overflowPunct/>
        <w:topLinePunct w:val="0"/>
        <w:autoSpaceDE/>
        <w:autoSpaceDN/>
        <w:bidi w:val="0"/>
        <w:spacing w:line="560" w:lineRule="exact"/>
        <w:textAlignment w:val="auto"/>
        <w:rPr>
          <w:rFonts w:hint="eastAsia" w:ascii="Times New Roman" w:hAnsi="Times New Roman" w:eastAsia="宋体" w:cs="宋体"/>
          <w:b/>
          <w:bCs/>
          <w:smallCaps w:val="0"/>
          <w:color w:val="auto"/>
          <w:sz w:val="24"/>
          <w:szCs w:val="24"/>
          <w:highlight w:val="none"/>
        </w:rPr>
      </w:pPr>
      <w:r>
        <w:rPr>
          <w:rFonts w:hint="eastAsia" w:ascii="黑体" w:hAnsi="黑体" w:eastAsia="黑体" w:cs="黑体"/>
          <w:b/>
          <w:bCs/>
          <w:color w:val="auto"/>
          <w:szCs w:val="21"/>
          <w:highlight w:val="none"/>
        </w:rPr>
        <w:t>投标人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其他省份按各省相关规定执行。</w:t>
      </w:r>
      <w:r>
        <w:rPr>
          <w:rFonts w:hint="eastAsia" w:ascii="Times New Roman" w:hAnsi="Times New Roman" w:eastAsia="宋体" w:cs="宋体"/>
          <w:b/>
          <w:bCs/>
          <w:smallCaps w:val="0"/>
          <w:color w:val="auto"/>
          <w:sz w:val="24"/>
          <w:szCs w:val="24"/>
          <w:highlight w:val="none"/>
        </w:rPr>
        <w:br w:type="page"/>
      </w:r>
    </w:p>
    <w:p w14:paraId="27F9FFC9">
      <w:pPr>
        <w:pStyle w:val="59"/>
        <w:bidi w:val="0"/>
        <w:outlineLvl w:val="9"/>
        <w:rPr>
          <w:rFonts w:hint="eastAsia" w:ascii="Times New Roman" w:hAnsi="Times New Roman"/>
          <w:smallCaps w:val="0"/>
          <w:color w:val="auto"/>
          <w:highlight w:val="none"/>
        </w:rPr>
      </w:pPr>
      <w:r>
        <w:rPr>
          <w:rFonts w:hint="eastAsia" w:ascii="Times New Roman" w:hAnsi="Times New Roman"/>
          <w:smallCaps w:val="0"/>
          <w:color w:val="auto"/>
          <w:highlight w:val="none"/>
        </w:rPr>
        <w:t>报价文件初步评审标准</w:t>
      </w:r>
      <w:bookmarkEnd w:id="686"/>
      <w:bookmarkEnd w:id="687"/>
      <w:bookmarkEnd w:id="688"/>
      <w:bookmarkEnd w:id="689"/>
      <w:bookmarkEnd w:id="690"/>
      <w:bookmarkEnd w:id="691"/>
      <w:bookmarkEnd w:id="692"/>
      <w:bookmarkEnd w:id="693"/>
    </w:p>
    <w:tbl>
      <w:tblPr>
        <w:tblStyle w:val="20"/>
        <w:tblW w:w="5945" w:type="pct"/>
        <w:tblInd w:w="-868"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956"/>
        <w:gridCol w:w="1434"/>
        <w:gridCol w:w="1883"/>
        <w:gridCol w:w="6398"/>
      </w:tblGrid>
      <w:tr w14:paraId="7B51070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40" w:hRule="atLeast"/>
          <w:tblHeader/>
        </w:trPr>
        <w:tc>
          <w:tcPr>
            <w:tcW w:w="1119" w:type="pct"/>
            <w:gridSpan w:val="2"/>
            <w:tcBorders>
              <w:top w:val="outset" w:color="auto" w:sz="6" w:space="0"/>
              <w:left w:val="outset" w:color="auto" w:sz="6" w:space="0"/>
              <w:bottom w:val="outset" w:color="auto" w:sz="6" w:space="0"/>
              <w:right w:val="single" w:color="auto" w:sz="4" w:space="0"/>
            </w:tcBorders>
            <w:noWrap w:val="0"/>
            <w:vAlign w:val="center"/>
          </w:tcPr>
          <w:p w14:paraId="253FCF4E">
            <w:pPr>
              <w:pStyle w:val="61"/>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条款号</w:t>
            </w:r>
          </w:p>
        </w:tc>
        <w:tc>
          <w:tcPr>
            <w:tcW w:w="882" w:type="pct"/>
            <w:tcBorders>
              <w:top w:val="outset" w:color="auto" w:sz="6" w:space="0"/>
              <w:left w:val="single" w:color="auto" w:sz="4" w:space="0"/>
              <w:bottom w:val="outset" w:color="auto" w:sz="6" w:space="0"/>
              <w:right w:val="single" w:color="auto" w:sz="4" w:space="0"/>
            </w:tcBorders>
            <w:noWrap w:val="0"/>
            <w:vAlign w:val="center"/>
          </w:tcPr>
          <w:p w14:paraId="45D796D6">
            <w:pPr>
              <w:pStyle w:val="61"/>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评审因素</w:t>
            </w:r>
          </w:p>
        </w:tc>
        <w:tc>
          <w:tcPr>
            <w:tcW w:w="2997" w:type="pct"/>
            <w:tcBorders>
              <w:top w:val="outset" w:color="auto" w:sz="6" w:space="0"/>
              <w:left w:val="single" w:color="auto" w:sz="4" w:space="0"/>
              <w:bottom w:val="outset" w:color="auto" w:sz="6" w:space="0"/>
              <w:right w:val="outset" w:color="auto" w:sz="6" w:space="0"/>
            </w:tcBorders>
            <w:noWrap w:val="0"/>
            <w:vAlign w:val="center"/>
          </w:tcPr>
          <w:p w14:paraId="635EE6CD">
            <w:pPr>
              <w:pStyle w:val="61"/>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评审标准</w:t>
            </w:r>
          </w:p>
        </w:tc>
      </w:tr>
      <w:tr w14:paraId="1FE9A7E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restart"/>
            <w:tcBorders>
              <w:top w:val="outset" w:color="auto" w:sz="6" w:space="0"/>
              <w:left w:val="outset" w:color="auto" w:sz="6" w:space="0"/>
              <w:bottom w:val="outset" w:color="auto" w:sz="6" w:space="0"/>
              <w:right w:val="outset" w:color="auto" w:sz="6" w:space="0"/>
            </w:tcBorders>
            <w:noWrap w:val="0"/>
            <w:vAlign w:val="center"/>
          </w:tcPr>
          <w:p w14:paraId="655BB873">
            <w:pPr>
              <w:pStyle w:val="63"/>
              <w:keepNext w:val="0"/>
              <w:keepLines w:val="0"/>
              <w:pageBreakBefore w:val="0"/>
              <w:widowControl w:val="0"/>
              <w:kinsoku/>
              <w:wordWrap/>
              <w:overflowPunct/>
              <w:topLinePunct w:val="0"/>
              <w:autoSpaceDE/>
              <w:autoSpaceDN/>
              <w:bidi w:val="0"/>
              <w:snapToGrid/>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2.1.1</w:t>
            </w:r>
          </w:p>
        </w:tc>
        <w:tc>
          <w:tcPr>
            <w:tcW w:w="672" w:type="pct"/>
            <w:vMerge w:val="restart"/>
            <w:tcBorders>
              <w:top w:val="outset" w:color="auto" w:sz="6" w:space="0"/>
              <w:left w:val="outset" w:color="auto" w:sz="6" w:space="0"/>
              <w:bottom w:val="outset" w:color="auto" w:sz="6" w:space="0"/>
              <w:right w:val="single" w:color="auto" w:sz="4" w:space="0"/>
            </w:tcBorders>
            <w:noWrap w:val="0"/>
            <w:vAlign w:val="center"/>
          </w:tcPr>
          <w:p w14:paraId="22F060DF">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形式评审标准</w:t>
            </w:r>
          </w:p>
        </w:tc>
        <w:tc>
          <w:tcPr>
            <w:tcW w:w="882" w:type="pct"/>
            <w:tcBorders>
              <w:top w:val="outset" w:color="auto" w:sz="6" w:space="0"/>
              <w:left w:val="single" w:color="auto" w:sz="4" w:space="0"/>
              <w:bottom w:val="outset" w:color="auto" w:sz="6" w:space="0"/>
              <w:right w:val="outset" w:color="auto" w:sz="6" w:space="0"/>
            </w:tcBorders>
            <w:noWrap w:val="0"/>
            <w:tcMar>
              <w:left w:w="75" w:type="dxa"/>
            </w:tcMar>
            <w:vAlign w:val="center"/>
          </w:tcPr>
          <w:p w14:paraId="706FFD07">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投标人名称</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62A8A737">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与营业执照、资质证书、安全生产许可证一致。</w:t>
            </w:r>
          </w:p>
        </w:tc>
      </w:tr>
      <w:tr w14:paraId="5CA27EE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continue"/>
            <w:tcBorders>
              <w:top w:val="outset" w:color="auto" w:sz="6" w:space="0"/>
              <w:left w:val="outset" w:color="auto" w:sz="6" w:space="0"/>
              <w:bottom w:val="outset" w:color="auto" w:sz="6" w:space="0"/>
              <w:right w:val="outset" w:color="auto" w:sz="6" w:space="0"/>
            </w:tcBorders>
            <w:noWrap w:val="0"/>
            <w:vAlign w:val="center"/>
          </w:tcPr>
          <w:p w14:paraId="7D1E1AC4">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672" w:type="pct"/>
            <w:vMerge w:val="continue"/>
            <w:tcBorders>
              <w:top w:val="outset" w:color="auto" w:sz="6" w:space="0"/>
              <w:left w:val="outset" w:color="auto" w:sz="6" w:space="0"/>
              <w:bottom w:val="outset" w:color="auto" w:sz="6" w:space="0"/>
              <w:right w:val="single" w:color="auto" w:sz="4" w:space="0"/>
            </w:tcBorders>
            <w:noWrap w:val="0"/>
            <w:vAlign w:val="center"/>
          </w:tcPr>
          <w:p w14:paraId="1D2B002A">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882" w:type="pct"/>
            <w:tcBorders>
              <w:top w:val="outset" w:color="auto" w:sz="6" w:space="0"/>
              <w:left w:val="single" w:color="auto" w:sz="4" w:space="0"/>
              <w:bottom w:val="outset" w:color="auto" w:sz="6" w:space="0"/>
              <w:right w:val="outset" w:color="auto" w:sz="6" w:space="0"/>
            </w:tcBorders>
            <w:noWrap w:val="0"/>
            <w:tcMar>
              <w:left w:w="75" w:type="dxa"/>
            </w:tcMar>
            <w:vAlign w:val="center"/>
          </w:tcPr>
          <w:p w14:paraId="118B986A">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签字盖章</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59F8DD2D">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符合第二章“投标人须知”第3.</w:t>
            </w:r>
            <w:r>
              <w:rPr>
                <w:rFonts w:hint="eastAsia" w:ascii="宋体" w:hAnsi="宋体" w:eastAsia="宋体" w:cs="宋体"/>
                <w:smallCaps w:val="0"/>
                <w:color w:val="auto"/>
                <w:sz w:val="21"/>
                <w:szCs w:val="21"/>
                <w:highlight w:val="none"/>
                <w:lang w:val="en-US" w:eastAsia="zh-CN"/>
              </w:rPr>
              <w:t>5.6</w:t>
            </w:r>
            <w:r>
              <w:rPr>
                <w:rFonts w:hint="eastAsia" w:ascii="宋体" w:hAnsi="宋体" w:eastAsia="宋体" w:cs="宋体"/>
                <w:smallCaps w:val="0"/>
                <w:color w:val="auto"/>
                <w:sz w:val="21"/>
                <w:szCs w:val="21"/>
                <w:highlight w:val="none"/>
              </w:rPr>
              <w:t>项规定。</w:t>
            </w:r>
          </w:p>
        </w:tc>
      </w:tr>
      <w:tr w14:paraId="5E199FB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continue"/>
            <w:tcBorders>
              <w:top w:val="outset" w:color="auto" w:sz="6" w:space="0"/>
              <w:left w:val="outset" w:color="auto" w:sz="6" w:space="0"/>
              <w:bottom w:val="outset" w:color="auto" w:sz="6" w:space="0"/>
              <w:right w:val="outset" w:color="auto" w:sz="6" w:space="0"/>
            </w:tcBorders>
            <w:noWrap w:val="0"/>
            <w:vAlign w:val="center"/>
          </w:tcPr>
          <w:p w14:paraId="1A43333B">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672" w:type="pct"/>
            <w:vMerge w:val="continue"/>
            <w:tcBorders>
              <w:top w:val="outset" w:color="auto" w:sz="6" w:space="0"/>
              <w:left w:val="outset" w:color="auto" w:sz="6" w:space="0"/>
              <w:bottom w:val="outset" w:color="auto" w:sz="6" w:space="0"/>
              <w:right w:val="single" w:color="auto" w:sz="4" w:space="0"/>
            </w:tcBorders>
            <w:noWrap w:val="0"/>
            <w:vAlign w:val="center"/>
          </w:tcPr>
          <w:p w14:paraId="19172513">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882" w:type="pct"/>
            <w:tcBorders>
              <w:top w:val="outset" w:color="auto" w:sz="6" w:space="0"/>
              <w:left w:val="single" w:color="auto" w:sz="4" w:space="0"/>
              <w:bottom w:val="outset" w:color="auto" w:sz="6" w:space="0"/>
              <w:right w:val="outset" w:color="auto" w:sz="6" w:space="0"/>
            </w:tcBorders>
            <w:noWrap w:val="0"/>
            <w:tcMar>
              <w:left w:w="75" w:type="dxa"/>
            </w:tcMar>
            <w:vAlign w:val="center"/>
          </w:tcPr>
          <w:p w14:paraId="1A2524AD">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投标文件格式</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4DEE7A2F">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（1）报价文件电子文件可以正常读取；</w:t>
            </w:r>
          </w:p>
          <w:p w14:paraId="5265BF67">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（2）符合第八章“投标文件格式”的规定，关键字迹清晰可辨。</w:t>
            </w:r>
          </w:p>
        </w:tc>
      </w:tr>
      <w:tr w14:paraId="1A30A37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continue"/>
            <w:tcBorders>
              <w:top w:val="outset" w:color="auto" w:sz="6" w:space="0"/>
              <w:left w:val="outset" w:color="auto" w:sz="6" w:space="0"/>
              <w:bottom w:val="outset" w:color="auto" w:sz="6" w:space="0"/>
              <w:right w:val="outset" w:color="auto" w:sz="6" w:space="0"/>
            </w:tcBorders>
            <w:noWrap w:val="0"/>
            <w:vAlign w:val="center"/>
          </w:tcPr>
          <w:p w14:paraId="6A4A8178">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672" w:type="pct"/>
            <w:vMerge w:val="continue"/>
            <w:tcBorders>
              <w:top w:val="outset" w:color="auto" w:sz="6" w:space="0"/>
              <w:left w:val="outset" w:color="auto" w:sz="6" w:space="0"/>
              <w:bottom w:val="outset" w:color="auto" w:sz="6" w:space="0"/>
              <w:right w:val="single" w:color="auto" w:sz="4" w:space="0"/>
            </w:tcBorders>
            <w:noWrap w:val="0"/>
            <w:vAlign w:val="center"/>
          </w:tcPr>
          <w:p w14:paraId="0BD117B0">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882" w:type="pct"/>
            <w:tcBorders>
              <w:top w:val="outset" w:color="auto" w:sz="6" w:space="0"/>
              <w:left w:val="single" w:color="auto" w:sz="4" w:space="0"/>
              <w:bottom w:val="outset" w:color="auto" w:sz="6" w:space="0"/>
              <w:right w:val="outset" w:color="auto" w:sz="6" w:space="0"/>
            </w:tcBorders>
            <w:noWrap w:val="0"/>
            <w:tcMar>
              <w:left w:w="75" w:type="dxa"/>
            </w:tcMar>
            <w:vAlign w:val="center"/>
          </w:tcPr>
          <w:p w14:paraId="3C38002D">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备选投标方案</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3CB2E23C">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除招标文件明确允许备选投标方案外，投标人不得提交备选投标方案。</w:t>
            </w:r>
          </w:p>
        </w:tc>
      </w:tr>
      <w:tr w14:paraId="7000568D">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continue"/>
            <w:tcBorders>
              <w:top w:val="outset" w:color="auto" w:sz="6" w:space="0"/>
              <w:left w:val="outset" w:color="auto" w:sz="6" w:space="0"/>
              <w:bottom w:val="outset" w:color="auto" w:sz="6" w:space="0"/>
              <w:right w:val="outset" w:color="auto" w:sz="6" w:space="0"/>
            </w:tcBorders>
            <w:noWrap w:val="0"/>
            <w:vAlign w:val="center"/>
          </w:tcPr>
          <w:p w14:paraId="6C25761B">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672" w:type="pct"/>
            <w:vMerge w:val="continue"/>
            <w:tcBorders>
              <w:top w:val="outset" w:color="auto" w:sz="6" w:space="0"/>
              <w:left w:val="outset" w:color="auto" w:sz="6" w:space="0"/>
              <w:bottom w:val="outset" w:color="auto" w:sz="6" w:space="0"/>
              <w:right w:val="single" w:color="auto" w:sz="4" w:space="0"/>
            </w:tcBorders>
            <w:noWrap w:val="0"/>
            <w:vAlign w:val="center"/>
          </w:tcPr>
          <w:p w14:paraId="0E07BF1E">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882" w:type="pct"/>
            <w:tcBorders>
              <w:top w:val="outset" w:color="auto" w:sz="6" w:space="0"/>
              <w:left w:val="single" w:color="auto" w:sz="4" w:space="0"/>
              <w:bottom w:val="outset" w:color="auto" w:sz="6" w:space="0"/>
              <w:right w:val="outset" w:color="auto" w:sz="6" w:space="0"/>
            </w:tcBorders>
            <w:noWrap w:val="0"/>
            <w:tcMar>
              <w:left w:w="75" w:type="dxa"/>
            </w:tcMar>
            <w:vAlign w:val="center"/>
          </w:tcPr>
          <w:p w14:paraId="660A33D0">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未出现异常情形</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top"/>
          </w:tcPr>
          <w:p w14:paraId="7E64719F">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不同投标人未出现下列情形：</w:t>
            </w:r>
          </w:p>
          <w:p w14:paraId="56656494">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（1）投标MAC地址一致；</w:t>
            </w:r>
          </w:p>
          <w:p w14:paraId="52CCE57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（2）投标文件制作机器码或创建标识码或造价软件加密锁号信息；</w:t>
            </w:r>
          </w:p>
          <w:p w14:paraId="228655AA">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（3）申请开具电子保函MAC地址一致；</w:t>
            </w:r>
          </w:p>
          <w:p w14:paraId="655B2BD1">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（4）投标人联系人或联系电话相同。</w:t>
            </w:r>
          </w:p>
        </w:tc>
      </w:tr>
      <w:tr w14:paraId="251DE74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restart"/>
            <w:tcBorders>
              <w:top w:val="outset" w:color="auto" w:sz="6" w:space="0"/>
              <w:left w:val="outset" w:color="auto" w:sz="6" w:space="0"/>
              <w:bottom w:val="outset" w:color="auto" w:sz="6" w:space="0"/>
              <w:right w:val="single" w:color="auto" w:sz="4" w:space="0"/>
            </w:tcBorders>
            <w:noWrap w:val="0"/>
            <w:vAlign w:val="center"/>
          </w:tcPr>
          <w:p w14:paraId="56177AAF">
            <w:pPr>
              <w:pStyle w:val="63"/>
              <w:keepNext w:val="0"/>
              <w:keepLines w:val="0"/>
              <w:pageBreakBefore w:val="0"/>
              <w:widowControl w:val="0"/>
              <w:kinsoku/>
              <w:wordWrap/>
              <w:overflowPunct/>
              <w:topLinePunct w:val="0"/>
              <w:autoSpaceDE/>
              <w:autoSpaceDN/>
              <w:bidi w:val="0"/>
              <w:snapToGrid/>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2.1.3</w:t>
            </w:r>
          </w:p>
        </w:tc>
        <w:tc>
          <w:tcPr>
            <w:tcW w:w="672" w:type="pct"/>
            <w:vMerge w:val="restart"/>
            <w:tcBorders>
              <w:top w:val="outset" w:color="auto" w:sz="6" w:space="0"/>
              <w:left w:val="single" w:color="auto" w:sz="4" w:space="0"/>
              <w:bottom w:val="outset" w:color="auto" w:sz="6" w:space="0"/>
              <w:right w:val="outset" w:color="auto" w:sz="6" w:space="0"/>
            </w:tcBorders>
            <w:noWrap w:val="0"/>
            <w:vAlign w:val="center"/>
          </w:tcPr>
          <w:p w14:paraId="5325BD27">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响应性评审标准</w:t>
            </w:r>
          </w:p>
        </w:tc>
        <w:tc>
          <w:tcPr>
            <w:tcW w:w="882" w:type="pct"/>
            <w:tcBorders>
              <w:top w:val="single" w:color="auto" w:sz="4" w:space="0"/>
              <w:left w:val="outset" w:color="auto" w:sz="6" w:space="0"/>
              <w:bottom w:val="outset" w:color="auto" w:sz="6" w:space="0"/>
              <w:right w:val="outset" w:color="auto" w:sz="6" w:space="0"/>
            </w:tcBorders>
            <w:noWrap w:val="0"/>
            <w:tcMar>
              <w:left w:w="75" w:type="dxa"/>
            </w:tcMar>
            <w:vAlign w:val="center"/>
          </w:tcPr>
          <w:p w14:paraId="5AEE517C">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投标内容</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58836810">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符合第二章“投标人须知”第1.3.1项规定。</w:t>
            </w:r>
          </w:p>
        </w:tc>
      </w:tr>
      <w:tr w14:paraId="08874D0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continue"/>
            <w:tcBorders>
              <w:top w:val="outset" w:color="auto" w:sz="6" w:space="0"/>
              <w:left w:val="outset" w:color="auto" w:sz="6" w:space="0"/>
              <w:bottom w:val="outset" w:color="auto" w:sz="6" w:space="0"/>
              <w:right w:val="outset" w:color="auto" w:sz="6" w:space="0"/>
            </w:tcBorders>
            <w:noWrap w:val="0"/>
            <w:vAlign w:val="center"/>
          </w:tcPr>
          <w:p w14:paraId="734ED44C">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672" w:type="pct"/>
            <w:vMerge w:val="continue"/>
            <w:tcBorders>
              <w:top w:val="outset" w:color="auto" w:sz="6" w:space="0"/>
              <w:left w:val="outset" w:color="auto" w:sz="6" w:space="0"/>
              <w:bottom w:val="outset" w:color="auto" w:sz="6" w:space="0"/>
              <w:right w:val="outset" w:color="auto" w:sz="6" w:space="0"/>
            </w:tcBorders>
            <w:noWrap w:val="0"/>
            <w:vAlign w:val="center"/>
          </w:tcPr>
          <w:p w14:paraId="7BC147F1">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882" w:type="pct"/>
            <w:tcBorders>
              <w:top w:val="single" w:color="auto" w:sz="4" w:space="0"/>
              <w:left w:val="outset" w:color="auto" w:sz="6" w:space="0"/>
              <w:bottom w:val="outset" w:color="auto" w:sz="6" w:space="0"/>
              <w:right w:val="outset" w:color="auto" w:sz="6" w:space="0"/>
            </w:tcBorders>
            <w:noWrap w:val="0"/>
            <w:tcMar>
              <w:left w:w="75" w:type="dxa"/>
            </w:tcMar>
            <w:vAlign w:val="center"/>
          </w:tcPr>
          <w:p w14:paraId="3734F245">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投标报价</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7B8D2D72">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（1）投标报价未超过招标文件设定的最高投标限价。</w:t>
            </w:r>
          </w:p>
          <w:p w14:paraId="72B56205">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（2）投标报价的大写数值能确定具体数值，未出现数量级错误、报价金额单位错误。</w:t>
            </w:r>
          </w:p>
          <w:p w14:paraId="4A600472">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（3）同一投标人未</w:t>
            </w:r>
            <w:r>
              <w:rPr>
                <w:rFonts w:hint="eastAsia" w:ascii="宋体" w:hAnsi="宋体" w:eastAsia="宋体" w:cs="宋体"/>
                <w:smallCaps w:val="0"/>
                <w:color w:val="auto"/>
                <w:sz w:val="21"/>
                <w:szCs w:val="21"/>
                <w:highlight w:val="none"/>
                <w:lang w:eastAsia="zh"/>
              </w:rPr>
              <w:t>提交</w:t>
            </w:r>
            <w:r>
              <w:rPr>
                <w:rFonts w:hint="eastAsia" w:ascii="宋体" w:hAnsi="宋体" w:eastAsia="宋体" w:cs="宋体"/>
                <w:smallCaps w:val="0"/>
                <w:color w:val="auto"/>
                <w:sz w:val="21"/>
                <w:szCs w:val="21"/>
                <w:highlight w:val="none"/>
              </w:rPr>
              <w:t>两个以上不同的投标报价，但招标文件要求提交备选投标的除外。</w:t>
            </w:r>
          </w:p>
          <w:p w14:paraId="5D2AC63E">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（4）已标价工程量清单的分部分项工程的项目编码、项目名称、项目特征描述、计量单位及工程量与招标人提供的工程量清单未出现实质性内容不一致。</w:t>
            </w:r>
          </w:p>
          <w:p w14:paraId="4D083762">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（5）按照清单计价规范要求不应为负值的，已标价工程量清单中的数据未出现该情形。</w:t>
            </w:r>
          </w:p>
        </w:tc>
      </w:tr>
      <w:tr w14:paraId="166AA6A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continue"/>
            <w:tcBorders>
              <w:top w:val="outset" w:color="auto" w:sz="6" w:space="0"/>
              <w:left w:val="outset" w:color="auto" w:sz="6" w:space="0"/>
              <w:bottom w:val="outset" w:color="auto" w:sz="6" w:space="0"/>
              <w:right w:val="outset" w:color="auto" w:sz="6" w:space="0"/>
            </w:tcBorders>
            <w:noWrap w:val="0"/>
            <w:vAlign w:val="center"/>
          </w:tcPr>
          <w:p w14:paraId="20726E7F">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672" w:type="pct"/>
            <w:vMerge w:val="continue"/>
            <w:tcBorders>
              <w:top w:val="outset" w:color="auto" w:sz="6" w:space="0"/>
              <w:left w:val="outset" w:color="auto" w:sz="6" w:space="0"/>
              <w:bottom w:val="outset" w:color="auto" w:sz="6" w:space="0"/>
              <w:right w:val="outset" w:color="auto" w:sz="6" w:space="0"/>
            </w:tcBorders>
            <w:noWrap w:val="0"/>
            <w:vAlign w:val="center"/>
          </w:tcPr>
          <w:p w14:paraId="1583ED33">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882" w:type="pct"/>
            <w:tcBorders>
              <w:top w:val="single" w:color="auto" w:sz="4" w:space="0"/>
              <w:left w:val="outset" w:color="auto" w:sz="6" w:space="0"/>
              <w:bottom w:val="outset" w:color="auto" w:sz="6" w:space="0"/>
              <w:right w:val="outset" w:color="auto" w:sz="6" w:space="0"/>
            </w:tcBorders>
            <w:noWrap w:val="0"/>
            <w:tcMar>
              <w:left w:w="75" w:type="dxa"/>
            </w:tcMar>
            <w:vAlign w:val="center"/>
          </w:tcPr>
          <w:p w14:paraId="78870E75">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投标报价不可竞争内容</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0457B7AC">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（1）安全文明施工费报价符合招标文件要求。</w:t>
            </w:r>
          </w:p>
          <w:p w14:paraId="6CA89760">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（2）人工费工日单价不得低于工程所在地政府发布的最低工资标准折算的工日单价。</w:t>
            </w:r>
          </w:p>
          <w:p w14:paraId="558FC65F">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（3）已标价工程量清单中未更改招标文件确定的暂列金额、暂估价。</w:t>
            </w:r>
          </w:p>
          <w:p w14:paraId="7FF1183E">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（4）增值税报价符合招标文件规定。</w:t>
            </w:r>
          </w:p>
        </w:tc>
      </w:tr>
      <w:tr w14:paraId="74950FB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continue"/>
            <w:tcBorders>
              <w:top w:val="outset" w:color="auto" w:sz="6" w:space="0"/>
              <w:left w:val="outset" w:color="auto" w:sz="6" w:space="0"/>
              <w:bottom w:val="outset" w:color="auto" w:sz="6" w:space="0"/>
              <w:right w:val="outset" w:color="auto" w:sz="6" w:space="0"/>
            </w:tcBorders>
            <w:noWrap w:val="0"/>
            <w:vAlign w:val="center"/>
          </w:tcPr>
          <w:p w14:paraId="431F2A26">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672" w:type="pct"/>
            <w:vMerge w:val="continue"/>
            <w:tcBorders>
              <w:top w:val="outset" w:color="auto" w:sz="6" w:space="0"/>
              <w:left w:val="outset" w:color="auto" w:sz="6" w:space="0"/>
              <w:bottom w:val="outset" w:color="auto" w:sz="6" w:space="0"/>
              <w:right w:val="outset" w:color="auto" w:sz="6" w:space="0"/>
            </w:tcBorders>
            <w:noWrap w:val="0"/>
            <w:vAlign w:val="center"/>
          </w:tcPr>
          <w:p w14:paraId="1A2F0C1B">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882" w:type="pct"/>
            <w:tcBorders>
              <w:top w:val="single" w:color="auto" w:sz="4" w:space="0"/>
              <w:left w:val="outset" w:color="auto" w:sz="6" w:space="0"/>
              <w:bottom w:val="outset" w:color="auto" w:sz="6" w:space="0"/>
              <w:right w:val="outset" w:color="auto" w:sz="6" w:space="0"/>
            </w:tcBorders>
            <w:noWrap w:val="0"/>
            <w:tcMar>
              <w:left w:w="75" w:type="dxa"/>
            </w:tcMar>
            <w:vAlign w:val="center"/>
          </w:tcPr>
          <w:p w14:paraId="78997383">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总人工费</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323FE4E4">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投标报价中的总人工费与技术文件中的劳动力安排计划相比，不得明显过低。</w:t>
            </w:r>
          </w:p>
        </w:tc>
      </w:tr>
      <w:tr w14:paraId="3FB4AB7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continue"/>
            <w:tcBorders>
              <w:top w:val="outset" w:color="auto" w:sz="6" w:space="0"/>
              <w:left w:val="outset" w:color="auto" w:sz="6" w:space="0"/>
              <w:bottom w:val="outset" w:color="auto" w:sz="6" w:space="0"/>
              <w:right w:val="outset" w:color="auto" w:sz="6" w:space="0"/>
            </w:tcBorders>
            <w:noWrap w:val="0"/>
            <w:vAlign w:val="center"/>
          </w:tcPr>
          <w:p w14:paraId="51A067DF">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672" w:type="pct"/>
            <w:vMerge w:val="continue"/>
            <w:tcBorders>
              <w:top w:val="outset" w:color="auto" w:sz="6" w:space="0"/>
              <w:left w:val="outset" w:color="auto" w:sz="6" w:space="0"/>
              <w:bottom w:val="outset" w:color="auto" w:sz="6" w:space="0"/>
              <w:right w:val="outset" w:color="auto" w:sz="6" w:space="0"/>
            </w:tcBorders>
            <w:noWrap w:val="0"/>
            <w:vAlign w:val="center"/>
          </w:tcPr>
          <w:p w14:paraId="2D2635DE">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882" w:type="pct"/>
            <w:tcBorders>
              <w:top w:val="single" w:color="auto" w:sz="4" w:space="0"/>
              <w:left w:val="outset" w:color="auto" w:sz="6" w:space="0"/>
              <w:bottom w:val="outset" w:color="auto" w:sz="6" w:space="0"/>
              <w:right w:val="outset" w:color="auto" w:sz="6" w:space="0"/>
            </w:tcBorders>
            <w:noWrap w:val="0"/>
            <w:tcMar>
              <w:left w:w="75" w:type="dxa"/>
            </w:tcMar>
            <w:vAlign w:val="center"/>
          </w:tcPr>
          <w:p w14:paraId="2BB073A3">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投标报价偏差</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4E795B6F">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（1）因投标人原因造成投标报价累计缺漏金额（多报金额不得抵销缺漏金额，缺漏金额计算时按照最高投标限价相应数据计算）占投标报价未超过3%，也未影响各投标人排序。</w:t>
            </w:r>
          </w:p>
          <w:p w14:paraId="3F0E0D79">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凡招标文件要求或者工程量清单计价规范规定应计算的费用而投标人未报，且投标文件未阐明充分理由，并不能提供足够证据者，均视为缺漏金额。</w:t>
            </w:r>
          </w:p>
          <w:p w14:paraId="45784CBE">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（2）对投标报价存在计算错误的，按照本章第3.2.4项规定的标准对投标报价进行修正，修正后的投标报价与修正前投标报价的偏差未超过3%，也未影响各投标人排序。</w:t>
            </w:r>
          </w:p>
          <w:p w14:paraId="5DD70E0C">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（3）投标报价中减少实体材料消耗量指标的，符合计量计价规范或实际情况。</w:t>
            </w:r>
          </w:p>
        </w:tc>
      </w:tr>
      <w:tr w14:paraId="182A2C8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continue"/>
            <w:tcBorders>
              <w:top w:val="outset" w:color="auto" w:sz="6" w:space="0"/>
              <w:left w:val="outset" w:color="auto" w:sz="6" w:space="0"/>
              <w:bottom w:val="outset" w:color="auto" w:sz="6" w:space="0"/>
              <w:right w:val="outset" w:color="auto" w:sz="6" w:space="0"/>
            </w:tcBorders>
            <w:noWrap w:val="0"/>
            <w:vAlign w:val="center"/>
          </w:tcPr>
          <w:p w14:paraId="0AFB6F68">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672" w:type="pct"/>
            <w:vMerge w:val="continue"/>
            <w:tcBorders>
              <w:top w:val="outset" w:color="auto" w:sz="6" w:space="0"/>
              <w:left w:val="outset" w:color="auto" w:sz="6" w:space="0"/>
              <w:bottom w:val="outset" w:color="auto" w:sz="6" w:space="0"/>
              <w:right w:val="outset" w:color="auto" w:sz="6" w:space="0"/>
            </w:tcBorders>
            <w:noWrap w:val="0"/>
            <w:vAlign w:val="center"/>
          </w:tcPr>
          <w:p w14:paraId="1F032F02">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882" w:type="pct"/>
            <w:tcBorders>
              <w:top w:val="single" w:color="auto" w:sz="4" w:space="0"/>
              <w:left w:val="outset" w:color="auto" w:sz="6" w:space="0"/>
              <w:bottom w:val="outset" w:color="auto" w:sz="6" w:space="0"/>
              <w:right w:val="outset" w:color="auto" w:sz="6" w:space="0"/>
            </w:tcBorders>
            <w:noWrap w:val="0"/>
            <w:tcMar>
              <w:left w:w="75" w:type="dxa"/>
            </w:tcMar>
            <w:vAlign w:val="center"/>
          </w:tcPr>
          <w:p w14:paraId="69F5D077">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报价规范性评审</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49E4CB5D">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对已标价的工程量清单报价书“分部分项工程量清单综合单价分析表”中的综合单价、主要材料价格、人工费（含工日数量及工日单价）、机械费，“措施项目清单与计价表”中的措施费及“不可竞争项目清单与计价表”的不可竞争费等进行规范性评审，对明显相互冲突或不合理的，或未按照工程量清单计价规范要求计价的，可否决其投标（如</w:t>
            </w:r>
            <w:r>
              <w:rPr>
                <w:rFonts w:hint="eastAsia" w:ascii="宋体" w:hAnsi="宋体" w:eastAsia="宋体" w:cs="宋体"/>
                <w:smallCaps w:val="0"/>
                <w:color w:val="auto"/>
                <w:sz w:val="21"/>
                <w:szCs w:val="21"/>
                <w:highlight w:val="none"/>
                <w:u w:val="none"/>
                <w:lang w:eastAsia="zh-CN"/>
              </w:rPr>
              <w:t>：</w:t>
            </w:r>
            <w:r>
              <w:rPr>
                <w:rFonts w:hint="eastAsia" w:ascii="宋体" w:hAnsi="宋体" w:eastAsia="宋体" w:cs="宋体"/>
                <w:smallCaps w:val="0"/>
                <w:color w:val="auto"/>
                <w:sz w:val="21"/>
                <w:szCs w:val="21"/>
                <w:highlight w:val="none"/>
              </w:rPr>
              <w:t>“分部分项工程量清单综合单价分析表”中的综合单价低于主材价格等情况）。</w:t>
            </w:r>
          </w:p>
        </w:tc>
      </w:tr>
      <w:tr w14:paraId="2F7238C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continue"/>
            <w:tcBorders>
              <w:top w:val="outset" w:color="auto" w:sz="6" w:space="0"/>
              <w:left w:val="outset" w:color="auto" w:sz="6" w:space="0"/>
              <w:bottom w:val="outset" w:color="auto" w:sz="6" w:space="0"/>
              <w:right w:val="outset" w:color="auto" w:sz="6" w:space="0"/>
            </w:tcBorders>
            <w:noWrap w:val="0"/>
            <w:vAlign w:val="center"/>
          </w:tcPr>
          <w:p w14:paraId="7035FD75">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672" w:type="pct"/>
            <w:vMerge w:val="continue"/>
            <w:tcBorders>
              <w:top w:val="outset" w:color="auto" w:sz="6" w:space="0"/>
              <w:left w:val="outset" w:color="auto" w:sz="6" w:space="0"/>
              <w:bottom w:val="outset" w:color="auto" w:sz="6" w:space="0"/>
              <w:right w:val="outset" w:color="auto" w:sz="6" w:space="0"/>
            </w:tcBorders>
            <w:noWrap w:val="0"/>
            <w:vAlign w:val="center"/>
          </w:tcPr>
          <w:p w14:paraId="74174D4A">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882" w:type="pct"/>
            <w:tcBorders>
              <w:top w:val="single" w:color="auto" w:sz="4" w:space="0"/>
              <w:left w:val="outset" w:color="auto" w:sz="6" w:space="0"/>
              <w:bottom w:val="outset" w:color="auto" w:sz="6" w:space="0"/>
              <w:right w:val="outset" w:color="auto" w:sz="6" w:space="0"/>
            </w:tcBorders>
            <w:noWrap w:val="0"/>
            <w:tcMar>
              <w:left w:w="75" w:type="dxa"/>
            </w:tcMar>
            <w:vAlign w:val="center"/>
          </w:tcPr>
          <w:p w14:paraId="6866BD78">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需评审人工和主要材料一览表评审（如有）</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4D02DE42">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投标人应响应招标人《可调整价差人工和主要材料一览表》的内容；对于招标人发放的《可调整价差人工和主要材料一览表》中第1列（序号）、第2列（名称、规格 、型号）、第3列（计量单位）、第4列（数量）内容不得修改，不得增删或改变顺序。投标人在投标报价时，其人工费工日单价不得低于工程所在地政府发布的最低工资标准折算的工日单价。</w:t>
            </w:r>
          </w:p>
        </w:tc>
      </w:tr>
      <w:tr w14:paraId="2C13B13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447" w:type="pct"/>
            <w:vMerge w:val="continue"/>
            <w:tcBorders>
              <w:top w:val="outset" w:color="auto" w:sz="6" w:space="0"/>
              <w:left w:val="outset" w:color="auto" w:sz="6" w:space="0"/>
              <w:bottom w:val="outset" w:color="auto" w:sz="6" w:space="0"/>
              <w:right w:val="outset" w:color="auto" w:sz="6" w:space="0"/>
            </w:tcBorders>
            <w:noWrap w:val="0"/>
            <w:vAlign w:val="center"/>
          </w:tcPr>
          <w:p w14:paraId="21E48EF0">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672" w:type="pct"/>
            <w:vMerge w:val="continue"/>
            <w:tcBorders>
              <w:top w:val="outset" w:color="auto" w:sz="6" w:space="0"/>
              <w:left w:val="outset" w:color="auto" w:sz="6" w:space="0"/>
              <w:bottom w:val="outset" w:color="auto" w:sz="6" w:space="0"/>
              <w:right w:val="outset" w:color="auto" w:sz="6" w:space="0"/>
            </w:tcBorders>
            <w:noWrap w:val="0"/>
            <w:vAlign w:val="center"/>
          </w:tcPr>
          <w:p w14:paraId="1D005588">
            <w:pPr>
              <w:pStyle w:val="63"/>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p>
        </w:tc>
        <w:tc>
          <w:tcPr>
            <w:tcW w:w="882"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16E6B239">
            <w:pPr>
              <w:pStyle w:val="63"/>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其他情形</w:t>
            </w:r>
          </w:p>
        </w:tc>
        <w:tc>
          <w:tcPr>
            <w:tcW w:w="2997" w:type="pct"/>
            <w:tcBorders>
              <w:top w:val="outset" w:color="auto" w:sz="6" w:space="0"/>
              <w:left w:val="outset" w:color="auto" w:sz="6" w:space="0"/>
              <w:bottom w:val="outset" w:color="auto" w:sz="6" w:space="0"/>
              <w:right w:val="outset" w:color="auto" w:sz="6" w:space="0"/>
            </w:tcBorders>
            <w:noWrap w:val="0"/>
            <w:tcMar>
              <w:left w:w="75" w:type="dxa"/>
            </w:tcMar>
            <w:vAlign w:val="center"/>
          </w:tcPr>
          <w:p w14:paraId="300FCCCC">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（1）清标结果未显示投标人的投标文件存在以下情形之一</w:t>
            </w:r>
            <w:r>
              <w:rPr>
                <w:rFonts w:hint="eastAsia" w:ascii="宋体" w:hAnsi="宋体" w:eastAsia="宋体" w:cs="宋体"/>
                <w:smallCaps w:val="0"/>
                <w:color w:val="auto"/>
                <w:sz w:val="21"/>
                <w:szCs w:val="21"/>
                <w:highlight w:val="none"/>
                <w:u w:val="none"/>
                <w:lang w:eastAsia="zh-CN"/>
              </w:rPr>
              <w:t>：</w:t>
            </w:r>
          </w:p>
          <w:p w14:paraId="4519731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①不同投标人的投标文件存在异常一致的情形；</w:t>
            </w:r>
          </w:p>
          <w:p w14:paraId="6AD80BE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②投标报价呈规律性差异等招投标相关法律法规明确规定为串通投标的情形；</w:t>
            </w:r>
          </w:p>
          <w:p w14:paraId="0DB38B39">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③弄虚作假的情形；</w:t>
            </w:r>
          </w:p>
          <w:p w14:paraId="777A925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④有其他违法行为的情形。</w:t>
            </w:r>
          </w:p>
          <w:p w14:paraId="55FC91F0">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（2）项目评审中，多家投标人投标报价规律性集中出现在高价区域，明显与近期类似项目报价情况不一致，以致影响正常评审的，评标委员会应确定项目投标报价明显缺乏竞争性，宣布流标，同时将异常报价报</w:t>
            </w:r>
            <w:r>
              <w:rPr>
                <w:rFonts w:hint="eastAsia" w:ascii="宋体" w:hAnsi="宋体" w:eastAsia="宋体" w:cs="宋体"/>
                <w:smallCaps w:val="0"/>
                <w:color w:val="auto"/>
                <w:sz w:val="21"/>
                <w:szCs w:val="21"/>
                <w:highlight w:val="none"/>
                <w:lang w:val="en-US" w:eastAsia="zh-CN"/>
              </w:rPr>
              <w:t>招标投标行政监督部门</w:t>
            </w:r>
            <w:r>
              <w:rPr>
                <w:rFonts w:hint="eastAsia" w:ascii="宋体" w:hAnsi="宋体" w:eastAsia="宋体" w:cs="宋体"/>
                <w:smallCaps w:val="0"/>
                <w:color w:val="auto"/>
                <w:sz w:val="21"/>
                <w:szCs w:val="21"/>
                <w:highlight w:val="none"/>
              </w:rPr>
              <w:t>。</w:t>
            </w:r>
          </w:p>
          <w:p w14:paraId="50052A72">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（3）投标文件中不得存在招标人不能接受的其他实质性条件。</w:t>
            </w:r>
          </w:p>
          <w:p w14:paraId="2AFE0A84">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（4）法律、法规规定的其他情形。</w:t>
            </w:r>
          </w:p>
        </w:tc>
      </w:tr>
    </w:tbl>
    <w:p w14:paraId="289BF6B0">
      <w:pPr>
        <w:spacing w:line="400" w:lineRule="exact"/>
        <w:ind w:firstLine="420" w:firstLineChars="200"/>
        <w:jc w:val="center"/>
        <w:rPr>
          <w:rFonts w:ascii="Times New Roman" w:hAnsi="Times New Roman" w:eastAsia="黑体"/>
          <w:smallCaps w:val="0"/>
          <w:color w:val="auto"/>
          <w:highlight w:val="none"/>
        </w:rPr>
      </w:pPr>
    </w:p>
    <w:p w14:paraId="348C90BF">
      <w:pPr>
        <w:spacing w:before="240" w:beforeLines="100" w:after="240" w:afterLines="100"/>
        <w:jc w:val="center"/>
        <w:outlineLvl w:val="9"/>
        <w:rPr>
          <w:rStyle w:val="64"/>
          <w:rFonts w:hint="eastAsia" w:ascii="Times New Roman" w:hAnsi="Times New Roman"/>
          <w:smallCaps w:val="0"/>
          <w:color w:val="auto"/>
          <w:highlight w:val="none"/>
        </w:rPr>
      </w:pPr>
      <w:r>
        <w:rPr>
          <w:rFonts w:ascii="Times New Roman" w:hAnsi="Times New Roman" w:eastAsia="黑体"/>
          <w:smallCaps w:val="0"/>
          <w:color w:val="auto"/>
          <w:highlight w:val="none"/>
        </w:rPr>
        <w:br w:type="page"/>
      </w:r>
      <w:bookmarkStart w:id="694" w:name="_Toc16727"/>
      <w:bookmarkStart w:id="695" w:name="_Toc13926"/>
      <w:bookmarkStart w:id="696" w:name="_Toc14776"/>
      <w:bookmarkStart w:id="697" w:name="_Toc2501"/>
      <w:bookmarkStart w:id="698" w:name="_Toc118586944"/>
      <w:bookmarkStart w:id="699" w:name="_Toc5525"/>
      <w:bookmarkStart w:id="700" w:name="_Toc28436"/>
      <w:bookmarkStart w:id="701" w:name="_Toc4792"/>
      <w:bookmarkStart w:id="702" w:name="_Toc20541"/>
      <w:bookmarkStart w:id="703" w:name="_Toc3057"/>
      <w:r>
        <w:rPr>
          <w:rStyle w:val="64"/>
          <w:rFonts w:hint="eastAsia" w:ascii="Times New Roman" w:hAnsi="Times New Roman"/>
          <w:smallCaps w:val="0"/>
          <w:color w:val="auto"/>
          <w:highlight w:val="none"/>
        </w:rPr>
        <w:t>详细评审标准</w:t>
      </w:r>
      <w:bookmarkEnd w:id="694"/>
      <w:bookmarkEnd w:id="695"/>
      <w:bookmarkEnd w:id="696"/>
      <w:bookmarkEnd w:id="697"/>
      <w:bookmarkEnd w:id="698"/>
      <w:bookmarkEnd w:id="699"/>
      <w:bookmarkEnd w:id="700"/>
      <w:bookmarkEnd w:id="701"/>
      <w:bookmarkEnd w:id="702"/>
    </w:p>
    <w:bookmarkEnd w:id="703"/>
    <w:tbl>
      <w:tblPr>
        <w:tblStyle w:val="20"/>
        <w:tblW w:w="5992" w:type="pct"/>
        <w:tblInd w:w="-9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884"/>
        <w:gridCol w:w="311"/>
        <w:gridCol w:w="668"/>
        <w:gridCol w:w="554"/>
        <w:gridCol w:w="829"/>
        <w:gridCol w:w="691"/>
        <w:gridCol w:w="6046"/>
      </w:tblGrid>
      <w:tr w14:paraId="7801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6" w:hRule="atLeast"/>
        </w:trPr>
        <w:tc>
          <w:tcPr>
            <w:tcW w:w="911" w:type="pct"/>
            <w:gridSpan w:val="3"/>
            <w:noWrap w:val="0"/>
            <w:vAlign w:val="center"/>
          </w:tcPr>
          <w:p w14:paraId="3F489983">
            <w:pPr>
              <w:pStyle w:val="61"/>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条款号</w:t>
            </w:r>
          </w:p>
        </w:tc>
        <w:tc>
          <w:tcPr>
            <w:tcW w:w="310" w:type="pct"/>
            <w:noWrap w:val="0"/>
            <w:tcMar>
              <w:left w:w="75" w:type="dxa"/>
            </w:tcMar>
            <w:vAlign w:val="center"/>
          </w:tcPr>
          <w:p w14:paraId="49A2BEF8">
            <w:pPr>
              <w:pStyle w:val="61"/>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权重</w:t>
            </w:r>
          </w:p>
        </w:tc>
        <w:tc>
          <w:tcPr>
            <w:tcW w:w="643" w:type="pct"/>
            <w:gridSpan w:val="2"/>
            <w:noWrap w:val="0"/>
            <w:tcMar>
              <w:left w:w="75" w:type="dxa"/>
            </w:tcMar>
            <w:vAlign w:val="center"/>
          </w:tcPr>
          <w:p w14:paraId="14FA32AD">
            <w:pPr>
              <w:pStyle w:val="61"/>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评审因素</w:t>
            </w:r>
          </w:p>
        </w:tc>
        <w:tc>
          <w:tcPr>
            <w:tcW w:w="3134" w:type="pct"/>
            <w:gridSpan w:val="2"/>
            <w:noWrap w:val="0"/>
            <w:vAlign w:val="center"/>
          </w:tcPr>
          <w:p w14:paraId="2EC2400F">
            <w:pPr>
              <w:pStyle w:val="61"/>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评审标准</w:t>
            </w:r>
          </w:p>
        </w:tc>
      </w:tr>
      <w:tr w14:paraId="4385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trPr>
        <w:tc>
          <w:tcPr>
            <w:tcW w:w="355" w:type="pct"/>
            <w:vMerge w:val="restart"/>
            <w:noWrap w:val="0"/>
            <w:vAlign w:val="center"/>
          </w:tcPr>
          <w:p w14:paraId="13F072D7">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2.2.1</w:t>
            </w:r>
          </w:p>
          <w:p w14:paraId="3815C57A">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w:t>
            </w:r>
          </w:p>
        </w:tc>
        <w:tc>
          <w:tcPr>
            <w:tcW w:w="555" w:type="pct"/>
            <w:gridSpan w:val="2"/>
            <w:vMerge w:val="restart"/>
            <w:noWrap w:val="0"/>
            <w:vAlign w:val="center"/>
          </w:tcPr>
          <w:p w14:paraId="00A16686">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商务文件评审标准</w:t>
            </w:r>
          </w:p>
        </w:tc>
        <w:tc>
          <w:tcPr>
            <w:tcW w:w="310" w:type="pct"/>
            <w:noWrap w:val="0"/>
            <w:tcMar>
              <w:left w:w="75" w:type="dxa"/>
            </w:tcMar>
            <w:vAlign w:val="center"/>
          </w:tcPr>
          <w:p w14:paraId="45AE915B">
            <w:pPr>
              <w:pStyle w:val="62"/>
              <w:keepNext w:val="0"/>
              <w:keepLines w:val="0"/>
              <w:pageBreakBefore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u w:val="single"/>
                <w:lang w:val="en-US" w:eastAsia="zh-CN"/>
              </w:rPr>
              <w:t>40</w:t>
            </w:r>
            <w:r>
              <w:rPr>
                <w:rFonts w:hint="eastAsia" w:ascii="宋体" w:hAnsi="宋体" w:eastAsia="宋体" w:cs="宋体"/>
                <w:smallCaps w:val="0"/>
                <w:color w:val="auto"/>
                <w:sz w:val="21"/>
                <w:szCs w:val="21"/>
                <w:highlight w:val="none"/>
              </w:rPr>
              <w:t>%</w:t>
            </w:r>
          </w:p>
        </w:tc>
        <w:tc>
          <w:tcPr>
            <w:tcW w:w="643" w:type="pct"/>
            <w:gridSpan w:val="2"/>
            <w:noWrap w:val="0"/>
            <w:tcMar>
              <w:left w:w="75" w:type="dxa"/>
            </w:tcMar>
            <w:vAlign w:val="center"/>
          </w:tcPr>
          <w:p w14:paraId="7B0DF3B5">
            <w:pPr>
              <w:pStyle w:val="62"/>
              <w:keepNext w:val="0"/>
              <w:keepLines w:val="0"/>
              <w:pageBreakBefore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项目经理业绩</w:t>
            </w:r>
          </w:p>
          <w:p w14:paraId="35DB9C2B">
            <w:pPr>
              <w:pStyle w:val="62"/>
              <w:keepNext w:val="0"/>
              <w:keepLines w:val="0"/>
              <w:pageBreakBefore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Times New Roman" w:hAnsi="Times New Roman" w:cs="Times New Roman"/>
                <w:b/>
                <w:bCs/>
                <w:color w:val="auto"/>
                <w:highlight w:val="none"/>
                <w:lang w:val="en-US" w:eastAsia="zh-CN"/>
              </w:rPr>
              <w:t>注：若为联合体投标，项目经理A岗或项目经理B岗提供的业绩均予以认可。</w:t>
            </w:r>
          </w:p>
        </w:tc>
        <w:tc>
          <w:tcPr>
            <w:tcW w:w="3134" w:type="pct"/>
            <w:gridSpan w:val="2"/>
            <w:noWrap w:val="0"/>
            <w:vAlign w:val="center"/>
          </w:tcPr>
          <w:p w14:paraId="7E71F2FA">
            <w:pPr>
              <w:numPr>
                <w:ilvl w:val="0"/>
                <w:numId w:val="0"/>
              </w:numPr>
              <w:spacing w:line="500" w:lineRule="exact"/>
              <w:jc w:val="left"/>
              <w:rPr>
                <w:rFonts w:hint="eastAsia"/>
                <w:color w:val="auto"/>
                <w:highlight w:val="none"/>
                <w:lang w:val="en-US" w:eastAsia="zh-CN"/>
              </w:rPr>
            </w:pPr>
            <w:r>
              <w:rPr>
                <w:rFonts w:hint="eastAsia"/>
                <w:color w:val="auto"/>
                <w:highlight w:val="none"/>
                <w:lang w:val="en-US" w:eastAsia="zh-CN"/>
              </w:rPr>
              <w:t>一、自2021年1月1日至投标截止时间，投标人拟派项目经理具有建筑面积不低于80000平方米且合同金额不低于16000万元的工业厂房施工业绩。</w:t>
            </w:r>
          </w:p>
          <w:p w14:paraId="3F43E5B2">
            <w:pPr>
              <w:numPr>
                <w:ilvl w:val="0"/>
                <w:numId w:val="0"/>
              </w:numPr>
              <w:spacing w:line="500" w:lineRule="exact"/>
              <w:jc w:val="left"/>
              <w:rPr>
                <w:rFonts w:hint="eastAsia"/>
                <w:color w:val="auto"/>
                <w:highlight w:val="none"/>
                <w:lang w:val="en-US" w:eastAsia="zh-CN"/>
              </w:rPr>
            </w:pPr>
            <w:r>
              <w:rPr>
                <w:rFonts w:hint="eastAsia"/>
                <w:color w:val="auto"/>
                <w:highlight w:val="none"/>
                <w:lang w:val="en-US" w:eastAsia="zh-CN"/>
              </w:rPr>
              <w:t>【投标文件中须同时提供下列材料扫描件：</w:t>
            </w:r>
            <w:r>
              <w:rPr>
                <w:rFonts w:hint="eastAsia"/>
                <w:b/>
                <w:bCs/>
                <w:color w:val="auto"/>
                <w:highlight w:val="none"/>
                <w:lang w:val="en-US" w:eastAsia="zh-CN"/>
              </w:rPr>
              <w:t>①中标通知书</w:t>
            </w:r>
            <w:r>
              <w:rPr>
                <w:rFonts w:hint="eastAsia"/>
                <w:color w:val="auto"/>
                <w:highlight w:val="none"/>
                <w:lang w:val="en-US" w:eastAsia="zh-CN"/>
              </w:rPr>
              <w:t>；②合同；③竣工验收报告或竣工验收证书或竣工验收证明书；④</w:t>
            </w:r>
            <w:r>
              <w:rPr>
                <w:rFonts w:hint="eastAsia"/>
                <w:b/>
                <w:bCs/>
                <w:color w:val="auto"/>
                <w:highlight w:val="none"/>
                <w:lang w:val="en-US" w:eastAsia="zh-CN"/>
              </w:rPr>
              <w:t>该业绩在全国建筑市场监管公共服务平台或全国公共资源交易平台(包括各省市平台，如全国公共资源交易平台（安徽省滁州市）可查)截图及网址，其中全国建筑市场监管公共服务平台的截图中须显示数据等级为A级或B级或C级；⑤建筑工程施工许可证；</w:t>
            </w:r>
            <w:r>
              <w:rPr>
                <w:rFonts w:hint="eastAsia"/>
                <w:color w:val="auto"/>
                <w:highlight w:val="none"/>
                <w:lang w:val="en-US" w:eastAsia="zh-CN"/>
              </w:rPr>
              <w:t>⑥联合体协议（第⑥项材料仅针对联合体形式承接的业绩）。上述①至⑤项材料缺一不可（若为联合体形式承接业绩的，上述①至⑥项材料缺一不可），如上述材料未能够充分有效证明该工程类型、项目经理姓名的评审因素，则另须提供建设单位出具的加盖建设单位公章的证明材料。】</w:t>
            </w:r>
          </w:p>
          <w:p w14:paraId="10E695CF">
            <w:pPr>
              <w:numPr>
                <w:ilvl w:val="0"/>
                <w:numId w:val="0"/>
              </w:numPr>
              <w:spacing w:line="500" w:lineRule="exact"/>
              <w:jc w:val="left"/>
              <w:rPr>
                <w:rFonts w:hint="default"/>
                <w:b/>
                <w:bCs/>
                <w:color w:val="auto"/>
                <w:highlight w:val="none"/>
                <w:lang w:val="en-US" w:eastAsia="zh-CN"/>
              </w:rPr>
            </w:pPr>
            <w:r>
              <w:rPr>
                <w:rFonts w:hint="eastAsia"/>
                <w:b/>
                <w:bCs/>
                <w:color w:val="auto"/>
                <w:highlight w:val="none"/>
                <w:lang w:val="en-US" w:eastAsia="zh-CN"/>
              </w:rPr>
              <w:t>注:1.业绩面积以建筑工程施工许可证中体现的为准；金额以合同金额为准。</w:t>
            </w:r>
          </w:p>
          <w:p w14:paraId="1E153FCC">
            <w:pPr>
              <w:numPr>
                <w:ilvl w:val="0"/>
                <w:numId w:val="0"/>
              </w:numPr>
              <w:spacing w:line="500" w:lineRule="exact"/>
              <w:jc w:val="left"/>
              <w:rPr>
                <w:rFonts w:hint="eastAsia"/>
                <w:b/>
                <w:bCs/>
                <w:color w:val="auto"/>
                <w:highlight w:val="none"/>
                <w:lang w:val="en-US" w:eastAsia="zh-CN"/>
              </w:rPr>
            </w:pPr>
            <w:r>
              <w:rPr>
                <w:rFonts w:hint="eastAsia"/>
                <w:b/>
                <w:bCs/>
                <w:color w:val="auto"/>
                <w:highlight w:val="none"/>
                <w:lang w:val="en-US" w:eastAsia="zh-CN"/>
              </w:rPr>
              <w:t>2.业绩有效时间以竣工验收报告或竣工验收证书或竣工验收证明书中的竣工验收通过日期为准。</w:t>
            </w:r>
          </w:p>
          <w:p w14:paraId="6145A6FD">
            <w:pPr>
              <w:numPr>
                <w:ilvl w:val="0"/>
                <w:numId w:val="0"/>
              </w:numPr>
              <w:spacing w:line="500" w:lineRule="exact"/>
              <w:jc w:val="left"/>
              <w:rPr>
                <w:rFonts w:hint="eastAsia"/>
                <w:b/>
                <w:bCs/>
                <w:color w:val="auto"/>
                <w:highlight w:val="none"/>
                <w:lang w:val="en-US" w:eastAsia="zh-CN"/>
              </w:rPr>
            </w:pPr>
            <w:r>
              <w:rPr>
                <w:rFonts w:hint="eastAsia"/>
                <w:b/>
                <w:bCs/>
                <w:color w:val="auto"/>
                <w:highlight w:val="none"/>
                <w:lang w:val="en-US" w:eastAsia="zh-CN"/>
              </w:rPr>
              <w:t>3.项目经理发生变更的，须提供经建设行政主管部门或招投标行政主管部门备案的项目经理变更证明材料（或同时提供网上变更申请截图、网站公示截图及查询链接）扫描件。</w:t>
            </w:r>
          </w:p>
          <w:p w14:paraId="13C20A9D">
            <w:pPr>
              <w:numPr>
                <w:ilvl w:val="0"/>
                <w:numId w:val="0"/>
              </w:numPr>
              <w:spacing w:line="500" w:lineRule="exact"/>
              <w:jc w:val="left"/>
              <w:rPr>
                <w:rFonts w:hint="eastAsia"/>
                <w:b/>
                <w:bCs/>
                <w:color w:val="auto"/>
                <w:highlight w:val="none"/>
                <w:lang w:val="en-US" w:eastAsia="zh-CN"/>
              </w:rPr>
            </w:pPr>
            <w:r>
              <w:rPr>
                <w:rFonts w:hint="eastAsia"/>
                <w:b/>
                <w:bCs/>
                <w:color w:val="auto"/>
                <w:highlight w:val="none"/>
                <w:lang w:val="en-US" w:eastAsia="zh-CN"/>
              </w:rPr>
              <w:t>4.项目经理必须是以项目经理身份参与的业绩，以其他管理人员身份参与的无效。</w:t>
            </w:r>
          </w:p>
          <w:p w14:paraId="54850B94">
            <w:pPr>
              <w:numPr>
                <w:ilvl w:val="0"/>
                <w:numId w:val="0"/>
              </w:numPr>
              <w:spacing w:line="500" w:lineRule="exact"/>
              <w:jc w:val="left"/>
              <w:rPr>
                <w:rFonts w:hint="eastAsia"/>
                <w:b/>
                <w:bCs/>
                <w:color w:val="auto"/>
                <w:highlight w:val="none"/>
                <w:lang w:val="en-US" w:eastAsia="zh-CN"/>
              </w:rPr>
            </w:pPr>
            <w:r>
              <w:rPr>
                <w:rFonts w:hint="eastAsia"/>
                <w:b/>
                <w:bCs/>
                <w:color w:val="auto"/>
                <w:highlight w:val="none"/>
                <w:lang w:val="en-US" w:eastAsia="zh-CN"/>
              </w:rPr>
              <w:t>5.若为联合体形式承接的，则该业绩的主体结构须由投标人承担施工建设，同时联合体协议须体现上述内容。若体现不出投标人承担主体结构建设施工内容的，须由该业绩的建设单位出具证明材料，证明其主体结构由投标人承担建设。</w:t>
            </w:r>
          </w:p>
          <w:p w14:paraId="31E9BAC8">
            <w:pPr>
              <w:numPr>
                <w:ilvl w:val="0"/>
                <w:numId w:val="0"/>
              </w:numPr>
              <w:spacing w:line="500" w:lineRule="exact"/>
              <w:jc w:val="left"/>
              <w:rPr>
                <w:rFonts w:hint="eastAsia"/>
                <w:b/>
                <w:bCs/>
                <w:color w:val="auto"/>
                <w:highlight w:val="none"/>
                <w:lang w:val="en-US" w:eastAsia="zh-CN"/>
              </w:rPr>
            </w:pPr>
            <w:r>
              <w:rPr>
                <w:rFonts w:hint="eastAsia"/>
                <w:b/>
                <w:bCs/>
                <w:color w:val="auto"/>
                <w:highlight w:val="none"/>
                <w:lang w:val="en-US" w:eastAsia="zh-CN"/>
              </w:rPr>
              <w:t>6.企业业绩与项目经理业绩不重复计分。</w:t>
            </w:r>
          </w:p>
          <w:p w14:paraId="5EDF80ED">
            <w:pPr>
              <w:numPr>
                <w:ilvl w:val="0"/>
                <w:numId w:val="0"/>
              </w:numPr>
              <w:spacing w:line="5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 xml:space="preserve">二、评标委员会根据投标人所提供的业绩进行评审： </w:t>
            </w:r>
          </w:p>
          <w:p w14:paraId="5BF37997">
            <w:pPr>
              <w:numPr>
                <w:ilvl w:val="0"/>
                <w:numId w:val="0"/>
              </w:numPr>
              <w:spacing w:line="5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 xml:space="preserve">满足以上要求的业绩数量=1的为优（应赋100分）；  </w:t>
            </w:r>
          </w:p>
          <w:p w14:paraId="738D7409">
            <w:pPr>
              <w:numPr>
                <w:ilvl w:val="0"/>
                <w:numId w:val="0"/>
              </w:numPr>
              <w:spacing w:line="500" w:lineRule="exact"/>
              <w:jc w:val="left"/>
              <w:rPr>
                <w:rFonts w:hint="default"/>
                <w:b/>
                <w:bCs/>
                <w:color w:val="auto"/>
                <w:highlight w:val="none"/>
                <w:lang w:val="en-US" w:eastAsia="zh-CN"/>
              </w:rPr>
            </w:pPr>
            <w:r>
              <w:rPr>
                <w:rFonts w:hint="eastAsia" w:ascii="Times New Roman" w:hAnsi="Times New Roman" w:eastAsia="宋体" w:cs="Times New Roman"/>
                <w:color w:val="auto"/>
                <w:highlight w:val="none"/>
                <w:lang w:val="en-US" w:eastAsia="zh-CN"/>
              </w:rPr>
              <w:t>满足以上要求的业绩数量=0 的为差（应赋0分）。</w:t>
            </w:r>
          </w:p>
        </w:tc>
      </w:tr>
      <w:tr w14:paraId="270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trPr>
        <w:tc>
          <w:tcPr>
            <w:tcW w:w="355" w:type="pct"/>
            <w:vMerge w:val="continue"/>
            <w:noWrap w:val="0"/>
            <w:vAlign w:val="center"/>
          </w:tcPr>
          <w:p w14:paraId="2DFC4161">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555" w:type="pct"/>
            <w:gridSpan w:val="2"/>
            <w:vMerge w:val="continue"/>
            <w:noWrap w:val="0"/>
            <w:vAlign w:val="center"/>
          </w:tcPr>
          <w:p w14:paraId="1462B483">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310" w:type="pct"/>
            <w:noWrap w:val="0"/>
            <w:tcMar>
              <w:left w:w="75" w:type="dxa"/>
            </w:tcMar>
            <w:vAlign w:val="center"/>
          </w:tcPr>
          <w:p w14:paraId="5AB38C95">
            <w:pPr>
              <w:pStyle w:val="62"/>
              <w:keepNext w:val="0"/>
              <w:keepLines w:val="0"/>
              <w:pageBreakBefore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u w:val="single"/>
                <w:lang w:val="en-US" w:eastAsia="zh-CN"/>
              </w:rPr>
              <w:t>40</w:t>
            </w:r>
            <w:r>
              <w:rPr>
                <w:rFonts w:hint="eastAsia" w:ascii="宋体" w:hAnsi="宋体" w:eastAsia="宋体" w:cs="宋体"/>
                <w:smallCaps w:val="0"/>
                <w:color w:val="auto"/>
                <w:sz w:val="21"/>
                <w:szCs w:val="21"/>
                <w:highlight w:val="none"/>
              </w:rPr>
              <w:t>%</w:t>
            </w:r>
          </w:p>
        </w:tc>
        <w:tc>
          <w:tcPr>
            <w:tcW w:w="643" w:type="pct"/>
            <w:gridSpan w:val="2"/>
            <w:noWrap w:val="0"/>
            <w:tcMar>
              <w:left w:w="75" w:type="dxa"/>
            </w:tcMar>
            <w:vAlign w:val="center"/>
          </w:tcPr>
          <w:p w14:paraId="1250BB64">
            <w:pPr>
              <w:pStyle w:val="62"/>
              <w:keepNext w:val="0"/>
              <w:keepLines w:val="0"/>
              <w:pageBreakBefore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企业业绩</w:t>
            </w:r>
          </w:p>
        </w:tc>
        <w:tc>
          <w:tcPr>
            <w:tcW w:w="3134" w:type="pct"/>
            <w:gridSpan w:val="2"/>
            <w:noWrap w:val="0"/>
            <w:vAlign w:val="center"/>
          </w:tcPr>
          <w:p w14:paraId="7C9E0026">
            <w:pPr>
              <w:numPr>
                <w:ilvl w:val="0"/>
                <w:numId w:val="0"/>
              </w:numPr>
              <w:spacing w:line="500" w:lineRule="exact"/>
              <w:jc w:val="left"/>
              <w:rPr>
                <w:rFonts w:hint="eastAsia"/>
                <w:color w:val="auto"/>
                <w:highlight w:val="none"/>
                <w:lang w:val="en-US" w:eastAsia="zh-CN"/>
              </w:rPr>
            </w:pPr>
            <w:r>
              <w:rPr>
                <w:rFonts w:hint="eastAsia"/>
                <w:color w:val="auto"/>
                <w:highlight w:val="none"/>
                <w:lang w:val="en-US" w:eastAsia="zh-CN"/>
              </w:rPr>
              <w:t>一、自2021年1月1日至投标截止时间，投标人具有建筑面积不低于80000平方米且合同金额不低于16000万元的的工业厂房施工业绩。</w:t>
            </w:r>
          </w:p>
          <w:p w14:paraId="159E1452">
            <w:pPr>
              <w:numPr>
                <w:ilvl w:val="0"/>
                <w:numId w:val="0"/>
              </w:numPr>
              <w:spacing w:line="500" w:lineRule="exact"/>
              <w:jc w:val="left"/>
              <w:rPr>
                <w:rFonts w:hint="eastAsia"/>
                <w:color w:val="auto"/>
                <w:highlight w:val="none"/>
                <w:lang w:val="en-US" w:eastAsia="zh-CN"/>
              </w:rPr>
            </w:pPr>
            <w:r>
              <w:rPr>
                <w:rFonts w:hint="eastAsia"/>
                <w:color w:val="auto"/>
                <w:highlight w:val="none"/>
                <w:lang w:val="en-US" w:eastAsia="zh-CN"/>
              </w:rPr>
              <w:t>【投标文件中须同时提供下列材料扫描件：</w:t>
            </w:r>
            <w:r>
              <w:rPr>
                <w:rFonts w:hint="eastAsia"/>
                <w:b/>
                <w:bCs/>
                <w:color w:val="auto"/>
                <w:highlight w:val="none"/>
                <w:lang w:val="en-US" w:eastAsia="zh-CN"/>
              </w:rPr>
              <w:t>①中标通知书</w:t>
            </w:r>
            <w:r>
              <w:rPr>
                <w:rFonts w:hint="eastAsia"/>
                <w:color w:val="auto"/>
                <w:highlight w:val="none"/>
                <w:lang w:val="en-US" w:eastAsia="zh-CN"/>
              </w:rPr>
              <w:t>；②合同；③竣工验收报告或竣工验收证书或竣工验收证明书；④</w:t>
            </w:r>
            <w:r>
              <w:rPr>
                <w:rFonts w:hint="eastAsia"/>
                <w:b/>
                <w:bCs/>
                <w:color w:val="auto"/>
                <w:highlight w:val="none"/>
                <w:lang w:val="en-US" w:eastAsia="zh-CN"/>
              </w:rPr>
              <w:t>该业绩在全国建筑市场监管公共服务平台或全国公共资源交易平台(包括各省市平台，如全国公共资源交易平台（安徽省滁州市）可查)截图及网址，其中全国建筑市场监管公共服务平台的截图中须显示数据等级为A级或B级或C级；⑤建筑工程施工许可证；</w:t>
            </w:r>
            <w:r>
              <w:rPr>
                <w:rFonts w:hint="eastAsia"/>
                <w:color w:val="auto"/>
                <w:highlight w:val="none"/>
                <w:lang w:val="en-US" w:eastAsia="zh-CN"/>
              </w:rPr>
              <w:t>⑥联合体协议（第⑥项材料仅针对联合体形式承接的业绩）。上述①至⑤项材料缺一不可（若为联合体形式承接业绩的，上述①至⑥项材料缺一不可），如上述材料未能够充分有效证明该工程类型的评审因素，则另须提供建设单位出具的加盖建设单位公章的证明材料。】</w:t>
            </w:r>
          </w:p>
          <w:p w14:paraId="0B4680A7">
            <w:pPr>
              <w:numPr>
                <w:ilvl w:val="0"/>
                <w:numId w:val="0"/>
              </w:numPr>
              <w:spacing w:line="500" w:lineRule="exact"/>
              <w:jc w:val="left"/>
              <w:rPr>
                <w:rFonts w:hint="eastAsia"/>
                <w:b/>
                <w:bCs/>
                <w:color w:val="auto"/>
                <w:highlight w:val="none"/>
                <w:lang w:val="en-US" w:eastAsia="zh-CN"/>
              </w:rPr>
            </w:pPr>
            <w:r>
              <w:rPr>
                <w:rFonts w:hint="eastAsia"/>
                <w:b/>
                <w:bCs/>
                <w:color w:val="auto"/>
                <w:highlight w:val="none"/>
                <w:lang w:val="en-US" w:eastAsia="zh-CN"/>
              </w:rPr>
              <w:t>注:1.业绩面积以建筑工程施工许可证中体现的为准；金额以合同金额为准。</w:t>
            </w:r>
          </w:p>
          <w:p w14:paraId="43B62B04">
            <w:pPr>
              <w:numPr>
                <w:ilvl w:val="0"/>
                <w:numId w:val="0"/>
              </w:numPr>
              <w:spacing w:line="500" w:lineRule="exact"/>
              <w:jc w:val="left"/>
              <w:rPr>
                <w:rFonts w:hint="eastAsia"/>
                <w:b/>
                <w:bCs/>
                <w:color w:val="auto"/>
                <w:highlight w:val="none"/>
                <w:lang w:val="en-US" w:eastAsia="zh-CN"/>
              </w:rPr>
            </w:pPr>
            <w:r>
              <w:rPr>
                <w:rFonts w:hint="eastAsia"/>
                <w:b/>
                <w:bCs/>
                <w:color w:val="auto"/>
                <w:highlight w:val="none"/>
                <w:lang w:val="en-US" w:eastAsia="zh-CN"/>
              </w:rPr>
              <w:t>2.业绩有效时间以竣工验收报告或竣工验收证书或竣工验收证明书中的竣工验收通过日期为准。</w:t>
            </w:r>
          </w:p>
          <w:p w14:paraId="77368220">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b/>
                <w:bCs/>
                <w:color w:val="auto"/>
                <w:highlight w:val="none"/>
                <w:lang w:val="en-US" w:eastAsia="zh-CN"/>
              </w:rPr>
            </w:pPr>
            <w:r>
              <w:rPr>
                <w:rFonts w:hint="eastAsia"/>
                <w:b/>
                <w:bCs/>
                <w:color w:val="auto"/>
                <w:highlight w:val="none"/>
                <w:lang w:val="en-US" w:eastAsia="zh-CN"/>
              </w:rPr>
              <w:t>3.若为联合体形式承接的，则该业绩的主体结构须由投标人承担施工建设，同时联合体协议须体现上述内容。若体现不出投标人承担主体结构建设施工内容的，须由该业绩的建设单位出具证明材料，证明其主体结构由投标人承担建设。</w:t>
            </w:r>
          </w:p>
          <w:p w14:paraId="379F621B">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b/>
                <w:bCs/>
                <w:color w:val="auto"/>
                <w:highlight w:val="none"/>
                <w:lang w:val="en-US" w:eastAsia="zh-CN"/>
              </w:rPr>
            </w:pPr>
            <w:r>
              <w:rPr>
                <w:rFonts w:hint="eastAsia"/>
                <w:b/>
                <w:bCs/>
                <w:color w:val="auto"/>
                <w:highlight w:val="none"/>
                <w:lang w:val="en-US" w:eastAsia="zh-CN"/>
              </w:rPr>
              <w:t>4.企业业绩与项目经理业绩不重复计分。</w:t>
            </w:r>
          </w:p>
          <w:p w14:paraId="4D807F42">
            <w:pPr>
              <w:numPr>
                <w:ilvl w:val="0"/>
                <w:numId w:val="0"/>
              </w:numPr>
              <w:spacing w:line="5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二、评标</w:t>
            </w:r>
            <w:bookmarkStart w:id="1562" w:name="_GoBack"/>
            <w:bookmarkEnd w:id="1562"/>
            <w:r>
              <w:rPr>
                <w:rFonts w:hint="eastAsia" w:ascii="Times New Roman" w:hAnsi="Times New Roman" w:eastAsia="宋体" w:cs="Times New Roman"/>
                <w:color w:val="auto"/>
                <w:highlight w:val="none"/>
                <w:lang w:val="en-US" w:eastAsia="zh-CN"/>
              </w:rPr>
              <w:t xml:space="preserve">委员会根据投标人所提供的业绩进行评审： </w:t>
            </w:r>
          </w:p>
          <w:p w14:paraId="64E69285">
            <w:pPr>
              <w:numPr>
                <w:ilvl w:val="0"/>
                <w:numId w:val="0"/>
              </w:numPr>
              <w:spacing w:line="5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 xml:space="preserve">满足以上要求的业绩数量=1的为优（应赋100分）；  </w:t>
            </w:r>
          </w:p>
          <w:p w14:paraId="1E181066">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b/>
                <w:bCs/>
                <w:color w:val="auto"/>
                <w:highlight w:val="none"/>
                <w:lang w:val="en-US" w:eastAsia="zh-CN"/>
              </w:rPr>
            </w:pPr>
            <w:r>
              <w:rPr>
                <w:rFonts w:hint="eastAsia" w:ascii="Times New Roman" w:hAnsi="Times New Roman" w:eastAsia="宋体" w:cs="Times New Roman"/>
                <w:color w:val="auto"/>
                <w:highlight w:val="none"/>
                <w:lang w:val="en-US" w:eastAsia="zh-CN"/>
              </w:rPr>
              <w:t>满足以上要求的业绩数量=0 的为差（应赋0分）。</w:t>
            </w:r>
          </w:p>
        </w:tc>
      </w:tr>
      <w:tr w14:paraId="226C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55" w:type="pct"/>
            <w:vMerge w:val="continue"/>
            <w:noWrap w:val="0"/>
            <w:vAlign w:val="center"/>
          </w:tcPr>
          <w:p w14:paraId="5EED40D4">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555" w:type="pct"/>
            <w:gridSpan w:val="2"/>
            <w:vMerge w:val="continue"/>
            <w:noWrap w:val="0"/>
            <w:vAlign w:val="center"/>
          </w:tcPr>
          <w:p w14:paraId="576C99EA">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310" w:type="pct"/>
            <w:noWrap w:val="0"/>
            <w:tcMar>
              <w:left w:w="75" w:type="dxa"/>
            </w:tcMar>
            <w:vAlign w:val="center"/>
          </w:tcPr>
          <w:p w14:paraId="1F72EF9A">
            <w:pPr>
              <w:pStyle w:val="62"/>
              <w:keepNext w:val="0"/>
              <w:keepLines w:val="0"/>
              <w:pageBreakBefore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u w:val="single"/>
                <w:lang w:val="en-US" w:eastAsia="zh-CN"/>
              </w:rPr>
              <w:t>10</w:t>
            </w:r>
            <w:r>
              <w:rPr>
                <w:rFonts w:hint="eastAsia" w:ascii="宋体" w:hAnsi="宋体" w:eastAsia="宋体" w:cs="宋体"/>
                <w:smallCaps w:val="0"/>
                <w:color w:val="auto"/>
                <w:sz w:val="21"/>
                <w:szCs w:val="21"/>
                <w:highlight w:val="none"/>
              </w:rPr>
              <w:t>%</w:t>
            </w:r>
          </w:p>
        </w:tc>
        <w:tc>
          <w:tcPr>
            <w:tcW w:w="643" w:type="pct"/>
            <w:gridSpan w:val="2"/>
            <w:noWrap w:val="0"/>
            <w:tcMar>
              <w:left w:w="75" w:type="dxa"/>
            </w:tcMar>
            <w:vAlign w:val="center"/>
          </w:tcPr>
          <w:p w14:paraId="64CF92B1">
            <w:pPr>
              <w:pStyle w:val="62"/>
              <w:keepNext w:val="0"/>
              <w:keepLines w:val="0"/>
              <w:pageBreakBefore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lang w:eastAsia="zh-CN"/>
              </w:rPr>
              <w:t>联合体协议</w:t>
            </w:r>
          </w:p>
        </w:tc>
        <w:tc>
          <w:tcPr>
            <w:tcW w:w="3134" w:type="pct"/>
            <w:gridSpan w:val="2"/>
            <w:noWrap w:val="0"/>
            <w:vAlign w:val="center"/>
          </w:tcPr>
          <w:p w14:paraId="40D143A9">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（1）联合体投标的，提供联合体协议明确权责分工等内容的评审为优（应赋100分）；提供联合体协议但内容不明确的评审为良（应赋50分）。</w:t>
            </w:r>
          </w:p>
          <w:p w14:paraId="3CB15D8C">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（2）非联合体投标的，该项评审为优（应赋100分）</w:t>
            </w:r>
            <w:r>
              <w:rPr>
                <w:rFonts w:hint="eastAsia" w:ascii="宋体" w:hAnsi="宋体" w:eastAsia="宋体" w:cs="宋体"/>
                <w:smallCaps w:val="0"/>
                <w:color w:val="auto"/>
                <w:sz w:val="21"/>
                <w:szCs w:val="21"/>
                <w:highlight w:val="none"/>
                <w:lang w:eastAsia="zh-CN"/>
              </w:rPr>
              <w:t>。</w:t>
            </w:r>
          </w:p>
        </w:tc>
      </w:tr>
      <w:tr w14:paraId="539A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trPr>
        <w:tc>
          <w:tcPr>
            <w:tcW w:w="355" w:type="pct"/>
            <w:vMerge w:val="continue"/>
            <w:noWrap w:val="0"/>
            <w:vAlign w:val="center"/>
          </w:tcPr>
          <w:p w14:paraId="335E6B12">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555" w:type="pct"/>
            <w:gridSpan w:val="2"/>
            <w:vMerge w:val="continue"/>
            <w:noWrap w:val="0"/>
            <w:vAlign w:val="center"/>
          </w:tcPr>
          <w:p w14:paraId="0815F449">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310" w:type="pct"/>
            <w:noWrap w:val="0"/>
            <w:tcMar>
              <w:left w:w="75" w:type="dxa"/>
            </w:tcMar>
            <w:vAlign w:val="center"/>
          </w:tcPr>
          <w:p w14:paraId="058C5787">
            <w:pPr>
              <w:pStyle w:val="62"/>
              <w:keepNext w:val="0"/>
              <w:keepLines w:val="0"/>
              <w:pageBreakBefore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u w:val="single"/>
                <w:lang w:val="en-US" w:eastAsia="zh-CN"/>
              </w:rPr>
              <w:t>10</w:t>
            </w:r>
            <w:r>
              <w:rPr>
                <w:rFonts w:hint="eastAsia" w:ascii="宋体" w:hAnsi="宋体" w:eastAsia="宋体" w:cs="宋体"/>
                <w:smallCaps w:val="0"/>
                <w:color w:val="auto"/>
                <w:sz w:val="21"/>
                <w:szCs w:val="21"/>
                <w:highlight w:val="none"/>
              </w:rPr>
              <w:t>%</w:t>
            </w:r>
          </w:p>
        </w:tc>
        <w:tc>
          <w:tcPr>
            <w:tcW w:w="643" w:type="pct"/>
            <w:gridSpan w:val="2"/>
            <w:noWrap w:val="0"/>
            <w:tcMar>
              <w:left w:w="75" w:type="dxa"/>
            </w:tcMar>
            <w:vAlign w:val="center"/>
          </w:tcPr>
          <w:p w14:paraId="13335C6F">
            <w:pPr>
              <w:pStyle w:val="62"/>
              <w:keepNext w:val="0"/>
              <w:keepLines w:val="0"/>
              <w:pageBreakBefore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信用分</w:t>
            </w:r>
          </w:p>
        </w:tc>
        <w:tc>
          <w:tcPr>
            <w:tcW w:w="3134" w:type="pct"/>
            <w:gridSpan w:val="2"/>
            <w:noWrap w:val="0"/>
            <w:vAlign w:val="center"/>
          </w:tcPr>
          <w:p w14:paraId="507B7E28">
            <w:pPr>
              <w:adjustRightInd w:val="0"/>
              <w:snapToGrid w:val="0"/>
              <w:spacing w:line="520" w:lineRule="exac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信用分评分划为3档</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投标人企业信用分达到60分及以上的</w:t>
            </w:r>
            <w:r>
              <w:rPr>
                <w:rFonts w:hint="eastAsia" w:ascii="宋体" w:hAnsi="宋体" w:eastAsia="宋体" w:cs="宋体"/>
                <w:color w:val="auto"/>
                <w:szCs w:val="21"/>
                <w:highlight w:val="none"/>
                <w:lang w:val="en-US" w:eastAsia="zh-CN"/>
              </w:rPr>
              <w:t>评审为优（应赋100分），</w:t>
            </w:r>
            <w:r>
              <w:rPr>
                <w:rFonts w:hint="eastAsia" w:ascii="宋体" w:hAnsi="宋体" w:eastAsia="宋体" w:cs="宋体"/>
                <w:color w:val="auto"/>
                <w:szCs w:val="21"/>
                <w:highlight w:val="none"/>
                <w:lang w:eastAsia="zh-CN"/>
              </w:rPr>
              <w:t>60分&gt;投标企业信用分≥55分</w:t>
            </w:r>
            <w:r>
              <w:rPr>
                <w:rFonts w:hint="eastAsia" w:ascii="宋体" w:hAnsi="宋体" w:eastAsia="宋体" w:cs="宋体"/>
                <w:color w:val="auto"/>
                <w:szCs w:val="21"/>
                <w:highlight w:val="none"/>
                <w:lang w:val="en-US" w:eastAsia="zh-CN"/>
              </w:rPr>
              <w:t>的评审为良（应赋95分），</w:t>
            </w:r>
            <w:r>
              <w:rPr>
                <w:rFonts w:hint="eastAsia" w:ascii="宋体" w:hAnsi="宋体" w:eastAsia="宋体" w:cs="宋体"/>
                <w:color w:val="auto"/>
                <w:szCs w:val="21"/>
                <w:highlight w:val="none"/>
                <w:lang w:eastAsia="zh-CN"/>
              </w:rPr>
              <w:t>投标企业信用分＜55分的</w:t>
            </w:r>
            <w:r>
              <w:rPr>
                <w:rFonts w:hint="eastAsia" w:ascii="宋体" w:hAnsi="宋体" w:eastAsia="宋体" w:cs="宋体"/>
                <w:color w:val="auto"/>
                <w:szCs w:val="21"/>
                <w:highlight w:val="none"/>
                <w:lang w:val="en-US" w:eastAsia="zh-CN"/>
              </w:rPr>
              <w:t>评审为一般（应赋90分）。</w:t>
            </w:r>
          </w:p>
          <w:p w14:paraId="472F62A8">
            <w:pPr>
              <w:adjustRightInd w:val="0"/>
              <w:snapToGrid w:val="0"/>
              <w:spacing w:line="5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备注：1.以投标截止时间后开标现场查询的结果为准，如查不到该企业信用分，本项按最低档得分。投标企业的滁州市建筑业企业试点信用评价结果，以投标截止时间后在开评标现场通过滁州市住建局“建筑市场信用管理系统”（https://zfcxjsj.chuzhou.gov.cn/ent/entryType?id=1&amp;type=1）查询的结果为准。</w:t>
            </w:r>
          </w:p>
          <w:p w14:paraId="2A6B11B5">
            <w:pPr>
              <w:adjustRightInd w:val="0"/>
              <w:snapToGrid w:val="0"/>
              <w:spacing w:line="5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投标人没有信用分的，本项按最低档得分。</w:t>
            </w:r>
          </w:p>
          <w:p w14:paraId="4DA17073">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eastAsia="宋体" w:cs="宋体"/>
                <w:smallCaps w:val="0"/>
                <w:color w:val="auto"/>
                <w:sz w:val="21"/>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接受联合体投标的，投标人信用分以联合体成员中的最高分计算。</w:t>
            </w:r>
          </w:p>
        </w:tc>
      </w:tr>
      <w:tr w14:paraId="6211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trPr>
        <w:tc>
          <w:tcPr>
            <w:tcW w:w="355" w:type="pct"/>
            <w:vMerge w:val="restart"/>
            <w:noWrap w:val="0"/>
            <w:vAlign w:val="center"/>
          </w:tcPr>
          <w:p w14:paraId="0F27F236">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rPr>
              <w:t>2.2.1（2）</w:t>
            </w:r>
          </w:p>
        </w:tc>
        <w:tc>
          <w:tcPr>
            <w:tcW w:w="555" w:type="pct"/>
            <w:gridSpan w:val="2"/>
            <w:vMerge w:val="restart"/>
            <w:noWrap w:val="0"/>
            <w:vAlign w:val="center"/>
          </w:tcPr>
          <w:p w14:paraId="7C407FCC">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rPr>
              <w:t>技术文件评审标准</w:t>
            </w:r>
          </w:p>
        </w:tc>
        <w:tc>
          <w:tcPr>
            <w:tcW w:w="310" w:type="pct"/>
            <w:noWrap w:val="0"/>
            <w:tcMar>
              <w:left w:w="75" w:type="dxa"/>
            </w:tcMar>
            <w:vAlign w:val="center"/>
          </w:tcPr>
          <w:p w14:paraId="74517692">
            <w:pPr>
              <w:pStyle w:val="62"/>
              <w:keepNext w:val="0"/>
              <w:keepLines w:val="0"/>
              <w:pageBreakBefore w:val="0"/>
              <w:kinsoku/>
              <w:wordWrap/>
              <w:overflowPunct/>
              <w:topLinePunct w:val="0"/>
              <w:autoSpaceDE/>
              <w:autoSpaceDN/>
              <w:bidi w:val="0"/>
              <w:spacing w:line="560" w:lineRule="exact"/>
              <w:jc w:val="both"/>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u w:val="single"/>
                <w:lang w:val="en-US" w:eastAsia="zh-CN"/>
              </w:rPr>
              <w:t>40</w:t>
            </w:r>
            <w:r>
              <w:rPr>
                <w:rFonts w:hint="eastAsia" w:ascii="宋体" w:hAnsi="宋体" w:eastAsia="宋体" w:cs="宋体"/>
                <w:smallCaps w:val="0"/>
                <w:color w:val="auto"/>
                <w:sz w:val="21"/>
                <w:szCs w:val="21"/>
                <w:highlight w:val="none"/>
              </w:rPr>
              <w:t>%</w:t>
            </w:r>
          </w:p>
        </w:tc>
        <w:tc>
          <w:tcPr>
            <w:tcW w:w="964" w:type="pct"/>
            <w:gridSpan w:val="3"/>
            <w:noWrap w:val="0"/>
            <w:tcMar>
              <w:left w:w="75" w:type="dxa"/>
            </w:tcMar>
            <w:vAlign w:val="center"/>
          </w:tcPr>
          <w:p w14:paraId="18E65DEF">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工程重点难点及危大工程的保障体系</w:t>
            </w:r>
          </w:p>
        </w:tc>
        <w:tc>
          <w:tcPr>
            <w:tcW w:w="2813" w:type="pct"/>
            <w:noWrap w:val="0"/>
            <w:vAlign w:val="center"/>
          </w:tcPr>
          <w:p w14:paraId="4FC310D5">
            <w:pPr>
              <w:pStyle w:val="56"/>
              <w:bidi w:val="0"/>
              <w:rPr>
                <w:rFonts w:hint="eastAsia" w:ascii="宋体" w:hAnsi="宋体" w:eastAsia="宋体" w:cs="宋体"/>
                <w:smallCaps w:val="0"/>
                <w:color w:val="auto"/>
                <w:sz w:val="21"/>
                <w:szCs w:val="21"/>
                <w:highlight w:val="none"/>
              </w:rPr>
            </w:pPr>
            <w:r>
              <w:rPr>
                <w:rFonts w:hint="eastAsia" w:ascii="Times New Roman" w:hAnsi="Times New Roman" w:eastAsia="宋体" w:cs="Times New Roman"/>
                <w:smallCaps w:val="0"/>
                <w:color w:val="auto"/>
                <w:highlight w:val="none"/>
                <w:lang w:val="en-US" w:eastAsia="zh-CN"/>
              </w:rPr>
              <w:t>依据投标人提供的工程重点难点及危大工程的保障体系与措施进行评审，评审为优（应赋 100分），评审为良（应赋90分）,评审为中等（应赋80分），评审为一般（应赋70分）,评审为差（应赋60分），未提供的不得分。</w:t>
            </w:r>
          </w:p>
        </w:tc>
      </w:tr>
      <w:tr w14:paraId="65C6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trPr>
        <w:tc>
          <w:tcPr>
            <w:tcW w:w="355" w:type="pct"/>
            <w:vMerge w:val="continue"/>
            <w:noWrap w:val="0"/>
            <w:vAlign w:val="center"/>
          </w:tcPr>
          <w:p w14:paraId="04C51D3B">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555" w:type="pct"/>
            <w:gridSpan w:val="2"/>
            <w:vMerge w:val="continue"/>
            <w:noWrap w:val="0"/>
            <w:vAlign w:val="center"/>
          </w:tcPr>
          <w:p w14:paraId="5BF0FE76">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310" w:type="pct"/>
            <w:noWrap w:val="0"/>
            <w:tcMar>
              <w:left w:w="75" w:type="dxa"/>
            </w:tcMar>
            <w:vAlign w:val="center"/>
          </w:tcPr>
          <w:p w14:paraId="5188D88C">
            <w:pPr>
              <w:pStyle w:val="62"/>
              <w:keepNext w:val="0"/>
              <w:keepLines w:val="0"/>
              <w:pageBreakBefore w:val="0"/>
              <w:kinsoku/>
              <w:wordWrap/>
              <w:overflowPunct/>
              <w:topLinePunct w:val="0"/>
              <w:autoSpaceDE/>
              <w:autoSpaceDN/>
              <w:bidi w:val="0"/>
              <w:spacing w:line="560" w:lineRule="exact"/>
              <w:jc w:val="both"/>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u w:val="single"/>
                <w:lang w:val="en-US" w:eastAsia="zh-CN"/>
              </w:rPr>
              <w:t>30</w:t>
            </w:r>
            <w:r>
              <w:rPr>
                <w:rFonts w:hint="eastAsia" w:ascii="宋体" w:hAnsi="宋体" w:eastAsia="宋体" w:cs="宋体"/>
                <w:smallCaps w:val="0"/>
                <w:color w:val="auto"/>
                <w:sz w:val="21"/>
                <w:szCs w:val="21"/>
                <w:highlight w:val="none"/>
              </w:rPr>
              <w:t>%</w:t>
            </w:r>
          </w:p>
        </w:tc>
        <w:tc>
          <w:tcPr>
            <w:tcW w:w="964" w:type="pct"/>
            <w:gridSpan w:val="3"/>
            <w:noWrap w:val="0"/>
            <w:tcMar>
              <w:left w:w="75" w:type="dxa"/>
            </w:tcMar>
            <w:vAlign w:val="center"/>
          </w:tcPr>
          <w:p w14:paraId="7CB727A4">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确保工期与质量的保障体系与措施、确保安全文明生产的管理体系与措施</w:t>
            </w:r>
          </w:p>
        </w:tc>
        <w:tc>
          <w:tcPr>
            <w:tcW w:w="2813" w:type="pct"/>
            <w:noWrap w:val="0"/>
            <w:vAlign w:val="center"/>
          </w:tcPr>
          <w:p w14:paraId="460251EA">
            <w:pPr>
              <w:pStyle w:val="56"/>
              <w:bidi w:val="0"/>
              <w:rPr>
                <w:rFonts w:hint="eastAsia" w:ascii="宋体" w:hAnsi="宋体" w:eastAsia="宋体" w:cs="宋体"/>
                <w:smallCaps w:val="0"/>
                <w:color w:val="auto"/>
                <w:sz w:val="21"/>
                <w:szCs w:val="21"/>
                <w:highlight w:val="none"/>
              </w:rPr>
            </w:pPr>
            <w:r>
              <w:rPr>
                <w:rFonts w:hint="eastAsia" w:ascii="Times New Roman" w:hAnsi="Times New Roman" w:eastAsia="宋体" w:cs="Times New Roman"/>
                <w:smallCaps w:val="0"/>
                <w:color w:val="auto"/>
                <w:highlight w:val="none"/>
                <w:lang w:val="en-US" w:eastAsia="zh-CN"/>
              </w:rPr>
              <w:t>依据投标人提供的确保工期与质量的保障体系与措施、确保安全文明生产的管理体系与措施进行评审，评审为优（应赋100分），评审为良（应赋90 分）,评审为中等（应赋80分）， 评审为一般（应赋70分）,评审为差（应赋60分），未提供的不得分。</w:t>
            </w:r>
          </w:p>
        </w:tc>
      </w:tr>
      <w:tr w14:paraId="35D1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trPr>
        <w:tc>
          <w:tcPr>
            <w:tcW w:w="355" w:type="pct"/>
            <w:vMerge w:val="continue"/>
            <w:noWrap w:val="0"/>
            <w:vAlign w:val="center"/>
          </w:tcPr>
          <w:p w14:paraId="3CBBE622">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555" w:type="pct"/>
            <w:gridSpan w:val="2"/>
            <w:vMerge w:val="continue"/>
            <w:noWrap w:val="0"/>
            <w:vAlign w:val="center"/>
          </w:tcPr>
          <w:p w14:paraId="67411389">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310" w:type="pct"/>
            <w:noWrap w:val="0"/>
            <w:tcMar>
              <w:left w:w="75" w:type="dxa"/>
            </w:tcMar>
            <w:vAlign w:val="center"/>
          </w:tcPr>
          <w:p w14:paraId="279207FD">
            <w:pPr>
              <w:pStyle w:val="62"/>
              <w:keepNext w:val="0"/>
              <w:keepLines w:val="0"/>
              <w:pageBreakBefore w:val="0"/>
              <w:kinsoku/>
              <w:wordWrap/>
              <w:overflowPunct/>
              <w:topLinePunct w:val="0"/>
              <w:autoSpaceDE/>
              <w:autoSpaceDN/>
              <w:bidi w:val="0"/>
              <w:spacing w:line="560" w:lineRule="exact"/>
              <w:jc w:val="both"/>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u w:val="single"/>
                <w:lang w:val="en-US" w:eastAsia="zh-CN"/>
              </w:rPr>
              <w:t>30</w:t>
            </w:r>
            <w:r>
              <w:rPr>
                <w:rFonts w:hint="eastAsia" w:ascii="宋体" w:hAnsi="宋体" w:eastAsia="宋体" w:cs="宋体"/>
                <w:smallCaps w:val="0"/>
                <w:color w:val="auto"/>
                <w:sz w:val="21"/>
                <w:szCs w:val="21"/>
                <w:highlight w:val="none"/>
              </w:rPr>
              <w:t>%</w:t>
            </w:r>
          </w:p>
        </w:tc>
        <w:tc>
          <w:tcPr>
            <w:tcW w:w="964" w:type="pct"/>
            <w:gridSpan w:val="3"/>
            <w:noWrap w:val="0"/>
            <w:tcMar>
              <w:left w:w="75" w:type="dxa"/>
            </w:tcMar>
            <w:vAlign w:val="center"/>
          </w:tcPr>
          <w:p w14:paraId="51801BEC">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确保人、材、机的保障体系与措施</w:t>
            </w:r>
          </w:p>
        </w:tc>
        <w:tc>
          <w:tcPr>
            <w:tcW w:w="2813" w:type="pct"/>
            <w:noWrap w:val="0"/>
            <w:vAlign w:val="center"/>
          </w:tcPr>
          <w:p w14:paraId="588D7387">
            <w:pPr>
              <w:pStyle w:val="56"/>
              <w:bidi w:val="0"/>
              <w:rPr>
                <w:rFonts w:hint="eastAsia" w:ascii="宋体" w:hAnsi="宋体" w:eastAsia="宋体" w:cs="宋体"/>
                <w:smallCaps w:val="0"/>
                <w:color w:val="auto"/>
                <w:sz w:val="21"/>
                <w:szCs w:val="21"/>
                <w:highlight w:val="none"/>
              </w:rPr>
            </w:pPr>
            <w:r>
              <w:rPr>
                <w:rFonts w:hint="eastAsia" w:ascii="Times New Roman" w:hAnsi="Times New Roman" w:eastAsia="宋体" w:cs="Times New Roman"/>
                <w:smallCaps w:val="0"/>
                <w:color w:val="auto"/>
                <w:highlight w:val="none"/>
                <w:lang w:val="en-US" w:eastAsia="zh-CN"/>
              </w:rPr>
              <w:t>依据投标人提供的确保人、材、机的保障体系与措施进行评审，评审为优（应赋 100分），评审为良（应赋90分）,评审为中等（应赋80分），评审为一般（应赋70分）,评审为差（应赋60分），未提供的不得分。</w:t>
            </w:r>
          </w:p>
        </w:tc>
      </w:tr>
      <w:tr w14:paraId="485B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trPr>
        <w:tc>
          <w:tcPr>
            <w:tcW w:w="355" w:type="pct"/>
            <w:vMerge w:val="continue"/>
            <w:noWrap w:val="0"/>
            <w:vAlign w:val="center"/>
          </w:tcPr>
          <w:p w14:paraId="07B35040">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4644" w:type="pct"/>
            <w:gridSpan w:val="7"/>
            <w:noWrap w:val="0"/>
            <w:vAlign w:val="center"/>
          </w:tcPr>
          <w:p w14:paraId="136E1570">
            <w:pPr>
              <w:pStyle w:val="19"/>
              <w:spacing w:after="0" w:line="560" w:lineRule="exact"/>
              <w:ind w:left="0" w:leftChars="0" w:firstLine="422"/>
              <w:jc w:val="left"/>
              <w:rPr>
                <w:rFonts w:hint="eastAsia" w:ascii="宋体" w:hAnsi="宋体" w:cs="宋体"/>
                <w:b/>
                <w:bCs/>
                <w:color w:val="auto"/>
                <w:highlight w:val="none"/>
              </w:rPr>
            </w:pPr>
            <w:r>
              <w:rPr>
                <w:rFonts w:hint="eastAsia" w:ascii="宋体" w:hAnsi="宋体" w:cs="宋体"/>
                <w:b/>
                <w:bCs/>
                <w:color w:val="auto"/>
                <w:highlight w:val="none"/>
              </w:rPr>
              <w:t>注：1、</w:t>
            </w:r>
            <w:r>
              <w:rPr>
                <w:rFonts w:hint="eastAsia" w:ascii="宋体" w:hAnsi="宋体" w:cs="宋体"/>
                <w:b/>
                <w:bCs/>
                <w:color w:val="auto"/>
                <w:highlight w:val="none"/>
                <w:lang w:val="en-US" w:eastAsia="zh-CN"/>
              </w:rPr>
              <w:t>每个评审因素得分均以去掉一个最高分和一个最低分后的打分平均值确定（打分平均值保留小数点后两位，小数点后第三位四舍五入）。汇总每个评审因素得分，得到该投标人技术标评分细则得分</w:t>
            </w:r>
            <w:r>
              <w:rPr>
                <w:rFonts w:hint="eastAsia" w:ascii="宋体" w:hAnsi="宋体" w:cs="宋体"/>
                <w:b/>
                <w:bCs/>
                <w:color w:val="auto"/>
                <w:highlight w:val="none"/>
              </w:rPr>
              <w:t>。</w:t>
            </w:r>
          </w:p>
          <w:p w14:paraId="4B8A2E10">
            <w:pPr>
              <w:pStyle w:val="19"/>
              <w:spacing w:after="0" w:line="560" w:lineRule="exact"/>
              <w:ind w:left="0" w:leftChars="0" w:firstLine="422"/>
              <w:jc w:val="left"/>
              <w:rPr>
                <w:rFonts w:hint="eastAsia" w:ascii="宋体" w:hAnsi="宋体" w:cs="宋体"/>
                <w:b/>
                <w:bCs/>
                <w:color w:val="auto"/>
                <w:highlight w:val="none"/>
              </w:rPr>
            </w:pPr>
            <w:r>
              <w:rPr>
                <w:rFonts w:hint="eastAsia" w:ascii="宋体" w:hAnsi="宋体" w:cs="宋体"/>
                <w:b/>
                <w:bCs/>
                <w:color w:val="auto"/>
                <w:highlight w:val="none"/>
              </w:rPr>
              <w:t>2、该项目技术标为暗标横向评审，暗标横向评审技术标不设目录，评审前系统自动对所有投标人的技术标及各评分点分别进行编号；投标企业制作的技术标部分不得出现可能泄露投标人单位及个人信息的文字、图片、图表（技术标部分不得签章）等有关表述，否则该评分点作零分处理。</w:t>
            </w:r>
          </w:p>
          <w:p w14:paraId="4FE0CD65">
            <w:pPr>
              <w:pStyle w:val="19"/>
              <w:spacing w:line="560" w:lineRule="exact"/>
              <w:ind w:left="0" w:leftChars="0" w:firstLine="413" w:firstLineChars="196"/>
              <w:jc w:val="left"/>
              <w:rPr>
                <w:rFonts w:hint="eastAsia" w:ascii="宋体" w:hAnsi="宋体" w:cs="宋体"/>
                <w:b/>
                <w:bCs/>
                <w:color w:val="auto"/>
                <w:highlight w:val="none"/>
              </w:rPr>
            </w:pPr>
            <w:r>
              <w:rPr>
                <w:rFonts w:hint="eastAsia" w:ascii="宋体" w:hAnsi="宋体" w:cs="宋体"/>
                <w:b/>
                <w:bCs/>
                <w:color w:val="auto"/>
                <w:highlight w:val="none"/>
              </w:rPr>
              <w:t>2.1 技术标暗标不设空白页。技术标投标文件封面不出现投标人、法定代表人签章内容，格式以系统设置为准。正文必须按招标文件要求的顺序进行排版；</w:t>
            </w:r>
          </w:p>
          <w:p w14:paraId="4F6CC794">
            <w:pPr>
              <w:pStyle w:val="19"/>
              <w:spacing w:after="0" w:line="560" w:lineRule="exact"/>
              <w:ind w:left="0" w:leftChars="0" w:firstLine="422"/>
              <w:jc w:val="left"/>
              <w:rPr>
                <w:rFonts w:hint="eastAsia" w:ascii="宋体" w:hAnsi="宋体" w:cs="宋体"/>
                <w:b/>
                <w:bCs/>
                <w:color w:val="auto"/>
                <w:highlight w:val="none"/>
              </w:rPr>
            </w:pPr>
            <w:r>
              <w:rPr>
                <w:rFonts w:hint="eastAsia" w:ascii="宋体" w:hAnsi="宋体" w:cs="宋体"/>
                <w:b/>
                <w:bCs/>
                <w:color w:val="auto"/>
                <w:highlight w:val="none"/>
              </w:rPr>
              <w:t>2.2技术标暗标正文文字排版统一使用中文宋体字体，文字为白底黑色，图表采用黑白灰色（不得采用彩色）；文字部分不得插入任何图表（可以用“见附图x”或“见附表x”说明）。所有附图、附表必须依次附在各章对应评分点内容的文末，计算在页数要求内；</w:t>
            </w:r>
          </w:p>
          <w:p w14:paraId="5D2B87C7">
            <w:pPr>
              <w:pStyle w:val="19"/>
              <w:spacing w:after="0" w:line="560" w:lineRule="exact"/>
              <w:ind w:left="0" w:leftChars="0" w:firstLine="422"/>
              <w:jc w:val="left"/>
              <w:rPr>
                <w:rFonts w:hint="eastAsia" w:ascii="宋体" w:hAnsi="宋体" w:cs="宋体"/>
                <w:b/>
                <w:bCs/>
                <w:color w:val="auto"/>
                <w:highlight w:val="none"/>
              </w:rPr>
            </w:pPr>
            <w:r>
              <w:rPr>
                <w:rFonts w:hint="eastAsia" w:ascii="宋体" w:hAnsi="宋体" w:cs="宋体"/>
                <w:b/>
                <w:bCs/>
                <w:color w:val="auto"/>
                <w:highlight w:val="none"/>
              </w:rPr>
              <w:t>2.3  正文采用宋体四号常规字，字符间距设为标准值，行距为单倍行距，不勾选“如果定义了文档网格，则对齐到网格”；正文统一设为左对齐，章、节标题、及段落首行缩进2个汉字，段落前后不设空行；正文版面不加页眉、页脚、边框、下划线等标志，正文页码用小五号阿拉伯数字，居中。单位符号中有上下角标要求的，必须在相应位置做角标；</w:t>
            </w:r>
          </w:p>
          <w:p w14:paraId="0D5824F5">
            <w:pPr>
              <w:spacing w:line="560" w:lineRule="exact"/>
              <w:ind w:firstLine="413" w:firstLineChars="196"/>
              <w:rPr>
                <w:rFonts w:hint="eastAsia" w:ascii="宋体" w:hAnsi="宋体" w:cs="宋体"/>
                <w:b/>
                <w:bCs/>
                <w:color w:val="auto"/>
                <w:highlight w:val="none"/>
              </w:rPr>
            </w:pPr>
            <w:r>
              <w:rPr>
                <w:rFonts w:hint="eastAsia" w:ascii="宋体" w:hAnsi="宋体" w:cs="宋体"/>
                <w:b/>
                <w:bCs/>
                <w:color w:val="auto"/>
                <w:highlight w:val="none"/>
              </w:rPr>
              <w:t>3、技术标暗标文件的格式、制作不符合上述要求的，每一项</w:t>
            </w:r>
            <w:r>
              <w:rPr>
                <w:rFonts w:hint="eastAsia" w:ascii="宋体" w:hAnsi="宋体" w:cs="宋体"/>
                <w:b/>
                <w:bCs/>
                <w:color w:val="auto"/>
                <w:highlight w:val="none"/>
                <w:lang w:eastAsia="zh-CN"/>
              </w:rPr>
              <w:t>评分点</w:t>
            </w:r>
            <w:r>
              <w:rPr>
                <w:rFonts w:hint="eastAsia" w:ascii="宋体" w:hAnsi="宋体" w:cs="宋体"/>
                <w:b/>
                <w:bCs/>
                <w:color w:val="auto"/>
                <w:highlight w:val="none"/>
              </w:rPr>
              <w:t>扣</w:t>
            </w:r>
            <w:r>
              <w:rPr>
                <w:rFonts w:ascii="宋体" w:hAnsi="宋体" w:cs="宋体"/>
                <w:b/>
                <w:bCs/>
                <w:color w:val="auto"/>
                <w:highlight w:val="none"/>
              </w:rPr>
              <w:t>0.2</w:t>
            </w:r>
            <w:r>
              <w:rPr>
                <w:rFonts w:hint="eastAsia" w:ascii="宋体" w:hAnsi="宋体" w:cs="宋体"/>
                <w:b/>
                <w:bCs/>
                <w:color w:val="auto"/>
                <w:highlight w:val="none"/>
              </w:rPr>
              <w:t>分。技术标实行暗标的，对技术标（暗标）部分不予澄清、说明或者补正。</w:t>
            </w:r>
          </w:p>
          <w:p w14:paraId="05A43488">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4、招标人应根据招标项目实际，在招标文件中明确招标中施工组织设计的评审要点。其中施工组织设计评审要点主要包括：</w:t>
            </w:r>
          </w:p>
          <w:p w14:paraId="73B7D38A">
            <w:pPr>
              <w:adjustRightInd w:val="0"/>
              <w:snapToGrid w:val="0"/>
              <w:spacing w:line="56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①工程重点难点及危大工程的保障体系</w:t>
            </w:r>
            <w:r>
              <w:rPr>
                <w:rFonts w:hint="eastAsia" w:ascii="宋体" w:hAnsi="宋体"/>
                <w:color w:val="auto"/>
                <w:szCs w:val="21"/>
                <w:highlight w:val="none"/>
                <w:lang w:eastAsia="zh-CN"/>
              </w:rPr>
              <w:t>（</w:t>
            </w:r>
            <w:r>
              <w:rPr>
                <w:rFonts w:hint="eastAsia" w:ascii="宋体" w:hAnsi="宋体"/>
                <w:color w:val="auto"/>
                <w:szCs w:val="21"/>
                <w:highlight w:val="none"/>
              </w:rPr>
              <w:t>页数不多于</w:t>
            </w:r>
            <w:r>
              <w:rPr>
                <w:rFonts w:hint="eastAsia" w:ascii="宋体" w:hAnsi="宋体"/>
                <w:color w:val="auto"/>
                <w:szCs w:val="21"/>
                <w:highlight w:val="none"/>
                <w:lang w:val="en-US" w:eastAsia="zh-CN"/>
              </w:rPr>
              <w:t>20</w:t>
            </w:r>
            <w:r>
              <w:rPr>
                <w:rFonts w:hint="eastAsia" w:ascii="宋体" w:hAnsi="宋体"/>
                <w:color w:val="auto"/>
                <w:szCs w:val="21"/>
                <w:highlight w:val="none"/>
              </w:rPr>
              <w:t>页</w:t>
            </w:r>
            <w:r>
              <w:rPr>
                <w:rFonts w:hint="eastAsia" w:ascii="宋体" w:hAnsi="宋体"/>
                <w:color w:val="auto"/>
                <w:szCs w:val="21"/>
                <w:highlight w:val="none"/>
                <w:lang w:eastAsia="zh-CN"/>
              </w:rPr>
              <w:t>）</w:t>
            </w:r>
          </w:p>
          <w:p w14:paraId="4BED6A2E">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②确保工期与质量的保障体系与措施、确保安全文明生产的管理体系与措施</w:t>
            </w:r>
            <w:r>
              <w:rPr>
                <w:rFonts w:hint="eastAsia" w:ascii="宋体" w:hAnsi="宋体"/>
                <w:color w:val="auto"/>
                <w:szCs w:val="21"/>
                <w:highlight w:val="none"/>
                <w:lang w:eastAsia="zh-CN"/>
              </w:rPr>
              <w:t>（</w:t>
            </w:r>
            <w:r>
              <w:rPr>
                <w:rFonts w:hint="eastAsia" w:ascii="宋体" w:hAnsi="宋体"/>
                <w:color w:val="auto"/>
                <w:szCs w:val="21"/>
                <w:highlight w:val="none"/>
              </w:rPr>
              <w:t>页数不多于</w:t>
            </w:r>
            <w:r>
              <w:rPr>
                <w:rFonts w:hint="eastAsia" w:ascii="宋体" w:hAnsi="宋体"/>
                <w:color w:val="auto"/>
                <w:szCs w:val="21"/>
                <w:highlight w:val="none"/>
                <w:lang w:val="en-US" w:eastAsia="zh-CN"/>
              </w:rPr>
              <w:t>30</w:t>
            </w:r>
            <w:r>
              <w:rPr>
                <w:rFonts w:hint="eastAsia" w:ascii="宋体" w:hAnsi="宋体"/>
                <w:color w:val="auto"/>
                <w:szCs w:val="21"/>
                <w:highlight w:val="none"/>
              </w:rPr>
              <w:t>页</w:t>
            </w:r>
            <w:r>
              <w:rPr>
                <w:rFonts w:hint="eastAsia" w:ascii="宋体" w:hAnsi="宋体"/>
                <w:color w:val="auto"/>
                <w:szCs w:val="21"/>
                <w:highlight w:val="none"/>
                <w:lang w:eastAsia="zh-CN"/>
              </w:rPr>
              <w:t>）</w:t>
            </w:r>
          </w:p>
          <w:p w14:paraId="356AAA65">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③确保人、材、机的保障体系与措施</w:t>
            </w:r>
            <w:r>
              <w:rPr>
                <w:rFonts w:hint="eastAsia" w:ascii="宋体" w:hAnsi="宋体"/>
                <w:color w:val="auto"/>
                <w:szCs w:val="21"/>
                <w:highlight w:val="none"/>
                <w:lang w:eastAsia="zh-CN"/>
              </w:rPr>
              <w:t>（</w:t>
            </w:r>
            <w:r>
              <w:rPr>
                <w:rFonts w:hint="eastAsia" w:ascii="宋体" w:hAnsi="宋体"/>
                <w:color w:val="auto"/>
                <w:szCs w:val="21"/>
                <w:highlight w:val="none"/>
              </w:rPr>
              <w:t>页数不多于</w:t>
            </w:r>
            <w:r>
              <w:rPr>
                <w:rFonts w:hint="eastAsia" w:ascii="宋体" w:hAnsi="宋体"/>
                <w:color w:val="auto"/>
                <w:szCs w:val="21"/>
                <w:highlight w:val="none"/>
                <w:lang w:val="en-US" w:eastAsia="zh-CN"/>
              </w:rPr>
              <w:t>20</w:t>
            </w:r>
            <w:r>
              <w:rPr>
                <w:rFonts w:hint="eastAsia" w:ascii="宋体" w:hAnsi="宋体"/>
                <w:color w:val="auto"/>
                <w:szCs w:val="21"/>
                <w:highlight w:val="none"/>
              </w:rPr>
              <w:t>页</w:t>
            </w:r>
            <w:r>
              <w:rPr>
                <w:rFonts w:hint="eastAsia" w:ascii="宋体" w:hAnsi="宋体"/>
                <w:color w:val="auto"/>
                <w:szCs w:val="21"/>
                <w:highlight w:val="none"/>
                <w:lang w:eastAsia="zh-CN"/>
              </w:rPr>
              <w:t>）</w:t>
            </w:r>
          </w:p>
          <w:p w14:paraId="2971D6AC">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具体篇幅(字数)要求及扣分标准（扣分值为0.2分）。未做要求的，投标人可根据实际需要进行编制投标文件，但不得出现泄漏投标人信息的任何表述。偏离规定标准的，评标委员会应酌情扣分。</w:t>
            </w:r>
          </w:p>
          <w:p w14:paraId="6F4DBF76">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暗标评审仅限评标环节。评标结束后，如出现质疑、投诉、举报等，经认定评标错误的，由评标委员会纠正错误或重新评分，此时不再受暗标评审约束，但在纠正错误或重新评分中发现投标企业技术标出现可能泄露投标人单位及个人信息的文字、图片、图表（技术标不得签章）等有关表述的，对应技术标评分点仍按零分处理。</w:t>
            </w:r>
          </w:p>
          <w:p w14:paraId="1E3A624D">
            <w:pPr>
              <w:adjustRightInd w:val="0"/>
              <w:snapToGrid w:val="0"/>
              <w:spacing w:line="560" w:lineRule="exact"/>
              <w:ind w:firstLine="420" w:firstLineChars="200"/>
              <w:rPr>
                <w:rFonts w:hint="eastAsia" w:ascii="Times New Roman" w:hAnsi="Times New Roman" w:eastAsia="宋体" w:cs="Times New Roman"/>
                <w:smallCaps w:val="0"/>
                <w:color w:val="auto"/>
                <w:highlight w:val="none"/>
                <w:lang w:val="en-US" w:eastAsia="zh-CN"/>
              </w:rPr>
            </w:pPr>
            <w:r>
              <w:rPr>
                <w:rFonts w:hint="eastAsia" w:ascii="宋体" w:hAnsi="宋体"/>
                <w:color w:val="auto"/>
                <w:szCs w:val="21"/>
                <w:highlight w:val="none"/>
              </w:rPr>
              <w:t>6、如所有投标企业技术标都出现能反映企业信息等相关内容的，该项目流标。</w:t>
            </w:r>
          </w:p>
        </w:tc>
      </w:tr>
      <w:tr w14:paraId="1A4A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355" w:type="pct"/>
            <w:noWrap w:val="0"/>
            <w:vAlign w:val="center"/>
          </w:tcPr>
          <w:p w14:paraId="249CBBD1">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2.2.1（3）</w:t>
            </w:r>
          </w:p>
        </w:tc>
        <w:tc>
          <w:tcPr>
            <w:tcW w:w="555" w:type="pct"/>
            <w:gridSpan w:val="2"/>
            <w:noWrap w:val="0"/>
            <w:vAlign w:val="center"/>
          </w:tcPr>
          <w:p w14:paraId="32995A54">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报价文件评审标准</w:t>
            </w:r>
          </w:p>
        </w:tc>
        <w:tc>
          <w:tcPr>
            <w:tcW w:w="568" w:type="pct"/>
            <w:gridSpan w:val="2"/>
            <w:noWrap w:val="0"/>
            <w:vAlign w:val="center"/>
          </w:tcPr>
          <w:p w14:paraId="2B128C22">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投标报价</w:t>
            </w:r>
          </w:p>
        </w:tc>
        <w:tc>
          <w:tcPr>
            <w:tcW w:w="3520" w:type="pct"/>
            <w:gridSpan w:val="3"/>
            <w:noWrap w:val="0"/>
            <w:vAlign w:val="center"/>
          </w:tcPr>
          <w:p w14:paraId="7ACBAB56">
            <w:pPr>
              <w:pStyle w:val="56"/>
              <w:keepNext w:val="0"/>
              <w:keepLines w:val="0"/>
              <w:pageBreakBefore w:val="0"/>
              <w:numPr>
                <w:ilvl w:val="0"/>
                <w:numId w:val="0"/>
              </w:numPr>
              <w:kinsoku/>
              <w:wordWrap/>
              <w:overflowPunct/>
              <w:topLinePunct w:val="0"/>
              <w:autoSpaceDE/>
              <w:autoSpaceDN/>
              <w:bidi w:val="0"/>
              <w:spacing w:line="560" w:lineRule="exact"/>
              <w:textAlignment w:val="auto"/>
              <w:rPr>
                <w:rFonts w:hint="eastAsia" w:ascii="宋体" w:hAnsi="宋体" w:eastAsia="宋体" w:cs="宋体"/>
                <w:b/>
                <w:bCs/>
                <w:smallCaps w:val="0"/>
                <w:color w:val="auto"/>
                <w:sz w:val="21"/>
                <w:szCs w:val="21"/>
                <w:highlight w:val="none"/>
                <w:lang w:val="en-US" w:eastAsia="zh-CN"/>
              </w:rPr>
            </w:pPr>
            <w:r>
              <w:rPr>
                <w:rFonts w:hint="eastAsia" w:ascii="宋体" w:hAnsi="宋体" w:eastAsia="宋体" w:cs="宋体"/>
                <w:b/>
                <w:bCs/>
                <w:smallCaps w:val="0"/>
                <w:color w:val="auto"/>
                <w:sz w:val="21"/>
                <w:szCs w:val="21"/>
                <w:highlight w:val="none"/>
                <w:lang w:val="en-US" w:eastAsia="zh-CN"/>
              </w:rPr>
              <w:t>（1）确定评标基准价</w:t>
            </w:r>
          </w:p>
          <w:p w14:paraId="548BE4FC">
            <w:pPr>
              <w:pStyle w:val="56"/>
              <w:keepNext w:val="0"/>
              <w:keepLines w:val="0"/>
              <w:pageBreakBefore w:val="0"/>
              <w:numPr>
                <w:ilvl w:val="0"/>
                <w:numId w:val="0"/>
              </w:numPr>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第一步：计算B值。</w:t>
            </w:r>
          </w:p>
          <w:p w14:paraId="23A6B595">
            <w:pPr>
              <w:pStyle w:val="56"/>
              <w:keepNext w:val="0"/>
              <w:keepLines w:val="0"/>
              <w:pageBreakBefore w:val="0"/>
              <w:numPr>
                <w:ilvl w:val="0"/>
                <w:numId w:val="0"/>
              </w:numPr>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①B值为计算范围内有效投标人报价的算术平均值。</w:t>
            </w:r>
          </w:p>
          <w:p w14:paraId="3988D057">
            <w:pPr>
              <w:pStyle w:val="56"/>
              <w:keepNext w:val="0"/>
              <w:keepLines w:val="0"/>
              <w:pageBreakBefore w:val="0"/>
              <w:numPr>
                <w:ilvl w:val="0"/>
                <w:numId w:val="0"/>
              </w:numPr>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第二步：计算评标基准价F值。</w:t>
            </w:r>
          </w:p>
          <w:p w14:paraId="6147EB25">
            <w:pPr>
              <w:pStyle w:val="56"/>
              <w:keepNext w:val="0"/>
              <w:keepLines w:val="0"/>
              <w:pageBreakBefore w:val="0"/>
              <w:numPr>
                <w:ilvl w:val="0"/>
                <w:numId w:val="0"/>
              </w:numPr>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①F=B×（1-K），其中K为调整系数，K的取值为-0.5%（1号），0%（2号），0.5%（3号），1.0%（4号），1.5%（5号）。</w:t>
            </w:r>
          </w:p>
          <w:p w14:paraId="3FD01D2F">
            <w:pPr>
              <w:pStyle w:val="56"/>
              <w:keepNext w:val="0"/>
              <w:keepLines w:val="0"/>
              <w:pageBreakBefore w:val="0"/>
              <w:numPr>
                <w:ilvl w:val="0"/>
                <w:numId w:val="0"/>
              </w:numPr>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B值、评标基准价F值保留小数点后两位，小数点后第三位“四舍五入”。</w:t>
            </w:r>
          </w:p>
          <w:p w14:paraId="23876F9E">
            <w:pPr>
              <w:pStyle w:val="56"/>
              <w:keepNext w:val="0"/>
              <w:keepLines w:val="0"/>
              <w:pageBreakBefore w:val="0"/>
              <w:numPr>
                <w:ilvl w:val="0"/>
                <w:numId w:val="0"/>
              </w:numPr>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注：</w:t>
            </w:r>
          </w:p>
          <w:p w14:paraId="6B98379F">
            <w:pPr>
              <w:pStyle w:val="56"/>
              <w:keepNext w:val="0"/>
              <w:keepLines w:val="0"/>
              <w:pageBreakBefore w:val="0"/>
              <w:numPr>
                <w:ilvl w:val="0"/>
                <w:numId w:val="0"/>
              </w:numPr>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①投标人总报价如超过A值，A值=最高投标限价×（1-J）+（暂列金额+暂估价）×1.09×J（其中J= 10%），则该投标报价不参与B值计算。</w:t>
            </w:r>
          </w:p>
          <w:p w14:paraId="0B5B1E67">
            <w:pPr>
              <w:pStyle w:val="56"/>
              <w:keepNext w:val="0"/>
              <w:keepLines w:val="0"/>
              <w:pageBreakBefore w:val="0"/>
              <w:numPr>
                <w:ilvl w:val="0"/>
                <w:numId w:val="0"/>
              </w:numPr>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②商务或技术文件评价结果低于B的，不参与B值计算。</w:t>
            </w:r>
          </w:p>
          <w:p w14:paraId="27CA1A71">
            <w:pPr>
              <w:pStyle w:val="56"/>
              <w:keepNext w:val="0"/>
              <w:keepLines w:val="0"/>
              <w:pageBreakBefore w:val="0"/>
              <w:numPr>
                <w:ilvl w:val="0"/>
                <w:numId w:val="0"/>
              </w:numPr>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③K值（评标基准价系数）的抽取：商务文件、技术文件、报价文件详细评审完成后，招标人在线抽取K值，并根据抽取的K值计算F值，评标办法中的评标基准价计算出来后，除数字计算错误外，其他情况均不再调整。</w:t>
            </w:r>
          </w:p>
          <w:p w14:paraId="332C8BB1">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b/>
                <w:bCs/>
                <w:smallCaps w:val="0"/>
                <w:color w:val="auto"/>
                <w:sz w:val="21"/>
                <w:szCs w:val="21"/>
                <w:highlight w:val="none"/>
                <w:lang w:val="en-US" w:eastAsia="zh-CN"/>
              </w:rPr>
            </w:pPr>
            <w:r>
              <w:rPr>
                <w:rFonts w:hint="eastAsia" w:ascii="宋体" w:hAnsi="宋体" w:eastAsia="宋体" w:cs="宋体"/>
                <w:b/>
                <w:bCs/>
                <w:smallCaps w:val="0"/>
                <w:color w:val="auto"/>
                <w:sz w:val="21"/>
                <w:szCs w:val="21"/>
                <w:highlight w:val="none"/>
                <w:lang w:val="en-US" w:eastAsia="zh-CN"/>
              </w:rPr>
              <w:t>（2）报价文件等级确定</w:t>
            </w:r>
          </w:p>
          <w:p w14:paraId="4A3AC025">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①计算评标价的偏差率</w:t>
            </w:r>
          </w:p>
          <w:p w14:paraId="365D8B42">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偏差率=100%*（投标人评标价－评标基准价）/评标基准价。</w:t>
            </w:r>
          </w:p>
          <w:p w14:paraId="761D0EEA">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偏差率保留小数点后两位，小数点后第三位“四舍五入”，即为*.**%。</w:t>
            </w:r>
          </w:p>
          <w:p w14:paraId="6CB2C2BB">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②报价文件等级确定方法</w:t>
            </w:r>
            <w:r>
              <w:rPr>
                <w:rFonts w:hint="eastAsia" w:ascii="宋体" w:hAnsi="宋体" w:eastAsia="宋体" w:cs="宋体"/>
                <w:smallCaps w:val="0"/>
                <w:color w:val="auto"/>
                <w:sz w:val="21"/>
                <w:szCs w:val="21"/>
                <w:highlight w:val="none"/>
                <w:u w:val="none"/>
                <w:lang w:val="en-US" w:eastAsia="zh-CN"/>
              </w:rPr>
              <w:t>：</w:t>
            </w:r>
          </w:p>
          <w:p w14:paraId="1E2536E4">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按照偏差率的绝对值从低到高依次进行排序</w:t>
            </w:r>
            <w:r>
              <w:rPr>
                <w:rFonts w:hint="eastAsia" w:ascii="宋体" w:hAnsi="宋体" w:eastAsia="宋体" w:cs="宋体"/>
                <w:smallCaps w:val="0"/>
                <w:color w:val="auto"/>
                <w:sz w:val="21"/>
                <w:szCs w:val="21"/>
                <w:highlight w:val="none"/>
                <w:u w:val="none"/>
                <w:lang w:val="en-US" w:eastAsia="zh-CN"/>
              </w:rPr>
              <w:t>：</w:t>
            </w:r>
          </w:p>
          <w:p w14:paraId="0BCA6139">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（A）偏差率的绝对值≤P，取排序前9家（绝对值相同且排序最末的均计入）为A（如不足9家，则全部为A）；</w:t>
            </w:r>
          </w:p>
          <w:p w14:paraId="68AC5AA0">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（B）偏差率的绝对值＞P为C；</w:t>
            </w:r>
          </w:p>
          <w:p w14:paraId="66BFC590">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（C）其余为B；</w:t>
            </w:r>
          </w:p>
          <w:p w14:paraId="0FE1D98F">
            <w:pPr>
              <w:pStyle w:val="56"/>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lang w:val="en-US" w:eastAsia="zh-CN"/>
              </w:rPr>
              <w:t>P值取值</w:t>
            </w:r>
            <w:r>
              <w:rPr>
                <w:rFonts w:hint="eastAsia" w:ascii="宋体" w:hAnsi="宋体" w:eastAsia="宋体" w:cs="宋体"/>
                <w:smallCaps w:val="0"/>
                <w:color w:val="auto"/>
                <w:sz w:val="21"/>
                <w:szCs w:val="21"/>
                <w:highlight w:val="none"/>
                <w:u w:val="none"/>
                <w:lang w:val="en-US" w:eastAsia="zh-CN"/>
              </w:rPr>
              <w:t>：</w:t>
            </w:r>
            <w:r>
              <w:rPr>
                <w:rFonts w:hint="eastAsia" w:ascii="宋体" w:hAnsi="宋体" w:eastAsia="宋体" w:cs="宋体"/>
                <w:smallCaps w:val="0"/>
                <w:color w:val="auto"/>
                <w:sz w:val="21"/>
                <w:szCs w:val="21"/>
                <w:highlight w:val="none"/>
                <w:lang w:val="en-US" w:eastAsia="zh-CN"/>
              </w:rPr>
              <w:t>房建</w:t>
            </w:r>
            <w:r>
              <w:rPr>
                <w:rFonts w:hint="eastAsia" w:ascii="宋体" w:hAnsi="宋体" w:eastAsia="宋体" w:cs="宋体"/>
                <w:smallCaps w:val="0"/>
                <w:color w:val="auto"/>
                <w:sz w:val="21"/>
                <w:szCs w:val="21"/>
                <w:highlight w:val="none"/>
                <w:u w:val="single"/>
                <w:lang w:val="en-US" w:eastAsia="zh-CN"/>
              </w:rPr>
              <w:t xml:space="preserve"> 5 </w:t>
            </w:r>
            <w:r>
              <w:rPr>
                <w:rFonts w:hint="eastAsia" w:ascii="宋体" w:hAnsi="宋体" w:eastAsia="宋体" w:cs="宋体"/>
                <w:smallCaps w:val="0"/>
                <w:color w:val="auto"/>
                <w:sz w:val="21"/>
                <w:szCs w:val="21"/>
                <w:highlight w:val="none"/>
                <w:lang w:val="en-US" w:eastAsia="zh-CN"/>
              </w:rPr>
              <w:t>%</w:t>
            </w:r>
          </w:p>
        </w:tc>
      </w:tr>
      <w:tr w14:paraId="04BC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18" w:hRule="atLeast"/>
        </w:trPr>
        <w:tc>
          <w:tcPr>
            <w:tcW w:w="766" w:type="pct"/>
            <w:gridSpan w:val="2"/>
            <w:noWrap w:val="0"/>
            <w:vAlign w:val="center"/>
          </w:tcPr>
          <w:p w14:paraId="141C44AA">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商务及技术文件评审说明</w:t>
            </w:r>
          </w:p>
        </w:tc>
        <w:tc>
          <w:tcPr>
            <w:tcW w:w="4233" w:type="pct"/>
            <w:gridSpan w:val="6"/>
            <w:noWrap w:val="0"/>
            <w:vAlign w:val="center"/>
          </w:tcPr>
          <w:p w14:paraId="1CA9BF4B">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lang w:val="en-US" w:eastAsia="zh-CN"/>
              </w:rPr>
              <w:t>1.</w:t>
            </w:r>
            <w:r>
              <w:rPr>
                <w:rFonts w:hint="eastAsia" w:ascii="宋体" w:hAnsi="宋体" w:eastAsia="宋体" w:cs="宋体"/>
                <w:smallCaps w:val="0"/>
                <w:color w:val="auto"/>
                <w:sz w:val="21"/>
                <w:szCs w:val="21"/>
                <w:highlight w:val="none"/>
              </w:rPr>
              <w:t>评标委员会根据评审标准对各投标人投标文件进行评审，商务评审标准、技术评审标准中每一项评审因素均根据所对应评审标准进行赋分。</w:t>
            </w:r>
          </w:p>
          <w:p w14:paraId="59180D98">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2.各投标人技术评审标准评价</w:t>
            </w:r>
            <w:r>
              <w:rPr>
                <w:rFonts w:hint="eastAsia" w:ascii="宋体" w:hAnsi="宋体" w:eastAsia="宋体" w:cs="宋体"/>
                <w:smallCaps w:val="0"/>
                <w:color w:val="auto"/>
                <w:sz w:val="21"/>
                <w:szCs w:val="21"/>
                <w:highlight w:val="none"/>
                <w:u w:val="none"/>
                <w:lang w:eastAsia="zh-CN"/>
              </w:rPr>
              <w:t>：</w:t>
            </w:r>
          </w:p>
          <w:p w14:paraId="5A740789">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（1）技术评审标准评审汇总=每个评审因素得分</w:t>
            </w:r>
            <w:r>
              <w:rPr>
                <w:rFonts w:hint="eastAsia" w:ascii="宋体" w:hAnsi="宋体" w:cs="宋体"/>
                <w:smallCaps w:val="0"/>
                <w:color w:val="auto"/>
                <w:sz w:val="21"/>
                <w:szCs w:val="21"/>
                <w:highlight w:val="none"/>
                <w:lang w:val="en-US" w:eastAsia="zh-CN"/>
              </w:rPr>
              <w:t>之和。每个评审因素得分均以去掉一个最高分和一个最低分后的打分平均值确定（打分平均值保留小数点后两位，小数点后第三位四舍五入）。</w:t>
            </w:r>
          </w:p>
          <w:p w14:paraId="7C662BE7">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（2）技术评审标准</w:t>
            </w:r>
            <w:r>
              <w:rPr>
                <w:rFonts w:hint="eastAsia" w:ascii="宋体" w:hAnsi="宋体" w:eastAsia="宋体" w:cs="宋体"/>
                <w:smallCaps w:val="0"/>
                <w:color w:val="auto"/>
                <w:sz w:val="21"/>
                <w:szCs w:val="21"/>
                <w:highlight w:val="none"/>
                <w:u w:val="none"/>
                <w:lang w:eastAsia="zh-CN"/>
              </w:rPr>
              <w:t>：</w:t>
            </w:r>
          </w:p>
          <w:p w14:paraId="6B675443">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技术评审标准部分得分＞70分，由高到低取前9家（得分相同且排序最末的均计入）为A（如不足9家，则全部为A）；</w:t>
            </w:r>
          </w:p>
          <w:p w14:paraId="6B97ADC0">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技术评审标准部分得分≤70分为C；</w:t>
            </w:r>
          </w:p>
          <w:p w14:paraId="1EAEA3EE">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其余为B；</w:t>
            </w:r>
          </w:p>
          <w:p w14:paraId="3FAA5434">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3.各投标人商务评审标准评价</w:t>
            </w:r>
            <w:r>
              <w:rPr>
                <w:rFonts w:hint="eastAsia" w:ascii="宋体" w:hAnsi="宋体" w:eastAsia="宋体" w:cs="宋体"/>
                <w:smallCaps w:val="0"/>
                <w:color w:val="auto"/>
                <w:sz w:val="21"/>
                <w:szCs w:val="21"/>
                <w:highlight w:val="none"/>
                <w:u w:val="none"/>
                <w:lang w:eastAsia="zh-CN"/>
              </w:rPr>
              <w:t>：</w:t>
            </w:r>
          </w:p>
          <w:p w14:paraId="798231FD">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（1）商务评审标准评审汇总结果=“商务评审标准中各项评审因素最终得分*对应权重”之和；</w:t>
            </w:r>
          </w:p>
          <w:p w14:paraId="4C4877D2">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（2）商务评审标准中</w:t>
            </w:r>
            <w:r>
              <w:rPr>
                <w:rFonts w:hint="eastAsia" w:ascii="宋体" w:hAnsi="宋体" w:eastAsia="宋体" w:cs="宋体"/>
                <w:smallCaps w:val="0"/>
                <w:color w:val="auto"/>
                <w:sz w:val="21"/>
                <w:szCs w:val="21"/>
                <w:highlight w:val="none"/>
                <w:u w:val="none"/>
                <w:lang w:eastAsia="zh-CN"/>
              </w:rPr>
              <w:t>：</w:t>
            </w:r>
          </w:p>
          <w:p w14:paraId="25886BC6">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商务评审标准评审汇总结果＞</w:t>
            </w:r>
            <w:r>
              <w:rPr>
                <w:rFonts w:hint="eastAsia" w:ascii="宋体" w:hAnsi="宋体" w:eastAsia="宋体" w:cs="宋体"/>
                <w:smallCaps w:val="0"/>
                <w:color w:val="auto"/>
                <w:sz w:val="21"/>
                <w:szCs w:val="21"/>
                <w:highlight w:val="none"/>
                <w:u w:val="single"/>
              </w:rPr>
              <w:t xml:space="preserve"> </w:t>
            </w:r>
            <w:r>
              <w:rPr>
                <w:rFonts w:hint="eastAsia" w:ascii="宋体" w:hAnsi="宋体" w:eastAsia="宋体" w:cs="宋体"/>
                <w:smallCaps w:val="0"/>
                <w:color w:val="auto"/>
                <w:sz w:val="21"/>
                <w:szCs w:val="21"/>
                <w:highlight w:val="none"/>
                <w:u w:val="single"/>
                <w:lang w:val="en-US" w:eastAsia="zh-CN"/>
              </w:rPr>
              <w:t>95</w:t>
            </w:r>
            <w:r>
              <w:rPr>
                <w:rFonts w:hint="eastAsia" w:ascii="宋体" w:hAnsi="宋体" w:eastAsia="宋体" w:cs="宋体"/>
                <w:smallCaps w:val="0"/>
                <w:color w:val="auto"/>
                <w:sz w:val="21"/>
                <w:szCs w:val="21"/>
                <w:highlight w:val="none"/>
              </w:rPr>
              <w:t>分为A；</w:t>
            </w:r>
          </w:p>
          <w:p w14:paraId="58DD5617">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商务评审标准评审汇总结果≤70分为C；</w:t>
            </w:r>
          </w:p>
          <w:p w14:paraId="464302B4">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其余为B。</w:t>
            </w:r>
          </w:p>
          <w:p w14:paraId="19016BA1">
            <w:pPr>
              <w:pStyle w:val="63"/>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注</w:t>
            </w:r>
            <w:r>
              <w:rPr>
                <w:rFonts w:hint="eastAsia" w:ascii="宋体" w:hAnsi="宋体" w:eastAsia="宋体" w:cs="宋体"/>
                <w:smallCaps w:val="0"/>
                <w:color w:val="auto"/>
                <w:sz w:val="21"/>
                <w:szCs w:val="21"/>
                <w:highlight w:val="none"/>
                <w:u w:val="none"/>
                <w:lang w:eastAsia="zh-CN"/>
              </w:rPr>
              <w:t>：</w:t>
            </w:r>
            <w:r>
              <w:rPr>
                <w:rFonts w:hint="eastAsia" w:ascii="宋体" w:hAnsi="宋体" w:eastAsia="宋体" w:cs="宋体"/>
                <w:smallCaps w:val="0"/>
                <w:color w:val="auto"/>
                <w:sz w:val="21"/>
                <w:szCs w:val="21"/>
                <w:highlight w:val="none"/>
              </w:rPr>
              <w:t>以上计算保留两位小数（小数点后第三位“四舍五入”），即为*.**。</w:t>
            </w:r>
          </w:p>
        </w:tc>
      </w:tr>
      <w:tr w14:paraId="7E1A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766" w:type="pct"/>
            <w:gridSpan w:val="2"/>
            <w:noWrap w:val="0"/>
            <w:vAlign w:val="center"/>
          </w:tcPr>
          <w:p w14:paraId="634A3060">
            <w:pPr>
              <w:pStyle w:val="62"/>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rPr>
              <w:t>综合评价结果</w:t>
            </w:r>
          </w:p>
        </w:tc>
        <w:tc>
          <w:tcPr>
            <w:tcW w:w="4233" w:type="pct"/>
            <w:gridSpan w:val="6"/>
            <w:noWrap w:val="0"/>
            <w:vAlign w:val="center"/>
          </w:tcPr>
          <w:p w14:paraId="32EEAE98">
            <w:pPr>
              <w:pStyle w:val="56"/>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w:t>
            </w:r>
            <w:r>
              <w:rPr>
                <w:rFonts w:hint="eastAsia" w:ascii="宋体" w:hAnsi="宋体" w:eastAsia="宋体" w:cs="宋体"/>
                <w:smallCaps w:val="0"/>
                <w:color w:val="auto"/>
                <w:sz w:val="21"/>
                <w:szCs w:val="21"/>
                <w:highlight w:val="none"/>
                <w:lang w:val="en-US" w:eastAsia="zh-CN"/>
              </w:rPr>
              <w:t xml:space="preserve">. </w:t>
            </w:r>
            <w:r>
              <w:rPr>
                <w:rFonts w:hint="eastAsia" w:ascii="宋体" w:hAnsi="宋体" w:eastAsia="宋体" w:cs="宋体"/>
                <w:smallCaps w:val="0"/>
                <w:color w:val="auto"/>
                <w:sz w:val="21"/>
                <w:szCs w:val="21"/>
                <w:highlight w:val="none"/>
              </w:rPr>
              <w:t>综合评价是根据技术评审标准、商务评审标准、报价文件评审标准三部分评价结果进行综合汇总评价；</w:t>
            </w:r>
          </w:p>
          <w:p w14:paraId="531A7AF2">
            <w:pPr>
              <w:pStyle w:val="56"/>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w:t>
            </w:r>
            <w:r>
              <w:rPr>
                <w:rFonts w:hint="eastAsia" w:ascii="宋体" w:hAnsi="宋体" w:eastAsia="宋体" w:cs="宋体"/>
                <w:smallCaps w:val="0"/>
                <w:color w:val="auto"/>
                <w:sz w:val="21"/>
                <w:szCs w:val="21"/>
                <w:highlight w:val="none"/>
                <w:lang w:val="en-US" w:eastAsia="zh-CN"/>
              </w:rPr>
              <w:t xml:space="preserve">. </w:t>
            </w:r>
            <w:r>
              <w:rPr>
                <w:rFonts w:hint="eastAsia" w:ascii="宋体" w:hAnsi="宋体" w:eastAsia="宋体" w:cs="宋体"/>
                <w:smallCaps w:val="0"/>
                <w:color w:val="auto"/>
                <w:sz w:val="21"/>
                <w:szCs w:val="21"/>
                <w:highlight w:val="none"/>
              </w:rPr>
              <w:t>综合评价结果分为好，较好，一般三个等级；</w:t>
            </w:r>
          </w:p>
          <w:p w14:paraId="5B653A71">
            <w:pPr>
              <w:pStyle w:val="56"/>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3</w:t>
            </w:r>
            <w:r>
              <w:rPr>
                <w:rFonts w:hint="eastAsia" w:ascii="宋体" w:hAnsi="宋体" w:eastAsia="宋体" w:cs="宋体"/>
                <w:smallCaps w:val="0"/>
                <w:color w:val="auto"/>
                <w:sz w:val="21"/>
                <w:szCs w:val="21"/>
                <w:highlight w:val="none"/>
                <w:lang w:val="en-US" w:eastAsia="zh-CN"/>
              </w:rPr>
              <w:t xml:space="preserve">. </w:t>
            </w:r>
            <w:r>
              <w:rPr>
                <w:rFonts w:hint="eastAsia" w:ascii="宋体" w:hAnsi="宋体" w:eastAsia="宋体" w:cs="宋体"/>
                <w:smallCaps w:val="0"/>
                <w:color w:val="auto"/>
                <w:sz w:val="21"/>
                <w:szCs w:val="21"/>
                <w:highlight w:val="none"/>
              </w:rPr>
              <w:t>以下四种情形综合评价结果判定为好</w:t>
            </w:r>
            <w:r>
              <w:rPr>
                <w:rFonts w:hint="eastAsia" w:ascii="宋体" w:hAnsi="宋体" w:eastAsia="宋体" w:cs="宋体"/>
                <w:smallCaps w:val="0"/>
                <w:color w:val="auto"/>
                <w:sz w:val="21"/>
                <w:szCs w:val="21"/>
                <w:highlight w:val="none"/>
                <w:u w:val="none"/>
                <w:lang w:eastAsia="zh-CN"/>
              </w:rPr>
              <w:t>：</w:t>
            </w:r>
          </w:p>
          <w:tbl>
            <w:tblPr>
              <w:tblStyle w:val="20"/>
              <w:tblW w:w="6601" w:type="dxa"/>
              <w:tblInd w:w="0" w:type="dxa"/>
              <w:tblLayout w:type="fixed"/>
              <w:tblCellMar>
                <w:top w:w="0" w:type="dxa"/>
                <w:left w:w="108" w:type="dxa"/>
                <w:bottom w:w="0" w:type="dxa"/>
                <w:right w:w="108" w:type="dxa"/>
              </w:tblCellMar>
            </w:tblPr>
            <w:tblGrid>
              <w:gridCol w:w="856"/>
              <w:gridCol w:w="1560"/>
              <w:gridCol w:w="1950"/>
              <w:gridCol w:w="2235"/>
            </w:tblGrid>
            <w:tr w14:paraId="07DB33B4">
              <w:tblPrEx>
                <w:tblCellMar>
                  <w:top w:w="0" w:type="dxa"/>
                  <w:left w:w="108" w:type="dxa"/>
                  <w:bottom w:w="0" w:type="dxa"/>
                  <w:right w:w="108" w:type="dxa"/>
                </w:tblCellMar>
              </w:tblPrEx>
              <w:trPr>
                <w:trHeight w:val="285" w:hRule="atLeast"/>
              </w:trPr>
              <w:tc>
                <w:tcPr>
                  <w:tcW w:w="648" w:type="pct"/>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B9D01FB">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序号</w:t>
                  </w:r>
                </w:p>
              </w:tc>
              <w:tc>
                <w:tcPr>
                  <w:tcW w:w="4351" w:type="pct"/>
                  <w:gridSpan w:val="3"/>
                  <w:tcBorders>
                    <w:top w:val="single" w:color="000000" w:sz="4" w:space="0"/>
                    <w:left w:val="single" w:color="000000" w:sz="4" w:space="0"/>
                    <w:bottom w:val="single" w:color="000000" w:sz="4" w:space="0"/>
                    <w:right w:val="single" w:color="000000" w:sz="4" w:space="0"/>
                    <w:tl2br w:val="nil"/>
                    <w:tr2bl w:val="nil"/>
                  </w:tcBorders>
                  <w:noWrap/>
                  <w:vAlign w:val="center"/>
                </w:tcPr>
                <w:p w14:paraId="25EAC48E">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好</w:t>
                  </w:r>
                </w:p>
              </w:tc>
            </w:tr>
            <w:tr w14:paraId="4DAFD582">
              <w:tblPrEx>
                <w:tblCellMar>
                  <w:top w:w="0" w:type="dxa"/>
                  <w:left w:w="108" w:type="dxa"/>
                  <w:bottom w:w="0" w:type="dxa"/>
                  <w:right w:w="108" w:type="dxa"/>
                </w:tblCellMar>
              </w:tblPrEx>
              <w:trPr>
                <w:trHeight w:val="285" w:hRule="atLeast"/>
              </w:trPr>
              <w:tc>
                <w:tcPr>
                  <w:tcW w:w="648" w:type="pct"/>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A7FDC60">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118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487F4DD">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技术评审标准</w:t>
                  </w:r>
                </w:p>
              </w:tc>
              <w:tc>
                <w:tcPr>
                  <w:tcW w:w="1477"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E38DA21">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商务评审标准</w:t>
                  </w:r>
                </w:p>
              </w:tc>
              <w:tc>
                <w:tcPr>
                  <w:tcW w:w="1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0785E61B">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报价评审标准</w:t>
                  </w:r>
                </w:p>
              </w:tc>
            </w:tr>
            <w:tr w14:paraId="0EDF53AB">
              <w:tblPrEx>
                <w:tblCellMar>
                  <w:top w:w="0" w:type="dxa"/>
                  <w:left w:w="108" w:type="dxa"/>
                  <w:bottom w:w="0" w:type="dxa"/>
                  <w:right w:w="108" w:type="dxa"/>
                </w:tblCellMar>
              </w:tblPrEx>
              <w:trPr>
                <w:trHeight w:val="315" w:hRule="atLeast"/>
              </w:trPr>
              <w:tc>
                <w:tcPr>
                  <w:tcW w:w="648"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7F1C055">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w:t>
                  </w:r>
                </w:p>
              </w:tc>
              <w:tc>
                <w:tcPr>
                  <w:tcW w:w="118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6D23DA1">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c>
                <w:tcPr>
                  <w:tcW w:w="1477"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B3716CD">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c>
                <w:tcPr>
                  <w:tcW w:w="1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08902E0">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r>
            <w:tr w14:paraId="272EA9B2">
              <w:tblPrEx>
                <w:tblCellMar>
                  <w:top w:w="0" w:type="dxa"/>
                  <w:left w:w="108" w:type="dxa"/>
                  <w:bottom w:w="0" w:type="dxa"/>
                  <w:right w:w="108" w:type="dxa"/>
                </w:tblCellMar>
              </w:tblPrEx>
              <w:trPr>
                <w:trHeight w:val="315" w:hRule="atLeast"/>
              </w:trPr>
              <w:tc>
                <w:tcPr>
                  <w:tcW w:w="648"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9FABF8A">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w:t>
                  </w:r>
                </w:p>
              </w:tc>
              <w:tc>
                <w:tcPr>
                  <w:tcW w:w="118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1F4BE5A">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c>
                <w:tcPr>
                  <w:tcW w:w="1477"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655D4D8">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c>
                <w:tcPr>
                  <w:tcW w:w="1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0F38826F">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r>
            <w:tr w14:paraId="7F8A0AF5">
              <w:tblPrEx>
                <w:tblCellMar>
                  <w:top w:w="0" w:type="dxa"/>
                  <w:left w:w="108" w:type="dxa"/>
                  <w:bottom w:w="0" w:type="dxa"/>
                  <w:right w:w="108" w:type="dxa"/>
                </w:tblCellMar>
              </w:tblPrEx>
              <w:trPr>
                <w:trHeight w:val="375" w:hRule="atLeast"/>
              </w:trPr>
              <w:tc>
                <w:tcPr>
                  <w:tcW w:w="648"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089502C">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w:t>
                  </w:r>
                </w:p>
              </w:tc>
              <w:tc>
                <w:tcPr>
                  <w:tcW w:w="118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666C958">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c>
                <w:tcPr>
                  <w:tcW w:w="1477"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7D518B8">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c>
                <w:tcPr>
                  <w:tcW w:w="1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3AE43BB">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r>
            <w:tr w14:paraId="1146F798">
              <w:tblPrEx>
                <w:tblCellMar>
                  <w:top w:w="0" w:type="dxa"/>
                  <w:left w:w="108" w:type="dxa"/>
                  <w:bottom w:w="0" w:type="dxa"/>
                  <w:right w:w="108" w:type="dxa"/>
                </w:tblCellMar>
              </w:tblPrEx>
              <w:trPr>
                <w:trHeight w:val="315" w:hRule="atLeast"/>
              </w:trPr>
              <w:tc>
                <w:tcPr>
                  <w:tcW w:w="648"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EFFE941">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4</w:t>
                  </w:r>
                </w:p>
              </w:tc>
              <w:tc>
                <w:tcPr>
                  <w:tcW w:w="118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CFFB19B">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c>
                <w:tcPr>
                  <w:tcW w:w="1477"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10F5A4A">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c>
                <w:tcPr>
                  <w:tcW w:w="1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3B7C273">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r>
          </w:tbl>
          <w:p w14:paraId="001A4C62">
            <w:pPr>
              <w:pStyle w:val="56"/>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4.以下四种情形综合评价结果判定为较好</w:t>
            </w:r>
            <w:r>
              <w:rPr>
                <w:rFonts w:hint="eastAsia" w:ascii="宋体" w:hAnsi="宋体" w:eastAsia="宋体" w:cs="宋体"/>
                <w:smallCaps w:val="0"/>
                <w:color w:val="auto"/>
                <w:sz w:val="21"/>
                <w:szCs w:val="21"/>
                <w:highlight w:val="none"/>
                <w:u w:val="none"/>
                <w:lang w:eastAsia="zh-CN"/>
              </w:rPr>
              <w:t>：</w:t>
            </w:r>
          </w:p>
          <w:tbl>
            <w:tblPr>
              <w:tblStyle w:val="20"/>
              <w:tblW w:w="6601" w:type="dxa"/>
              <w:tblInd w:w="0" w:type="dxa"/>
              <w:tblLayout w:type="fixed"/>
              <w:tblCellMar>
                <w:top w:w="0" w:type="dxa"/>
                <w:left w:w="108" w:type="dxa"/>
                <w:bottom w:w="0" w:type="dxa"/>
                <w:right w:w="108" w:type="dxa"/>
              </w:tblCellMar>
            </w:tblPr>
            <w:tblGrid>
              <w:gridCol w:w="841"/>
              <w:gridCol w:w="1560"/>
              <w:gridCol w:w="1965"/>
              <w:gridCol w:w="2235"/>
            </w:tblGrid>
            <w:tr w14:paraId="223C326E">
              <w:tblPrEx>
                <w:tblCellMar>
                  <w:top w:w="0" w:type="dxa"/>
                  <w:left w:w="108" w:type="dxa"/>
                  <w:bottom w:w="0" w:type="dxa"/>
                  <w:right w:w="108" w:type="dxa"/>
                </w:tblCellMar>
              </w:tblPrEx>
              <w:trPr>
                <w:trHeight w:val="383" w:hRule="atLeast"/>
              </w:trPr>
              <w:tc>
                <w:tcPr>
                  <w:tcW w:w="841"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D0CE59D">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序号</w:t>
                  </w:r>
                </w:p>
              </w:tc>
              <w:tc>
                <w:tcPr>
                  <w:tcW w:w="5760" w:type="dxa"/>
                  <w:gridSpan w:val="3"/>
                  <w:tcBorders>
                    <w:top w:val="single" w:color="000000" w:sz="4" w:space="0"/>
                    <w:left w:val="single" w:color="000000" w:sz="4" w:space="0"/>
                    <w:bottom w:val="single" w:color="000000" w:sz="4" w:space="0"/>
                    <w:right w:val="single" w:color="000000" w:sz="4" w:space="0"/>
                    <w:tl2br w:val="nil"/>
                    <w:tr2bl w:val="nil"/>
                  </w:tcBorders>
                  <w:noWrap/>
                  <w:vAlign w:val="center"/>
                </w:tcPr>
                <w:p w14:paraId="471D5542">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较好</w:t>
                  </w:r>
                </w:p>
              </w:tc>
            </w:tr>
            <w:tr w14:paraId="43936365">
              <w:tblPrEx>
                <w:tblCellMar>
                  <w:top w:w="0" w:type="dxa"/>
                  <w:left w:w="108" w:type="dxa"/>
                  <w:bottom w:w="0" w:type="dxa"/>
                  <w:right w:w="108" w:type="dxa"/>
                </w:tblCellMar>
              </w:tblPrEx>
              <w:trPr>
                <w:trHeight w:val="755" w:hRule="atLeast"/>
              </w:trPr>
              <w:tc>
                <w:tcPr>
                  <w:tcW w:w="841"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9DD3A4C">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p>
              </w:tc>
              <w:tc>
                <w:tcPr>
                  <w:tcW w:w="15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D41FFD">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技术评审标准</w:t>
                  </w:r>
                </w:p>
              </w:tc>
              <w:tc>
                <w:tcPr>
                  <w:tcW w:w="1965"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7C185F3">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商务评审标准</w:t>
                  </w:r>
                </w:p>
              </w:tc>
              <w:tc>
                <w:tcPr>
                  <w:tcW w:w="2235"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767613B">
                  <w:pPr>
                    <w:pStyle w:val="62"/>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报价评审标准</w:t>
                  </w:r>
                </w:p>
              </w:tc>
            </w:tr>
            <w:tr w14:paraId="18AD7711">
              <w:tblPrEx>
                <w:tblCellMar>
                  <w:top w:w="0" w:type="dxa"/>
                  <w:left w:w="108" w:type="dxa"/>
                  <w:bottom w:w="0" w:type="dxa"/>
                  <w:right w:w="108" w:type="dxa"/>
                </w:tblCellMar>
              </w:tblPrEx>
              <w:trPr>
                <w:trHeight w:val="383" w:hRule="atLeast"/>
              </w:trPr>
              <w:tc>
                <w:tcPr>
                  <w:tcW w:w="841"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C7E9E7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w:t>
                  </w:r>
                </w:p>
              </w:tc>
              <w:tc>
                <w:tcPr>
                  <w:tcW w:w="15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7979DCB">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c>
                <w:tcPr>
                  <w:tcW w:w="1965"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25E4495">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c>
                <w:tcPr>
                  <w:tcW w:w="2235"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20D3BD3">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r>
            <w:tr w14:paraId="24B8D5B5">
              <w:tblPrEx>
                <w:tblCellMar>
                  <w:top w:w="0" w:type="dxa"/>
                  <w:left w:w="108" w:type="dxa"/>
                  <w:bottom w:w="0" w:type="dxa"/>
                  <w:right w:w="108" w:type="dxa"/>
                </w:tblCellMar>
              </w:tblPrEx>
              <w:trPr>
                <w:trHeight w:val="383" w:hRule="atLeast"/>
              </w:trPr>
              <w:tc>
                <w:tcPr>
                  <w:tcW w:w="841"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BBD95C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w:t>
                  </w:r>
                </w:p>
              </w:tc>
              <w:tc>
                <w:tcPr>
                  <w:tcW w:w="15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AB3F99">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c>
                <w:tcPr>
                  <w:tcW w:w="1965"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F56D21F">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c>
                <w:tcPr>
                  <w:tcW w:w="2235"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68238CD">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r>
            <w:tr w14:paraId="645F9FF9">
              <w:tblPrEx>
                <w:tblCellMar>
                  <w:top w:w="0" w:type="dxa"/>
                  <w:left w:w="108" w:type="dxa"/>
                  <w:bottom w:w="0" w:type="dxa"/>
                  <w:right w:w="108" w:type="dxa"/>
                </w:tblCellMar>
              </w:tblPrEx>
              <w:trPr>
                <w:trHeight w:val="383" w:hRule="atLeast"/>
              </w:trPr>
              <w:tc>
                <w:tcPr>
                  <w:tcW w:w="841"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E633B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w:t>
                  </w:r>
                </w:p>
              </w:tc>
              <w:tc>
                <w:tcPr>
                  <w:tcW w:w="15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E9D7ED4">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c>
                <w:tcPr>
                  <w:tcW w:w="1965"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4C55958">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c>
                <w:tcPr>
                  <w:tcW w:w="2235"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E26FEA">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w:t>
                  </w:r>
                </w:p>
              </w:tc>
            </w:tr>
            <w:tr w14:paraId="439B2A24">
              <w:tblPrEx>
                <w:tblCellMar>
                  <w:top w:w="0" w:type="dxa"/>
                  <w:left w:w="108" w:type="dxa"/>
                  <w:bottom w:w="0" w:type="dxa"/>
                  <w:right w:w="108" w:type="dxa"/>
                </w:tblCellMar>
              </w:tblPrEx>
              <w:trPr>
                <w:trHeight w:val="392" w:hRule="atLeast"/>
              </w:trPr>
              <w:tc>
                <w:tcPr>
                  <w:tcW w:w="841"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5DD3F1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4</w:t>
                  </w:r>
                </w:p>
              </w:tc>
              <w:tc>
                <w:tcPr>
                  <w:tcW w:w="15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48BC5A5">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c>
                <w:tcPr>
                  <w:tcW w:w="1965"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0C50B2C">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c>
                <w:tcPr>
                  <w:tcW w:w="2235"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12CD25">
                  <w:pPr>
                    <w:pStyle w:val="62"/>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w:t>
                  </w:r>
                </w:p>
              </w:tc>
            </w:tr>
          </w:tbl>
          <w:p w14:paraId="09A70456">
            <w:pPr>
              <w:pStyle w:val="56"/>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smallCaps w:val="0"/>
                <w:color w:val="auto"/>
                <w:sz w:val="21"/>
                <w:szCs w:val="21"/>
                <w:highlight w:val="none"/>
                <w:lang w:val="en-US" w:eastAsia="zh-CN" w:bidi="ar-SA"/>
              </w:rPr>
            </w:pPr>
            <w:r>
              <w:rPr>
                <w:rFonts w:hint="eastAsia" w:ascii="宋体" w:hAnsi="宋体" w:eastAsia="宋体" w:cs="宋体"/>
                <w:smallCaps w:val="0"/>
                <w:color w:val="auto"/>
                <w:sz w:val="21"/>
                <w:szCs w:val="21"/>
                <w:highlight w:val="none"/>
              </w:rPr>
              <w:t>5</w:t>
            </w:r>
            <w:r>
              <w:rPr>
                <w:rFonts w:hint="eastAsia" w:ascii="宋体" w:hAnsi="宋体" w:eastAsia="宋体" w:cs="宋体"/>
                <w:smallCaps w:val="0"/>
                <w:color w:val="auto"/>
                <w:sz w:val="21"/>
                <w:szCs w:val="21"/>
                <w:highlight w:val="none"/>
                <w:lang w:val="en-US" w:eastAsia="zh-CN"/>
              </w:rPr>
              <w:t>.剩余情形</w:t>
            </w:r>
            <w:r>
              <w:rPr>
                <w:rFonts w:hint="eastAsia" w:ascii="宋体" w:hAnsi="宋体" w:eastAsia="宋体" w:cs="宋体"/>
                <w:smallCaps w:val="0"/>
                <w:color w:val="auto"/>
                <w:kern w:val="2"/>
                <w:sz w:val="21"/>
                <w:szCs w:val="21"/>
                <w:highlight w:val="none"/>
                <w:lang w:val="en-US" w:eastAsia="zh-CN" w:bidi="ar-SA"/>
              </w:rPr>
              <w:t>综合评价结果判定为一般，不得推荐。</w:t>
            </w:r>
          </w:p>
        </w:tc>
      </w:tr>
    </w:tbl>
    <w:p w14:paraId="60C80B11">
      <w:pPr>
        <w:pStyle w:val="63"/>
        <w:keepNext w:val="0"/>
        <w:keepLines w:val="0"/>
        <w:pageBreakBefore w:val="0"/>
        <w:widowControl w:val="0"/>
        <w:kinsoku/>
        <w:wordWrap/>
        <w:overflowPunct/>
        <w:topLinePunct w:val="0"/>
        <w:autoSpaceDE/>
        <w:autoSpaceDN/>
        <w:bidi w:val="0"/>
        <w:adjustRightInd/>
        <w:snapToGrid/>
        <w:spacing w:before="82" w:beforeLines="30" w:after="82" w:afterLines="30" w:line="560" w:lineRule="exact"/>
        <w:ind w:left="0" w:leftChars="0" w:firstLine="0" w:firstLineChars="0"/>
        <w:textAlignment w:val="auto"/>
        <w:rPr>
          <w:rStyle w:val="65"/>
          <w:rFonts w:hint="eastAsia" w:ascii="宋体" w:hAnsi="宋体" w:eastAsia="宋体" w:cs="宋体"/>
          <w:b/>
          <w:bCs w:val="0"/>
          <w:smallCaps w:val="0"/>
          <w:color w:val="auto"/>
          <w:highlight w:val="none"/>
          <w:lang w:val="en-US" w:eastAsia="zh-CN"/>
        </w:rPr>
      </w:pPr>
      <w:r>
        <w:rPr>
          <w:rFonts w:hint="eastAsia" w:ascii="Times New Roman" w:hAnsi="Times New Roman"/>
          <w:smallCaps w:val="0"/>
          <w:color w:val="auto"/>
          <w:highlight w:val="none"/>
        </w:rPr>
        <w:br w:type="page"/>
      </w:r>
      <w:bookmarkStart w:id="704" w:name="_Toc9767"/>
      <w:r>
        <w:rPr>
          <w:rStyle w:val="65"/>
          <w:rFonts w:hint="eastAsia" w:ascii="宋体" w:hAnsi="宋体" w:eastAsia="宋体" w:cs="宋体"/>
          <w:b/>
          <w:bCs w:val="0"/>
          <w:smallCaps w:val="0"/>
          <w:color w:val="auto"/>
          <w:highlight w:val="none"/>
          <w:lang w:val="en-US" w:eastAsia="zh-CN"/>
        </w:rPr>
        <w:t>附件1</w:t>
      </w:r>
      <w:r>
        <w:rPr>
          <w:rStyle w:val="65"/>
          <w:rFonts w:hint="eastAsia" w:ascii="宋体" w:hAnsi="宋体" w:eastAsia="宋体" w:cs="宋体"/>
          <w:b/>
          <w:bCs w:val="0"/>
          <w:smallCaps w:val="0"/>
          <w:color w:val="auto"/>
          <w:highlight w:val="none"/>
          <w:u w:val="none"/>
          <w:lang w:val="en-US" w:eastAsia="zh-CN"/>
        </w:rPr>
        <w:t>：</w:t>
      </w:r>
      <w:r>
        <w:rPr>
          <w:rStyle w:val="65"/>
          <w:rFonts w:hint="eastAsia" w:ascii="宋体" w:hAnsi="宋体" w:eastAsia="宋体" w:cs="宋体"/>
          <w:b/>
          <w:bCs w:val="0"/>
          <w:smallCaps w:val="0"/>
          <w:color w:val="auto"/>
          <w:highlight w:val="none"/>
          <w:lang w:val="en-US" w:eastAsia="zh-CN"/>
        </w:rPr>
        <w:t>否决投标的其他情形</w:t>
      </w:r>
    </w:p>
    <w:bookmarkEnd w:id="704"/>
    <w:p w14:paraId="39F8E36F">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1.评标委员会应对在评标过程中发现的投标人与投标人之间、投标人与招标人之间存在的串通投标的情形进行评审和认定。投标人存在串通投标、弄虚作假、行贿等违法行为的，评标委员会应否决其投标。</w:t>
      </w:r>
    </w:p>
    <w:p w14:paraId="5B6494AF">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lang w:eastAsia="zh-CN"/>
        </w:rPr>
      </w:pPr>
      <w:r>
        <w:rPr>
          <w:rFonts w:hint="eastAsia" w:ascii="宋体" w:hAnsi="宋体" w:eastAsia="宋体" w:cs="宋体"/>
          <w:smallCaps w:val="0"/>
          <w:color w:val="auto"/>
          <w:highlight w:val="none"/>
        </w:rPr>
        <w:t>（1）有下列情形之一的，属于投标人相互串通投标</w:t>
      </w:r>
      <w:r>
        <w:rPr>
          <w:rFonts w:hint="eastAsia" w:ascii="宋体" w:hAnsi="宋体" w:eastAsia="宋体" w:cs="宋体"/>
          <w:smallCaps w:val="0"/>
          <w:color w:val="auto"/>
          <w:highlight w:val="none"/>
          <w:u w:val="none"/>
          <w:lang w:eastAsia="zh-CN"/>
        </w:rPr>
        <w:t>：</w:t>
      </w:r>
    </w:p>
    <w:p w14:paraId="44209FCC">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①投标人之间协商投标报价等投标文件的实质性内容；</w:t>
      </w:r>
    </w:p>
    <w:p w14:paraId="21086367">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②投标人之间约定中标人；</w:t>
      </w:r>
    </w:p>
    <w:p w14:paraId="20091F7D">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③投标人之间约定部分投标人放弃投标或中标；</w:t>
      </w:r>
    </w:p>
    <w:p w14:paraId="179A6F88">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④属于同一集团、协会、商会等组织成员的投标人按照该组织要求协同投标；</w:t>
      </w:r>
    </w:p>
    <w:p w14:paraId="47EF8E68">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⑤投标人之间为谋取中标或排斥特定投标人而采取的其他联合行动。</w:t>
      </w:r>
    </w:p>
    <w:p w14:paraId="7ADA95B9">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lang w:eastAsia="zh-CN"/>
        </w:rPr>
      </w:pPr>
      <w:r>
        <w:rPr>
          <w:rFonts w:hint="eastAsia" w:ascii="宋体" w:hAnsi="宋体" w:eastAsia="宋体" w:cs="宋体"/>
          <w:smallCaps w:val="0"/>
          <w:color w:val="auto"/>
          <w:highlight w:val="none"/>
        </w:rPr>
        <w:t>（2）有下列情形之一的，视为投标人相互串通投标</w:t>
      </w:r>
      <w:r>
        <w:rPr>
          <w:rFonts w:hint="eastAsia" w:ascii="宋体" w:hAnsi="宋体" w:eastAsia="宋体" w:cs="宋体"/>
          <w:smallCaps w:val="0"/>
          <w:color w:val="auto"/>
          <w:highlight w:val="none"/>
          <w:u w:val="none"/>
          <w:lang w:eastAsia="zh-CN"/>
        </w:rPr>
        <w:t>：</w:t>
      </w:r>
    </w:p>
    <w:p w14:paraId="0EF11DDF">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①不同投标人的投标文件由同一单位或个人编制；</w:t>
      </w:r>
    </w:p>
    <w:p w14:paraId="5C9B96F4">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②不同投标人委托同一单位或个人办理投标事宜；</w:t>
      </w:r>
    </w:p>
    <w:p w14:paraId="47679DD2">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③不同投标人的投标文件载明的项目管理成员为同一人；</w:t>
      </w:r>
    </w:p>
    <w:p w14:paraId="79415739">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④不同投标人的投标文件异常一致或投标报价呈规律性差异；</w:t>
      </w:r>
    </w:p>
    <w:p w14:paraId="07726834">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⑤不同投标人的投标文件相互混装；</w:t>
      </w:r>
    </w:p>
    <w:p w14:paraId="705BC70A">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⑥不同投标人的投标保证金从同一单位或个人的账户转出。</w:t>
      </w:r>
    </w:p>
    <w:p w14:paraId="4DB28769">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lang w:eastAsia="zh-CN"/>
        </w:rPr>
      </w:pPr>
      <w:r>
        <w:rPr>
          <w:rFonts w:hint="eastAsia" w:ascii="宋体" w:hAnsi="宋体" w:eastAsia="宋体" w:cs="宋体"/>
          <w:smallCaps w:val="0"/>
          <w:color w:val="auto"/>
          <w:highlight w:val="none"/>
        </w:rPr>
        <w:t>（3）有下列情形之一的，属于招标人与投标人串通投标</w:t>
      </w:r>
      <w:r>
        <w:rPr>
          <w:rFonts w:hint="eastAsia" w:ascii="宋体" w:hAnsi="宋体" w:eastAsia="宋体" w:cs="宋体"/>
          <w:smallCaps w:val="0"/>
          <w:color w:val="auto"/>
          <w:highlight w:val="none"/>
          <w:u w:val="none"/>
          <w:lang w:eastAsia="zh-CN"/>
        </w:rPr>
        <w:t>：</w:t>
      </w:r>
    </w:p>
    <w:p w14:paraId="40C318D5">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①招标人在开标前开启投标文件并将有关信息泄露给其他投标人；</w:t>
      </w:r>
    </w:p>
    <w:p w14:paraId="03F15B76">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②招标人直接或间接向投标人泄露标底、评标委员会成员等信息；</w:t>
      </w:r>
    </w:p>
    <w:p w14:paraId="5FA20FE2">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③招标人明示或暗示投标人压低或抬高投标报价；</w:t>
      </w:r>
    </w:p>
    <w:p w14:paraId="34D67B89">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④招标人授意投标人撤换、修改投标文件；</w:t>
      </w:r>
    </w:p>
    <w:p w14:paraId="156209EF">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⑤招标人明示或暗示投标人为特定投标人中标提供方便；</w:t>
      </w:r>
    </w:p>
    <w:p w14:paraId="790221A9">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⑥招标人与投标人为谋求特定投标人中标而采取的其他串通行为。</w:t>
      </w:r>
    </w:p>
    <w:p w14:paraId="1F0C5621">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lang w:eastAsia="zh-CN"/>
        </w:rPr>
      </w:pPr>
      <w:r>
        <w:rPr>
          <w:rFonts w:hint="eastAsia" w:ascii="宋体" w:hAnsi="宋体" w:eastAsia="宋体" w:cs="宋体"/>
          <w:smallCaps w:val="0"/>
          <w:color w:val="auto"/>
          <w:highlight w:val="none"/>
        </w:rPr>
        <w:t>（4）投标人有下列情形之一的，属于弄虚作假的行为</w:t>
      </w:r>
      <w:r>
        <w:rPr>
          <w:rFonts w:hint="eastAsia" w:ascii="宋体" w:hAnsi="宋体" w:eastAsia="宋体" w:cs="宋体"/>
          <w:smallCaps w:val="0"/>
          <w:color w:val="auto"/>
          <w:highlight w:val="none"/>
          <w:u w:val="none"/>
          <w:lang w:eastAsia="zh-CN"/>
        </w:rPr>
        <w:t>：</w:t>
      </w:r>
    </w:p>
    <w:p w14:paraId="3C83724C">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①使用通过受让或租借等方式获取的资格、资质证书投标；</w:t>
      </w:r>
    </w:p>
    <w:p w14:paraId="1B89C5D7">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②使用伪造、变造的许可证件；</w:t>
      </w:r>
    </w:p>
    <w:p w14:paraId="692BF7AB">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③提供虚假的财务状况或业绩；</w:t>
      </w:r>
    </w:p>
    <w:p w14:paraId="1972B4DE">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④提供虚假的项目经理或主要技术人员简历、劳动关系证明；</w:t>
      </w:r>
    </w:p>
    <w:p w14:paraId="6E93D940">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⑤提供虚假的信用状况；</w:t>
      </w:r>
    </w:p>
    <w:p w14:paraId="31EA6199">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⑥其他弄虚作假的行为。</w:t>
      </w:r>
    </w:p>
    <w:p w14:paraId="117A0848">
      <w:pPr>
        <w:pStyle w:val="63"/>
        <w:keepNext w:val="0"/>
        <w:keepLines w:val="0"/>
        <w:pageBreakBefore w:val="0"/>
        <w:widowControl w:val="0"/>
        <w:kinsoku/>
        <w:wordWrap/>
        <w:overflowPunct/>
        <w:topLinePunct w:val="0"/>
        <w:autoSpaceDE/>
        <w:autoSpaceDN/>
        <w:bidi w:val="0"/>
        <w:adjustRightInd/>
        <w:snapToGrid/>
        <w:spacing w:before="82" w:beforeLines="30" w:after="82" w:afterLines="30" w:line="560" w:lineRule="exact"/>
        <w:ind w:left="0" w:leftChars="0" w:firstLine="0" w:firstLineChars="0"/>
        <w:textAlignment w:val="auto"/>
        <w:rPr>
          <w:rStyle w:val="65"/>
          <w:rFonts w:hint="eastAsia" w:ascii="Times New Roman" w:hAnsi="Times New Roman"/>
          <w:smallCaps w:val="0"/>
          <w:color w:val="auto"/>
          <w:highlight w:val="none"/>
          <w:lang w:val="en-US" w:eastAsia="zh-CN"/>
        </w:rPr>
      </w:pPr>
      <w:r>
        <w:rPr>
          <w:rFonts w:hint="eastAsia" w:ascii="Times New Roman" w:hAnsi="Times New Roman"/>
          <w:smallCaps w:val="0"/>
          <w:color w:val="auto"/>
          <w:highlight w:val="none"/>
        </w:rPr>
        <w:br w:type="page"/>
      </w:r>
      <w:bookmarkStart w:id="705" w:name="_Toc14537"/>
      <w:r>
        <w:rPr>
          <w:rStyle w:val="65"/>
          <w:rFonts w:hint="eastAsia" w:ascii="宋体" w:hAnsi="宋体" w:eastAsia="宋体" w:cs="宋体"/>
          <w:b/>
          <w:bCs w:val="0"/>
          <w:smallCaps w:val="0"/>
          <w:color w:val="auto"/>
          <w:highlight w:val="none"/>
          <w:lang w:val="en-US" w:eastAsia="zh-CN"/>
        </w:rPr>
        <w:t>附件2：异常低价评审</w:t>
      </w:r>
    </w:p>
    <w:bookmarkEnd w:id="705"/>
    <w:p w14:paraId="55FDF188">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lang w:eastAsia="zh-CN"/>
        </w:rPr>
      </w:pPr>
      <w:r>
        <w:rPr>
          <w:rFonts w:hint="eastAsia" w:ascii="宋体" w:hAnsi="宋体" w:eastAsia="宋体" w:cs="宋体"/>
          <w:smallCaps w:val="0"/>
          <w:color w:val="auto"/>
          <w:highlight w:val="none"/>
        </w:rPr>
        <w:t>评标委员会在推荐</w:t>
      </w:r>
      <w:r>
        <w:rPr>
          <w:rFonts w:hint="eastAsia" w:ascii="宋体" w:hAnsi="宋体" w:eastAsia="宋体" w:cs="宋体"/>
          <w:smallCaps w:val="0"/>
          <w:color w:val="auto"/>
          <w:highlight w:val="none"/>
          <w:lang w:eastAsia="zh-CN"/>
        </w:rPr>
        <w:t>中标候选人</w:t>
      </w:r>
      <w:r>
        <w:rPr>
          <w:rFonts w:hint="eastAsia" w:ascii="宋体" w:hAnsi="宋体" w:eastAsia="宋体" w:cs="宋体"/>
          <w:smallCaps w:val="0"/>
          <w:color w:val="auto"/>
          <w:highlight w:val="none"/>
        </w:rPr>
        <w:t>前，对拟推荐</w:t>
      </w:r>
      <w:r>
        <w:rPr>
          <w:rFonts w:hint="eastAsia" w:ascii="宋体" w:hAnsi="宋体" w:eastAsia="宋体" w:cs="宋体"/>
          <w:smallCaps w:val="0"/>
          <w:color w:val="auto"/>
          <w:highlight w:val="none"/>
          <w:lang w:eastAsia="zh-CN"/>
        </w:rPr>
        <w:t>中标候选人</w:t>
      </w:r>
      <w:r>
        <w:rPr>
          <w:rFonts w:hint="eastAsia" w:ascii="宋体" w:hAnsi="宋体" w:eastAsia="宋体" w:cs="宋体"/>
          <w:smallCaps w:val="0"/>
          <w:color w:val="auto"/>
          <w:highlight w:val="none"/>
        </w:rPr>
        <w:t>的投标报价进行异常低价评审（本招标项目是否执行异常低价评审见评标办法前附表），具体要求如下</w:t>
      </w:r>
      <w:r>
        <w:rPr>
          <w:rFonts w:hint="eastAsia" w:ascii="宋体" w:hAnsi="宋体" w:eastAsia="宋体" w:cs="宋体"/>
          <w:smallCaps w:val="0"/>
          <w:color w:val="auto"/>
          <w:highlight w:val="none"/>
          <w:lang w:eastAsia="zh-CN"/>
        </w:rPr>
        <w:t>：</w:t>
      </w:r>
    </w:p>
    <w:p w14:paraId="71813C0E">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smallCaps w:val="0"/>
          <w:color w:val="auto"/>
          <w:highlight w:val="none"/>
        </w:rPr>
      </w:pPr>
      <w:r>
        <w:rPr>
          <w:rFonts w:hint="eastAsia" w:ascii="宋体" w:hAnsi="宋体" w:eastAsia="宋体" w:cs="宋体"/>
          <w:smallCaps w:val="0"/>
          <w:color w:val="auto"/>
          <w:highlight w:val="none"/>
        </w:rPr>
        <w:t>评审要求</w:t>
      </w:r>
      <w:r>
        <w:rPr>
          <w:rFonts w:hint="eastAsia" w:ascii="宋体" w:hAnsi="宋体" w:eastAsia="宋体" w:cs="宋体"/>
          <w:smallCaps w:val="0"/>
          <w:color w:val="auto"/>
          <w:highlight w:val="none"/>
          <w:lang w:eastAsia="zh-CN"/>
        </w:rPr>
        <w:t>：</w:t>
      </w:r>
      <w:r>
        <w:rPr>
          <w:rFonts w:hint="eastAsia" w:ascii="宋体" w:hAnsi="宋体" w:eastAsia="宋体" w:cs="宋体"/>
          <w:smallCaps w:val="0"/>
          <w:color w:val="auto"/>
          <w:highlight w:val="none"/>
        </w:rPr>
        <w:t>投标人投标总报价低于异常低价（见评标办法前附表）的，评标委员会将进行异常低价评审</w:t>
      </w:r>
      <w:r>
        <w:rPr>
          <w:rFonts w:hint="default" w:ascii="宋体" w:hAnsi="宋体" w:eastAsia="宋体" w:cs="宋体"/>
          <w:smallCaps w:val="0"/>
          <w:color w:val="auto"/>
          <w:highlight w:val="none"/>
        </w:rPr>
        <w:t>。</w:t>
      </w:r>
    </w:p>
    <w:p w14:paraId="07DE08A8">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证明材料要求</w:t>
      </w:r>
      <w:r>
        <w:rPr>
          <w:rFonts w:hint="eastAsia" w:ascii="宋体" w:hAnsi="宋体" w:eastAsia="宋体" w:cs="宋体"/>
          <w:smallCaps w:val="0"/>
          <w:color w:val="auto"/>
          <w:highlight w:val="none"/>
          <w:lang w:eastAsia="zh-CN"/>
        </w:rPr>
        <w:t>：</w:t>
      </w:r>
      <w:r>
        <w:rPr>
          <w:rFonts w:hint="eastAsia" w:ascii="宋体" w:hAnsi="宋体" w:eastAsia="宋体" w:cs="宋体"/>
          <w:smallCaps w:val="0"/>
          <w:color w:val="auto"/>
          <w:highlight w:val="none"/>
        </w:rPr>
        <w:t>投标人填报的单位工程投标报价金额低于该招标项目最高投标限价中对应单位工程最高投标限价金额规定比例（见评标办法前附表异常低价规定指标）的，对该单位工程投标报价进行异常低价评审；投标人须在投标文件报价文件中作出澄清或者说明，并提供降低工程造价的相关证明材料（不限于在人工、材料、机械消耗量、价格、施工措施、方案及其他方面）；同时提供关于合同履行能力及工程质量安全控制的承诺。</w:t>
      </w:r>
    </w:p>
    <w:p w14:paraId="28CD50E8">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lang w:eastAsia="zh-CN"/>
        </w:rPr>
      </w:pPr>
      <w:r>
        <w:rPr>
          <w:rFonts w:hint="eastAsia" w:ascii="宋体" w:hAnsi="宋体" w:eastAsia="宋体" w:cs="宋体"/>
          <w:smallCaps w:val="0"/>
          <w:color w:val="auto"/>
          <w:highlight w:val="none"/>
        </w:rPr>
        <w:t>（3）以下情形不得作为异常低价投标说明的依据</w:t>
      </w:r>
      <w:r>
        <w:rPr>
          <w:rFonts w:hint="eastAsia" w:ascii="宋体" w:hAnsi="宋体" w:eastAsia="宋体" w:cs="宋体"/>
          <w:smallCaps w:val="0"/>
          <w:color w:val="auto"/>
          <w:highlight w:val="none"/>
          <w:lang w:eastAsia="zh-CN"/>
        </w:rPr>
        <w:t>：</w:t>
      </w:r>
    </w:p>
    <w:p w14:paraId="2F7E0190">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①机械、材料自有或闲置；</w:t>
      </w:r>
    </w:p>
    <w:p w14:paraId="0AEB61DD">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②自有弃土场土源或与邻近项目签订的土方倒运协议；</w:t>
      </w:r>
    </w:p>
    <w:p w14:paraId="1728BFB1">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③人员闲置；</w:t>
      </w:r>
    </w:p>
    <w:p w14:paraId="1EC75546">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④亏本让利；</w:t>
      </w:r>
    </w:p>
    <w:p w14:paraId="78CB0F91">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⑤企业市场拓展或品牌宣传；</w:t>
      </w:r>
    </w:p>
    <w:p w14:paraId="6D4C0476">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⑥降低或改变原设计方案、技术工艺、施工标准的；</w:t>
      </w:r>
    </w:p>
    <w:p w14:paraId="61C78C9A">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⑦类似项目业绩；</w:t>
      </w:r>
    </w:p>
    <w:p w14:paraId="5A89EDC8">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⑧评标委员会认为不得作为降低投标报价依据的情形。</w:t>
      </w:r>
    </w:p>
    <w:p w14:paraId="3C584657">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highlight w:val="none"/>
        </w:rPr>
      </w:pPr>
      <w:r>
        <w:rPr>
          <w:rFonts w:hint="eastAsia" w:ascii="宋体" w:hAnsi="宋体" w:eastAsia="宋体" w:cs="宋体"/>
          <w:smallCaps w:val="0"/>
          <w:color w:val="auto"/>
          <w:highlight w:val="none"/>
        </w:rPr>
        <w:t>（4）评审标准</w:t>
      </w:r>
      <w:r>
        <w:rPr>
          <w:rFonts w:hint="eastAsia" w:ascii="宋体" w:hAnsi="宋体" w:eastAsia="宋体" w:cs="宋体"/>
          <w:smallCaps w:val="0"/>
          <w:color w:val="auto"/>
          <w:highlight w:val="none"/>
          <w:lang w:eastAsia="zh-CN"/>
        </w:rPr>
        <w:t>：</w:t>
      </w:r>
      <w:r>
        <w:rPr>
          <w:rFonts w:hint="eastAsia" w:ascii="宋体" w:hAnsi="宋体" w:eastAsia="宋体" w:cs="宋体"/>
          <w:smallCaps w:val="0"/>
          <w:color w:val="auto"/>
          <w:highlight w:val="none"/>
        </w:rPr>
        <w:t>评标委员会对通过评审的异常低价</w:t>
      </w:r>
      <w:r>
        <w:rPr>
          <w:rFonts w:hint="eastAsia" w:ascii="宋体" w:hAnsi="宋体" w:eastAsia="宋体" w:cs="宋体"/>
          <w:smallCaps w:val="0"/>
          <w:color w:val="auto"/>
          <w:highlight w:val="none"/>
          <w:lang w:eastAsia="zh-CN"/>
        </w:rPr>
        <w:t>中标候选人</w:t>
      </w:r>
      <w:r>
        <w:rPr>
          <w:rFonts w:hint="eastAsia" w:ascii="宋体" w:hAnsi="宋体" w:eastAsia="宋体" w:cs="宋体"/>
          <w:smallCaps w:val="0"/>
          <w:color w:val="auto"/>
          <w:highlight w:val="none"/>
        </w:rPr>
        <w:t>合同履行能力及工程质量安全等风险进行全面评估，并作为评标结果的附件提交给招标人。投标人在投标文件中未作出有效澄清、说明或评标委员会认定（按照少数服从多数的原则）其存在履约及质量安全风险的，评标委员会应否决其投标，不推荐其为</w:t>
      </w:r>
      <w:r>
        <w:rPr>
          <w:rFonts w:hint="eastAsia" w:ascii="宋体" w:hAnsi="宋体" w:eastAsia="宋体" w:cs="宋体"/>
          <w:smallCaps w:val="0"/>
          <w:color w:val="auto"/>
          <w:highlight w:val="none"/>
          <w:lang w:eastAsia="zh-CN"/>
        </w:rPr>
        <w:t>中标候选人</w:t>
      </w:r>
      <w:r>
        <w:rPr>
          <w:rFonts w:hint="eastAsia" w:ascii="宋体" w:hAnsi="宋体" w:eastAsia="宋体" w:cs="宋体"/>
          <w:smallCaps w:val="0"/>
          <w:color w:val="auto"/>
          <w:highlight w:val="none"/>
        </w:rPr>
        <w:t>。</w:t>
      </w:r>
    </w:p>
    <w:p w14:paraId="47825699">
      <w:pPr>
        <w:pStyle w:val="6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Style w:val="65"/>
          <w:rFonts w:hint="eastAsia" w:ascii="宋体" w:hAnsi="宋体" w:eastAsia="宋体" w:cs="宋体"/>
          <w:smallCaps w:val="0"/>
          <w:color w:val="auto"/>
          <w:sz w:val="21"/>
          <w:szCs w:val="21"/>
          <w:highlight w:val="none"/>
        </w:rPr>
      </w:pPr>
      <w:r>
        <w:rPr>
          <w:rFonts w:hint="eastAsia" w:ascii="Times New Roman" w:hAnsi="Times New Roman" w:eastAsia="黑体"/>
          <w:bCs/>
          <w:smallCaps w:val="0"/>
          <w:color w:val="auto"/>
          <w:highlight w:val="none"/>
        </w:rPr>
        <w:br w:type="page"/>
      </w:r>
      <w:bookmarkStart w:id="706" w:name="_Toc27229"/>
      <w:bookmarkStart w:id="707" w:name="_Toc3609"/>
      <w:r>
        <w:rPr>
          <w:rStyle w:val="65"/>
          <w:rFonts w:hint="eastAsia" w:ascii="宋体" w:hAnsi="宋体" w:eastAsia="宋体" w:cs="宋体"/>
          <w:b/>
          <w:bCs w:val="0"/>
          <w:smallCaps w:val="0"/>
          <w:color w:val="auto"/>
          <w:sz w:val="24"/>
          <w:szCs w:val="24"/>
          <w:highlight w:val="none"/>
        </w:rPr>
        <w:t>1. 评标方法</w:t>
      </w:r>
      <w:bookmarkEnd w:id="706"/>
    </w:p>
    <w:bookmarkEnd w:id="707"/>
    <w:p w14:paraId="3885A686">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1.1 本次评标采用定性定量评审法。</w:t>
      </w:r>
    </w:p>
    <w:p w14:paraId="5FF7B1A5">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1.2 评标委员会对满足招标文件实质性要求的投标文件，按照本章规定的评审标准进行评价，并依据最终的综合评价意见按照评标办法前附表中的规定推荐</w:t>
      </w:r>
      <w:r>
        <w:rPr>
          <w:rFonts w:hint="eastAsia" w:ascii="宋体" w:hAnsi="宋体" w:eastAsia="宋体" w:cs="宋体"/>
          <w:smallCaps w:val="0"/>
          <w:color w:val="auto"/>
          <w:sz w:val="21"/>
          <w:szCs w:val="21"/>
          <w:highlight w:val="none"/>
          <w:lang w:val="en-US" w:eastAsia="zh-CN"/>
        </w:rPr>
        <w:t>不</w:t>
      </w:r>
      <w:r>
        <w:rPr>
          <w:rFonts w:hint="eastAsia" w:ascii="宋体" w:hAnsi="宋体" w:eastAsia="宋体" w:cs="宋体"/>
          <w:smallCaps w:val="0"/>
          <w:color w:val="auto"/>
          <w:sz w:val="21"/>
          <w:szCs w:val="21"/>
          <w:highlight w:val="none"/>
        </w:rPr>
        <w:t>标明排序的</w:t>
      </w:r>
      <w:r>
        <w:rPr>
          <w:rFonts w:hint="eastAsia" w:ascii="宋体" w:hAnsi="宋体" w:eastAsia="宋体" w:cs="宋体"/>
          <w:smallCaps w:val="0"/>
          <w:color w:val="auto"/>
          <w:sz w:val="21"/>
          <w:szCs w:val="21"/>
          <w:highlight w:val="none"/>
          <w:lang w:eastAsia="zh-CN"/>
        </w:rPr>
        <w:t>中标候选人</w:t>
      </w:r>
      <w:r>
        <w:rPr>
          <w:rFonts w:hint="eastAsia" w:ascii="宋体" w:hAnsi="宋体" w:eastAsia="宋体" w:cs="宋体"/>
          <w:smallCaps w:val="0"/>
          <w:color w:val="auto"/>
          <w:sz w:val="21"/>
          <w:szCs w:val="21"/>
          <w:highlight w:val="none"/>
        </w:rPr>
        <w:t>，但投标报价低于其个别成本或经评审被认定为异常低价的除外。</w:t>
      </w:r>
    </w:p>
    <w:p w14:paraId="682A3CD0">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1.3本次推荐</w:t>
      </w:r>
      <w:r>
        <w:rPr>
          <w:rFonts w:hint="eastAsia" w:ascii="宋体" w:hAnsi="宋体" w:eastAsia="宋体" w:cs="宋体"/>
          <w:smallCaps w:val="0"/>
          <w:color w:val="auto"/>
          <w:sz w:val="21"/>
          <w:szCs w:val="21"/>
          <w:highlight w:val="none"/>
          <w:lang w:eastAsia="zh-CN"/>
        </w:rPr>
        <w:t>中标候选人</w:t>
      </w:r>
      <w:r>
        <w:rPr>
          <w:rFonts w:hint="eastAsia" w:ascii="宋体" w:hAnsi="宋体" w:eastAsia="宋体" w:cs="宋体"/>
          <w:smallCaps w:val="0"/>
          <w:color w:val="auto"/>
          <w:sz w:val="21"/>
          <w:szCs w:val="21"/>
          <w:highlight w:val="none"/>
        </w:rPr>
        <w:t>的先后顺序详见评标办法前附表。不得推荐为</w:t>
      </w:r>
      <w:r>
        <w:rPr>
          <w:rFonts w:hint="eastAsia" w:ascii="宋体" w:hAnsi="宋体" w:eastAsia="宋体" w:cs="宋体"/>
          <w:smallCaps w:val="0"/>
          <w:color w:val="auto"/>
          <w:sz w:val="21"/>
          <w:szCs w:val="21"/>
          <w:highlight w:val="none"/>
          <w:lang w:eastAsia="zh-CN"/>
        </w:rPr>
        <w:t>中标候选人</w:t>
      </w:r>
      <w:r>
        <w:rPr>
          <w:rFonts w:hint="eastAsia" w:ascii="宋体" w:hAnsi="宋体" w:eastAsia="宋体" w:cs="宋体"/>
          <w:smallCaps w:val="0"/>
          <w:color w:val="auto"/>
          <w:sz w:val="21"/>
          <w:szCs w:val="21"/>
          <w:highlight w:val="none"/>
        </w:rPr>
        <w:t>、确定为中标人的情形见本章第3.5</w:t>
      </w:r>
      <w:r>
        <w:rPr>
          <w:rFonts w:hint="eastAsia" w:ascii="宋体" w:hAnsi="宋体" w:eastAsia="宋体" w:cs="宋体"/>
          <w:smallCaps w:val="0"/>
          <w:color w:val="auto"/>
          <w:sz w:val="21"/>
          <w:szCs w:val="21"/>
          <w:highlight w:val="none"/>
          <w:lang w:val="en-US" w:eastAsia="zh-CN"/>
        </w:rPr>
        <w:t>款</w:t>
      </w:r>
      <w:r>
        <w:rPr>
          <w:rFonts w:hint="eastAsia" w:ascii="宋体" w:hAnsi="宋体" w:eastAsia="宋体" w:cs="宋体"/>
          <w:smallCaps w:val="0"/>
          <w:color w:val="auto"/>
          <w:sz w:val="21"/>
          <w:szCs w:val="21"/>
          <w:highlight w:val="none"/>
        </w:rPr>
        <w:t>、第3.6.1项。若为多标段的，</w:t>
      </w:r>
      <w:r>
        <w:rPr>
          <w:rFonts w:hint="eastAsia" w:ascii="宋体" w:hAnsi="宋体" w:eastAsia="宋体" w:cs="宋体"/>
          <w:smallCaps w:val="0"/>
          <w:color w:val="auto"/>
          <w:sz w:val="21"/>
          <w:szCs w:val="21"/>
          <w:highlight w:val="none"/>
          <w:lang w:eastAsia="zh-CN"/>
        </w:rPr>
        <w:t>中标候选人</w:t>
      </w:r>
      <w:r>
        <w:rPr>
          <w:rFonts w:hint="eastAsia" w:ascii="宋体" w:hAnsi="宋体" w:eastAsia="宋体" w:cs="宋体"/>
          <w:smallCaps w:val="0"/>
          <w:color w:val="auto"/>
          <w:sz w:val="21"/>
          <w:szCs w:val="21"/>
          <w:highlight w:val="none"/>
        </w:rPr>
        <w:t>可重复被推荐。</w:t>
      </w:r>
    </w:p>
    <w:p w14:paraId="7AED8FDF">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1.4 招标人应当根据项目的实际情况，在评标办法正文及前附表中列明所有否决投标的情形；第三章“评标及定标”没有列明的否决投标的情形，一律不得作为评审依据。</w:t>
      </w:r>
    </w:p>
    <w:p w14:paraId="30B2033F">
      <w:pPr>
        <w:pStyle w:val="6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Style w:val="65"/>
          <w:rFonts w:hint="eastAsia" w:ascii="宋体" w:hAnsi="宋体" w:eastAsia="宋体" w:cs="宋体"/>
          <w:b/>
          <w:bCs w:val="0"/>
          <w:smallCaps w:val="0"/>
          <w:color w:val="auto"/>
          <w:sz w:val="24"/>
          <w:szCs w:val="24"/>
          <w:highlight w:val="none"/>
          <w:lang w:val="zh-CN"/>
        </w:rPr>
      </w:pPr>
      <w:bookmarkStart w:id="708" w:name="_Toc20275"/>
      <w:bookmarkStart w:id="709" w:name="_Toc2767"/>
      <w:bookmarkStart w:id="710" w:name="_Toc11120"/>
      <w:r>
        <w:rPr>
          <w:rStyle w:val="65"/>
          <w:rFonts w:hint="eastAsia" w:ascii="宋体" w:hAnsi="宋体" w:eastAsia="宋体" w:cs="宋体"/>
          <w:b/>
          <w:bCs w:val="0"/>
          <w:smallCaps w:val="0"/>
          <w:color w:val="auto"/>
          <w:sz w:val="24"/>
          <w:szCs w:val="24"/>
          <w:highlight w:val="none"/>
        </w:rPr>
        <w:t>2. 评审标准</w:t>
      </w:r>
      <w:bookmarkEnd w:id="708"/>
      <w:bookmarkEnd w:id="709"/>
    </w:p>
    <w:bookmarkEnd w:id="710"/>
    <w:p w14:paraId="0C6DC493">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zh-CN"/>
        </w:rPr>
      </w:pPr>
      <w:r>
        <w:rPr>
          <w:rFonts w:hint="eastAsia" w:ascii="宋体" w:hAnsi="宋体" w:eastAsia="宋体" w:cs="宋体"/>
          <w:smallCaps w:val="0"/>
          <w:color w:val="auto"/>
          <w:sz w:val="21"/>
          <w:szCs w:val="21"/>
          <w:highlight w:val="none"/>
          <w:lang w:val="zh-CN"/>
        </w:rPr>
        <w:t>2.1 初步评审标准</w:t>
      </w:r>
    </w:p>
    <w:p w14:paraId="0E4B45D7">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2.1.1 形式评审标准</w:t>
      </w:r>
      <w:r>
        <w:rPr>
          <w:rFonts w:hint="eastAsia" w:ascii="宋体" w:hAnsi="宋体" w:eastAsia="宋体" w:cs="宋体"/>
          <w:smallCaps w:val="0"/>
          <w:color w:val="auto"/>
          <w:sz w:val="21"/>
          <w:szCs w:val="21"/>
          <w:highlight w:val="none"/>
          <w:u w:val="none"/>
          <w:lang w:eastAsia="zh-CN"/>
        </w:rPr>
        <w:t>：</w:t>
      </w:r>
      <w:r>
        <w:rPr>
          <w:rFonts w:hint="eastAsia" w:ascii="宋体" w:hAnsi="宋体" w:eastAsia="宋体" w:cs="宋体"/>
          <w:smallCaps w:val="0"/>
          <w:color w:val="auto"/>
          <w:sz w:val="21"/>
          <w:szCs w:val="21"/>
          <w:highlight w:val="none"/>
        </w:rPr>
        <w:t>见评标办法前附表。</w:t>
      </w:r>
    </w:p>
    <w:p w14:paraId="250102AC">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2.1.2 资格评审标准</w:t>
      </w:r>
      <w:r>
        <w:rPr>
          <w:rFonts w:hint="eastAsia" w:ascii="宋体" w:hAnsi="宋体" w:eastAsia="宋体" w:cs="宋体"/>
          <w:smallCaps w:val="0"/>
          <w:color w:val="auto"/>
          <w:sz w:val="21"/>
          <w:szCs w:val="21"/>
          <w:highlight w:val="none"/>
          <w:u w:val="none"/>
          <w:lang w:eastAsia="zh-CN"/>
        </w:rPr>
        <w:t>：</w:t>
      </w:r>
      <w:r>
        <w:rPr>
          <w:rFonts w:hint="eastAsia" w:ascii="宋体" w:hAnsi="宋体" w:eastAsia="宋体" w:cs="宋体"/>
          <w:smallCaps w:val="0"/>
          <w:color w:val="auto"/>
          <w:sz w:val="21"/>
          <w:szCs w:val="21"/>
          <w:highlight w:val="none"/>
        </w:rPr>
        <w:t>见评标办法前附表。</w:t>
      </w:r>
    </w:p>
    <w:p w14:paraId="0B736C4E">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2.1.3 响应性评审标准</w:t>
      </w:r>
      <w:r>
        <w:rPr>
          <w:rFonts w:hint="eastAsia" w:ascii="宋体" w:hAnsi="宋体" w:eastAsia="宋体" w:cs="宋体"/>
          <w:smallCaps w:val="0"/>
          <w:color w:val="auto"/>
          <w:sz w:val="21"/>
          <w:szCs w:val="21"/>
          <w:highlight w:val="none"/>
          <w:u w:val="none"/>
          <w:lang w:eastAsia="zh-CN"/>
        </w:rPr>
        <w:t>：</w:t>
      </w:r>
      <w:r>
        <w:rPr>
          <w:rFonts w:hint="eastAsia" w:ascii="宋体" w:hAnsi="宋体" w:eastAsia="宋体" w:cs="宋体"/>
          <w:smallCaps w:val="0"/>
          <w:color w:val="auto"/>
          <w:sz w:val="21"/>
          <w:szCs w:val="21"/>
          <w:highlight w:val="none"/>
        </w:rPr>
        <w:t>见评标办法前附表。</w:t>
      </w:r>
    </w:p>
    <w:p w14:paraId="24B89361">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zh-CN" w:eastAsia="zh-CN"/>
        </w:rPr>
      </w:pPr>
      <w:r>
        <w:rPr>
          <w:rFonts w:hint="eastAsia" w:ascii="宋体" w:hAnsi="宋体" w:eastAsia="宋体" w:cs="宋体"/>
          <w:smallCaps w:val="0"/>
          <w:color w:val="auto"/>
          <w:sz w:val="21"/>
          <w:szCs w:val="21"/>
          <w:highlight w:val="none"/>
          <w:lang w:val="zh-CN" w:eastAsia="zh-CN"/>
        </w:rPr>
        <w:t>2.2 详细评审标准</w:t>
      </w:r>
    </w:p>
    <w:p w14:paraId="139F5026">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2.2.1商务、技术和报价文件评审标准</w:t>
      </w:r>
    </w:p>
    <w:p w14:paraId="402FB911">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（1）商务文件评审标准</w:t>
      </w:r>
      <w:r>
        <w:rPr>
          <w:rFonts w:hint="eastAsia" w:ascii="宋体" w:hAnsi="宋体" w:eastAsia="宋体" w:cs="宋体"/>
          <w:smallCaps w:val="0"/>
          <w:color w:val="auto"/>
          <w:sz w:val="21"/>
          <w:szCs w:val="21"/>
          <w:highlight w:val="none"/>
          <w:u w:val="none"/>
          <w:lang w:eastAsia="zh-CN"/>
        </w:rPr>
        <w:t>：</w:t>
      </w:r>
      <w:r>
        <w:rPr>
          <w:rFonts w:hint="eastAsia" w:ascii="宋体" w:hAnsi="宋体" w:eastAsia="宋体" w:cs="宋体"/>
          <w:smallCaps w:val="0"/>
          <w:color w:val="auto"/>
          <w:sz w:val="21"/>
          <w:szCs w:val="21"/>
          <w:highlight w:val="none"/>
        </w:rPr>
        <w:t>见评标办法前附表；</w:t>
      </w:r>
    </w:p>
    <w:p w14:paraId="2639550F">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（2）技术文件评审标准</w:t>
      </w:r>
      <w:r>
        <w:rPr>
          <w:rFonts w:hint="eastAsia" w:ascii="宋体" w:hAnsi="宋体" w:eastAsia="宋体" w:cs="宋体"/>
          <w:smallCaps w:val="0"/>
          <w:color w:val="auto"/>
          <w:sz w:val="21"/>
          <w:szCs w:val="21"/>
          <w:highlight w:val="none"/>
          <w:u w:val="none"/>
          <w:lang w:eastAsia="zh-CN"/>
        </w:rPr>
        <w:t>：</w:t>
      </w:r>
      <w:r>
        <w:rPr>
          <w:rFonts w:hint="eastAsia" w:ascii="宋体" w:hAnsi="宋体" w:eastAsia="宋体" w:cs="宋体"/>
          <w:smallCaps w:val="0"/>
          <w:color w:val="auto"/>
          <w:sz w:val="21"/>
          <w:szCs w:val="21"/>
          <w:highlight w:val="none"/>
        </w:rPr>
        <w:t>见评标办法前附表；</w:t>
      </w:r>
    </w:p>
    <w:p w14:paraId="5772DC5D">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（3）报价文件评审标准</w:t>
      </w:r>
      <w:r>
        <w:rPr>
          <w:rFonts w:hint="eastAsia" w:ascii="宋体" w:hAnsi="宋体" w:eastAsia="宋体" w:cs="宋体"/>
          <w:smallCaps w:val="0"/>
          <w:color w:val="auto"/>
          <w:sz w:val="21"/>
          <w:szCs w:val="21"/>
          <w:highlight w:val="none"/>
          <w:u w:val="none"/>
          <w:lang w:eastAsia="zh-CN"/>
        </w:rPr>
        <w:t>：</w:t>
      </w:r>
      <w:r>
        <w:rPr>
          <w:rFonts w:hint="eastAsia" w:ascii="宋体" w:hAnsi="宋体" w:eastAsia="宋体" w:cs="宋体"/>
          <w:smallCaps w:val="0"/>
          <w:color w:val="auto"/>
          <w:sz w:val="21"/>
          <w:szCs w:val="21"/>
          <w:highlight w:val="none"/>
        </w:rPr>
        <w:t>见评标办法前附表。</w:t>
      </w:r>
    </w:p>
    <w:p w14:paraId="3A036A7E">
      <w:pPr>
        <w:pStyle w:val="6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Style w:val="65"/>
          <w:rFonts w:hint="eastAsia" w:ascii="宋体" w:hAnsi="宋体" w:eastAsia="宋体" w:cs="宋体"/>
          <w:b/>
          <w:bCs w:val="0"/>
          <w:smallCaps w:val="0"/>
          <w:color w:val="auto"/>
          <w:sz w:val="24"/>
          <w:szCs w:val="24"/>
          <w:highlight w:val="none"/>
          <w:lang w:val="zh-CN" w:eastAsia="zh-CN"/>
        </w:rPr>
      </w:pPr>
      <w:bookmarkStart w:id="711" w:name="_Toc1808"/>
      <w:bookmarkStart w:id="712" w:name="_Toc17789"/>
      <w:bookmarkStart w:id="713" w:name="_Toc25573"/>
      <w:r>
        <w:rPr>
          <w:rStyle w:val="65"/>
          <w:rFonts w:hint="eastAsia" w:ascii="宋体" w:hAnsi="宋体" w:eastAsia="宋体" w:cs="宋体"/>
          <w:b/>
          <w:bCs w:val="0"/>
          <w:smallCaps w:val="0"/>
          <w:color w:val="auto"/>
          <w:sz w:val="24"/>
          <w:szCs w:val="24"/>
          <w:highlight w:val="none"/>
          <w:lang w:val="en-US" w:eastAsia="zh-CN"/>
        </w:rPr>
        <w:t>3. 评标程序</w:t>
      </w:r>
      <w:bookmarkEnd w:id="711"/>
      <w:bookmarkEnd w:id="712"/>
    </w:p>
    <w:bookmarkEnd w:id="713"/>
    <w:p w14:paraId="1FC9326B">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zh-CN" w:eastAsia="zh-CN"/>
        </w:rPr>
      </w:pPr>
      <w:r>
        <w:rPr>
          <w:rFonts w:hint="eastAsia" w:ascii="宋体" w:hAnsi="宋体" w:eastAsia="宋体" w:cs="宋体"/>
          <w:smallCaps w:val="0"/>
          <w:color w:val="auto"/>
          <w:sz w:val="21"/>
          <w:szCs w:val="21"/>
          <w:highlight w:val="none"/>
          <w:lang w:val="zh-CN" w:eastAsia="zh-CN"/>
        </w:rPr>
        <w:t>3.1 商务及技术文件初步评审</w:t>
      </w:r>
    </w:p>
    <w:p w14:paraId="11391AA6">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3.1.1 评标委员会依据本章第2.1.1项、第2.1.2项、第2.1.3项规定的评审标准对商务文件进行初步评审。有一项不符合评审标准的，评标委员会应否决其投标。</w:t>
      </w:r>
    </w:p>
    <w:p w14:paraId="35D6BE99">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zh-CN"/>
        </w:rPr>
      </w:pPr>
      <w:r>
        <w:rPr>
          <w:rFonts w:hint="eastAsia" w:ascii="宋体" w:hAnsi="宋体" w:eastAsia="宋体" w:cs="宋体"/>
          <w:smallCaps w:val="0"/>
          <w:color w:val="auto"/>
          <w:sz w:val="21"/>
          <w:szCs w:val="21"/>
          <w:highlight w:val="none"/>
        </w:rPr>
        <w:t>3.1.2 评标委员会依据本章第2.1.1项规定的标准对技术文件进行评审。有一项不符合评审标准的，评标委员会应否决其投标。</w:t>
      </w:r>
    </w:p>
    <w:p w14:paraId="68A608A7">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zh-CN" w:eastAsia="zh-CN"/>
        </w:rPr>
      </w:pPr>
      <w:r>
        <w:rPr>
          <w:rFonts w:hint="eastAsia" w:ascii="宋体" w:hAnsi="宋体" w:eastAsia="宋体" w:cs="宋体"/>
          <w:smallCaps w:val="0"/>
          <w:color w:val="auto"/>
          <w:sz w:val="21"/>
          <w:szCs w:val="21"/>
          <w:highlight w:val="none"/>
          <w:lang w:val="zh-CN" w:eastAsia="zh-CN"/>
        </w:rPr>
        <w:t>3.2报价文件初步评审</w:t>
      </w:r>
    </w:p>
    <w:p w14:paraId="38F83FBF">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3.2.1 评标委员会依据本章第2.1.1项、第2.1.3项规定的评审标准对通过商务及技术文件初步评审的投标人报价文件进行初步评审。有一项不符合评审标准的，评标委员会应否决其投标。</w:t>
      </w:r>
    </w:p>
    <w:p w14:paraId="12C731BB">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3.2.2 初步评审时，评标委员会应对报价文件进行分析和整理工作（简称“清标”），从而发现并提取其中可能存在的对招标范围理解的偏差、投标报价的算术性错误、缺漏项、投标报价构成不合理、不平衡报价等存在明显异常的问题，并就这些问题整理形成清标成果。评标委员会对清标成果审议后，决定需要投标人进行澄清、说明的问题，向投标人发出问题澄清通知。清标工作可以使用计算机评标系统辅助评标委员会完成。</w:t>
      </w:r>
    </w:p>
    <w:p w14:paraId="40582D74">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3.2.3 清标的内容和步骤</w:t>
      </w:r>
      <w:r>
        <w:rPr>
          <w:rFonts w:hint="eastAsia" w:ascii="宋体" w:hAnsi="宋体" w:eastAsia="宋体" w:cs="宋体"/>
          <w:smallCaps w:val="0"/>
          <w:color w:val="auto"/>
          <w:sz w:val="21"/>
          <w:szCs w:val="21"/>
          <w:highlight w:val="none"/>
          <w:u w:val="none"/>
          <w:lang w:eastAsia="zh-CN"/>
        </w:rPr>
        <w:t>：</w:t>
      </w:r>
    </w:p>
    <w:p w14:paraId="1A2C214E">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（1）投标文件在符合性、响应性等方面存在的偏差；</w:t>
      </w:r>
    </w:p>
    <w:p w14:paraId="44E2B1D9">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（2）投标文件存在的算术计算错误和修正结果；</w:t>
      </w:r>
    </w:p>
    <w:p w14:paraId="66E766FF">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（3）在列出的所有偏差中，属于重大偏差的情形和相关依据；在列出的所有偏差中，属于细微偏差的情形；</w:t>
      </w:r>
    </w:p>
    <w:p w14:paraId="6640FC55">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（4）评标委员会审核确认清标结果。</w:t>
      </w:r>
    </w:p>
    <w:p w14:paraId="7B7429F5">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3.2.4 除按照第二章“投标人须知”第1.12.3项、第1.12.4项对细微偏差进行处理外，对于其他细微偏差按照以下规定处理</w:t>
      </w:r>
      <w:r>
        <w:rPr>
          <w:rFonts w:hint="eastAsia" w:ascii="宋体" w:hAnsi="宋体" w:eastAsia="宋体" w:cs="宋体"/>
          <w:smallCaps w:val="0"/>
          <w:color w:val="auto"/>
          <w:sz w:val="21"/>
          <w:szCs w:val="21"/>
          <w:highlight w:val="none"/>
          <w:u w:val="none"/>
          <w:lang w:eastAsia="zh-CN"/>
        </w:rPr>
        <w:t>：</w:t>
      </w:r>
    </w:p>
    <w:p w14:paraId="21E29269">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（1）投标文件中填报的工程量清单报价书中的分部分项工程量清单项目名称、项目特征描述、计量单位及工程量等与招标人提供的工程量清单出现非实质性内容不一致时，以招标人提供的内容为准；</w:t>
      </w:r>
    </w:p>
    <w:p w14:paraId="1D79F77C">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 xml:space="preserve">（2）投标文件中填报的投标报价前后不一致时，以投标函填报的为准； </w:t>
      </w:r>
    </w:p>
    <w:p w14:paraId="20E8DB6C">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（3）投标报价计算错误的修正</w:t>
      </w:r>
      <w:r>
        <w:rPr>
          <w:rFonts w:hint="eastAsia" w:ascii="宋体" w:hAnsi="宋体" w:eastAsia="宋体" w:cs="宋体"/>
          <w:smallCaps w:val="0"/>
          <w:color w:val="auto"/>
          <w:sz w:val="21"/>
          <w:szCs w:val="21"/>
          <w:highlight w:val="none"/>
          <w:u w:val="none"/>
          <w:lang w:eastAsia="zh-CN"/>
        </w:rPr>
        <w:t>：</w:t>
      </w:r>
    </w:p>
    <w:p w14:paraId="0EF1C4D9">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①投标文件中的大写金额与小写金额不一致的，以大写金额为准；</w:t>
      </w:r>
    </w:p>
    <w:p w14:paraId="52D48F9B">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②总价金额与依据单价计算出的结果不一致的，以单价金额为准修正总价，但单价金额小数点有明显错误的除外；</w:t>
      </w:r>
    </w:p>
    <w:p w14:paraId="6A3476E1">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③当单价与数量相乘不等于合价时，以单价计算为准，如果单价有明显的小数点位置差错，应以标出的合价为准，同时对单价予以修正；</w:t>
      </w:r>
    </w:p>
    <w:p w14:paraId="17746696">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④当各子目的合价累计不等于总价时，应以各子目合价累计数为准，修正总价；</w:t>
      </w:r>
    </w:p>
    <w:p w14:paraId="7C10AC51">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⑤工程量清单报价表中综合单价与工程量清单项目综合单价分析表相对应综合单价不一致时，以工程量清单项目综合单价分析表中标出的综合单价为准，但综合单价金额有明显错误的除外。</w:t>
      </w:r>
    </w:p>
    <w:p w14:paraId="41B75B27">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（4）投标报价存在细微偏差的，评标委员会按照以上原则对投标报价进行处理，并要求投标人澄清确认，投标人拒不澄清确认的，评标委员会应当否决其投标。</w:t>
      </w:r>
    </w:p>
    <w:p w14:paraId="5C03491E">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zh-CN" w:eastAsia="zh-CN"/>
        </w:rPr>
      </w:pPr>
      <w:r>
        <w:rPr>
          <w:rFonts w:hint="eastAsia" w:ascii="宋体" w:hAnsi="宋体" w:eastAsia="宋体" w:cs="宋体"/>
          <w:smallCaps w:val="0"/>
          <w:color w:val="auto"/>
          <w:sz w:val="21"/>
          <w:szCs w:val="21"/>
          <w:highlight w:val="none"/>
          <w:lang w:val="zh-CN" w:eastAsia="zh-CN"/>
        </w:rPr>
        <w:t>3.3 详细评审</w:t>
      </w:r>
    </w:p>
    <w:p w14:paraId="4E14C6C7">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3.3.1 评标委员会按本章第 2.2 款规定的评审因素，对通过商务及技术文件初步评审、报价文件初步评审的各投标人进行详细评审，分别针对各评审因素提出优点及存在缺陷或签订合同前应注意和澄清事项，经综合汇总评价，并按照投标人须知前附表的规定推荐不标明排序的</w:t>
      </w:r>
      <w:r>
        <w:rPr>
          <w:rFonts w:hint="eastAsia" w:ascii="宋体" w:hAnsi="宋体" w:eastAsia="宋体" w:cs="宋体"/>
          <w:smallCaps w:val="0"/>
          <w:color w:val="auto"/>
          <w:sz w:val="21"/>
          <w:szCs w:val="21"/>
          <w:highlight w:val="none"/>
          <w:lang w:eastAsia="zh-CN"/>
        </w:rPr>
        <w:t>中标候选人。</w:t>
      </w:r>
    </w:p>
    <w:p w14:paraId="50F3FF68">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3.3.2 评标委员会发现投标人的报价明显低于其他投标报价，使得其投标报价可能低于其个别成本的，应当要求该投标人作出说明并提供相应的证明材料。投标人不能合理说明或者不能提供相应证明材料的，评标委员会应当认定该投标人以低于成本报价竞标，否决其投标。</w:t>
      </w:r>
    </w:p>
    <w:p w14:paraId="1CB431BB">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zh-CN" w:eastAsia="zh-CN"/>
        </w:rPr>
      </w:pPr>
      <w:r>
        <w:rPr>
          <w:rFonts w:hint="eastAsia" w:ascii="宋体" w:hAnsi="宋体" w:eastAsia="宋体" w:cs="宋体"/>
          <w:smallCaps w:val="0"/>
          <w:color w:val="auto"/>
          <w:sz w:val="21"/>
          <w:szCs w:val="21"/>
          <w:highlight w:val="none"/>
          <w:lang w:val="zh-CN" w:eastAsia="zh-CN"/>
        </w:rPr>
        <w:t>3.4投标文件的澄清、说明或补正</w:t>
      </w:r>
    </w:p>
    <w:p w14:paraId="7DF1044E">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3.4.1 在评标过程中，评标委员会可以要求投标人对投标文件中含义不明确、对同类问题表述不一致或者有明显文字和计算错误的内容作必要的澄清、说明或补正。评标委员会不接受投标人主动提出的澄清、说明或补正。</w:t>
      </w:r>
    </w:p>
    <w:p w14:paraId="6BF6E88D">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3.4.2 澄清、说明或补正不得超出投标文件的范围且不得改变投标文件的实质性内容，并构成投标文件的组成部分。</w:t>
      </w:r>
    </w:p>
    <w:p w14:paraId="40B14DC4">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3.4.3 评标委员会对投标人提交的澄清、说明或补正有疑问的，可以要求投标人进一步澄清、说明或补正，直至满足评标委员会的要求。</w:t>
      </w:r>
    </w:p>
    <w:p w14:paraId="6B59BBDA">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zh-CN" w:eastAsia="zh-CN"/>
        </w:rPr>
      </w:pPr>
      <w:r>
        <w:rPr>
          <w:rFonts w:hint="eastAsia" w:ascii="宋体" w:hAnsi="宋体" w:eastAsia="宋体" w:cs="宋体"/>
          <w:smallCaps w:val="0"/>
          <w:color w:val="auto"/>
          <w:sz w:val="21"/>
          <w:szCs w:val="21"/>
          <w:highlight w:val="none"/>
          <w:lang w:val="zh-CN" w:eastAsia="zh-CN"/>
        </w:rPr>
        <w:t>3.5否决投标的情形</w:t>
      </w:r>
    </w:p>
    <w:p w14:paraId="25932937">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3.5.1 投标人不符合本章第3.1款、第3.2款的，评标委员会应否决其投标。</w:t>
      </w:r>
    </w:p>
    <w:p w14:paraId="5A4B0070">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3.5.2 否决投标的其他情形，见评标办法前附表。</w:t>
      </w:r>
    </w:p>
    <w:p w14:paraId="2F5A8B89">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3.5.3 投标人未通过本章第3.3.2项评审的，评标委员会应否决其投标。</w:t>
      </w:r>
    </w:p>
    <w:p w14:paraId="3846216F">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3.5.4投标人未通过异常低价评的，评标委员会应否决其投标，不得推荐为</w:t>
      </w:r>
      <w:r>
        <w:rPr>
          <w:rFonts w:hint="eastAsia" w:ascii="宋体" w:hAnsi="宋体" w:eastAsia="宋体" w:cs="宋体"/>
          <w:smallCaps w:val="0"/>
          <w:color w:val="auto"/>
          <w:sz w:val="21"/>
          <w:szCs w:val="21"/>
          <w:highlight w:val="none"/>
          <w:lang w:eastAsia="zh-CN"/>
        </w:rPr>
        <w:t>中标候选人</w:t>
      </w:r>
      <w:r>
        <w:rPr>
          <w:rFonts w:hint="eastAsia" w:ascii="宋体" w:hAnsi="宋体" w:eastAsia="宋体" w:cs="宋体"/>
          <w:smallCaps w:val="0"/>
          <w:color w:val="auto"/>
          <w:sz w:val="21"/>
          <w:szCs w:val="21"/>
          <w:highlight w:val="none"/>
        </w:rPr>
        <w:t>、确定为中标人。异常低价评审见评标办法前附表。</w:t>
      </w:r>
    </w:p>
    <w:p w14:paraId="4DF344C3">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zh-CN" w:eastAsia="zh-CN"/>
        </w:rPr>
      </w:pPr>
      <w:r>
        <w:rPr>
          <w:rFonts w:hint="eastAsia" w:ascii="宋体" w:hAnsi="宋体" w:eastAsia="宋体" w:cs="宋体"/>
          <w:smallCaps w:val="0"/>
          <w:color w:val="auto"/>
          <w:sz w:val="21"/>
          <w:szCs w:val="21"/>
          <w:highlight w:val="none"/>
          <w:lang w:val="zh-CN" w:eastAsia="zh-CN"/>
        </w:rPr>
        <w:t>3.6 评标结果</w:t>
      </w:r>
    </w:p>
    <w:p w14:paraId="073AA20E">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3.6.1根据评标委员会评审初步结论，项目单位（代理机构）对预中标候选人（包括联合体各成员）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包括联合体各成员）存在信誉问题，则组织评标委员会重新启动复核程序。核查结果不改变原评标基准价。</w:t>
      </w:r>
    </w:p>
    <w:p w14:paraId="4DB76A67">
      <w:pPr>
        <w:wordWrap w:val="0"/>
        <w:adjustRightInd w:val="0"/>
        <w:snapToGrid w:val="0"/>
        <w:spacing w:line="560" w:lineRule="exact"/>
        <w:ind w:firstLine="420" w:firstLineChars="200"/>
        <w:jc w:val="left"/>
        <w:rPr>
          <w:rFonts w:hint="eastAsia" w:ascii="宋体" w:hAnsi="宋体" w:cs="宋体"/>
          <w:color w:val="auto"/>
          <w:szCs w:val="21"/>
          <w:highlight w:val="none"/>
        </w:rPr>
      </w:pPr>
      <w:r>
        <w:rPr>
          <w:rFonts w:hint="eastAsia" w:ascii="宋体" w:hAnsi="宋体" w:eastAsia="宋体" w:cs="宋体"/>
          <w:smallCaps w:val="0"/>
          <w:color w:val="auto"/>
          <w:sz w:val="21"/>
          <w:szCs w:val="21"/>
          <w:highlight w:val="none"/>
          <w:lang w:val="en-US" w:eastAsia="zh-CN"/>
        </w:rPr>
        <w:t>3.6.2评标委员会登录全国建筑市场监管公共服务平台(四库一平台)https://jzsc.mohurd.gov.cn/home 进行实时查询，并结合《住房城乡建设部关于进一步加强建设工程企业资质审批管理工作的通知》（建市规〔2023〕3号）、《住房和城乡建设部办公厅关于建设工程企业资质有关事项的通知》（建办市函〔2022〕361号）和安徽省住建厅《关于建设工程企业资质有关事宜的通知》（建市函〔2022〕748 号），对中标候选人的关系企业履约能力的建造师数量进行评审：</w:t>
      </w:r>
    </w:p>
    <w:p w14:paraId="14178572">
      <w:pPr>
        <w:widowControl/>
        <w:adjustRightInd w:val="0"/>
        <w:snapToGrid w:val="0"/>
        <w:spacing w:line="560" w:lineRule="exact"/>
        <w:ind w:firstLine="420" w:firstLineChars="200"/>
        <w:jc w:val="left"/>
        <w:rPr>
          <w:rFonts w:hint="eastAsia" w:ascii="宋体" w:hAnsi="宋体" w:cs="宋体"/>
          <w:color w:val="auto"/>
          <w:szCs w:val="21"/>
          <w:highlight w:val="none"/>
        </w:rPr>
      </w:pPr>
      <w:r>
        <w:rPr>
          <w:rFonts w:hint="eastAsia" w:ascii="仿宋_GB2312" w:hAnsi="宋体" w:eastAsia="仿宋_GB2312" w:cs="宋体"/>
          <w:color w:val="auto"/>
          <w:szCs w:val="21"/>
          <w:highlight w:val="none"/>
        </w:rPr>
        <w:t>①</w:t>
      </w:r>
      <w:r>
        <w:rPr>
          <w:rFonts w:hint="eastAsia" w:ascii="宋体" w:hAnsi="宋体" w:cs="宋体"/>
          <w:color w:val="auto"/>
          <w:szCs w:val="21"/>
          <w:highlight w:val="none"/>
        </w:rPr>
        <w:t>建筑工程施工总承包特级资质企业：注册一级建造师50人以上。</w:t>
      </w:r>
    </w:p>
    <w:p w14:paraId="47CDD91F">
      <w:pPr>
        <w:widowControl/>
        <w:adjustRightInd w:val="0"/>
        <w:snapToGrid w:val="0"/>
        <w:spacing w:line="560" w:lineRule="exact"/>
        <w:ind w:firstLine="420" w:firstLineChars="200"/>
        <w:jc w:val="left"/>
        <w:rPr>
          <w:rFonts w:hint="eastAsia" w:ascii="宋体" w:hAnsi="宋体" w:cs="宋体"/>
          <w:color w:val="auto"/>
          <w:szCs w:val="21"/>
          <w:highlight w:val="none"/>
        </w:rPr>
      </w:pPr>
      <w:r>
        <w:rPr>
          <w:rFonts w:hint="eastAsia" w:ascii="仿宋_GB2312" w:hAnsi="宋体" w:eastAsia="仿宋_GB2312" w:cs="宋体"/>
          <w:color w:val="auto"/>
          <w:szCs w:val="21"/>
          <w:highlight w:val="none"/>
        </w:rPr>
        <w:t>②</w:t>
      </w:r>
      <w:r>
        <w:rPr>
          <w:rFonts w:hint="eastAsia" w:ascii="宋体" w:hAnsi="宋体" w:cs="宋体"/>
          <w:color w:val="auto"/>
          <w:szCs w:val="21"/>
          <w:highlight w:val="none"/>
        </w:rPr>
        <w:t>建筑工程施工总承包壹级资质企业：建筑工程、机电工程专业一级注册建造师合计不少于12人，其中建筑工程专业一级注册建造师不少于9人。</w:t>
      </w:r>
    </w:p>
    <w:p w14:paraId="5F52566C">
      <w:pPr>
        <w:widowControl/>
        <w:adjustRightInd w:val="0"/>
        <w:snapToGrid w:val="0"/>
        <w:spacing w:line="560" w:lineRule="exact"/>
        <w:ind w:firstLine="420" w:firstLineChars="200"/>
        <w:jc w:val="left"/>
        <w:rPr>
          <w:rFonts w:hint="eastAsia" w:ascii="宋体" w:hAnsi="宋体" w:cs="宋体"/>
          <w:color w:val="auto"/>
          <w:szCs w:val="21"/>
          <w:highlight w:val="none"/>
        </w:rPr>
      </w:pPr>
      <w:r>
        <w:rPr>
          <w:rFonts w:hint="eastAsia" w:ascii="仿宋_GB2312" w:hAnsi="宋体" w:eastAsia="仿宋_GB2312" w:cs="宋体"/>
          <w:color w:val="auto"/>
          <w:szCs w:val="21"/>
          <w:highlight w:val="none"/>
        </w:rPr>
        <w:t>③</w:t>
      </w:r>
      <w:r>
        <w:rPr>
          <w:rFonts w:hint="eastAsia" w:ascii="宋体" w:hAnsi="宋体" w:cs="宋体"/>
          <w:color w:val="auto"/>
          <w:szCs w:val="21"/>
          <w:highlight w:val="none"/>
        </w:rPr>
        <w:t>建筑工程施工总承包贰级、叁级资质企业：建筑工程、机电工程专业注册建造师合计不少于5人，其中建筑工程专业注册建造师不少于4人。</w:t>
      </w:r>
    </w:p>
    <w:p w14:paraId="333F7DA2">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中标候选人的注册建造师不满足上述要求的，评标委员会对该投标不予认可，并将该情形报送相关行政主管部门。中标候选人依次替补，评标委员会再次对替补单位进行核查。</w:t>
      </w:r>
    </w:p>
    <w:p w14:paraId="75AC4D3D">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rPr>
        <w:t>3.6.</w:t>
      </w:r>
      <w:r>
        <w:rPr>
          <w:rFonts w:hint="eastAsia" w:ascii="宋体" w:hAnsi="宋体" w:eastAsia="宋体" w:cs="宋体"/>
          <w:smallCaps w:val="0"/>
          <w:color w:val="auto"/>
          <w:sz w:val="21"/>
          <w:szCs w:val="21"/>
          <w:highlight w:val="none"/>
          <w:lang w:val="en-US" w:eastAsia="zh-CN"/>
        </w:rPr>
        <w:t>3</w:t>
      </w:r>
      <w:r>
        <w:rPr>
          <w:rFonts w:hint="eastAsia" w:ascii="宋体" w:hAnsi="宋体" w:eastAsia="宋体" w:cs="宋体"/>
          <w:smallCaps w:val="0"/>
          <w:color w:val="auto"/>
          <w:sz w:val="21"/>
          <w:szCs w:val="21"/>
          <w:highlight w:val="none"/>
        </w:rPr>
        <w:t>评标委员会完成评标后，应当向招标人提交评标报告。</w:t>
      </w:r>
      <w:r>
        <w:rPr>
          <w:rFonts w:hint="eastAsia" w:ascii="宋体" w:hAnsi="宋体" w:eastAsia="宋体" w:cs="宋体"/>
          <w:smallCaps w:val="0"/>
          <w:color w:val="auto"/>
          <w:sz w:val="21"/>
          <w:szCs w:val="21"/>
          <w:highlight w:val="none"/>
          <w:lang w:val="en-US" w:eastAsia="zh-CN"/>
        </w:rPr>
        <w:t>评标报告应当如实记载以下内容</w:t>
      </w:r>
      <w:r>
        <w:rPr>
          <w:rFonts w:hint="eastAsia" w:ascii="宋体" w:hAnsi="宋体" w:eastAsia="宋体" w:cs="宋体"/>
          <w:smallCaps w:val="0"/>
          <w:color w:val="auto"/>
          <w:sz w:val="21"/>
          <w:szCs w:val="21"/>
          <w:highlight w:val="none"/>
          <w:u w:val="none"/>
          <w:lang w:val="en-US" w:eastAsia="zh-CN"/>
        </w:rPr>
        <w:t>：</w:t>
      </w:r>
    </w:p>
    <w:p w14:paraId="4C8CCF4B">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（1）基本情况和数据表；</w:t>
      </w:r>
    </w:p>
    <w:p w14:paraId="379DA7CE">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（2）评标委员会成员名单；</w:t>
      </w:r>
    </w:p>
    <w:p w14:paraId="07B5C402">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（3）开标记录；</w:t>
      </w:r>
    </w:p>
    <w:p w14:paraId="24A3B57C">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（4）符合要求的投标人一览表；</w:t>
      </w:r>
    </w:p>
    <w:p w14:paraId="79F41CB1">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（5）否决投标情况说明；</w:t>
      </w:r>
    </w:p>
    <w:p w14:paraId="39CD30E1">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（6）评标标准、评标方法或者评标因素一览表；</w:t>
      </w:r>
    </w:p>
    <w:p w14:paraId="7DBD024D">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（7）推荐的中标候选人名单；</w:t>
      </w:r>
    </w:p>
    <w:p w14:paraId="63A6DEEF">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（8）中标候选人的优势和不足；</w:t>
      </w:r>
    </w:p>
    <w:p w14:paraId="7E4132F5">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（9）签订合同前应当注意的事项；</w:t>
      </w:r>
    </w:p>
    <w:p w14:paraId="77CF0B04">
      <w:pPr>
        <w:pStyle w:val="6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lang w:val="en-US" w:eastAsia="zh-CN"/>
        </w:rPr>
        <w:t>（10）澄清、说明事项纪要。</w:t>
      </w:r>
    </w:p>
    <w:p w14:paraId="5D487F5D">
      <w:pPr>
        <w:pStyle w:val="59"/>
        <w:bidi w:val="0"/>
        <w:outlineLvl w:val="1"/>
        <w:rPr>
          <w:rStyle w:val="66"/>
          <w:rFonts w:hint="eastAsia" w:ascii="Times New Roman" w:hAnsi="Times New Roman"/>
          <w:smallCaps w:val="0"/>
          <w:color w:val="auto"/>
          <w:highlight w:val="none"/>
        </w:rPr>
      </w:pPr>
      <w:r>
        <w:rPr>
          <w:rFonts w:hint="eastAsia" w:ascii="Times New Roman" w:hAnsi="Times New Roman" w:eastAsia="黑体"/>
          <w:smallCaps w:val="0"/>
          <w:color w:val="auto"/>
          <w:sz w:val="32"/>
          <w:szCs w:val="32"/>
          <w:highlight w:val="none"/>
        </w:rPr>
        <w:br w:type="page"/>
      </w:r>
      <w:bookmarkStart w:id="714" w:name="_Toc24772"/>
      <w:bookmarkStart w:id="715" w:name="_Toc20935"/>
      <w:bookmarkStart w:id="716" w:name="_Toc14941"/>
      <w:bookmarkStart w:id="717" w:name="_Toc31263"/>
      <w:bookmarkStart w:id="718" w:name="_Toc22000"/>
      <w:bookmarkStart w:id="719" w:name="_Toc31332"/>
      <w:bookmarkStart w:id="720" w:name="_Toc22867"/>
      <w:r>
        <w:rPr>
          <w:rFonts w:hint="eastAsia" w:ascii="Times New Roman" w:hAnsi="Times New Roman"/>
          <w:smallCaps w:val="0"/>
          <w:color w:val="auto"/>
          <w:highlight w:val="none"/>
          <w:lang w:val="en-US" w:eastAsia="zh-CN"/>
        </w:rPr>
        <w:t>第二节 定标办法</w:t>
      </w:r>
      <w:bookmarkEnd w:id="714"/>
      <w:bookmarkEnd w:id="715"/>
      <w:bookmarkEnd w:id="716"/>
      <w:bookmarkEnd w:id="717"/>
      <w:bookmarkEnd w:id="718"/>
      <w:bookmarkEnd w:id="719"/>
      <w:bookmarkEnd w:id="720"/>
    </w:p>
    <w:p w14:paraId="7A4E421E">
      <w:pPr>
        <w:pStyle w:val="60"/>
        <w:bidi w:val="0"/>
        <w:outlineLvl w:val="2"/>
        <w:rPr>
          <w:rFonts w:hint="default" w:ascii="Times New Roman" w:hAnsi="Times New Roman"/>
          <w:smallCaps w:val="0"/>
          <w:color w:val="auto"/>
          <w:highlight w:val="none"/>
        </w:rPr>
      </w:pPr>
      <w:bookmarkStart w:id="721" w:name="_Toc19040"/>
      <w:bookmarkStart w:id="722" w:name="_Toc2010"/>
      <w:r>
        <w:rPr>
          <w:rFonts w:hint="default" w:ascii="Times New Roman" w:hAnsi="Times New Roman"/>
          <w:smallCaps w:val="0"/>
          <w:color w:val="auto"/>
          <w:highlight w:val="none"/>
        </w:rPr>
        <w:t>定标办法前附表</w:t>
      </w:r>
      <w:bookmarkEnd w:id="721"/>
      <w:bookmarkEnd w:id="722"/>
    </w:p>
    <w:tbl>
      <w:tblPr>
        <w:tblStyle w:val="20"/>
        <w:tblW w:w="5214" w:type="pct"/>
        <w:tblInd w:w="-2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3"/>
        <w:gridCol w:w="1428"/>
        <w:gridCol w:w="7132"/>
      </w:tblGrid>
      <w:tr w14:paraId="2341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4" w:type="pct"/>
            <w:noWrap w:val="0"/>
            <w:vAlign w:val="center"/>
          </w:tcPr>
          <w:p w14:paraId="69ED03E3">
            <w:pPr>
              <w:pStyle w:val="61"/>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条款号</w:t>
            </w:r>
          </w:p>
        </w:tc>
        <w:tc>
          <w:tcPr>
            <w:tcW w:w="763" w:type="pct"/>
            <w:noWrap w:val="0"/>
            <w:vAlign w:val="center"/>
          </w:tcPr>
          <w:p w14:paraId="237C0E12">
            <w:pPr>
              <w:pStyle w:val="61"/>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评审因素</w:t>
            </w:r>
          </w:p>
        </w:tc>
        <w:tc>
          <w:tcPr>
            <w:tcW w:w="3812" w:type="pct"/>
            <w:noWrap w:val="0"/>
            <w:vAlign w:val="center"/>
          </w:tcPr>
          <w:p w14:paraId="1B48DEF7">
            <w:pPr>
              <w:pStyle w:val="61"/>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评审标准</w:t>
            </w:r>
          </w:p>
        </w:tc>
      </w:tr>
      <w:tr w14:paraId="4E31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4" w:type="pct"/>
            <w:noWrap w:val="0"/>
            <w:vAlign w:val="center"/>
          </w:tcPr>
          <w:p w14:paraId="07B57E1D">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w:t>
            </w:r>
          </w:p>
        </w:tc>
        <w:tc>
          <w:tcPr>
            <w:tcW w:w="763" w:type="pct"/>
            <w:noWrap w:val="0"/>
            <w:tcMar>
              <w:left w:w="75" w:type="dxa"/>
            </w:tcMar>
            <w:vAlign w:val="center"/>
          </w:tcPr>
          <w:p w14:paraId="05CDAFC3">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定标方法</w:t>
            </w:r>
          </w:p>
        </w:tc>
        <w:tc>
          <w:tcPr>
            <w:tcW w:w="3812" w:type="pct"/>
            <w:noWrap w:val="0"/>
            <w:tcMar>
              <w:left w:w="75" w:type="dxa"/>
            </w:tcMar>
            <w:vAlign w:val="center"/>
          </w:tcPr>
          <w:p w14:paraId="2045B631">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rPr>
            </w:pPr>
            <w:r>
              <w:rPr>
                <w:rFonts w:hint="eastAsia" w:ascii="宋体" w:hAnsi="宋体" w:eastAsia="宋体" w:cs="宋体"/>
                <w:smallCaps w:val="0"/>
                <w:color w:val="auto"/>
                <w:sz w:val="21"/>
                <w:szCs w:val="21"/>
                <w:highlight w:val="none"/>
                <w:lang w:val="en-US"/>
              </w:rPr>
              <w:t>综合定标法</w:t>
            </w:r>
          </w:p>
        </w:tc>
      </w:tr>
      <w:tr w14:paraId="6642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4" w:type="pct"/>
            <w:noWrap w:val="0"/>
            <w:vAlign w:val="center"/>
          </w:tcPr>
          <w:p w14:paraId="641E51F3">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3（7）</w:t>
            </w:r>
          </w:p>
        </w:tc>
        <w:tc>
          <w:tcPr>
            <w:tcW w:w="763" w:type="pct"/>
            <w:noWrap w:val="0"/>
            <w:tcMar>
              <w:left w:w="75" w:type="dxa"/>
            </w:tcMar>
            <w:vAlign w:val="center"/>
          </w:tcPr>
          <w:p w14:paraId="25816A66">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其他定标因素</w:t>
            </w:r>
          </w:p>
        </w:tc>
        <w:tc>
          <w:tcPr>
            <w:tcW w:w="3812" w:type="pct"/>
            <w:noWrap w:val="0"/>
            <w:vAlign w:val="center"/>
          </w:tcPr>
          <w:p w14:paraId="5FCD457C">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lang w:val="en-US" w:eastAsia="zh-CN"/>
              </w:rPr>
            </w:pPr>
            <w:r>
              <w:rPr>
                <w:rFonts w:hint="eastAsia" w:ascii="宋体" w:hAnsi="宋体" w:eastAsia="宋体" w:cs="宋体"/>
                <w:smallCaps w:val="0"/>
                <w:color w:val="auto"/>
                <w:sz w:val="21"/>
                <w:szCs w:val="21"/>
                <w:highlight w:val="none"/>
                <w:lang w:val="en-US" w:eastAsia="zh-CN"/>
              </w:rPr>
              <w:t>无</w:t>
            </w:r>
          </w:p>
        </w:tc>
      </w:tr>
      <w:tr w14:paraId="2482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4" w:type="pct"/>
            <w:noWrap w:val="0"/>
            <w:vAlign w:val="center"/>
          </w:tcPr>
          <w:p w14:paraId="2A4780DC">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4</w:t>
            </w:r>
          </w:p>
        </w:tc>
        <w:tc>
          <w:tcPr>
            <w:tcW w:w="763" w:type="pct"/>
            <w:noWrap w:val="0"/>
            <w:tcMar>
              <w:left w:w="75" w:type="dxa"/>
            </w:tcMar>
            <w:vAlign w:val="center"/>
          </w:tcPr>
          <w:p w14:paraId="4F1D754E">
            <w:pPr>
              <w:pStyle w:val="62"/>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定标规则</w:t>
            </w:r>
          </w:p>
        </w:tc>
        <w:tc>
          <w:tcPr>
            <w:tcW w:w="3812" w:type="pct"/>
            <w:noWrap w:val="0"/>
            <w:vAlign w:val="center"/>
          </w:tcPr>
          <w:p w14:paraId="1452396F">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本项目定标阶段采用综合定标法确定中标人。综合定标法是指由定标委员会结合定标因素，制定综合定标评分细则，对中标候选人进行综合评分，按照定标得分由高到低排名，最终择优确定中标人。为公平、公正的开展本项目招标工作，结合实际情况，本项目定标评分细则如下：</w:t>
            </w:r>
          </w:p>
          <w:p w14:paraId="13A66518">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1.定标因素1-投标报价：此项总分值为5分。得分最高得5分，次低得4分，最低得3分。具体得分计算过程如下：</w:t>
            </w:r>
          </w:p>
          <w:p w14:paraId="561C265E">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a.以进入定标阶段的所有中标候选人投标报价的平均值作为定标基准价。</w:t>
            </w:r>
          </w:p>
          <w:p w14:paraId="62C11CDE">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b计算报价偏差率。</w:t>
            </w:r>
          </w:p>
          <w:p w14:paraId="2727F4B9">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①偏差率=|（投标报价-定标基准价）/定标基准价|×100%</w:t>
            </w:r>
          </w:p>
          <w:p w14:paraId="170C402F">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c计算报价得分</w:t>
            </w:r>
          </w:p>
          <w:p w14:paraId="78B25F6C">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①投标报价等于定标基准价的得满分（100分）。</w:t>
            </w:r>
          </w:p>
          <w:p w14:paraId="261022AA">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②投标报价高于定标基准价的，投标报价得分=报价满分值（100分）-偏差率×100×1</w:t>
            </w:r>
          </w:p>
          <w:p w14:paraId="62D9B9C2">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③投标报价低于定标基准价的，投标报价得分=报价满分值（100分）-偏差率×100×0.5</w:t>
            </w:r>
          </w:p>
          <w:p w14:paraId="0BF24293">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 xml:space="preserve">2.定标因素2-企业实力：此项总分值为5分。主要包括企业综合施工能力等，投标人根据企业自身情况，提供相关证明材料。最优得5分，其次得4分，一般得3分，未提供的此项不得分。  </w:t>
            </w:r>
          </w:p>
          <w:p w14:paraId="397EF9A4">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3.定标因素3-项目团队技术能力与履约水平【①人员配备情况；②项目经理的业绩】：此项总分值为5分。优得5分，良好得4分，一般得3分，未提供的此项不得分。</w:t>
            </w:r>
          </w:p>
          <w:p w14:paraId="3DA01245">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4.定标因素4-本项目重难点问题的解决方案：此项总分值为5分。对项目的重难点问题进行分析、解决，分析合理、有依据。最优得5分，其次得4分，一般得3分，未提供的此项不得分。</w:t>
            </w:r>
          </w:p>
          <w:p w14:paraId="2227552A">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上述定标材料须在投标文件中“定标材料”模块上传，格式自拟，未在投标文件中提供定标材料的，在项目评标结束后不额外接收。</w:t>
            </w:r>
          </w:p>
          <w:p w14:paraId="2842C6EC">
            <w:pPr>
              <w:pStyle w:val="56"/>
              <w:keepNext w:val="0"/>
              <w:keepLines w:val="0"/>
              <w:pageBreakBefore w:val="0"/>
              <w:widowControl w:val="0"/>
              <w:kinsoku/>
              <w:wordWrap/>
              <w:overflowPunct/>
              <w:topLinePunct w:val="0"/>
              <w:autoSpaceDE/>
              <w:autoSpaceDN/>
              <w:bidi w:val="0"/>
              <w:snapToGrid/>
              <w:spacing w:line="560" w:lineRule="exac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综合定标法评分细则总分值为20分，定标委员会按照上述细则对中标候选人进行综合评分，每项得分按平均分列入总分，对各中标候选人按照定标得分分值由高到底进行排序，总分最高的为本项目中标人。（注：上述分值均保留两位小数，小数点后第三位四舍五入）</w:t>
            </w:r>
          </w:p>
        </w:tc>
      </w:tr>
    </w:tbl>
    <w:p w14:paraId="443B0989">
      <w:pPr>
        <w:pStyle w:val="6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Style w:val="65"/>
          <w:rFonts w:hint="eastAsia" w:ascii="宋体" w:hAnsi="宋体" w:eastAsia="宋体" w:cs="宋体"/>
          <w:b/>
          <w:bCs w:val="0"/>
          <w:smallCaps w:val="0"/>
          <w:color w:val="auto"/>
          <w:sz w:val="24"/>
          <w:szCs w:val="24"/>
          <w:highlight w:val="none"/>
          <w:lang w:val="zh-CN"/>
        </w:rPr>
      </w:pPr>
      <w:r>
        <w:rPr>
          <w:rStyle w:val="65"/>
          <w:rFonts w:hint="eastAsia" w:ascii="宋体" w:hAnsi="宋体" w:eastAsia="宋体" w:cs="宋体"/>
          <w:b/>
          <w:bCs w:val="0"/>
          <w:smallCaps w:val="0"/>
          <w:color w:val="auto"/>
          <w:sz w:val="24"/>
          <w:szCs w:val="24"/>
          <w:highlight w:val="none"/>
          <w:lang w:val="zh-CN"/>
        </w:rPr>
        <w:t xml:space="preserve">1.定标方法 </w:t>
      </w:r>
    </w:p>
    <w:p w14:paraId="540F07A7">
      <w:pPr>
        <w:pStyle w:val="63"/>
        <w:pageBreakBefore w:val="0"/>
        <w:widowControl w:val="0"/>
        <w:kinsoku/>
        <w:wordWrap/>
        <w:overflowPunct/>
        <w:topLinePunct w:val="0"/>
        <w:autoSpaceDE/>
        <w:autoSpaceDN/>
        <w:bidi w:val="0"/>
        <w:spacing w:line="560" w:lineRule="exact"/>
        <w:jc w:val="lef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本招标项目采用的定标方法及最多可中标段数量详见定标办法前附表。</w:t>
      </w:r>
    </w:p>
    <w:p w14:paraId="5E777E86">
      <w:pPr>
        <w:pStyle w:val="6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Style w:val="65"/>
          <w:rFonts w:hint="eastAsia" w:ascii="宋体" w:hAnsi="宋体" w:eastAsia="宋体" w:cs="宋体"/>
          <w:b/>
          <w:bCs w:val="0"/>
          <w:smallCaps w:val="0"/>
          <w:color w:val="auto"/>
          <w:sz w:val="24"/>
          <w:szCs w:val="24"/>
          <w:highlight w:val="none"/>
          <w:lang w:val="zh-CN"/>
        </w:rPr>
      </w:pPr>
      <w:r>
        <w:rPr>
          <w:rStyle w:val="65"/>
          <w:rFonts w:hint="eastAsia" w:ascii="宋体" w:hAnsi="宋体" w:eastAsia="宋体" w:cs="宋体"/>
          <w:b/>
          <w:bCs w:val="0"/>
          <w:smallCaps w:val="0"/>
          <w:color w:val="auto"/>
          <w:sz w:val="24"/>
          <w:szCs w:val="24"/>
          <w:highlight w:val="none"/>
          <w:lang w:val="zh-CN"/>
        </w:rPr>
        <w:t xml:space="preserve">2.定标程序 </w:t>
      </w:r>
    </w:p>
    <w:p w14:paraId="3998A836">
      <w:pPr>
        <w:pStyle w:val="63"/>
        <w:pageBreakBefore w:val="0"/>
        <w:widowControl w:val="0"/>
        <w:kinsoku/>
        <w:wordWrap/>
        <w:overflowPunct/>
        <w:topLinePunct w:val="0"/>
        <w:autoSpaceDE/>
        <w:autoSpaceDN/>
        <w:bidi w:val="0"/>
        <w:spacing w:line="560" w:lineRule="exact"/>
        <w:jc w:val="lef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招标人应当自收到评标报告之日起5个工作日内召开定标会议（如因招标文件约定或异议或投诉或其他特殊原因，定标会议时间可以适当延期，但不得超过投标有效期。）。定标会议应当在公共资源交易中心召开，由定标委员会主任主持，定标委员会可参照以下程序进行定标</w:t>
      </w:r>
      <w:r>
        <w:rPr>
          <w:rFonts w:hint="eastAsia" w:ascii="宋体" w:hAnsi="宋体" w:eastAsia="宋体" w:cs="宋体"/>
          <w:smallCaps w:val="0"/>
          <w:color w:val="auto"/>
          <w:sz w:val="21"/>
          <w:szCs w:val="21"/>
          <w:highlight w:val="none"/>
          <w:lang w:eastAsia="zh-CN"/>
        </w:rPr>
        <w:t>：</w:t>
      </w:r>
      <w:r>
        <w:rPr>
          <w:rFonts w:hint="eastAsia" w:ascii="宋体" w:hAnsi="宋体" w:eastAsia="宋体" w:cs="宋体"/>
          <w:smallCaps w:val="0"/>
          <w:color w:val="auto"/>
          <w:sz w:val="21"/>
          <w:szCs w:val="21"/>
          <w:highlight w:val="none"/>
        </w:rPr>
        <w:t xml:space="preserve"> </w:t>
      </w:r>
    </w:p>
    <w:p w14:paraId="62B31670">
      <w:pPr>
        <w:pStyle w:val="63"/>
        <w:pageBreakBefore w:val="0"/>
        <w:widowControl w:val="0"/>
        <w:kinsoku/>
        <w:wordWrap/>
        <w:overflowPunct/>
        <w:topLinePunct w:val="0"/>
        <w:autoSpaceDE/>
        <w:autoSpaceDN/>
        <w:bidi w:val="0"/>
        <w:spacing w:line="560" w:lineRule="exact"/>
        <w:jc w:val="left"/>
        <w:textAlignment w:val="auto"/>
        <w:rPr>
          <w:rFonts w:hint="eastAsia" w:ascii="宋体" w:hAnsi="宋体" w:eastAsia="宋体" w:cs="宋体"/>
          <w:smallCaps w:val="0"/>
          <w:color w:val="auto"/>
          <w:sz w:val="21"/>
          <w:szCs w:val="21"/>
          <w:highlight w:val="none"/>
          <w:lang w:val="zh-CN"/>
        </w:rPr>
      </w:pPr>
      <w:r>
        <w:rPr>
          <w:rFonts w:hint="eastAsia" w:ascii="宋体" w:hAnsi="宋体" w:eastAsia="宋体" w:cs="宋体"/>
          <w:smallCaps w:val="0"/>
          <w:color w:val="auto"/>
          <w:sz w:val="21"/>
          <w:szCs w:val="21"/>
          <w:highlight w:val="none"/>
          <w:lang w:val="zh-CN"/>
        </w:rPr>
        <w:t>（1）招标人介绍定标程序及须知，定标成员签署承诺书。定标委员会成员存在法定事由需要回避的应主动提出，招标人办理补充事宜。</w:t>
      </w:r>
    </w:p>
    <w:p w14:paraId="07847188">
      <w:pPr>
        <w:pStyle w:val="63"/>
        <w:pageBreakBefore w:val="0"/>
        <w:widowControl w:val="0"/>
        <w:kinsoku/>
        <w:wordWrap/>
        <w:overflowPunct/>
        <w:topLinePunct w:val="0"/>
        <w:autoSpaceDE/>
        <w:autoSpaceDN/>
        <w:bidi w:val="0"/>
        <w:spacing w:line="560" w:lineRule="exact"/>
        <w:jc w:val="left"/>
        <w:textAlignment w:val="auto"/>
        <w:rPr>
          <w:rFonts w:hint="eastAsia" w:ascii="宋体" w:hAnsi="宋体" w:eastAsia="宋体" w:cs="宋体"/>
          <w:smallCaps w:val="0"/>
          <w:color w:val="auto"/>
          <w:sz w:val="21"/>
          <w:szCs w:val="21"/>
          <w:highlight w:val="none"/>
          <w:lang w:val="zh-CN"/>
        </w:rPr>
      </w:pPr>
      <w:r>
        <w:rPr>
          <w:rFonts w:hint="eastAsia" w:ascii="宋体" w:hAnsi="宋体" w:eastAsia="宋体" w:cs="宋体"/>
          <w:smallCaps w:val="0"/>
          <w:color w:val="auto"/>
          <w:sz w:val="21"/>
          <w:szCs w:val="21"/>
          <w:highlight w:val="none"/>
          <w:lang w:val="zh-CN"/>
        </w:rPr>
        <w:t>（2）招标人介绍项目基本情况，汇报内容不得有明示或暗示倾向性内容。</w:t>
      </w:r>
    </w:p>
    <w:p w14:paraId="5ED819B1">
      <w:pPr>
        <w:pStyle w:val="63"/>
        <w:pageBreakBefore w:val="0"/>
        <w:widowControl w:val="0"/>
        <w:kinsoku/>
        <w:wordWrap/>
        <w:overflowPunct/>
        <w:topLinePunct w:val="0"/>
        <w:autoSpaceDE/>
        <w:autoSpaceDN/>
        <w:bidi w:val="0"/>
        <w:spacing w:line="560" w:lineRule="exact"/>
        <w:jc w:val="left"/>
        <w:textAlignment w:val="auto"/>
        <w:rPr>
          <w:rFonts w:hint="eastAsia" w:ascii="宋体" w:hAnsi="宋体" w:eastAsia="宋体" w:cs="宋体"/>
          <w:smallCaps w:val="0"/>
          <w:color w:val="auto"/>
          <w:sz w:val="21"/>
          <w:szCs w:val="21"/>
          <w:highlight w:val="none"/>
          <w:lang w:val="zh-CN"/>
        </w:rPr>
      </w:pPr>
      <w:r>
        <w:rPr>
          <w:rFonts w:hint="eastAsia" w:ascii="宋体" w:hAnsi="宋体" w:eastAsia="宋体" w:cs="宋体"/>
          <w:smallCaps w:val="0"/>
          <w:color w:val="auto"/>
          <w:sz w:val="21"/>
          <w:szCs w:val="21"/>
          <w:highlight w:val="none"/>
          <w:lang w:val="zh-CN"/>
        </w:rPr>
        <w:t>（3）定标委员会根据定标方法，结合评标报告、汇报情况及定标要素等进行定标，确定中标人；</w:t>
      </w:r>
    </w:p>
    <w:p w14:paraId="61257B7B">
      <w:pPr>
        <w:pStyle w:val="63"/>
        <w:pageBreakBefore w:val="0"/>
        <w:widowControl w:val="0"/>
        <w:kinsoku/>
        <w:wordWrap/>
        <w:overflowPunct/>
        <w:topLinePunct w:val="0"/>
        <w:autoSpaceDE/>
        <w:autoSpaceDN/>
        <w:bidi w:val="0"/>
        <w:spacing w:line="560" w:lineRule="exact"/>
        <w:jc w:val="left"/>
        <w:textAlignment w:val="auto"/>
        <w:rPr>
          <w:rFonts w:hint="eastAsia" w:ascii="宋体" w:hAnsi="宋体" w:eastAsia="宋体" w:cs="宋体"/>
          <w:smallCaps w:val="0"/>
          <w:color w:val="auto"/>
          <w:sz w:val="21"/>
          <w:szCs w:val="21"/>
          <w:highlight w:val="none"/>
          <w:lang w:val="zh-CN"/>
        </w:rPr>
      </w:pPr>
      <w:r>
        <w:rPr>
          <w:rFonts w:hint="eastAsia" w:ascii="宋体" w:hAnsi="宋体" w:eastAsia="宋体" w:cs="宋体"/>
          <w:smallCaps w:val="0"/>
          <w:color w:val="auto"/>
          <w:sz w:val="21"/>
          <w:szCs w:val="21"/>
          <w:highlight w:val="none"/>
          <w:lang w:val="zh-CN"/>
        </w:rPr>
        <w:t>（4）定标委员会出具书面定标报告。定标报告内容应当包括定标委员名单、定标程序、定标因素、定标结果等内容。采用综合定标法的，应当包括定标委员会成员对各中标候选人的打分情况和排序。</w:t>
      </w:r>
    </w:p>
    <w:p w14:paraId="29346791">
      <w:pPr>
        <w:pStyle w:val="6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Style w:val="65"/>
          <w:rFonts w:hint="eastAsia" w:ascii="宋体" w:hAnsi="宋体" w:eastAsia="宋体" w:cs="宋体"/>
          <w:b/>
          <w:bCs w:val="0"/>
          <w:smallCaps w:val="0"/>
          <w:color w:val="auto"/>
          <w:sz w:val="24"/>
          <w:szCs w:val="24"/>
          <w:highlight w:val="none"/>
          <w:lang w:val="zh-CN"/>
        </w:rPr>
      </w:pPr>
      <w:r>
        <w:rPr>
          <w:rStyle w:val="65"/>
          <w:rFonts w:hint="eastAsia" w:ascii="宋体" w:hAnsi="宋体" w:eastAsia="宋体" w:cs="宋体"/>
          <w:b/>
          <w:bCs w:val="0"/>
          <w:smallCaps w:val="0"/>
          <w:color w:val="auto"/>
          <w:sz w:val="24"/>
          <w:szCs w:val="24"/>
          <w:highlight w:val="none"/>
          <w:lang w:val="zh-CN"/>
        </w:rPr>
        <w:t xml:space="preserve">3.定标因素 </w:t>
      </w:r>
    </w:p>
    <w:p w14:paraId="761F0007">
      <w:pPr>
        <w:pStyle w:val="63"/>
        <w:keepNext w:val="0"/>
        <w:keepLines w:val="0"/>
        <w:pageBreakBefore w:val="0"/>
        <w:widowControl w:val="0"/>
        <w:kinsoku/>
        <w:wordWrap/>
        <w:overflowPunct/>
        <w:topLinePunct w:val="0"/>
        <w:autoSpaceDE/>
        <w:autoSpaceDN/>
        <w:bidi w:val="0"/>
        <w:adjustRightInd/>
        <w:snapToGrid/>
        <w:spacing w:line="560" w:lineRule="exact"/>
        <w:ind w:left="0" w:leftChars="0" w:firstLine="420" w:firstLineChars="200"/>
        <w:textAlignment w:val="auto"/>
        <w:rPr>
          <w:rFonts w:hint="eastAsia" w:ascii="宋体" w:hAnsi="宋体" w:eastAsia="宋体" w:cs="宋体"/>
          <w:smallCaps w:val="0"/>
          <w:color w:val="auto"/>
          <w:sz w:val="21"/>
          <w:szCs w:val="21"/>
          <w:highlight w:val="none"/>
          <w:lang w:eastAsia="zh-CN"/>
        </w:rPr>
      </w:pPr>
      <w:r>
        <w:rPr>
          <w:rFonts w:hint="eastAsia" w:ascii="宋体" w:hAnsi="宋体" w:eastAsia="宋体" w:cs="宋体"/>
          <w:smallCaps w:val="0"/>
          <w:color w:val="auto"/>
          <w:sz w:val="21"/>
          <w:szCs w:val="21"/>
          <w:highlight w:val="none"/>
        </w:rPr>
        <w:t>详见定标办法前附表</w:t>
      </w:r>
      <w:r>
        <w:rPr>
          <w:rFonts w:hint="eastAsia" w:ascii="宋体" w:hAnsi="宋体" w:eastAsia="宋体" w:cs="宋体"/>
          <w:smallCaps w:val="0"/>
          <w:color w:val="auto"/>
          <w:sz w:val="21"/>
          <w:szCs w:val="21"/>
          <w:highlight w:val="none"/>
          <w:lang w:eastAsia="zh-CN"/>
        </w:rPr>
        <w:t>。</w:t>
      </w:r>
    </w:p>
    <w:p w14:paraId="0B17EF3A">
      <w:pPr>
        <w:pStyle w:val="6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Style w:val="65"/>
          <w:rFonts w:hint="eastAsia" w:ascii="宋体" w:hAnsi="宋体" w:eastAsia="宋体" w:cs="宋体"/>
          <w:b/>
          <w:bCs w:val="0"/>
          <w:smallCaps w:val="0"/>
          <w:color w:val="auto"/>
          <w:sz w:val="24"/>
          <w:szCs w:val="24"/>
          <w:highlight w:val="none"/>
          <w:lang w:val="zh-CN"/>
        </w:rPr>
      </w:pPr>
      <w:r>
        <w:rPr>
          <w:rStyle w:val="65"/>
          <w:rFonts w:hint="eastAsia" w:ascii="宋体" w:hAnsi="宋体" w:eastAsia="宋体" w:cs="宋体"/>
          <w:b/>
          <w:bCs w:val="0"/>
          <w:smallCaps w:val="0"/>
          <w:color w:val="auto"/>
          <w:sz w:val="24"/>
          <w:szCs w:val="24"/>
          <w:highlight w:val="none"/>
          <w:lang w:val="zh-CN"/>
        </w:rPr>
        <w:t>4.定标规则</w:t>
      </w:r>
    </w:p>
    <w:p w14:paraId="615D4098">
      <w:pPr>
        <w:pStyle w:val="63"/>
        <w:pageBreakBefore w:val="0"/>
        <w:widowControl w:val="0"/>
        <w:kinsoku/>
        <w:wordWrap/>
        <w:overflowPunct/>
        <w:topLinePunct w:val="0"/>
        <w:autoSpaceDE/>
        <w:autoSpaceDN/>
        <w:bidi w:val="0"/>
        <w:spacing w:line="560" w:lineRule="exact"/>
        <w:jc w:val="lef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本招标项目定标规则详见定标办法前附表。</w:t>
      </w:r>
    </w:p>
    <w:p w14:paraId="7A97CACF">
      <w:pPr>
        <w:pStyle w:val="6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Style w:val="65"/>
          <w:rFonts w:hint="eastAsia" w:ascii="宋体" w:hAnsi="宋体" w:eastAsia="宋体" w:cs="宋体"/>
          <w:b/>
          <w:bCs w:val="0"/>
          <w:smallCaps w:val="0"/>
          <w:color w:val="auto"/>
          <w:sz w:val="24"/>
          <w:szCs w:val="24"/>
          <w:highlight w:val="none"/>
          <w:lang w:val="zh-CN"/>
        </w:rPr>
      </w:pPr>
      <w:r>
        <w:rPr>
          <w:rStyle w:val="65"/>
          <w:rFonts w:hint="eastAsia" w:ascii="宋体" w:hAnsi="宋体" w:eastAsia="宋体" w:cs="宋体"/>
          <w:b/>
          <w:bCs w:val="0"/>
          <w:smallCaps w:val="0"/>
          <w:color w:val="auto"/>
          <w:sz w:val="24"/>
          <w:szCs w:val="24"/>
          <w:highlight w:val="none"/>
          <w:lang w:val="zh-CN"/>
        </w:rPr>
        <w:t xml:space="preserve">5.定标报告 </w:t>
      </w:r>
    </w:p>
    <w:p w14:paraId="106A2FF9">
      <w:pPr>
        <w:pStyle w:val="63"/>
        <w:pageBreakBefore w:val="0"/>
        <w:widowControl w:val="0"/>
        <w:kinsoku/>
        <w:wordWrap/>
        <w:overflowPunct/>
        <w:topLinePunct w:val="0"/>
        <w:autoSpaceDE/>
        <w:autoSpaceDN/>
        <w:bidi w:val="0"/>
        <w:spacing w:line="560" w:lineRule="exact"/>
        <w:jc w:val="left"/>
        <w:textAlignment w:val="auto"/>
        <w:rPr>
          <w:rFonts w:hint="eastAsia" w:ascii="宋体" w:hAnsi="宋体" w:eastAsia="宋体" w:cs="宋体"/>
          <w:smallCaps w:val="0"/>
          <w:color w:val="auto"/>
          <w:sz w:val="21"/>
          <w:szCs w:val="21"/>
          <w:highlight w:val="none"/>
        </w:rPr>
      </w:pPr>
      <w:r>
        <w:rPr>
          <w:rFonts w:hint="eastAsia" w:ascii="宋体" w:hAnsi="宋体" w:eastAsia="宋体" w:cs="宋体"/>
          <w:smallCaps w:val="0"/>
          <w:color w:val="auto"/>
          <w:sz w:val="21"/>
          <w:szCs w:val="21"/>
          <w:highlight w:val="none"/>
        </w:rPr>
        <w:t>定标报告由定标委员会全体成员签字。对定标结果有不同意见的定标委员会成员应当在定标报告说明其不同意见和理由。定标委员会成员拒绝在定标报告上签字又不说明其不同意见和理由的，视为同意定标结果。</w:t>
      </w:r>
    </w:p>
    <w:p w14:paraId="24794EFD">
      <w:pPr>
        <w:pStyle w:val="6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Style w:val="65"/>
          <w:rFonts w:hint="eastAsia" w:ascii="宋体" w:hAnsi="宋体" w:eastAsia="宋体" w:cs="宋体"/>
          <w:b/>
          <w:bCs w:val="0"/>
          <w:smallCaps w:val="0"/>
          <w:color w:val="auto"/>
          <w:sz w:val="24"/>
          <w:szCs w:val="24"/>
          <w:highlight w:val="none"/>
          <w:lang w:val="en-US" w:eastAsia="zh-CN"/>
        </w:rPr>
      </w:pPr>
      <w:r>
        <w:rPr>
          <w:rStyle w:val="65"/>
          <w:rFonts w:hint="eastAsia" w:ascii="宋体" w:hAnsi="宋体" w:eastAsia="宋体" w:cs="宋体"/>
          <w:b/>
          <w:bCs w:val="0"/>
          <w:smallCaps w:val="0"/>
          <w:color w:val="auto"/>
          <w:sz w:val="24"/>
          <w:szCs w:val="24"/>
          <w:highlight w:val="none"/>
          <w:lang w:val="en-US" w:eastAsia="zh-CN"/>
        </w:rPr>
        <w:t>6.中标结果公告</w:t>
      </w:r>
    </w:p>
    <w:p w14:paraId="0500456A">
      <w:pPr>
        <w:pStyle w:val="63"/>
        <w:pageBreakBefore w:val="0"/>
        <w:widowControl w:val="0"/>
        <w:kinsoku/>
        <w:wordWrap/>
        <w:overflowPunct/>
        <w:topLinePunct w:val="0"/>
        <w:autoSpaceDE/>
        <w:autoSpaceDN/>
        <w:bidi w:val="0"/>
        <w:spacing w:line="560" w:lineRule="exact"/>
        <w:jc w:val="left"/>
        <w:textAlignment w:val="auto"/>
        <w:rPr>
          <w:rFonts w:hint="eastAsia" w:ascii="Times New Roman" w:hAnsi="Times New Roman"/>
          <w:smallCaps w:val="0"/>
          <w:color w:val="auto"/>
          <w:highlight w:val="none"/>
          <w:lang w:val="en-US" w:eastAsia="zh-CN"/>
        </w:rPr>
      </w:pPr>
      <w:r>
        <w:rPr>
          <w:rFonts w:hint="eastAsia" w:ascii="Times New Roman" w:hAnsi="Times New Roman"/>
          <w:smallCaps w:val="0"/>
          <w:color w:val="auto"/>
          <w:highlight w:val="none"/>
          <w:lang w:val="en-US" w:eastAsia="zh-CN"/>
        </w:rPr>
        <w:t>定标结束后3日内，招标人应当在发布招标公告的媒介上公示中标结果，并发放中标通知书。中标结果公告应载明中标人的名称、投标报价、项目经理等信息。</w:t>
      </w:r>
    </w:p>
    <w:p w14:paraId="0FF31E8D">
      <w:pPr>
        <w:pStyle w:val="60"/>
        <w:bidi w:val="0"/>
        <w:outlineLvl w:val="2"/>
        <w:rPr>
          <w:rStyle w:val="65"/>
          <w:rFonts w:hint="eastAsia" w:ascii="宋体" w:hAnsi="宋体" w:eastAsia="宋体" w:cs="宋体"/>
          <w:b/>
          <w:bCs w:val="0"/>
          <w:smallCaps w:val="0"/>
          <w:color w:val="auto"/>
          <w:kern w:val="2"/>
          <w:sz w:val="24"/>
          <w:szCs w:val="24"/>
          <w:highlight w:val="none"/>
          <w:lang w:val="en-US" w:eastAsia="zh-CN" w:bidi="ar-SA"/>
        </w:rPr>
      </w:pPr>
      <w:r>
        <w:rPr>
          <w:rStyle w:val="65"/>
          <w:rFonts w:hint="eastAsia" w:ascii="宋体" w:hAnsi="宋体" w:eastAsia="宋体" w:cs="宋体"/>
          <w:b/>
          <w:bCs w:val="0"/>
          <w:smallCaps w:val="0"/>
          <w:color w:val="auto"/>
          <w:kern w:val="2"/>
          <w:sz w:val="24"/>
          <w:szCs w:val="24"/>
          <w:highlight w:val="none"/>
          <w:lang w:val="en-US" w:eastAsia="zh-CN" w:bidi="ar-SA"/>
        </w:rPr>
        <w:t>7.重新定标</w:t>
      </w:r>
    </w:p>
    <w:p w14:paraId="038239E9">
      <w:pPr>
        <w:pStyle w:val="63"/>
        <w:pageBreakBefore w:val="0"/>
        <w:widowControl w:val="0"/>
        <w:kinsoku/>
        <w:wordWrap/>
        <w:overflowPunct/>
        <w:topLinePunct w:val="0"/>
        <w:autoSpaceDE/>
        <w:autoSpaceDN/>
        <w:bidi w:val="0"/>
        <w:spacing w:line="560" w:lineRule="exact"/>
        <w:jc w:val="left"/>
        <w:textAlignment w:val="auto"/>
        <w:rPr>
          <w:rFonts w:hint="default" w:ascii="宋体" w:hAnsi="宋体" w:eastAsia="宋体" w:cs="宋体"/>
          <w:smallCaps w:val="0"/>
          <w:color w:val="auto"/>
          <w:sz w:val="21"/>
          <w:szCs w:val="21"/>
          <w:highlight w:val="none"/>
          <w:lang w:val="en-US" w:eastAsia="zh-CN"/>
        </w:rPr>
      </w:pPr>
      <w:r>
        <w:rPr>
          <w:rFonts w:hint="default" w:ascii="宋体" w:hAnsi="宋体" w:eastAsia="宋体" w:cs="宋体"/>
          <w:smallCaps w:val="0"/>
          <w:color w:val="auto"/>
          <w:sz w:val="21"/>
          <w:szCs w:val="21"/>
          <w:highlight w:val="none"/>
          <w:lang w:val="en-US" w:eastAsia="zh-CN"/>
        </w:rPr>
        <w:t>定标后有下列情形之一的，建设单位或项目实施单位可以组织原定标委员会从其他中标候选人中按原定标方法确定中标人：</w:t>
      </w:r>
    </w:p>
    <w:p w14:paraId="09C157AE">
      <w:pPr>
        <w:pStyle w:val="63"/>
        <w:pageBreakBefore w:val="0"/>
        <w:widowControl w:val="0"/>
        <w:kinsoku/>
        <w:wordWrap/>
        <w:overflowPunct/>
        <w:topLinePunct w:val="0"/>
        <w:autoSpaceDE/>
        <w:autoSpaceDN/>
        <w:bidi w:val="0"/>
        <w:spacing w:line="560" w:lineRule="exact"/>
        <w:jc w:val="left"/>
        <w:textAlignment w:val="auto"/>
        <w:rPr>
          <w:rFonts w:hint="default" w:ascii="宋体" w:hAnsi="宋体" w:eastAsia="宋体" w:cs="宋体"/>
          <w:smallCaps w:val="0"/>
          <w:color w:val="auto"/>
          <w:sz w:val="21"/>
          <w:szCs w:val="21"/>
          <w:highlight w:val="none"/>
          <w:lang w:val="en-US" w:eastAsia="zh-CN"/>
        </w:rPr>
      </w:pPr>
      <w:r>
        <w:rPr>
          <w:rFonts w:hint="default" w:ascii="宋体" w:hAnsi="宋体" w:eastAsia="宋体" w:cs="宋体"/>
          <w:smallCaps w:val="0"/>
          <w:color w:val="auto"/>
          <w:sz w:val="21"/>
          <w:szCs w:val="21"/>
          <w:highlight w:val="none"/>
          <w:lang w:val="en-US" w:eastAsia="zh-CN"/>
        </w:rPr>
        <w:t>1</w:t>
      </w:r>
      <w:r>
        <w:rPr>
          <w:rFonts w:hint="eastAsia" w:ascii="宋体" w:hAnsi="宋体" w:eastAsia="宋体" w:cs="宋体"/>
          <w:smallCaps w:val="0"/>
          <w:color w:val="auto"/>
          <w:sz w:val="21"/>
          <w:szCs w:val="21"/>
          <w:highlight w:val="none"/>
          <w:lang w:val="en-US" w:eastAsia="zh-CN"/>
        </w:rPr>
        <w:t>.</w:t>
      </w:r>
      <w:r>
        <w:rPr>
          <w:rFonts w:hint="default" w:ascii="宋体" w:hAnsi="宋体" w:eastAsia="宋体" w:cs="宋体"/>
          <w:smallCaps w:val="0"/>
          <w:color w:val="auto"/>
          <w:sz w:val="21"/>
          <w:szCs w:val="21"/>
          <w:highlight w:val="none"/>
          <w:lang w:val="en-US" w:eastAsia="zh-CN"/>
        </w:rPr>
        <w:t>中标人放弃中标资格或者拒不签订合同的；</w:t>
      </w:r>
    </w:p>
    <w:p w14:paraId="122572FE">
      <w:pPr>
        <w:pStyle w:val="63"/>
        <w:pageBreakBefore w:val="0"/>
        <w:widowControl w:val="0"/>
        <w:kinsoku/>
        <w:wordWrap/>
        <w:overflowPunct/>
        <w:topLinePunct w:val="0"/>
        <w:autoSpaceDE/>
        <w:autoSpaceDN/>
        <w:bidi w:val="0"/>
        <w:spacing w:line="560" w:lineRule="exact"/>
        <w:jc w:val="left"/>
        <w:textAlignment w:val="auto"/>
        <w:rPr>
          <w:rFonts w:hint="default" w:ascii="宋体" w:hAnsi="宋体" w:eastAsia="宋体" w:cs="宋体"/>
          <w:smallCaps w:val="0"/>
          <w:color w:val="auto"/>
          <w:sz w:val="21"/>
          <w:szCs w:val="21"/>
          <w:highlight w:val="none"/>
          <w:lang w:val="en-US" w:eastAsia="zh-CN"/>
        </w:rPr>
      </w:pPr>
      <w:r>
        <w:rPr>
          <w:rFonts w:hint="default" w:ascii="宋体" w:hAnsi="宋体" w:eastAsia="宋体" w:cs="宋体"/>
          <w:smallCaps w:val="0"/>
          <w:color w:val="auto"/>
          <w:sz w:val="21"/>
          <w:szCs w:val="21"/>
          <w:highlight w:val="none"/>
          <w:lang w:val="en-US" w:eastAsia="zh-CN"/>
        </w:rPr>
        <w:t>2</w:t>
      </w:r>
      <w:r>
        <w:rPr>
          <w:rFonts w:hint="eastAsia" w:ascii="宋体" w:hAnsi="宋体" w:eastAsia="宋体" w:cs="宋体"/>
          <w:smallCaps w:val="0"/>
          <w:color w:val="auto"/>
          <w:sz w:val="21"/>
          <w:szCs w:val="21"/>
          <w:highlight w:val="none"/>
          <w:lang w:val="en-US" w:eastAsia="zh-CN"/>
        </w:rPr>
        <w:t>.</w:t>
      </w:r>
      <w:r>
        <w:rPr>
          <w:rFonts w:hint="default" w:ascii="宋体" w:hAnsi="宋体" w:eastAsia="宋体" w:cs="宋体"/>
          <w:smallCaps w:val="0"/>
          <w:color w:val="auto"/>
          <w:sz w:val="21"/>
          <w:szCs w:val="21"/>
          <w:highlight w:val="none"/>
          <w:lang w:val="en-US" w:eastAsia="zh-CN"/>
        </w:rPr>
        <w:t>招标文件规定应当提交履约保证金而且在规定的期限内未能提交的；</w:t>
      </w:r>
    </w:p>
    <w:p w14:paraId="660881EA">
      <w:pPr>
        <w:pStyle w:val="63"/>
        <w:pageBreakBefore w:val="0"/>
        <w:widowControl w:val="0"/>
        <w:kinsoku/>
        <w:wordWrap/>
        <w:overflowPunct/>
        <w:topLinePunct w:val="0"/>
        <w:autoSpaceDE/>
        <w:autoSpaceDN/>
        <w:bidi w:val="0"/>
        <w:spacing w:line="560" w:lineRule="exact"/>
        <w:jc w:val="left"/>
        <w:textAlignment w:val="auto"/>
        <w:rPr>
          <w:rFonts w:hint="default" w:ascii="宋体" w:hAnsi="宋体" w:eastAsia="宋体" w:cs="宋体"/>
          <w:smallCaps w:val="0"/>
          <w:color w:val="auto"/>
          <w:sz w:val="21"/>
          <w:szCs w:val="21"/>
          <w:highlight w:val="none"/>
          <w:lang w:val="en-US" w:eastAsia="zh-CN"/>
        </w:rPr>
      </w:pPr>
      <w:r>
        <w:rPr>
          <w:rFonts w:hint="default" w:ascii="宋体" w:hAnsi="宋体" w:eastAsia="宋体" w:cs="宋体"/>
          <w:smallCaps w:val="0"/>
          <w:color w:val="auto"/>
          <w:sz w:val="21"/>
          <w:szCs w:val="21"/>
          <w:highlight w:val="none"/>
          <w:lang w:val="en-US" w:eastAsia="zh-CN"/>
        </w:rPr>
        <w:t>3</w:t>
      </w:r>
      <w:r>
        <w:rPr>
          <w:rFonts w:hint="eastAsia" w:ascii="宋体" w:hAnsi="宋体" w:eastAsia="宋体" w:cs="宋体"/>
          <w:smallCaps w:val="0"/>
          <w:color w:val="auto"/>
          <w:sz w:val="21"/>
          <w:szCs w:val="21"/>
          <w:highlight w:val="none"/>
          <w:lang w:val="en-US" w:eastAsia="zh-CN"/>
        </w:rPr>
        <w:t>.</w:t>
      </w:r>
      <w:r>
        <w:rPr>
          <w:rFonts w:hint="default" w:ascii="宋体" w:hAnsi="宋体" w:eastAsia="宋体" w:cs="宋体"/>
          <w:smallCaps w:val="0"/>
          <w:color w:val="auto"/>
          <w:sz w:val="21"/>
          <w:szCs w:val="21"/>
          <w:highlight w:val="none"/>
          <w:lang w:val="en-US" w:eastAsia="zh-CN"/>
        </w:rPr>
        <w:t>中标人被查实存在违法行为影响中标结果的；</w:t>
      </w:r>
    </w:p>
    <w:p w14:paraId="1FF2CEEE">
      <w:pPr>
        <w:pStyle w:val="63"/>
        <w:pageBreakBefore w:val="0"/>
        <w:widowControl w:val="0"/>
        <w:kinsoku/>
        <w:wordWrap/>
        <w:overflowPunct/>
        <w:topLinePunct w:val="0"/>
        <w:autoSpaceDE/>
        <w:autoSpaceDN/>
        <w:bidi w:val="0"/>
        <w:spacing w:line="560" w:lineRule="exact"/>
        <w:jc w:val="left"/>
        <w:textAlignment w:val="auto"/>
        <w:rPr>
          <w:rFonts w:hint="default" w:ascii="宋体" w:hAnsi="宋体" w:eastAsia="宋体" w:cs="宋体"/>
          <w:smallCaps w:val="0"/>
          <w:color w:val="auto"/>
          <w:sz w:val="21"/>
          <w:szCs w:val="21"/>
          <w:highlight w:val="none"/>
          <w:lang w:val="en-US" w:eastAsia="zh-CN"/>
        </w:rPr>
      </w:pPr>
      <w:r>
        <w:rPr>
          <w:rFonts w:hint="default" w:ascii="宋体" w:hAnsi="宋体" w:eastAsia="宋体" w:cs="宋体"/>
          <w:smallCaps w:val="0"/>
          <w:color w:val="auto"/>
          <w:sz w:val="21"/>
          <w:szCs w:val="21"/>
          <w:highlight w:val="none"/>
          <w:lang w:val="en-US" w:eastAsia="zh-CN"/>
        </w:rPr>
        <w:t>4</w:t>
      </w:r>
      <w:r>
        <w:rPr>
          <w:rFonts w:hint="eastAsia" w:ascii="宋体" w:hAnsi="宋体" w:eastAsia="宋体" w:cs="宋体"/>
          <w:smallCaps w:val="0"/>
          <w:color w:val="auto"/>
          <w:sz w:val="21"/>
          <w:szCs w:val="21"/>
          <w:highlight w:val="none"/>
          <w:lang w:val="en-US" w:eastAsia="zh-CN"/>
        </w:rPr>
        <w:t>.</w:t>
      </w:r>
      <w:r>
        <w:rPr>
          <w:rFonts w:hint="default" w:ascii="宋体" w:hAnsi="宋体" w:eastAsia="宋体" w:cs="宋体"/>
          <w:smallCaps w:val="0"/>
          <w:color w:val="auto"/>
          <w:sz w:val="21"/>
          <w:szCs w:val="21"/>
          <w:highlight w:val="none"/>
          <w:lang w:val="en-US" w:eastAsia="zh-CN"/>
        </w:rPr>
        <w:t>招标文件规定的其他情形。</w:t>
      </w:r>
    </w:p>
    <w:p w14:paraId="758106EB">
      <w:pPr>
        <w:pStyle w:val="63"/>
        <w:pageBreakBefore w:val="0"/>
        <w:widowControl w:val="0"/>
        <w:kinsoku/>
        <w:wordWrap/>
        <w:overflowPunct/>
        <w:topLinePunct w:val="0"/>
        <w:autoSpaceDE/>
        <w:autoSpaceDN/>
        <w:bidi w:val="0"/>
        <w:spacing w:line="560" w:lineRule="exact"/>
        <w:jc w:val="left"/>
        <w:textAlignment w:val="auto"/>
        <w:rPr>
          <w:rFonts w:hint="default" w:ascii="宋体" w:hAnsi="宋体" w:eastAsia="宋体" w:cs="宋体"/>
          <w:smallCaps w:val="0"/>
          <w:color w:val="auto"/>
          <w:sz w:val="21"/>
          <w:szCs w:val="21"/>
          <w:highlight w:val="none"/>
          <w:lang w:val="en-US" w:eastAsia="zh-CN"/>
        </w:rPr>
      </w:pPr>
      <w:r>
        <w:rPr>
          <w:rFonts w:hint="default" w:ascii="宋体" w:hAnsi="宋体" w:eastAsia="宋体" w:cs="宋体"/>
          <w:smallCaps w:val="0"/>
          <w:color w:val="auto"/>
          <w:sz w:val="21"/>
          <w:szCs w:val="21"/>
          <w:highlight w:val="none"/>
          <w:lang w:val="en-US" w:eastAsia="zh-CN"/>
        </w:rPr>
        <w:t>定标后有下列情形之一的，应重新组建定标委员会进行定标：</w:t>
      </w:r>
    </w:p>
    <w:p w14:paraId="6645283A">
      <w:pPr>
        <w:pStyle w:val="63"/>
        <w:pageBreakBefore w:val="0"/>
        <w:widowControl w:val="0"/>
        <w:kinsoku/>
        <w:wordWrap/>
        <w:overflowPunct/>
        <w:topLinePunct w:val="0"/>
        <w:autoSpaceDE/>
        <w:autoSpaceDN/>
        <w:bidi w:val="0"/>
        <w:spacing w:line="560" w:lineRule="exact"/>
        <w:jc w:val="left"/>
        <w:textAlignment w:val="auto"/>
        <w:rPr>
          <w:rFonts w:hint="default" w:ascii="宋体" w:hAnsi="宋体" w:eastAsia="宋体" w:cs="宋体"/>
          <w:smallCaps w:val="0"/>
          <w:color w:val="auto"/>
          <w:sz w:val="21"/>
          <w:szCs w:val="21"/>
          <w:highlight w:val="none"/>
          <w:lang w:val="en-US" w:eastAsia="zh-CN"/>
        </w:rPr>
      </w:pPr>
      <w:r>
        <w:rPr>
          <w:rFonts w:hint="default" w:ascii="宋体" w:hAnsi="宋体" w:eastAsia="宋体" w:cs="宋体"/>
          <w:smallCaps w:val="0"/>
          <w:color w:val="auto"/>
          <w:sz w:val="21"/>
          <w:szCs w:val="21"/>
          <w:highlight w:val="none"/>
          <w:lang w:val="en-US" w:eastAsia="zh-CN"/>
        </w:rPr>
        <w:t>1.定标委员会未按定标方法公正履职的；</w:t>
      </w:r>
    </w:p>
    <w:p w14:paraId="542E4CBA">
      <w:pPr>
        <w:pStyle w:val="63"/>
        <w:pageBreakBefore w:val="0"/>
        <w:widowControl w:val="0"/>
        <w:kinsoku/>
        <w:wordWrap/>
        <w:overflowPunct/>
        <w:topLinePunct w:val="0"/>
        <w:autoSpaceDE/>
        <w:autoSpaceDN/>
        <w:bidi w:val="0"/>
        <w:spacing w:line="560" w:lineRule="exact"/>
        <w:jc w:val="left"/>
        <w:textAlignment w:val="auto"/>
        <w:rPr>
          <w:rFonts w:hint="default" w:ascii="宋体" w:hAnsi="宋体" w:eastAsia="宋体" w:cs="宋体"/>
          <w:smallCaps w:val="0"/>
          <w:color w:val="auto"/>
          <w:sz w:val="21"/>
          <w:szCs w:val="21"/>
          <w:highlight w:val="none"/>
          <w:lang w:val="en-US" w:eastAsia="zh-CN"/>
        </w:rPr>
      </w:pPr>
      <w:r>
        <w:rPr>
          <w:rFonts w:hint="default" w:ascii="宋体" w:hAnsi="宋体" w:eastAsia="宋体" w:cs="宋体"/>
          <w:smallCaps w:val="0"/>
          <w:color w:val="auto"/>
          <w:sz w:val="21"/>
          <w:szCs w:val="21"/>
          <w:highlight w:val="none"/>
          <w:lang w:val="en-US" w:eastAsia="zh-CN"/>
        </w:rPr>
        <w:t>2.定标委员会成员与中标候选人有利害关系且未申请回避 的；</w:t>
      </w:r>
    </w:p>
    <w:p w14:paraId="36B1102C">
      <w:pPr>
        <w:pStyle w:val="63"/>
        <w:pageBreakBefore w:val="0"/>
        <w:widowControl w:val="0"/>
        <w:kinsoku/>
        <w:wordWrap/>
        <w:overflowPunct/>
        <w:topLinePunct w:val="0"/>
        <w:autoSpaceDE/>
        <w:autoSpaceDN/>
        <w:bidi w:val="0"/>
        <w:spacing w:line="560" w:lineRule="exact"/>
        <w:jc w:val="left"/>
        <w:textAlignment w:val="auto"/>
        <w:rPr>
          <w:rFonts w:hint="eastAsia" w:ascii="宋体" w:hAnsi="宋体" w:eastAsia="宋体" w:cs="宋体"/>
          <w:smallCaps w:val="0"/>
          <w:color w:val="auto"/>
          <w:sz w:val="21"/>
          <w:szCs w:val="21"/>
          <w:highlight w:val="none"/>
        </w:rPr>
      </w:pPr>
      <w:r>
        <w:rPr>
          <w:rFonts w:hint="default" w:ascii="宋体" w:hAnsi="宋体" w:eastAsia="宋体" w:cs="宋体"/>
          <w:smallCaps w:val="0"/>
          <w:color w:val="auto"/>
          <w:sz w:val="21"/>
          <w:szCs w:val="21"/>
          <w:highlight w:val="none"/>
          <w:lang w:val="en-US" w:eastAsia="zh-CN"/>
        </w:rPr>
        <w:t>3.招标文件规定的其他情形。</w:t>
      </w:r>
      <w:r>
        <w:rPr>
          <w:rFonts w:hint="eastAsia" w:ascii="宋体" w:hAnsi="宋体" w:eastAsia="宋体" w:cs="宋体"/>
          <w:smallCaps w:val="0"/>
          <w:color w:val="auto"/>
          <w:sz w:val="21"/>
          <w:szCs w:val="21"/>
          <w:highlight w:val="none"/>
        </w:rPr>
        <w:br w:type="page"/>
      </w:r>
    </w:p>
    <w:p w14:paraId="7CF86A2F">
      <w:pPr>
        <w:pStyle w:val="2"/>
        <w:adjustRightInd w:val="0"/>
        <w:snapToGrid w:val="0"/>
        <w:spacing w:before="0" w:after="0" w:line="560" w:lineRule="exact"/>
        <w:jc w:val="center"/>
        <w:rPr>
          <w:rFonts w:hint="eastAsia"/>
          <w:color w:val="auto"/>
          <w:highlight w:val="none"/>
        </w:rPr>
      </w:pPr>
      <w:r>
        <w:rPr>
          <w:rFonts w:hint="eastAsia"/>
          <w:color w:val="auto"/>
          <w:highlight w:val="none"/>
        </w:rPr>
        <w:t>第</w:t>
      </w:r>
      <w:r>
        <w:rPr>
          <w:rFonts w:hint="eastAsia"/>
          <w:color w:val="auto"/>
          <w:highlight w:val="none"/>
          <w:lang w:val="en-US" w:eastAsia="zh-CN"/>
        </w:rPr>
        <w:t>四</w:t>
      </w:r>
      <w:r>
        <w:rPr>
          <w:rFonts w:hint="eastAsia"/>
          <w:color w:val="auto"/>
          <w:highlight w:val="none"/>
        </w:rPr>
        <w:t>章 合同条款及格式</w:t>
      </w:r>
      <w:bookmarkEnd w:id="676"/>
    </w:p>
    <w:p w14:paraId="7878A654">
      <w:pPr>
        <w:adjustRightInd w:val="0"/>
        <w:snapToGrid w:val="0"/>
        <w:spacing w:line="560" w:lineRule="exact"/>
        <w:jc w:val="center"/>
        <w:rPr>
          <w:rFonts w:hint="eastAsia" w:eastAsia="仿宋_GB2312"/>
          <w:bCs/>
          <w:color w:val="auto"/>
          <w:sz w:val="32"/>
          <w:szCs w:val="32"/>
          <w:highlight w:val="none"/>
        </w:rPr>
      </w:pPr>
    </w:p>
    <w:p w14:paraId="00E27BCE">
      <w:pPr>
        <w:adjustRightInd w:val="0"/>
        <w:snapToGrid w:val="0"/>
        <w:spacing w:line="560" w:lineRule="exact"/>
        <w:jc w:val="center"/>
        <w:rPr>
          <w:rFonts w:hint="eastAsia" w:eastAsia="仿宋_GB2312"/>
          <w:bCs/>
          <w:color w:val="auto"/>
          <w:sz w:val="32"/>
          <w:szCs w:val="32"/>
          <w:highlight w:val="none"/>
        </w:rPr>
      </w:pPr>
    </w:p>
    <w:p w14:paraId="293C2B21">
      <w:pPr>
        <w:adjustRightInd w:val="0"/>
        <w:snapToGrid w:val="0"/>
        <w:spacing w:line="560" w:lineRule="exact"/>
        <w:jc w:val="center"/>
        <w:rPr>
          <w:rFonts w:hint="eastAsia" w:eastAsia="仿宋_GB2312"/>
          <w:bCs/>
          <w:color w:val="auto"/>
          <w:sz w:val="32"/>
          <w:szCs w:val="32"/>
          <w:highlight w:val="none"/>
        </w:rPr>
      </w:pPr>
    </w:p>
    <w:p w14:paraId="76F58068">
      <w:pPr>
        <w:adjustRightInd w:val="0"/>
        <w:snapToGrid w:val="0"/>
        <w:spacing w:line="560" w:lineRule="exact"/>
        <w:jc w:val="center"/>
        <w:rPr>
          <w:rFonts w:eastAsia="仿宋_GB2312"/>
          <w:bCs/>
          <w:color w:val="auto"/>
          <w:sz w:val="32"/>
          <w:szCs w:val="32"/>
          <w:highlight w:val="none"/>
          <w:u w:val="single"/>
        </w:rPr>
      </w:pPr>
      <w:r>
        <w:rPr>
          <w:rFonts w:hint="eastAsia" w:eastAsia="仿宋_GB2312"/>
          <w:bCs/>
          <w:color w:val="auto"/>
          <w:sz w:val="32"/>
          <w:szCs w:val="32"/>
          <w:highlight w:val="none"/>
        </w:rPr>
        <w:t>合同编号：</w:t>
      </w:r>
      <w:r>
        <w:rPr>
          <w:rFonts w:hint="eastAsia" w:eastAsia="仿宋_GB2312"/>
          <w:bCs/>
          <w:color w:val="auto"/>
          <w:sz w:val="32"/>
          <w:szCs w:val="32"/>
          <w:highlight w:val="none"/>
          <w:u w:val="single"/>
        </w:rPr>
        <w:t>（HT-YL- ）</w:t>
      </w:r>
    </w:p>
    <w:p w14:paraId="00A3CD67">
      <w:pPr>
        <w:adjustRightInd w:val="0"/>
        <w:snapToGrid w:val="0"/>
        <w:spacing w:line="560" w:lineRule="exact"/>
        <w:jc w:val="center"/>
        <w:rPr>
          <w:rFonts w:eastAsia="华文中宋"/>
          <w:b/>
          <w:color w:val="auto"/>
          <w:sz w:val="52"/>
          <w:szCs w:val="52"/>
          <w:highlight w:val="none"/>
        </w:rPr>
      </w:pPr>
    </w:p>
    <w:p w14:paraId="7D4A9D18">
      <w:pPr>
        <w:adjustRightInd w:val="0"/>
        <w:snapToGrid w:val="0"/>
        <w:jc w:val="center"/>
        <w:rPr>
          <w:rFonts w:eastAsia="华文中宋"/>
          <w:b/>
          <w:color w:val="auto"/>
          <w:sz w:val="52"/>
          <w:szCs w:val="52"/>
          <w:highlight w:val="none"/>
        </w:rPr>
      </w:pPr>
      <w:r>
        <w:rPr>
          <w:rFonts w:hint="eastAsia" w:ascii="宋体" w:hAnsi="宋体" w:cs="宋体"/>
          <w:b/>
          <w:color w:val="auto"/>
          <w:sz w:val="72"/>
          <w:szCs w:val="52"/>
          <w:highlight w:val="none"/>
          <w:u w:val="single"/>
        </w:rPr>
        <w:t xml:space="preserve"> </w:t>
      </w:r>
      <w:r>
        <w:rPr>
          <w:rFonts w:hint="eastAsia" w:ascii="宋体" w:hAnsi="宋体" w:cs="宋体"/>
          <w:b/>
          <w:color w:val="auto"/>
          <w:sz w:val="72"/>
          <w:szCs w:val="52"/>
          <w:highlight w:val="none"/>
          <w:u w:val="single"/>
          <w:lang w:eastAsia="zh-CN"/>
        </w:rPr>
        <w:t>滁州经开区智能家电产业园施工项目</w:t>
      </w:r>
      <w:r>
        <w:rPr>
          <w:rFonts w:hint="eastAsia" w:ascii="宋体" w:hAnsi="宋体" w:cs="宋体"/>
          <w:b/>
          <w:color w:val="auto"/>
          <w:sz w:val="72"/>
          <w:szCs w:val="52"/>
          <w:highlight w:val="none"/>
        </w:rPr>
        <w:t>施工合同</w:t>
      </w:r>
      <w:r>
        <w:rPr>
          <w:rFonts w:eastAsia="华文中宋"/>
          <w:b/>
          <w:color w:val="auto"/>
          <w:sz w:val="52"/>
          <w:szCs w:val="52"/>
          <w:highlight w:val="none"/>
        </w:rPr>
        <w:br w:type="textWrapping"/>
      </w:r>
      <w:bookmarkStart w:id="723" w:name="_Toc506107333"/>
      <w:bookmarkStart w:id="724" w:name="_Toc15058927"/>
      <w:bookmarkStart w:id="725" w:name="_Toc60061567"/>
    </w:p>
    <w:p w14:paraId="4DA27993">
      <w:pPr>
        <w:adjustRightInd w:val="0"/>
        <w:snapToGrid w:val="0"/>
        <w:spacing w:line="560" w:lineRule="exact"/>
        <w:jc w:val="center"/>
        <w:rPr>
          <w:rFonts w:eastAsia="华文中宋"/>
          <w:b/>
          <w:color w:val="auto"/>
          <w:sz w:val="52"/>
          <w:szCs w:val="52"/>
          <w:highlight w:val="none"/>
        </w:rPr>
      </w:pPr>
    </w:p>
    <w:p w14:paraId="17C2668B">
      <w:pPr>
        <w:adjustRightInd w:val="0"/>
        <w:snapToGrid w:val="0"/>
        <w:spacing w:line="560" w:lineRule="exact"/>
        <w:jc w:val="center"/>
        <w:rPr>
          <w:rFonts w:eastAsia="黑体"/>
          <w:b/>
          <w:color w:val="auto"/>
          <w:sz w:val="72"/>
          <w:szCs w:val="72"/>
          <w:highlight w:val="none"/>
        </w:rPr>
      </w:pPr>
    </w:p>
    <w:p w14:paraId="7B07CF03">
      <w:pPr>
        <w:adjustRightInd w:val="0"/>
        <w:snapToGrid w:val="0"/>
        <w:spacing w:line="560" w:lineRule="exact"/>
        <w:jc w:val="center"/>
        <w:rPr>
          <w:rFonts w:hint="eastAsia" w:ascii="宋体" w:hAnsi="宋体" w:cs="宋体"/>
          <w:b/>
          <w:color w:val="auto"/>
          <w:sz w:val="54"/>
          <w:szCs w:val="72"/>
          <w:highlight w:val="none"/>
        </w:rPr>
      </w:pPr>
    </w:p>
    <w:p w14:paraId="722A1EA0">
      <w:pPr>
        <w:pStyle w:val="19"/>
        <w:rPr>
          <w:color w:val="auto"/>
          <w:highlight w:val="none"/>
        </w:rPr>
      </w:pPr>
    </w:p>
    <w:p w14:paraId="71A95233">
      <w:pPr>
        <w:adjustRightInd w:val="0"/>
        <w:snapToGrid w:val="0"/>
        <w:spacing w:line="560" w:lineRule="exact"/>
        <w:jc w:val="center"/>
        <w:rPr>
          <w:rFonts w:eastAsia="黑体"/>
          <w:b/>
          <w:color w:val="auto"/>
          <w:sz w:val="52"/>
          <w:szCs w:val="52"/>
          <w:highlight w:val="none"/>
        </w:rPr>
      </w:pPr>
    </w:p>
    <w:p w14:paraId="29926363">
      <w:pPr>
        <w:adjustRightInd w:val="0"/>
        <w:snapToGrid w:val="0"/>
        <w:spacing w:line="560" w:lineRule="exact"/>
        <w:rPr>
          <w:b/>
          <w:color w:val="auto"/>
          <w:sz w:val="28"/>
          <w:szCs w:val="28"/>
          <w:highlight w:val="none"/>
        </w:rPr>
      </w:pPr>
    </w:p>
    <w:p w14:paraId="546DF2ED">
      <w:pPr>
        <w:adjustRightInd w:val="0"/>
        <w:snapToGrid w:val="0"/>
        <w:spacing w:line="560" w:lineRule="exact"/>
        <w:rPr>
          <w:b/>
          <w:color w:val="auto"/>
          <w:sz w:val="28"/>
          <w:szCs w:val="28"/>
          <w:highlight w:val="none"/>
        </w:rPr>
      </w:pPr>
    </w:p>
    <w:p w14:paraId="328033A1">
      <w:pPr>
        <w:adjustRightInd w:val="0"/>
        <w:snapToGrid w:val="0"/>
        <w:spacing w:line="560" w:lineRule="exact"/>
        <w:rPr>
          <w:b/>
          <w:color w:val="auto"/>
          <w:sz w:val="28"/>
          <w:szCs w:val="28"/>
          <w:highlight w:val="none"/>
        </w:rPr>
      </w:pPr>
    </w:p>
    <w:p w14:paraId="6CB17B00">
      <w:pPr>
        <w:adjustRightInd w:val="0"/>
        <w:snapToGrid w:val="0"/>
        <w:spacing w:line="560" w:lineRule="exact"/>
        <w:rPr>
          <w:b/>
          <w:color w:val="auto"/>
          <w:sz w:val="28"/>
          <w:szCs w:val="28"/>
          <w:highlight w:val="none"/>
        </w:rPr>
      </w:pPr>
    </w:p>
    <w:p w14:paraId="56DBA0C8">
      <w:pPr>
        <w:adjustRightInd w:val="0"/>
        <w:snapToGrid w:val="0"/>
        <w:spacing w:line="560" w:lineRule="exact"/>
        <w:jc w:val="center"/>
        <w:rPr>
          <w:b/>
          <w:color w:val="auto"/>
          <w:sz w:val="28"/>
          <w:szCs w:val="28"/>
          <w:highlight w:val="none"/>
        </w:rPr>
      </w:pPr>
    </w:p>
    <w:p w14:paraId="21E5003C">
      <w:pPr>
        <w:adjustRightInd w:val="0"/>
        <w:snapToGrid w:val="0"/>
        <w:spacing w:line="560" w:lineRule="exact"/>
        <w:jc w:val="center"/>
        <w:rPr>
          <w:b/>
          <w:color w:val="auto"/>
          <w:sz w:val="32"/>
          <w:szCs w:val="28"/>
          <w:highlight w:val="none"/>
        </w:rPr>
      </w:pPr>
      <w:r>
        <w:rPr>
          <w:color w:val="auto"/>
          <w:szCs w:val="22"/>
          <w:highlight w:val="none"/>
        </w:rPr>
        <mc:AlternateContent>
          <mc:Choice Requires="wps">
            <w:drawing>
              <wp:anchor distT="0" distB="0" distL="114300" distR="114300" simplePos="0" relativeHeight="251660288" behindDoc="0" locked="0" layoutInCell="1" allowOverlap="1">
                <wp:simplePos x="0" y="0"/>
                <wp:positionH relativeFrom="column">
                  <wp:posOffset>4495800</wp:posOffset>
                </wp:positionH>
                <wp:positionV relativeFrom="paragraph">
                  <wp:posOffset>213360</wp:posOffset>
                </wp:positionV>
                <wp:extent cx="723900" cy="457200"/>
                <wp:effectExtent l="4445" t="4445" r="18415" b="10795"/>
                <wp:wrapNone/>
                <wp:docPr id="1" name="文本框 1"/>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100BC1CF"/>
                        </w:txbxContent>
                      </wps:txbx>
                      <wps:bodyPr upright="1"/>
                    </wps:wsp>
                  </a:graphicData>
                </a:graphic>
              </wp:anchor>
            </w:drawing>
          </mc:Choice>
          <mc:Fallback>
            <w:pict>
              <v:shape id="_x0000_s1026" o:spid="_x0000_s1026" o:spt="202" type="#_x0000_t202" style="position:absolute;left:0pt;margin-left:354pt;margin-top:16.8pt;height:36pt;width:57pt;z-index:251660288;mso-width-relative:page;mso-height-relative:page;" filled="f" stroked="t" coordsize="21600,21600" o:gfxdata="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&#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tzKmrZAAAACgEAAA8AAAAAAAAAAQAgAAAAIgAAAGRy&#10;cy9kb3ducmV2LnhtbFBLAQIUABQAAAAIAIdO4kDtHmq6BAIAAAwEAAAOAAAAAAAAAAEAIAAAACgB&#10;AABkcnMvZTJvRG9jLnhtbFBLBQYAAAAABgAGAFkBAACeBQAAAAA=&#10;">
                <v:fill on="f" focussize="0,0"/>
                <v:stroke color="#FFFFFF" joinstyle="miter"/>
                <v:imagedata o:title=""/>
                <o:lock v:ext="edit" aspectratio="f"/>
                <v:textbox>
                  <w:txbxContent>
                    <w:p w14:paraId="100BC1CF"/>
                  </w:txbxContent>
                </v:textbox>
              </v:shape>
            </w:pict>
          </mc:Fallback>
        </mc:AlternateContent>
      </w:r>
      <w:bookmarkEnd w:id="723"/>
      <w:bookmarkEnd w:id="724"/>
      <w:bookmarkEnd w:id="725"/>
      <w:r>
        <w:rPr>
          <w:rFonts w:hint="eastAsia"/>
          <w:b/>
          <w:color w:val="auto"/>
          <w:sz w:val="32"/>
          <w:szCs w:val="28"/>
          <w:highlight w:val="none"/>
        </w:rPr>
        <w:t>住房和城乡建设部</w:t>
      </w:r>
    </w:p>
    <w:p w14:paraId="09FB6B12">
      <w:pPr>
        <w:adjustRightInd w:val="0"/>
        <w:snapToGrid w:val="0"/>
        <w:spacing w:line="560" w:lineRule="exact"/>
        <w:jc w:val="center"/>
        <w:rPr>
          <w:b/>
          <w:color w:val="auto"/>
          <w:sz w:val="32"/>
          <w:szCs w:val="28"/>
          <w:highlight w:val="none"/>
        </w:rPr>
      </w:pPr>
      <w:r>
        <w:rPr>
          <w:rFonts w:hint="eastAsia"/>
          <w:b/>
          <w:color w:val="auto"/>
          <w:sz w:val="32"/>
          <w:szCs w:val="28"/>
          <w:highlight w:val="none"/>
        </w:rPr>
        <w:t>国家工商行政管理总局</w:t>
      </w:r>
    </w:p>
    <w:p w14:paraId="35D6B487">
      <w:pPr>
        <w:adjustRightInd w:val="0"/>
        <w:snapToGrid w:val="0"/>
        <w:spacing w:line="560" w:lineRule="exact"/>
        <w:rPr>
          <w:rFonts w:hint="eastAsia" w:ascii="仿宋_GB2312" w:eastAsia="仿宋_GB2312"/>
          <w:color w:val="auto"/>
          <w:szCs w:val="21"/>
          <w:highlight w:val="none"/>
          <w:u w:val="single"/>
        </w:rPr>
      </w:pPr>
    </w:p>
    <w:p w14:paraId="6A2A48C3">
      <w:pPr>
        <w:keepNext/>
        <w:keepLines/>
        <w:spacing w:line="360" w:lineRule="auto"/>
        <w:jc w:val="both"/>
        <w:outlineLvl w:val="1"/>
        <w:rPr>
          <w:rFonts w:ascii="宋体" w:hAnsi="宋体" w:cs="宋体"/>
          <w:b/>
          <w:bCs/>
          <w:color w:val="auto"/>
          <w:sz w:val="32"/>
          <w:szCs w:val="32"/>
          <w:highlight w:val="none"/>
        </w:rPr>
        <w:sectPr>
          <w:footerReference r:id="rId5" w:type="default"/>
          <w:footnotePr>
            <w:numFmt w:val="decimalEnclosedCircleChinese"/>
            <w:numRestart w:val="eachPage"/>
          </w:footnotePr>
          <w:pgSz w:w="11907" w:h="16840"/>
          <w:pgMar w:top="1474" w:right="1474" w:bottom="1474" w:left="1474" w:header="799" w:footer="907" w:gutter="0"/>
          <w:pgNumType w:fmt="decimal" w:start="1"/>
          <w:cols w:space="720" w:num="1"/>
          <w:docGrid w:linePitch="271" w:charSpace="0"/>
        </w:sectPr>
      </w:pPr>
      <w:bookmarkStart w:id="726" w:name="_Toc28799376"/>
      <w:bookmarkStart w:id="727" w:name="_Toc3977"/>
      <w:bookmarkStart w:id="728" w:name="_Toc95223459"/>
    </w:p>
    <w:p w14:paraId="62B78661">
      <w:pPr>
        <w:keepNext/>
        <w:keepLines/>
        <w:spacing w:line="360" w:lineRule="auto"/>
        <w:jc w:val="center"/>
        <w:outlineLvl w:val="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第一节  合同协议书</w:t>
      </w:r>
      <w:bookmarkEnd w:id="726"/>
      <w:bookmarkEnd w:id="727"/>
      <w:bookmarkEnd w:id="728"/>
    </w:p>
    <w:p w14:paraId="515467EB">
      <w:pPr>
        <w:spacing w:line="360" w:lineRule="auto"/>
        <w:rPr>
          <w:rFonts w:hint="eastAsia" w:ascii="宋体" w:hAnsi="宋体" w:cs="宋体"/>
          <w:b/>
          <w:color w:val="auto"/>
          <w:sz w:val="24"/>
          <w:highlight w:val="none"/>
          <w:u w:val="single"/>
        </w:rPr>
      </w:pPr>
      <w:r>
        <w:rPr>
          <w:rFonts w:hint="eastAsia" w:ascii="宋体" w:hAnsi="宋体" w:cs="宋体"/>
          <w:b/>
          <w:color w:val="auto"/>
          <w:sz w:val="24"/>
          <w:highlight w:val="none"/>
        </w:rPr>
        <w:t>发包人（全</w:t>
      </w:r>
      <w:r>
        <w:rPr>
          <w:rFonts w:hint="eastAsia" w:ascii="宋体" w:hAnsi="宋体" w:cs="宋体"/>
          <w:b/>
          <w:color w:val="auto"/>
          <w:sz w:val="24"/>
          <w:highlight w:val="none"/>
          <w:u w:val="none"/>
        </w:rPr>
        <w:t>称）：</w:t>
      </w:r>
      <w:r>
        <w:rPr>
          <w:rFonts w:hint="eastAsia" w:ascii="宋体" w:hAnsi="宋体" w:cs="宋体"/>
          <w:b/>
          <w:color w:val="auto"/>
          <w:sz w:val="24"/>
          <w:highlight w:val="none"/>
          <w:u w:val="single"/>
        </w:rPr>
        <w:t>滁州同业投资发展有限公司</w:t>
      </w:r>
    </w:p>
    <w:p w14:paraId="0BB55DA8">
      <w:pPr>
        <w:spacing w:line="360" w:lineRule="auto"/>
        <w:rPr>
          <w:rFonts w:hint="eastAsia" w:ascii="宋体" w:hAnsi="宋体" w:cs="宋体"/>
          <w:color w:val="auto"/>
          <w:szCs w:val="21"/>
          <w:highlight w:val="none"/>
          <w:u w:val="single"/>
        </w:rPr>
      </w:pPr>
      <w:r>
        <w:rPr>
          <w:rFonts w:hint="eastAsia" w:ascii="宋体" w:hAnsi="宋体" w:cs="宋体"/>
          <w:b/>
          <w:color w:val="auto"/>
          <w:sz w:val="24"/>
          <w:highlight w:val="none"/>
          <w:u w:val="none"/>
        </w:rPr>
        <w:t>承包人（全称）：</w:t>
      </w:r>
      <w:r>
        <w:rPr>
          <w:rFonts w:hint="eastAsia" w:ascii="宋体" w:hAnsi="宋体" w:cs="宋体"/>
          <w:b/>
          <w:color w:val="auto"/>
          <w:sz w:val="24"/>
          <w:highlight w:val="none"/>
          <w:u w:val="single"/>
        </w:rPr>
        <w:t>                </w:t>
      </w:r>
    </w:p>
    <w:p w14:paraId="69A15F3E">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根据《中华人民共和国民法典》《中华人民共和国建筑法》及有关法律规定，遵循平等、自愿、公平和诚实信用的原则，双方就 </w:t>
      </w:r>
      <w:r>
        <w:rPr>
          <w:rFonts w:hint="eastAsia" w:ascii="宋体" w:hAnsi="宋体" w:cs="宋体"/>
          <w:color w:val="auto"/>
          <w:szCs w:val="21"/>
          <w:highlight w:val="none"/>
          <w:u w:val="single"/>
          <w:lang w:eastAsia="zh-CN"/>
        </w:rPr>
        <w:t>滁州</w:t>
      </w:r>
      <w:r>
        <w:rPr>
          <w:rFonts w:hint="eastAsia" w:ascii="宋体" w:hAnsi="宋体" w:cs="宋体"/>
          <w:color w:val="auto"/>
          <w:szCs w:val="21"/>
          <w:highlight w:val="none"/>
          <w:u w:val="single"/>
          <w:lang w:val="en-US" w:eastAsia="zh-CN"/>
        </w:rPr>
        <w:t>经开区</w:t>
      </w:r>
      <w:r>
        <w:rPr>
          <w:rFonts w:hint="eastAsia" w:ascii="宋体" w:hAnsi="宋体" w:cs="宋体"/>
          <w:color w:val="auto"/>
          <w:szCs w:val="21"/>
          <w:highlight w:val="none"/>
          <w:u w:val="single"/>
          <w:lang w:eastAsia="zh-CN"/>
        </w:rPr>
        <w:t>智能家电产业园施工项目</w:t>
      </w:r>
      <w:r>
        <w:rPr>
          <w:rFonts w:hint="eastAsia" w:ascii="宋体" w:hAnsi="宋体" w:cs="宋体"/>
          <w:color w:val="auto"/>
          <w:szCs w:val="21"/>
          <w:highlight w:val="none"/>
          <w:u w:val="single"/>
        </w:rPr>
        <w:t xml:space="preserve"> 工程施工及有关事项协商一致，共同达成如下协议：</w:t>
      </w:r>
      <w:bookmarkStart w:id="729" w:name="_Toc351203481"/>
    </w:p>
    <w:p w14:paraId="03AD9A86">
      <w:pPr>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u w:val="single"/>
        </w:rPr>
        <w:t>一、工程概况</w:t>
      </w:r>
      <w:bookmarkEnd w:id="729"/>
    </w:p>
    <w:p w14:paraId="12942798">
      <w:pPr>
        <w:spacing w:line="360" w:lineRule="auto"/>
        <w:ind w:firstLine="411" w:firstLineChars="196"/>
        <w:rPr>
          <w:rFonts w:hint="eastAsia" w:ascii="宋体" w:hAnsi="宋体" w:eastAsia="宋体" w:cs="宋体"/>
          <w:color w:val="auto"/>
          <w:szCs w:val="21"/>
          <w:highlight w:val="none"/>
          <w:u w:val="single"/>
          <w:lang w:eastAsia="zh-CN"/>
        </w:rPr>
      </w:pPr>
      <w:r>
        <w:rPr>
          <w:rFonts w:hint="eastAsia" w:ascii="宋体" w:hAnsi="宋体" w:cs="宋体"/>
          <w:bCs/>
          <w:color w:val="auto"/>
          <w:szCs w:val="21"/>
          <w:highlight w:val="none"/>
          <w:u w:val="single"/>
        </w:rPr>
        <w:t>1. 工程名称</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滁州</w:t>
      </w:r>
      <w:r>
        <w:rPr>
          <w:rFonts w:hint="eastAsia" w:ascii="宋体" w:hAnsi="宋体" w:cs="宋体"/>
          <w:color w:val="auto"/>
          <w:szCs w:val="21"/>
          <w:highlight w:val="none"/>
          <w:u w:val="single"/>
          <w:lang w:val="en-US" w:eastAsia="zh-CN"/>
        </w:rPr>
        <w:t>经开区</w:t>
      </w:r>
      <w:r>
        <w:rPr>
          <w:rFonts w:hint="eastAsia" w:ascii="宋体" w:hAnsi="宋体" w:cs="宋体"/>
          <w:color w:val="auto"/>
          <w:szCs w:val="21"/>
          <w:highlight w:val="none"/>
          <w:u w:val="single"/>
          <w:lang w:eastAsia="zh-CN"/>
        </w:rPr>
        <w:t>智能家电产业园施工项目</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p>
    <w:p w14:paraId="0CE24C64">
      <w:pPr>
        <w:spacing w:line="360" w:lineRule="auto"/>
        <w:ind w:firstLine="411" w:firstLineChars="196"/>
        <w:rPr>
          <w:rFonts w:hint="eastAsia" w:ascii="宋体" w:hAnsi="宋体" w:eastAsia="宋体" w:cs="宋体"/>
          <w:bCs/>
          <w:color w:val="auto"/>
          <w:szCs w:val="21"/>
          <w:highlight w:val="none"/>
          <w:u w:val="single"/>
          <w:lang w:eastAsia="zh-CN"/>
        </w:rPr>
      </w:pPr>
      <w:r>
        <w:rPr>
          <w:rFonts w:hint="eastAsia" w:ascii="宋体" w:hAnsi="宋体" w:cs="宋体"/>
          <w:bCs/>
          <w:color w:val="auto"/>
          <w:szCs w:val="21"/>
          <w:highlight w:val="none"/>
          <w:u w:val="single"/>
        </w:rPr>
        <w:t>2. 工程地点：滁州经济开发区长江路与杭州路交叉口西北侧</w:t>
      </w:r>
      <w:r>
        <w:rPr>
          <w:rFonts w:hint="eastAsia" w:ascii="宋体" w:hAnsi="宋体" w:cs="宋体"/>
          <w:color w:val="auto"/>
          <w:szCs w:val="21"/>
          <w:highlight w:val="none"/>
          <w:u w:val="single"/>
          <w:lang w:val="en-US" w:eastAsia="zh-CN"/>
        </w:rPr>
        <w:t xml:space="preserve"> </w:t>
      </w:r>
    </w:p>
    <w:p w14:paraId="742F0C03">
      <w:pPr>
        <w:spacing w:line="360" w:lineRule="auto"/>
        <w:ind w:firstLine="411" w:firstLineChars="196"/>
        <w:rPr>
          <w:rFonts w:hint="eastAsia" w:ascii="宋体" w:hAnsi="宋体" w:eastAsia="宋体" w:cs="宋体"/>
          <w:bCs/>
          <w:color w:val="auto"/>
          <w:szCs w:val="21"/>
          <w:highlight w:val="none"/>
          <w:u w:val="single"/>
          <w:lang w:eastAsia="zh-CN"/>
        </w:rPr>
      </w:pPr>
      <w:r>
        <w:rPr>
          <w:rFonts w:hint="eastAsia" w:ascii="宋体" w:hAnsi="宋体" w:cs="宋体"/>
          <w:bCs/>
          <w:color w:val="auto"/>
          <w:szCs w:val="21"/>
          <w:highlight w:val="none"/>
          <w:u w:val="single"/>
        </w:rPr>
        <w:t xml:space="preserve">3. 工程立项批准文号：                            </w:t>
      </w:r>
      <w:r>
        <w:rPr>
          <w:rFonts w:hint="eastAsia" w:ascii="宋体" w:hAnsi="宋体" w:cs="宋体"/>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 </w:t>
      </w:r>
    </w:p>
    <w:p w14:paraId="0A3A9105">
      <w:pPr>
        <w:spacing w:line="360" w:lineRule="auto"/>
        <w:ind w:firstLine="411" w:firstLineChars="196"/>
        <w:rPr>
          <w:rFonts w:hint="eastAsia" w:ascii="宋体" w:hAnsi="宋体" w:eastAsia="宋体" w:cs="宋体"/>
          <w:bCs/>
          <w:color w:val="auto"/>
          <w:szCs w:val="21"/>
          <w:highlight w:val="none"/>
          <w:u w:val="single"/>
          <w:lang w:eastAsia="zh-CN"/>
        </w:rPr>
      </w:pPr>
      <w:r>
        <w:rPr>
          <w:rFonts w:hint="eastAsia" w:ascii="宋体" w:hAnsi="宋体" w:cs="宋体"/>
          <w:bCs/>
          <w:color w:val="auto"/>
          <w:szCs w:val="21"/>
          <w:highlight w:val="none"/>
          <w:u w:val="single"/>
        </w:rPr>
        <w:t xml:space="preserve">4. 资金来源：  </w:t>
      </w:r>
      <w:r>
        <w:rPr>
          <w:rFonts w:hint="eastAsia" w:ascii="宋体" w:hAnsi="宋体" w:cs="宋体"/>
          <w:bCs/>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p>
    <w:p w14:paraId="4C190CCB">
      <w:pPr>
        <w:spacing w:line="360" w:lineRule="auto"/>
        <w:ind w:firstLine="411" w:firstLineChars="196"/>
        <w:rPr>
          <w:rFonts w:hint="eastAsia" w:ascii="宋体" w:hAnsi="宋体" w:eastAsia="宋体" w:cs="宋体"/>
          <w:bCs/>
          <w:color w:val="auto"/>
          <w:szCs w:val="21"/>
          <w:highlight w:val="none"/>
          <w:u w:val="single"/>
          <w:lang w:eastAsia="zh-CN"/>
        </w:rPr>
      </w:pPr>
      <w:r>
        <w:rPr>
          <w:rFonts w:hint="eastAsia" w:ascii="宋体" w:hAnsi="宋体" w:cs="宋体"/>
          <w:bCs/>
          <w:color w:val="auto"/>
          <w:szCs w:val="21"/>
          <w:highlight w:val="none"/>
          <w:u w:val="single"/>
        </w:rPr>
        <w:t xml:space="preserve">5. 工程内容： </w:t>
      </w:r>
      <w:r>
        <w:rPr>
          <w:rFonts w:hint="eastAsia" w:ascii="宋体" w:hAnsi="宋体" w:cs="宋体"/>
          <w:bCs/>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p>
    <w:p w14:paraId="4816B7D0">
      <w:pPr>
        <w:spacing w:line="360" w:lineRule="auto"/>
        <w:ind w:firstLine="411" w:firstLineChars="196"/>
        <w:rPr>
          <w:rFonts w:hint="eastAsia" w:ascii="宋体" w:hAnsi="宋体" w:cs="宋体"/>
          <w:bCs/>
          <w:color w:val="auto"/>
          <w:szCs w:val="21"/>
          <w:highlight w:val="none"/>
          <w:u w:val="single"/>
        </w:rPr>
      </w:pPr>
      <w:r>
        <w:rPr>
          <w:rFonts w:hint="eastAsia" w:ascii="宋体" w:hAnsi="宋体" w:cs="宋体"/>
          <w:color w:val="auto"/>
          <w:szCs w:val="21"/>
          <w:highlight w:val="none"/>
          <w:u w:val="single"/>
        </w:rPr>
        <w:t>群体工程应附《承包人承揽工程项目一览表》（附件1）。</w:t>
      </w:r>
    </w:p>
    <w:p w14:paraId="77E7BCB5">
      <w:pPr>
        <w:spacing w:line="360" w:lineRule="auto"/>
        <w:ind w:firstLine="411" w:firstLineChars="196"/>
        <w:rPr>
          <w:rFonts w:hint="eastAsia" w:ascii="宋体" w:hAnsi="宋体" w:cs="宋体"/>
          <w:color w:val="auto"/>
          <w:szCs w:val="21"/>
          <w:highlight w:val="none"/>
          <w:u w:val="single"/>
        </w:rPr>
      </w:pPr>
      <w:r>
        <w:rPr>
          <w:rFonts w:hint="eastAsia" w:ascii="宋体" w:hAnsi="宋体" w:cs="宋体"/>
          <w:bCs/>
          <w:color w:val="auto"/>
          <w:szCs w:val="21"/>
          <w:highlight w:val="none"/>
          <w:u w:val="single"/>
        </w:rPr>
        <w:t>6. 工程承包范围：</w:t>
      </w:r>
      <w:r>
        <w:rPr>
          <w:rFonts w:hint="eastAsia" w:ascii="宋体" w:hAnsi="宋体" w:cs="宋体"/>
          <w:color w:val="auto"/>
          <w:szCs w:val="21"/>
          <w:highlight w:val="none"/>
          <w:u w:val="single"/>
        </w:rPr>
        <w:t xml:space="preserve"> </w:t>
      </w:r>
      <w:r>
        <w:rPr>
          <w:rFonts w:hint="eastAsia" w:ascii="宋体" w:hAnsi="宋体" w:cs="宋体"/>
          <w:bCs/>
          <w:color w:val="auto"/>
          <w:szCs w:val="21"/>
          <w:highlight w:val="none"/>
          <w:u w:val="single"/>
        </w:rPr>
        <w:t>本工程施工图纸和工程量清单中的所有内容</w:t>
      </w:r>
      <w:r>
        <w:rPr>
          <w:rFonts w:hint="eastAsia" w:ascii="宋体" w:hAnsi="宋体" w:cs="宋体"/>
          <w:color w:val="auto"/>
          <w:szCs w:val="21"/>
          <w:highlight w:val="none"/>
          <w:u w:val="single"/>
        </w:rPr>
        <w:t xml:space="preserve"> 。</w:t>
      </w:r>
    </w:p>
    <w:p w14:paraId="5EAA6A1E">
      <w:pPr>
        <w:spacing w:line="360" w:lineRule="auto"/>
        <w:ind w:firstLine="422" w:firstLineChars="200"/>
        <w:rPr>
          <w:rFonts w:hint="eastAsia" w:ascii="宋体" w:hAnsi="宋体" w:cs="宋体"/>
          <w:b/>
          <w:color w:val="auto"/>
          <w:szCs w:val="21"/>
          <w:highlight w:val="none"/>
          <w:u w:val="single"/>
        </w:rPr>
      </w:pPr>
      <w:bookmarkStart w:id="730" w:name="_Toc351203482"/>
      <w:r>
        <w:rPr>
          <w:rFonts w:hint="eastAsia" w:ascii="宋体" w:hAnsi="宋体" w:cs="宋体"/>
          <w:b/>
          <w:color w:val="auto"/>
          <w:szCs w:val="21"/>
          <w:highlight w:val="none"/>
          <w:u w:val="single"/>
        </w:rPr>
        <w:t>二、合同工期</w:t>
      </w:r>
      <w:bookmarkEnd w:id="730"/>
    </w:p>
    <w:p w14:paraId="7B2D8C52">
      <w:pPr>
        <w:spacing w:line="360" w:lineRule="auto"/>
        <w:ind w:firstLine="459"/>
        <w:rPr>
          <w:rFonts w:hint="eastAsia" w:ascii="宋体" w:hAnsi="宋体" w:cs="宋体"/>
          <w:color w:val="auto"/>
          <w:szCs w:val="21"/>
          <w:highlight w:val="none"/>
          <w:u w:val="single"/>
        </w:rPr>
      </w:pPr>
      <w:r>
        <w:rPr>
          <w:rFonts w:hint="eastAsia" w:ascii="宋体" w:hAnsi="宋体" w:cs="宋体"/>
          <w:color w:val="auto"/>
          <w:szCs w:val="21"/>
          <w:highlight w:val="none"/>
          <w:u w:val="single"/>
        </w:rPr>
        <w:t>计划开工日期：          年      月      日。</w:t>
      </w:r>
    </w:p>
    <w:p w14:paraId="13FBB815">
      <w:pPr>
        <w:spacing w:line="360" w:lineRule="auto"/>
        <w:ind w:firstLine="459"/>
        <w:rPr>
          <w:rFonts w:hint="eastAsia" w:ascii="宋体" w:hAnsi="宋体" w:cs="宋体"/>
          <w:color w:val="auto"/>
          <w:szCs w:val="21"/>
          <w:highlight w:val="none"/>
          <w:u w:val="single"/>
        </w:rPr>
      </w:pPr>
      <w:r>
        <w:rPr>
          <w:rFonts w:hint="eastAsia" w:ascii="宋体" w:hAnsi="宋体" w:cs="宋体"/>
          <w:color w:val="auto"/>
          <w:szCs w:val="21"/>
          <w:highlight w:val="none"/>
          <w:u w:val="single"/>
        </w:rPr>
        <w:t>计划竣工日期：          年      月      日。</w:t>
      </w:r>
    </w:p>
    <w:p w14:paraId="29DDD852">
      <w:pPr>
        <w:spacing w:line="360" w:lineRule="auto"/>
        <w:ind w:firstLine="459"/>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u w:val="single"/>
        </w:rPr>
        <w:t xml:space="preserve">工期总日历天数：       </w:t>
      </w:r>
      <w:r>
        <w:rPr>
          <w:rFonts w:hint="eastAsia" w:ascii="宋体" w:hAnsi="宋体" w:cs="宋体"/>
          <w:color w:val="auto"/>
          <w:szCs w:val="21"/>
          <w:highlight w:val="none"/>
          <w:u w:val="single"/>
          <w:lang w:val="en-US" w:eastAsia="zh-CN"/>
        </w:rPr>
        <w:t>其中:</w:t>
      </w:r>
    </w:p>
    <w:p w14:paraId="10E0744D">
      <w:pPr>
        <w:spacing w:line="360" w:lineRule="auto"/>
        <w:ind w:firstLine="459"/>
        <w:rPr>
          <w:rFonts w:hint="eastAsia" w:ascii="宋体" w:hAnsi="宋体" w:eastAsia="宋体" w:cs="宋体"/>
          <w:bCs/>
          <w:color w:val="auto"/>
          <w:szCs w:val="21"/>
          <w:highlight w:val="none"/>
          <w:u w:val="single"/>
          <w:lang w:val="en-US" w:eastAsia="zh-CN"/>
        </w:rPr>
      </w:pPr>
      <w:r>
        <w:rPr>
          <w:rFonts w:hint="eastAsia" w:ascii="宋体" w:hAnsi="宋体" w:eastAsia="宋体" w:cs="宋体"/>
          <w:bCs/>
          <w:color w:val="auto"/>
          <w:szCs w:val="21"/>
          <w:highlight w:val="none"/>
          <w:u w:val="single"/>
          <w:lang w:val="en-US" w:eastAsia="zh-CN"/>
        </w:rPr>
        <w:t>注：因承包方原因造成的工期延误，每延期一天向招标人支付10000元/天的违约金，工期提前不奖励。</w:t>
      </w:r>
    </w:p>
    <w:p w14:paraId="65534226">
      <w:pPr>
        <w:spacing w:line="360" w:lineRule="auto"/>
        <w:ind w:firstLine="459"/>
        <w:rPr>
          <w:rFonts w:hint="eastAsia" w:ascii="宋体" w:hAnsi="宋体" w:cs="宋体"/>
          <w:color w:val="auto"/>
          <w:szCs w:val="21"/>
          <w:highlight w:val="none"/>
          <w:u w:val="single"/>
        </w:rPr>
      </w:pPr>
      <w:r>
        <w:rPr>
          <w:rFonts w:hint="eastAsia" w:ascii="宋体" w:hAnsi="宋体" w:cs="宋体"/>
          <w:color w:val="auto"/>
          <w:szCs w:val="21"/>
          <w:highlight w:val="none"/>
          <w:u w:val="single"/>
        </w:rPr>
        <w:t>工期总日历天数与根据前述计划开竣工日期计算的工期天数不一致的，以工期总日历天数为准。</w:t>
      </w:r>
    </w:p>
    <w:p w14:paraId="7B7189D5">
      <w:pPr>
        <w:spacing w:line="360" w:lineRule="auto"/>
        <w:ind w:firstLine="422" w:firstLineChars="200"/>
        <w:rPr>
          <w:rFonts w:hint="eastAsia" w:ascii="宋体" w:hAnsi="宋体" w:cs="宋体"/>
          <w:b/>
          <w:color w:val="auto"/>
          <w:szCs w:val="21"/>
          <w:highlight w:val="none"/>
          <w:u w:val="single"/>
        </w:rPr>
      </w:pPr>
      <w:bookmarkStart w:id="731" w:name="_Toc351203483"/>
      <w:r>
        <w:rPr>
          <w:rFonts w:hint="eastAsia" w:ascii="宋体" w:hAnsi="宋体" w:cs="宋体"/>
          <w:b/>
          <w:color w:val="auto"/>
          <w:szCs w:val="21"/>
          <w:highlight w:val="none"/>
          <w:u w:val="single"/>
        </w:rPr>
        <w:t>三、质量标准</w:t>
      </w:r>
      <w:bookmarkEnd w:id="731"/>
    </w:p>
    <w:p w14:paraId="0EDE5048">
      <w:pPr>
        <w:spacing w:line="360" w:lineRule="auto"/>
        <w:ind w:firstLine="459"/>
        <w:rPr>
          <w:rFonts w:hint="eastAsia" w:ascii="宋体" w:hAnsi="宋体" w:cs="宋体"/>
          <w:color w:val="auto"/>
          <w:szCs w:val="21"/>
          <w:highlight w:val="none"/>
          <w:u w:val="single"/>
        </w:rPr>
      </w:pPr>
      <w:r>
        <w:rPr>
          <w:rFonts w:hint="eastAsia" w:ascii="宋体" w:hAnsi="宋体" w:cs="宋体"/>
          <w:color w:val="auto"/>
          <w:szCs w:val="21"/>
          <w:highlight w:val="none"/>
          <w:u w:val="single"/>
        </w:rPr>
        <w:t>工程质量符合  国家工程施工质量验收</w:t>
      </w:r>
      <w:r>
        <w:rPr>
          <w:rFonts w:hint="eastAsia" w:ascii="宋体" w:hAnsi="宋体" w:cs="宋体"/>
          <w:color w:val="auto"/>
          <w:szCs w:val="21"/>
          <w:highlight w:val="none"/>
          <w:u w:val="single"/>
          <w:lang w:val="en-US" w:eastAsia="zh-CN"/>
        </w:rPr>
        <w:t>合格</w:t>
      </w:r>
      <w:r>
        <w:rPr>
          <w:rFonts w:hint="eastAsia" w:ascii="宋体" w:hAnsi="宋体" w:cs="宋体"/>
          <w:color w:val="auto"/>
          <w:szCs w:val="21"/>
          <w:highlight w:val="none"/>
          <w:u w:val="single"/>
        </w:rPr>
        <w:t xml:space="preserve">   标准。</w:t>
      </w:r>
    </w:p>
    <w:p w14:paraId="6CADAE5C">
      <w:pPr>
        <w:spacing w:line="360" w:lineRule="auto"/>
        <w:ind w:firstLine="422" w:firstLineChars="200"/>
        <w:rPr>
          <w:rFonts w:hint="eastAsia" w:ascii="宋体" w:hAnsi="宋体" w:cs="宋体"/>
          <w:b/>
          <w:color w:val="auto"/>
          <w:szCs w:val="21"/>
          <w:highlight w:val="none"/>
          <w:u w:val="single"/>
        </w:rPr>
      </w:pPr>
      <w:bookmarkStart w:id="732" w:name="_Toc351203484"/>
      <w:r>
        <w:rPr>
          <w:rFonts w:hint="eastAsia" w:ascii="宋体" w:hAnsi="宋体" w:cs="宋体"/>
          <w:b/>
          <w:color w:val="auto"/>
          <w:szCs w:val="21"/>
          <w:highlight w:val="none"/>
          <w:u w:val="single"/>
        </w:rPr>
        <w:t>四、签约合同价与合同价格形式</w:t>
      </w:r>
      <w:bookmarkEnd w:id="732"/>
    </w:p>
    <w:p w14:paraId="24226D7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1. 签约合同价为：</w:t>
      </w:r>
    </w:p>
    <w:p w14:paraId="341A78F1">
      <w:pPr>
        <w:spacing w:line="360" w:lineRule="auto"/>
        <w:ind w:firstLine="525" w:firstLineChars="250"/>
        <w:rPr>
          <w:rFonts w:hint="eastAsia" w:ascii="宋体" w:hAnsi="宋体" w:cs="宋体"/>
          <w:color w:val="auto"/>
          <w:szCs w:val="21"/>
          <w:highlight w:val="none"/>
          <w:u w:val="single"/>
        </w:rPr>
      </w:pPr>
      <w:bookmarkStart w:id="733" w:name="_Toc351203485"/>
      <w:r>
        <w:rPr>
          <w:rFonts w:hint="eastAsia" w:ascii="宋体" w:hAnsi="宋体" w:cs="宋体"/>
          <w:color w:val="auto"/>
          <w:szCs w:val="21"/>
          <w:highlight w:val="none"/>
          <w:u w:val="single"/>
        </w:rPr>
        <w:t>人民币（大写）                 (¥          元)；</w:t>
      </w:r>
    </w:p>
    <w:p w14:paraId="78BD4BD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其中：</w:t>
      </w:r>
    </w:p>
    <w:p w14:paraId="20A356FE">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（1）安全文明施工费：</w:t>
      </w:r>
    </w:p>
    <w:p w14:paraId="76085518">
      <w:pPr>
        <w:spacing w:line="360" w:lineRule="auto"/>
        <w:ind w:firstLine="945" w:firstLineChars="450"/>
        <w:rPr>
          <w:rFonts w:hint="eastAsia" w:ascii="宋体" w:hAnsi="宋体" w:cs="宋体"/>
          <w:color w:val="auto"/>
          <w:szCs w:val="21"/>
          <w:highlight w:val="none"/>
          <w:u w:val="single"/>
        </w:rPr>
      </w:pPr>
      <w:r>
        <w:rPr>
          <w:rFonts w:hint="eastAsia" w:ascii="宋体" w:hAnsi="宋体" w:cs="宋体"/>
          <w:color w:val="auto"/>
          <w:szCs w:val="21"/>
          <w:highlight w:val="none"/>
          <w:u w:val="single"/>
        </w:rPr>
        <w:t>人民币（大写）               (¥          元)；</w:t>
      </w:r>
    </w:p>
    <w:p w14:paraId="3D673F52">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（2）材料和工程设备暂估价金额：</w:t>
      </w:r>
    </w:p>
    <w:p w14:paraId="4254EAEA">
      <w:pPr>
        <w:spacing w:line="360" w:lineRule="auto"/>
        <w:ind w:firstLine="945" w:firstLineChars="450"/>
        <w:rPr>
          <w:rFonts w:hint="eastAsia" w:ascii="宋体" w:hAnsi="宋体" w:cs="宋体"/>
          <w:color w:val="auto"/>
          <w:szCs w:val="21"/>
          <w:highlight w:val="none"/>
          <w:u w:val="single"/>
        </w:rPr>
      </w:pPr>
      <w:r>
        <w:rPr>
          <w:rFonts w:hint="eastAsia" w:ascii="宋体" w:hAnsi="宋体" w:cs="宋体"/>
          <w:color w:val="auto"/>
          <w:szCs w:val="21"/>
          <w:highlight w:val="none"/>
          <w:u w:val="single"/>
        </w:rPr>
        <w:t>人民币（大写）               (¥          元)；</w:t>
      </w:r>
    </w:p>
    <w:p w14:paraId="0D31A78B">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（3）专业工程暂估价金额：</w:t>
      </w:r>
    </w:p>
    <w:p w14:paraId="26DFA6BC">
      <w:pPr>
        <w:spacing w:line="360" w:lineRule="auto"/>
        <w:ind w:firstLine="945" w:firstLineChars="450"/>
        <w:rPr>
          <w:rFonts w:hint="eastAsia" w:ascii="宋体" w:hAnsi="宋体" w:cs="宋体"/>
          <w:color w:val="auto"/>
          <w:szCs w:val="21"/>
          <w:highlight w:val="none"/>
          <w:u w:val="single"/>
        </w:rPr>
      </w:pPr>
      <w:r>
        <w:rPr>
          <w:rFonts w:hint="eastAsia" w:ascii="宋体" w:hAnsi="宋体" w:cs="宋体"/>
          <w:color w:val="auto"/>
          <w:szCs w:val="21"/>
          <w:highlight w:val="none"/>
          <w:u w:val="single"/>
        </w:rPr>
        <w:t>人民币（大写）               (¥          元)；；</w:t>
      </w:r>
    </w:p>
    <w:p w14:paraId="7546048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（4）暂列金额：</w:t>
      </w:r>
    </w:p>
    <w:p w14:paraId="789BDB49">
      <w:pPr>
        <w:spacing w:line="360" w:lineRule="auto"/>
        <w:ind w:firstLine="945" w:firstLineChars="450"/>
        <w:rPr>
          <w:rFonts w:hint="eastAsia"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s="宋体"/>
          <w:color w:val="auto"/>
          <w:szCs w:val="21"/>
          <w:highlight w:val="none"/>
          <w:u w:val="single"/>
        </w:rPr>
        <w:t xml:space="preserve">               (¥          元)；</w:t>
      </w:r>
      <w:r>
        <w:rPr>
          <w:rFonts w:hint="eastAsia" w:ascii="宋体" w:hAnsi="宋体" w:cs="宋体"/>
          <w:color w:val="auto"/>
          <w:szCs w:val="21"/>
          <w:highlight w:val="none"/>
        </w:rPr>
        <w:t>。</w:t>
      </w:r>
    </w:p>
    <w:p w14:paraId="7D8460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 合同价格形式：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单价合同</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51EE9ED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五、</w:t>
      </w:r>
      <w:bookmarkEnd w:id="733"/>
      <w:r>
        <w:rPr>
          <w:rFonts w:hint="eastAsia" w:ascii="宋体" w:hAnsi="宋体" w:cs="宋体"/>
          <w:b/>
          <w:color w:val="auto"/>
          <w:szCs w:val="21"/>
          <w:highlight w:val="none"/>
        </w:rPr>
        <w:t>项目经理</w:t>
      </w:r>
    </w:p>
    <w:p w14:paraId="59CB514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承包人项目经理：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551CE096">
      <w:pPr>
        <w:spacing w:line="360" w:lineRule="auto"/>
        <w:ind w:firstLine="422" w:firstLineChars="200"/>
        <w:rPr>
          <w:rFonts w:hint="eastAsia" w:ascii="宋体" w:hAnsi="宋体" w:cs="宋体"/>
          <w:b/>
          <w:color w:val="auto"/>
          <w:szCs w:val="21"/>
          <w:highlight w:val="none"/>
        </w:rPr>
      </w:pPr>
      <w:bookmarkStart w:id="734" w:name="_Toc351203486"/>
      <w:r>
        <w:rPr>
          <w:rFonts w:hint="eastAsia" w:ascii="宋体" w:hAnsi="宋体" w:cs="宋体"/>
          <w:b/>
          <w:color w:val="auto"/>
          <w:szCs w:val="21"/>
          <w:highlight w:val="none"/>
        </w:rPr>
        <w:t>六、合同文件构成</w:t>
      </w:r>
      <w:bookmarkEnd w:id="734"/>
    </w:p>
    <w:p w14:paraId="020AB3D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本协议书与下列文件一起构成合同文件：</w:t>
      </w:r>
    </w:p>
    <w:p w14:paraId="0C061C18">
      <w:pPr>
        <w:autoSpaceDE w:val="0"/>
        <w:autoSpaceDN w:val="0"/>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（1）中标通知书（如果有）；</w:t>
      </w:r>
    </w:p>
    <w:p w14:paraId="4A797A89">
      <w:pPr>
        <w:autoSpaceDE w:val="0"/>
        <w:autoSpaceDN w:val="0"/>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（2）投标函及其附录（如果有）； </w:t>
      </w:r>
    </w:p>
    <w:p w14:paraId="48DBA77C">
      <w:pPr>
        <w:autoSpaceDE w:val="0"/>
        <w:autoSpaceDN w:val="0"/>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（3）专用合同条款及其附件；</w:t>
      </w:r>
    </w:p>
    <w:p w14:paraId="3B2D256B">
      <w:pPr>
        <w:autoSpaceDE w:val="0"/>
        <w:autoSpaceDN w:val="0"/>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（4）通用合同条款；</w:t>
      </w:r>
    </w:p>
    <w:p w14:paraId="4D34A93B">
      <w:pPr>
        <w:autoSpaceDE w:val="0"/>
        <w:autoSpaceDN w:val="0"/>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（5）技术标准和要求；</w:t>
      </w:r>
    </w:p>
    <w:p w14:paraId="7A13CD0F">
      <w:pPr>
        <w:autoSpaceDE w:val="0"/>
        <w:autoSpaceDN w:val="0"/>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（6）图纸；</w:t>
      </w:r>
    </w:p>
    <w:p w14:paraId="707A9D1E">
      <w:pPr>
        <w:autoSpaceDE w:val="0"/>
        <w:autoSpaceDN w:val="0"/>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（7）已标价工程量清单或预算书；</w:t>
      </w:r>
    </w:p>
    <w:p w14:paraId="147FECEE">
      <w:pPr>
        <w:autoSpaceDE w:val="0"/>
        <w:autoSpaceDN w:val="0"/>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（8）其他合同文件。</w:t>
      </w:r>
    </w:p>
    <w:p w14:paraId="36CEB702">
      <w:pPr>
        <w:autoSpaceDE w:val="0"/>
        <w:autoSpaceDN w:val="0"/>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14:paraId="2C821BEE">
      <w:pPr>
        <w:autoSpaceDE w:val="0"/>
        <w:autoSpaceDN w:val="0"/>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193DD8DA">
      <w:pPr>
        <w:spacing w:line="360" w:lineRule="auto"/>
        <w:ind w:firstLine="422" w:firstLineChars="200"/>
        <w:rPr>
          <w:rFonts w:hint="eastAsia" w:ascii="宋体" w:hAnsi="宋体" w:cs="宋体"/>
          <w:b/>
          <w:color w:val="auto"/>
          <w:szCs w:val="21"/>
          <w:highlight w:val="none"/>
        </w:rPr>
      </w:pPr>
      <w:bookmarkStart w:id="735" w:name="_Toc351203487"/>
      <w:r>
        <w:rPr>
          <w:rFonts w:hint="eastAsia" w:ascii="宋体" w:hAnsi="宋体" w:cs="宋体"/>
          <w:b/>
          <w:color w:val="auto"/>
          <w:szCs w:val="21"/>
          <w:highlight w:val="none"/>
        </w:rPr>
        <w:t>七、承诺</w:t>
      </w:r>
      <w:bookmarkEnd w:id="735"/>
    </w:p>
    <w:p w14:paraId="42D7246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 发包人承诺按照法律规定履行项目审批手续、筹集工程建设资金并按照合同约定的期限和方式支付合同价款。</w:t>
      </w:r>
    </w:p>
    <w:p w14:paraId="5304A07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 承包人承诺按照法律规定及合同约定组织完成工程施工，确保工程质量和安全，不进行转包及违法分包，并在缺陷责任期及保修期内承担相应的工程维修责任。</w:t>
      </w:r>
    </w:p>
    <w:p w14:paraId="311497A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 发包人和承包人通过招投标形式签订合同的，双方理解并承诺不再就本项目通过资信、技术评审且商务标初步评审合格另行签订与合同实质性内容相背离的协议。</w:t>
      </w:r>
    </w:p>
    <w:p w14:paraId="588ED973">
      <w:pPr>
        <w:spacing w:line="360" w:lineRule="auto"/>
        <w:ind w:firstLine="422" w:firstLineChars="200"/>
        <w:rPr>
          <w:rFonts w:hint="eastAsia" w:ascii="宋体" w:hAnsi="宋体" w:cs="宋体"/>
          <w:b/>
          <w:color w:val="auto"/>
          <w:szCs w:val="21"/>
          <w:highlight w:val="none"/>
        </w:rPr>
      </w:pPr>
      <w:bookmarkStart w:id="736" w:name="_Toc351203488"/>
      <w:r>
        <w:rPr>
          <w:rFonts w:hint="eastAsia" w:ascii="宋体" w:hAnsi="宋体" w:cs="宋体"/>
          <w:b/>
          <w:color w:val="auto"/>
          <w:szCs w:val="21"/>
          <w:highlight w:val="none"/>
        </w:rPr>
        <w:t>八、词语含义</w:t>
      </w:r>
      <w:bookmarkEnd w:id="736"/>
    </w:p>
    <w:p w14:paraId="50BD39A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本协议书中词语含义与第二部分通用合同条款中赋予的含义相同。</w:t>
      </w:r>
    </w:p>
    <w:p w14:paraId="086BF627">
      <w:pPr>
        <w:spacing w:line="360" w:lineRule="auto"/>
        <w:ind w:firstLine="422" w:firstLineChars="200"/>
        <w:rPr>
          <w:rFonts w:hint="eastAsia" w:ascii="宋体" w:hAnsi="宋体" w:cs="宋体"/>
          <w:b/>
          <w:color w:val="auto"/>
          <w:szCs w:val="21"/>
          <w:highlight w:val="none"/>
        </w:rPr>
      </w:pPr>
      <w:bookmarkStart w:id="737" w:name="_Toc351203489"/>
      <w:r>
        <w:rPr>
          <w:rFonts w:hint="eastAsia" w:ascii="宋体" w:hAnsi="宋体" w:cs="宋体"/>
          <w:b/>
          <w:color w:val="auto"/>
          <w:szCs w:val="21"/>
          <w:highlight w:val="none"/>
        </w:rPr>
        <w:t>九、签订时间</w:t>
      </w:r>
      <w:bookmarkEnd w:id="737"/>
    </w:p>
    <w:p w14:paraId="293AE54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本合同于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日签订。</w:t>
      </w:r>
    </w:p>
    <w:p w14:paraId="698582BB">
      <w:pPr>
        <w:spacing w:line="360" w:lineRule="auto"/>
        <w:ind w:firstLine="422" w:firstLineChars="200"/>
        <w:rPr>
          <w:rFonts w:hint="eastAsia" w:ascii="宋体" w:hAnsi="宋体" w:cs="宋体"/>
          <w:b/>
          <w:color w:val="auto"/>
          <w:szCs w:val="21"/>
          <w:highlight w:val="none"/>
        </w:rPr>
      </w:pPr>
      <w:bookmarkStart w:id="738" w:name="_Toc351203490"/>
      <w:r>
        <w:rPr>
          <w:rFonts w:hint="eastAsia" w:ascii="宋体" w:hAnsi="宋体" w:cs="宋体"/>
          <w:b/>
          <w:color w:val="auto"/>
          <w:szCs w:val="21"/>
          <w:highlight w:val="none"/>
        </w:rPr>
        <w:t>十、签订地点</w:t>
      </w:r>
      <w:bookmarkEnd w:id="738"/>
    </w:p>
    <w:p w14:paraId="4F99751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bCs/>
          <w:color w:val="auto"/>
          <w:szCs w:val="21"/>
          <w:highlight w:val="none"/>
          <w:u w:val="single"/>
        </w:rPr>
        <w:t xml:space="preserve">    </w:t>
      </w:r>
      <w:r>
        <w:rPr>
          <w:rFonts w:hint="eastAsia" w:ascii="宋体" w:cs="宋体"/>
          <w:bCs/>
          <w:color w:val="auto"/>
          <w:szCs w:val="21"/>
          <w:highlight w:val="none"/>
          <w:u w:val="single"/>
          <w:lang w:val="en-US" w:eastAsia="zh-CN"/>
        </w:rPr>
        <w:t>中新苏滁高新区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签订。</w:t>
      </w:r>
    </w:p>
    <w:p w14:paraId="73C26446">
      <w:pPr>
        <w:spacing w:line="360" w:lineRule="auto"/>
        <w:ind w:firstLine="422" w:firstLineChars="200"/>
        <w:rPr>
          <w:rFonts w:hint="eastAsia" w:ascii="宋体" w:hAnsi="宋体" w:cs="宋体"/>
          <w:b/>
          <w:color w:val="auto"/>
          <w:szCs w:val="21"/>
          <w:highlight w:val="none"/>
        </w:rPr>
      </w:pPr>
      <w:bookmarkStart w:id="739" w:name="_Toc351203491"/>
      <w:r>
        <w:rPr>
          <w:rFonts w:hint="eastAsia" w:ascii="宋体" w:hAnsi="宋体" w:cs="宋体"/>
          <w:b/>
          <w:color w:val="auto"/>
          <w:szCs w:val="21"/>
          <w:highlight w:val="none"/>
        </w:rPr>
        <w:t>十一、补充协议</w:t>
      </w:r>
      <w:bookmarkEnd w:id="739"/>
    </w:p>
    <w:p w14:paraId="6A8B4F09">
      <w:pPr>
        <w:spacing w:line="360" w:lineRule="auto"/>
        <w:ind w:firstLine="420" w:firstLineChars="200"/>
        <w:rPr>
          <w:rFonts w:hint="eastAsia" w:ascii="宋体" w:hAnsi="宋体" w:cs="宋体"/>
          <w:b/>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70F16D66">
      <w:pPr>
        <w:spacing w:line="360" w:lineRule="auto"/>
        <w:ind w:firstLine="422" w:firstLineChars="200"/>
        <w:rPr>
          <w:rFonts w:hint="eastAsia" w:ascii="宋体" w:hAnsi="宋体" w:cs="宋体"/>
          <w:b/>
          <w:color w:val="auto"/>
          <w:szCs w:val="21"/>
          <w:highlight w:val="none"/>
        </w:rPr>
      </w:pPr>
      <w:bookmarkStart w:id="740" w:name="_Toc351203492"/>
      <w:r>
        <w:rPr>
          <w:rFonts w:hint="eastAsia" w:ascii="宋体" w:hAnsi="宋体" w:cs="宋体"/>
          <w:b/>
          <w:color w:val="auto"/>
          <w:szCs w:val="21"/>
          <w:highlight w:val="none"/>
        </w:rPr>
        <w:t>十二、合同生效</w:t>
      </w:r>
      <w:bookmarkEnd w:id="740"/>
    </w:p>
    <w:p w14:paraId="06FAC25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Cs/>
          <w:color w:val="auto"/>
          <w:szCs w:val="21"/>
          <w:highlight w:val="none"/>
          <w:u w:val="single"/>
        </w:rPr>
        <w:t xml:space="preserve">   </w:t>
      </w:r>
      <w:r>
        <w:rPr>
          <w:rFonts w:hint="eastAsia" w:ascii="宋体" w:cs="宋体"/>
          <w:bCs/>
          <w:color w:val="auto"/>
          <w:szCs w:val="21"/>
          <w:highlight w:val="none"/>
          <w:u w:val="single"/>
        </w:rPr>
        <w:t>双方签字</w:t>
      </w:r>
      <w:r>
        <w:rPr>
          <w:rFonts w:hint="eastAsia" w:ascii="宋体" w:cs="宋体"/>
          <w:bCs/>
          <w:color w:val="auto"/>
          <w:szCs w:val="21"/>
          <w:highlight w:val="none"/>
          <w:u w:val="single"/>
          <w:lang w:val="en-US" w:eastAsia="zh-CN"/>
        </w:rPr>
        <w:t>盖</w:t>
      </w:r>
      <w:r>
        <w:rPr>
          <w:rFonts w:hint="eastAsia" w:ascii="宋体" w:cs="宋体"/>
          <w:bCs/>
          <w:color w:val="auto"/>
          <w:szCs w:val="21"/>
          <w:highlight w:val="none"/>
          <w:u w:val="single"/>
        </w:rPr>
        <w:t>章后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生效。</w:t>
      </w:r>
    </w:p>
    <w:p w14:paraId="1465EC3E">
      <w:pPr>
        <w:spacing w:line="360" w:lineRule="auto"/>
        <w:ind w:firstLine="422" w:firstLineChars="200"/>
        <w:rPr>
          <w:rFonts w:hint="eastAsia" w:ascii="宋体" w:hAnsi="宋体" w:cs="宋体"/>
          <w:b/>
          <w:color w:val="auto"/>
          <w:szCs w:val="21"/>
          <w:highlight w:val="none"/>
        </w:rPr>
      </w:pPr>
      <w:bookmarkStart w:id="741" w:name="_Toc351203493"/>
      <w:r>
        <w:rPr>
          <w:rFonts w:hint="eastAsia" w:ascii="宋体" w:hAnsi="宋体" w:cs="宋体"/>
          <w:b/>
          <w:color w:val="auto"/>
          <w:szCs w:val="21"/>
          <w:highlight w:val="none"/>
        </w:rPr>
        <w:t>十三、合同份数</w:t>
      </w:r>
      <w:bookmarkEnd w:id="741"/>
    </w:p>
    <w:p w14:paraId="72CB04C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本合同一式</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w:t>
      </w:r>
    </w:p>
    <w:p w14:paraId="29129639">
      <w:pPr>
        <w:spacing w:line="360" w:lineRule="auto"/>
        <w:rPr>
          <w:rFonts w:hint="eastAsia" w:ascii="宋体" w:hAnsi="宋体" w:cs="宋体"/>
          <w:bCs/>
          <w:color w:val="auto"/>
          <w:szCs w:val="21"/>
          <w:highlight w:val="none"/>
        </w:rPr>
      </w:pPr>
    </w:p>
    <w:p w14:paraId="17C54B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(公章)          承包人：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(公章)</w:t>
      </w:r>
    </w:p>
    <w:p w14:paraId="173C73D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p>
    <w:p w14:paraId="4CA382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              法定代表人或其委托代理人：</w:t>
      </w:r>
    </w:p>
    <w:p w14:paraId="0392CD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（签字）</w:t>
      </w:r>
      <w:r>
        <w:rPr>
          <w:rFonts w:hint="eastAsia" w:ascii="宋体" w:hAnsi="宋体" w:cs="宋体"/>
          <w:color w:val="auto"/>
          <w:szCs w:val="21"/>
          <w:highlight w:val="none"/>
          <w:u w:val="single"/>
        </w:rPr>
        <w:t xml:space="preserve">                  </w:t>
      </w:r>
    </w:p>
    <w:p w14:paraId="2C90BD30">
      <w:pPr>
        <w:spacing w:line="360" w:lineRule="auto"/>
        <w:rPr>
          <w:rFonts w:hint="eastAsia" w:ascii="宋体" w:hAnsi="宋体" w:cs="宋体"/>
          <w:color w:val="auto"/>
          <w:szCs w:val="21"/>
          <w:highlight w:val="none"/>
          <w:u w:val="single"/>
        </w:rPr>
      </w:pPr>
    </w:p>
    <w:p w14:paraId="36293B69">
      <w:pPr>
        <w:tabs>
          <w:tab w:val="left" w:pos="441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组织机构代码：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组织机构代码：</w:t>
      </w:r>
      <w:r>
        <w:rPr>
          <w:rFonts w:hint="eastAsia" w:ascii="宋体" w:hAnsi="宋体" w:cs="宋体"/>
          <w:color w:val="auto"/>
          <w:szCs w:val="21"/>
          <w:highlight w:val="none"/>
          <w:u w:val="single"/>
        </w:rPr>
        <w:t>             </w:t>
      </w:r>
      <w:r>
        <w:rPr>
          <w:rFonts w:hint="eastAsia" w:ascii="宋体" w:hAnsi="宋体" w:cs="宋体"/>
          <w:color w:val="auto"/>
          <w:szCs w:val="21"/>
          <w:highlight w:val="none"/>
        </w:rPr>
        <w:t xml:space="preserve"> </w:t>
      </w:r>
    </w:p>
    <w:p w14:paraId="016F92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p>
    <w:p w14:paraId="695785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14:paraId="7B1BB7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法定代表人：</w:t>
      </w:r>
      <w:r>
        <w:rPr>
          <w:rFonts w:hint="eastAsia" w:ascii="宋体" w:hAnsi="宋体" w:cs="宋体"/>
          <w:color w:val="auto"/>
          <w:szCs w:val="21"/>
          <w:highlight w:val="none"/>
          <w:u w:val="single"/>
        </w:rPr>
        <w:t xml:space="preserve">               </w:t>
      </w:r>
    </w:p>
    <w:p w14:paraId="180883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w:t>
      </w:r>
      <w:r>
        <w:rPr>
          <w:rFonts w:hint="eastAsia" w:ascii="宋体" w:hAnsi="宋体" w:cs="宋体"/>
          <w:color w:val="auto"/>
          <w:szCs w:val="21"/>
          <w:highlight w:val="none"/>
          <w:u w:val="single"/>
        </w:rPr>
        <w:t xml:space="preserve">                   </w:t>
      </w:r>
    </w:p>
    <w:p w14:paraId="530E11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14:paraId="64AD3A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 </w:t>
      </w:r>
    </w:p>
    <w:p w14:paraId="33CFBA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电子信箱：</w:t>
      </w:r>
      <w:r>
        <w:rPr>
          <w:rFonts w:hint="eastAsia" w:ascii="宋体" w:hAnsi="宋体" w:cs="宋体"/>
          <w:color w:val="auto"/>
          <w:szCs w:val="21"/>
          <w:highlight w:val="none"/>
          <w:u w:val="single"/>
        </w:rPr>
        <w:t xml:space="preserve">                     </w:t>
      </w:r>
    </w:p>
    <w:p w14:paraId="21D8EA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698BB3B0">
      <w:pPr>
        <w:ind w:firstLine="420" w:firstLineChars="200"/>
        <w:rPr>
          <w:rFonts w:hint="eastAsia" w:ascii="宋体" w:hAnsi="宋体" w:cs="宋体"/>
          <w:color w:val="auto"/>
          <w:highlight w:val="non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14:paraId="5228CB2D">
      <w:pPr>
        <w:pStyle w:val="19"/>
        <w:rPr>
          <w:rFonts w:hint="eastAsia"/>
          <w:color w:val="auto"/>
          <w:highlight w:val="none"/>
        </w:rPr>
      </w:pPr>
      <w:bookmarkStart w:id="742" w:name="_Toc28799377"/>
    </w:p>
    <w:p w14:paraId="3965C723">
      <w:pPr>
        <w:rPr>
          <w:rFonts w:hint="eastAsia"/>
          <w:color w:val="auto"/>
          <w:highlight w:val="none"/>
        </w:rPr>
      </w:pPr>
    </w:p>
    <w:p w14:paraId="27C77D5F">
      <w:pPr>
        <w:pStyle w:val="19"/>
        <w:rPr>
          <w:rFonts w:hint="eastAsia"/>
          <w:color w:val="auto"/>
          <w:highlight w:val="none"/>
        </w:rPr>
      </w:pPr>
    </w:p>
    <w:p w14:paraId="519D3700">
      <w:pPr>
        <w:rPr>
          <w:rFonts w:hint="eastAsia"/>
          <w:color w:val="auto"/>
          <w:highlight w:val="none"/>
        </w:rPr>
      </w:pPr>
    </w:p>
    <w:p w14:paraId="5BC689FB">
      <w:pPr>
        <w:pStyle w:val="19"/>
        <w:rPr>
          <w:rFonts w:hint="eastAsia"/>
          <w:color w:val="auto"/>
          <w:highlight w:val="none"/>
        </w:rPr>
      </w:pPr>
    </w:p>
    <w:p w14:paraId="6116C428">
      <w:pPr>
        <w:rPr>
          <w:rFonts w:hint="eastAsia"/>
          <w:color w:val="auto"/>
          <w:highlight w:val="none"/>
        </w:rPr>
      </w:pPr>
    </w:p>
    <w:p w14:paraId="0444BD3D">
      <w:pPr>
        <w:pStyle w:val="19"/>
        <w:rPr>
          <w:rFonts w:hint="eastAsia"/>
          <w:color w:val="auto"/>
          <w:highlight w:val="none"/>
        </w:rPr>
      </w:pPr>
    </w:p>
    <w:p w14:paraId="04836342">
      <w:pPr>
        <w:pStyle w:val="19"/>
        <w:ind w:left="0" w:leftChars="0" w:firstLine="0" w:firstLineChars="0"/>
        <w:rPr>
          <w:rFonts w:hint="eastAsia"/>
          <w:color w:val="auto"/>
          <w:highlight w:val="none"/>
        </w:rPr>
      </w:pPr>
    </w:p>
    <w:p w14:paraId="606CA0BC">
      <w:pPr>
        <w:rPr>
          <w:rFonts w:hint="eastAsia"/>
          <w:color w:val="auto"/>
          <w:highlight w:val="none"/>
        </w:rPr>
      </w:pPr>
    </w:p>
    <w:p w14:paraId="41302FB8">
      <w:pPr>
        <w:pStyle w:val="19"/>
        <w:rPr>
          <w:rFonts w:hint="eastAsia"/>
          <w:color w:val="auto"/>
          <w:highlight w:val="none"/>
        </w:rPr>
      </w:pPr>
    </w:p>
    <w:p w14:paraId="7BAFBC26">
      <w:pPr>
        <w:keepNext/>
        <w:keepLines/>
        <w:spacing w:line="360" w:lineRule="auto"/>
        <w:jc w:val="center"/>
        <w:outlineLvl w:val="1"/>
        <w:rPr>
          <w:rFonts w:ascii="宋体" w:hAnsi="宋体" w:cs="宋体"/>
          <w:b/>
          <w:bCs/>
          <w:color w:val="auto"/>
          <w:sz w:val="32"/>
          <w:szCs w:val="32"/>
          <w:highlight w:val="none"/>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bookmarkStart w:id="743" w:name="_Toc15494"/>
      <w:bookmarkStart w:id="744" w:name="_Toc95223460"/>
    </w:p>
    <w:p w14:paraId="0E0CFB22">
      <w:pPr>
        <w:keepNext/>
        <w:keepLines/>
        <w:spacing w:line="360" w:lineRule="auto"/>
        <w:jc w:val="center"/>
        <w:outlineLvl w:val="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第二节  通用合同条款</w:t>
      </w:r>
      <w:bookmarkEnd w:id="742"/>
      <w:bookmarkEnd w:id="743"/>
      <w:bookmarkEnd w:id="744"/>
    </w:p>
    <w:p w14:paraId="628CCFBF">
      <w:pPr>
        <w:ind w:firstLine="560" w:firstLineChars="200"/>
        <w:rPr>
          <w:rFonts w:hint="eastAsia" w:ascii="宋体" w:hAnsi="宋体" w:cs="宋体"/>
          <w:snapToGrid w:val="0"/>
          <w:color w:val="auto"/>
          <w:kern w:val="0"/>
          <w:sz w:val="28"/>
          <w:highlight w:val="none"/>
        </w:rPr>
      </w:pPr>
    </w:p>
    <w:p w14:paraId="5F0AAFFE">
      <w:pPr>
        <w:adjustRightInd w:val="0"/>
        <w:snapToGrid w:val="0"/>
        <w:spacing w:line="480" w:lineRule="auto"/>
        <w:ind w:firstLine="562" w:firstLineChars="200"/>
        <w:rPr>
          <w:rFonts w:hint="eastAsia" w:ascii="宋体" w:hAnsi="宋体" w:cs="宋体"/>
          <w:b/>
          <w:bCs/>
          <w:snapToGrid w:val="0"/>
          <w:color w:val="auto"/>
          <w:kern w:val="0"/>
          <w:sz w:val="28"/>
          <w:highlight w:val="none"/>
        </w:rPr>
      </w:pPr>
      <w:r>
        <w:rPr>
          <w:rFonts w:hint="eastAsia" w:ascii="宋体" w:hAnsi="宋体" w:cs="宋体"/>
          <w:b/>
          <w:bCs/>
          <w:snapToGrid w:val="0"/>
          <w:color w:val="auto"/>
          <w:kern w:val="0"/>
          <w:sz w:val="28"/>
          <w:highlight w:val="none"/>
        </w:rPr>
        <w:t>采用《建设工程施工合同(示范文本)》（GF-2017-0201）中通用合同条款。上述资料由投标人自行准备。</w:t>
      </w:r>
    </w:p>
    <w:p w14:paraId="662E2876">
      <w:pPr>
        <w:keepNext/>
        <w:keepLines/>
        <w:adjustRightInd w:val="0"/>
        <w:snapToGrid w:val="0"/>
        <w:spacing w:line="360" w:lineRule="auto"/>
        <w:jc w:val="center"/>
        <w:outlineLvl w:val="1"/>
        <w:rPr>
          <w:rFonts w:hint="eastAsia" w:ascii="宋体" w:hAnsi="宋体" w:cs="宋体"/>
          <w:bCs/>
          <w:color w:val="auto"/>
          <w:sz w:val="32"/>
          <w:szCs w:val="32"/>
          <w:highlight w:val="none"/>
        </w:rPr>
      </w:pPr>
      <w:r>
        <w:rPr>
          <w:rFonts w:hint="eastAsia" w:ascii="宋体" w:hAnsi="宋体" w:cs="宋体"/>
          <w:b/>
          <w:bCs/>
          <w:color w:val="auto"/>
          <w:sz w:val="24"/>
          <w:szCs w:val="32"/>
          <w:highlight w:val="none"/>
        </w:rPr>
        <w:br w:type="page"/>
      </w:r>
      <w:bookmarkStart w:id="745" w:name="_Toc8192"/>
      <w:bookmarkStart w:id="746" w:name="_Toc95223461"/>
      <w:bookmarkStart w:id="747" w:name="_Toc28799378"/>
      <w:r>
        <w:rPr>
          <w:rFonts w:hint="eastAsia" w:ascii="宋体" w:hAnsi="宋体" w:cs="宋体"/>
          <w:b/>
          <w:bCs/>
          <w:color w:val="auto"/>
          <w:sz w:val="32"/>
          <w:szCs w:val="32"/>
          <w:highlight w:val="none"/>
        </w:rPr>
        <w:t>第三节  专用合同条款</w:t>
      </w:r>
      <w:bookmarkEnd w:id="745"/>
      <w:bookmarkEnd w:id="746"/>
      <w:bookmarkEnd w:id="747"/>
    </w:p>
    <w:p w14:paraId="31295ACD">
      <w:pPr>
        <w:keepNext/>
        <w:keepLines/>
        <w:adjustRightInd w:val="0"/>
        <w:snapToGrid w:val="0"/>
        <w:spacing w:line="384" w:lineRule="auto"/>
        <w:jc w:val="left"/>
        <w:outlineLvl w:val="2"/>
        <w:rPr>
          <w:rFonts w:hint="eastAsia" w:ascii="宋体" w:hAnsi="宋体" w:cs="宋体"/>
          <w:bCs/>
          <w:color w:val="auto"/>
          <w:sz w:val="24"/>
          <w:highlight w:val="none"/>
        </w:rPr>
      </w:pPr>
      <w:bookmarkStart w:id="748" w:name="_Toc351203633"/>
      <w:bookmarkStart w:id="749" w:name="_Toc95223462"/>
      <w:r>
        <w:rPr>
          <w:rFonts w:hint="eastAsia" w:ascii="宋体" w:hAnsi="宋体" w:cs="宋体"/>
          <w:bCs/>
          <w:color w:val="auto"/>
          <w:sz w:val="24"/>
          <w:highlight w:val="none"/>
        </w:rPr>
        <w:t>1</w:t>
      </w:r>
      <w:bookmarkStart w:id="750" w:name="_Toc297120456"/>
      <w:bookmarkStart w:id="751" w:name="_Toc296891196"/>
      <w:bookmarkStart w:id="752" w:name="_Toc296944495"/>
      <w:bookmarkStart w:id="753" w:name="_Toc292559866"/>
      <w:bookmarkStart w:id="754" w:name="_Toc296503156"/>
      <w:bookmarkStart w:id="755" w:name="_Toc292559361"/>
      <w:bookmarkStart w:id="756" w:name="_Toc297048342"/>
      <w:bookmarkStart w:id="757" w:name="_Toc296347155"/>
      <w:bookmarkStart w:id="758" w:name="_Toc296346657"/>
      <w:bookmarkStart w:id="759" w:name="_Toc296890984"/>
      <w:r>
        <w:rPr>
          <w:rFonts w:hint="eastAsia" w:ascii="宋体" w:hAnsi="宋体" w:cs="宋体"/>
          <w:bCs/>
          <w:color w:val="auto"/>
          <w:sz w:val="24"/>
          <w:highlight w:val="none"/>
        </w:rPr>
        <w:t>. 一般约定</w:t>
      </w:r>
      <w:bookmarkEnd w:id="748"/>
      <w:bookmarkEnd w:id="749"/>
    </w:p>
    <w:bookmarkEnd w:id="750"/>
    <w:bookmarkEnd w:id="751"/>
    <w:bookmarkEnd w:id="752"/>
    <w:bookmarkEnd w:id="753"/>
    <w:bookmarkEnd w:id="754"/>
    <w:bookmarkEnd w:id="755"/>
    <w:bookmarkEnd w:id="756"/>
    <w:bookmarkEnd w:id="757"/>
    <w:bookmarkEnd w:id="758"/>
    <w:bookmarkEnd w:id="759"/>
    <w:p w14:paraId="3FC1D423">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1.1 词语定义与解释</w:t>
      </w:r>
    </w:p>
    <w:p w14:paraId="67F2A75E">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1.1.1 合同</w:t>
      </w:r>
    </w:p>
    <w:p w14:paraId="73CEAA0F">
      <w:pPr>
        <w:adjustRightInd w:val="0"/>
        <w:snapToGrid w:val="0"/>
        <w:spacing w:line="384" w:lineRule="auto"/>
        <w:ind w:firstLine="420" w:firstLineChars="200"/>
        <w:rPr>
          <w:rFonts w:hint="eastAsia" w:ascii="宋体" w:hAnsi="宋体" w:cs="宋体"/>
          <w:color w:val="auto"/>
          <w:kern w:val="0"/>
          <w:highlight w:val="none"/>
          <w:u w:val="single"/>
        </w:rPr>
      </w:pPr>
      <w:r>
        <w:rPr>
          <w:rFonts w:hint="eastAsia" w:ascii="宋体" w:hAnsi="宋体" w:cs="宋体"/>
          <w:color w:val="auto"/>
          <w:kern w:val="0"/>
          <w:highlight w:val="none"/>
        </w:rPr>
        <w:t>1.1.1.10 其他合同文件包括：</w:t>
      </w:r>
      <w:r>
        <w:rPr>
          <w:rFonts w:hint="eastAsia" w:ascii="宋体" w:hAnsi="宋体" w:cs="宋体"/>
          <w:color w:val="auto"/>
          <w:kern w:val="0"/>
          <w:szCs w:val="21"/>
          <w:highlight w:val="none"/>
          <w:u w:val="single"/>
        </w:rPr>
        <w:t>本项目招标文件、在合同订立及履行过程中形成的与合同有关的文件均构成合同文件组成部分，若上述文件有不明确或不一致之处，以招标文件为准</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656BEE0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1.1.2 合同当事人及其他相关方</w:t>
      </w:r>
    </w:p>
    <w:p w14:paraId="5D908219">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1.1.2.4 监理人：</w:t>
      </w:r>
    </w:p>
    <w:p w14:paraId="11FDD120">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13427A5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    </w:t>
      </w:r>
      <w:r>
        <w:rPr>
          <w:rFonts w:hint="eastAsia" w:ascii="宋体" w:hAnsi="宋体" w:cs="宋体"/>
          <w:color w:val="auto"/>
          <w:highlight w:val="none"/>
        </w:rPr>
        <w:t>；</w:t>
      </w:r>
    </w:p>
    <w:p w14:paraId="77A5C59F">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DC9C3BB">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446F660">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A67F49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1.1.2.5 设计人：</w:t>
      </w:r>
    </w:p>
    <w:p w14:paraId="33AE8EB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258FCF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w:t>
      </w:r>
      <w:r>
        <w:rPr>
          <w:rFonts w:hint="eastAsia" w:ascii="宋体" w:hAnsi="宋体" w:cs="宋体"/>
          <w:color w:val="auto"/>
          <w:highlight w:val="none"/>
        </w:rPr>
        <w:t>；</w:t>
      </w:r>
    </w:p>
    <w:p w14:paraId="2185ABBF">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2A2591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475CE19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03AD158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1.1.3 工程和设备</w:t>
      </w:r>
    </w:p>
    <w:p w14:paraId="2C81CF4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1.1.3.7 作为施工现场组成部分的其他场所包括：</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见施工图纸并现场确定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DC07213">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1.1.3.9 永久占地包括：</w:t>
      </w:r>
      <w:r>
        <w:rPr>
          <w:rFonts w:hint="eastAsia" w:ascii="宋体" w:hAnsi="宋体" w:cs="宋体"/>
          <w:color w:val="auto"/>
          <w:highlight w:val="none"/>
          <w:u w:val="single"/>
        </w:rPr>
        <w:t xml:space="preserve">  </w:t>
      </w:r>
      <w:r>
        <w:rPr>
          <w:rFonts w:hint="eastAsia" w:ascii="宋体" w:hAnsi="宋体" w:eastAsia="宋体" w:cs="宋体"/>
          <w:color w:val="auto"/>
          <w:szCs w:val="21"/>
          <w:highlight w:val="none"/>
          <w:u w:val="single"/>
        </w:rPr>
        <w:t>见施工图纸</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6A9C8F1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kern w:val="0"/>
          <w:highlight w:val="none"/>
        </w:rPr>
        <w:t>1.1.3.10 临时占地包括：</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 xml:space="preserve"> 现场确定</w:t>
      </w:r>
      <w:r>
        <w:rPr>
          <w:rFonts w:hint="eastAsia" w:ascii="宋体" w:hAnsi="宋体" w:cs="宋体"/>
          <w:color w:val="auto"/>
          <w:highlight w:val="none"/>
          <w:u w:val="single"/>
        </w:rPr>
        <w:t></w:t>
      </w:r>
      <w:r>
        <w:rPr>
          <w:rFonts w:hint="eastAsia" w:ascii="宋体" w:hAnsi="宋体" w:cs="宋体"/>
          <w:color w:val="auto"/>
          <w:kern w:val="0"/>
          <w:highlight w:val="none"/>
        </w:rPr>
        <w:t>。</w:t>
      </w:r>
    </w:p>
    <w:p w14:paraId="70557463">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 xml:space="preserve">1.3 法律 </w:t>
      </w:r>
    </w:p>
    <w:p w14:paraId="7AA6B471">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适用于合同的其他规范性文件：</w:t>
      </w:r>
      <w:r>
        <w:rPr>
          <w:rFonts w:hint="eastAsia" w:ascii="宋体" w:hAnsi="宋体" w:cs="宋体"/>
          <w:color w:val="auto"/>
          <w:highlight w:val="none"/>
          <w:lang w:val="en-US" w:eastAsia="zh-CN"/>
        </w:rPr>
        <w:t xml:space="preserve"> </w:t>
      </w:r>
      <w:r>
        <w:rPr>
          <w:rFonts w:hint="eastAsia" w:ascii="宋体" w:hAnsi="宋体" w:cs="宋体"/>
          <w:color w:val="auto"/>
          <w:szCs w:val="21"/>
          <w:highlight w:val="none"/>
          <w:u w:val="single"/>
        </w:rPr>
        <w:t xml:space="preserve">《中华人民共和国民法典》、《中华人民共和国建筑法》、《中华人民共和国招标投标法》、《建设工程质量管理条例》、《建设工程安全生产管理条例》等国家及工程所在地现行有效的法律法规和规章 </w:t>
      </w:r>
      <w:r>
        <w:rPr>
          <w:rFonts w:hint="eastAsia" w:ascii="宋体" w:hAnsi="宋体" w:cs="宋体"/>
          <w:color w:val="auto"/>
          <w:szCs w:val="21"/>
          <w:highlight w:val="none"/>
        </w:rPr>
        <w:t>。</w:t>
      </w:r>
    </w:p>
    <w:p w14:paraId="74D7A5C6">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1.4 标准和规范</w:t>
      </w:r>
    </w:p>
    <w:p w14:paraId="465796F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1.4.1 适用于工程的标准规范包括：</w:t>
      </w:r>
      <w:r>
        <w:rPr>
          <w:rFonts w:hint="eastAsia" w:ascii="宋体" w:hAnsi="宋体" w:cs="宋体"/>
          <w:color w:val="auto"/>
          <w:szCs w:val="21"/>
          <w:highlight w:val="none"/>
          <w:u w:val="single"/>
        </w:rPr>
        <w:t xml:space="preserve"> 中华人民共和国建设部颁发的现行的有关标准、规范及省、市有关规定  </w:t>
      </w:r>
      <w:r>
        <w:rPr>
          <w:rFonts w:hint="eastAsia" w:ascii="宋体" w:hAnsi="宋体" w:cs="宋体"/>
          <w:color w:val="auto"/>
          <w:szCs w:val="21"/>
          <w:highlight w:val="none"/>
        </w:rPr>
        <w:t>。</w:t>
      </w:r>
    </w:p>
    <w:p w14:paraId="54E4FDB1">
      <w:pPr>
        <w:adjustRightInd w:val="0"/>
        <w:snapToGrid w:val="0"/>
        <w:spacing w:line="384" w:lineRule="auto"/>
        <w:ind w:firstLine="420" w:firstLineChars="200"/>
        <w:rPr>
          <w:rFonts w:hint="eastAsia" w:ascii="宋体" w:hAnsi="宋体" w:cs="宋体"/>
          <w:color w:val="auto"/>
          <w:kern w:val="0"/>
          <w:highlight w:val="none"/>
          <w:u w:val="single"/>
        </w:rPr>
      </w:pPr>
      <w:r>
        <w:rPr>
          <w:rFonts w:hint="eastAsia" w:ascii="宋体" w:hAnsi="宋体" w:cs="宋体"/>
          <w:color w:val="auto"/>
          <w:kern w:val="0"/>
          <w:highlight w:val="none"/>
        </w:rPr>
        <w:t>1.4.2 发包人提供国外标准、规范的名称：</w:t>
      </w:r>
      <w:r>
        <w:rPr>
          <w:rFonts w:hint="eastAsia" w:ascii="宋体" w:hAnsi="宋体" w:cs="宋体"/>
          <w:color w:val="auto"/>
          <w:kern w:val="0"/>
          <w:highlight w:val="none"/>
          <w:u w:val="single"/>
        </w:rPr>
        <w:t xml:space="preserve"> </w:t>
      </w:r>
      <w:r>
        <w:rPr>
          <w:rFonts w:hint="eastAsia" w:ascii="宋体" w:hAnsi="宋体" w:cs="宋体"/>
          <w:color w:val="auto"/>
          <w:kern w:val="0"/>
          <w:szCs w:val="21"/>
          <w:highlight w:val="none"/>
          <w:u w:val="single"/>
        </w:rPr>
        <w:t>承包人自备国内现行适用的标准、规范</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2C7223AA">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发包人提供国外标准、规范的份数：</w:t>
      </w:r>
      <w:r>
        <w:rPr>
          <w:rFonts w:hint="eastAsia" w:ascii="宋体" w:hAnsi="宋体" w:cs="宋体"/>
          <w:color w:val="auto"/>
          <w:kern w:val="0"/>
          <w:highlight w:val="none"/>
          <w:u w:val="single"/>
        </w:rPr>
        <w:t xml:space="preserve">  </w:t>
      </w:r>
      <w:r>
        <w:rPr>
          <w:rFonts w:hint="eastAsia" w:ascii="宋体" w:hAnsi="宋体" w:eastAsia="宋体" w:cs="宋体"/>
          <w:color w:val="auto"/>
          <w:kern w:val="0"/>
          <w:szCs w:val="21"/>
          <w:highlight w:val="none"/>
          <w:u w:val="single"/>
          <w:lang w:val="en-US" w:eastAsia="zh-CN"/>
        </w:rPr>
        <w:t>无</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61E5149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kern w:val="0"/>
          <w:highlight w:val="none"/>
        </w:rPr>
        <w:t>发包人提供国外标准、规范的时间：</w:t>
      </w:r>
      <w:r>
        <w:rPr>
          <w:rFonts w:hint="eastAsia" w:ascii="宋体" w:hAnsi="宋体" w:cs="宋体"/>
          <w:color w:val="auto"/>
          <w:kern w:val="0"/>
          <w:highlight w:val="none"/>
          <w:u w:val="single"/>
        </w:rPr>
        <w:t xml:space="preserve">  </w:t>
      </w:r>
      <w:r>
        <w:rPr>
          <w:rFonts w:hint="eastAsia" w:ascii="宋体" w:hAnsi="宋体" w:eastAsia="宋体" w:cs="宋体"/>
          <w:color w:val="auto"/>
          <w:kern w:val="0"/>
          <w:szCs w:val="21"/>
          <w:highlight w:val="none"/>
          <w:u w:val="single"/>
          <w:lang w:val="en-US" w:eastAsia="zh-CN"/>
        </w:rPr>
        <w:t>无</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526C168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1.4.3 发包人对工程的技术标准和功能要求的特殊要求：</w:t>
      </w:r>
      <w:r>
        <w:rPr>
          <w:rFonts w:hint="eastAsia" w:ascii="宋体" w:hAnsi="宋体" w:cs="宋体"/>
          <w:color w:val="auto"/>
          <w:highlight w:val="none"/>
          <w:u w:val="single"/>
        </w:rPr>
        <w:t xml:space="preserve"> </w:t>
      </w:r>
      <w:r>
        <w:rPr>
          <w:rFonts w:hint="eastAsia" w:ascii="宋体" w:hAnsi="宋体" w:eastAsia="宋体" w:cs="宋体"/>
          <w:color w:val="auto"/>
          <w:kern w:val="0"/>
          <w:szCs w:val="21"/>
          <w:highlight w:val="none"/>
          <w:u w:val="single"/>
          <w:lang w:val="en-US" w:eastAsia="zh-CN"/>
        </w:rPr>
        <w:t>按现行规范执行</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E09862A">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1.5 合同文件的优先顺序</w:t>
      </w:r>
    </w:p>
    <w:p w14:paraId="297AE83A">
      <w:pPr>
        <w:adjustRightInd w:val="0"/>
        <w:snapToGrid w:val="0"/>
        <w:spacing w:line="384" w:lineRule="auto"/>
        <w:ind w:firstLine="420" w:firstLineChars="200"/>
        <w:rPr>
          <w:rFonts w:hint="eastAsia" w:ascii="宋体" w:hAnsi="宋体" w:eastAsia="宋体" w:cs="宋体"/>
          <w:b/>
          <w:color w:val="auto"/>
          <w:highlight w:val="none"/>
          <w:u w:val="single"/>
          <w:lang w:eastAsia="zh-CN"/>
        </w:rPr>
      </w:pPr>
      <w:r>
        <w:rPr>
          <w:rFonts w:hint="eastAsia" w:ascii="宋体" w:hAnsi="宋体" w:cs="宋体"/>
          <w:color w:val="auto"/>
          <w:kern w:val="0"/>
          <w:highlight w:val="none"/>
        </w:rPr>
        <w:t>合同文件组成及优先顺序为：</w:t>
      </w:r>
      <w:r>
        <w:rPr>
          <w:rFonts w:hint="eastAsia" w:ascii="宋体" w:hAnsi="宋体" w:cs="宋体"/>
          <w:color w:val="auto"/>
          <w:highlight w:val="none"/>
          <w:u w:val="single"/>
        </w:rPr>
        <w:t xml:space="preserve"> （1）合同协议书；（2）中标通知书；（3）确认函及其附录；</w:t>
      </w:r>
      <w:r>
        <w:rPr>
          <w:rFonts w:hint="eastAsia" w:ascii="宋体" w:hAnsi="宋体" w:cs="宋体"/>
          <w:color w:val="auto"/>
          <w:highlight w:val="none"/>
          <w:u w:val="single"/>
        </w:rPr>
        <w:tab/>
      </w:r>
      <w:r>
        <w:rPr>
          <w:rFonts w:hint="eastAsia" w:ascii="宋体" w:hAnsi="宋体" w:cs="宋体"/>
          <w:color w:val="auto"/>
          <w:highlight w:val="none"/>
          <w:u w:val="single"/>
        </w:rPr>
        <w:t xml:space="preserve">（4）招标文件；（5）专用合同条款及其附件；（6）通用合同条款；（7）技术标准和要求；（8）图纸；（9） 已标价工程量清单或预算书；（10）其他合同文件 </w:t>
      </w:r>
      <w:r>
        <w:rPr>
          <w:rFonts w:hint="eastAsia" w:ascii="宋体" w:hAnsi="宋体" w:cs="宋体"/>
          <w:color w:val="auto"/>
          <w:highlight w:val="none"/>
          <w:u w:val="single"/>
          <w:lang w:eastAsia="zh-CN"/>
        </w:rPr>
        <w:t>。</w:t>
      </w:r>
    </w:p>
    <w:p w14:paraId="5C8E0519">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1.6 图纸和承包人文件</w:t>
      </w:r>
      <w:r>
        <w:rPr>
          <w:rFonts w:hint="eastAsia" w:ascii="宋体" w:hAnsi="宋体" w:cs="宋体"/>
          <w:bCs/>
          <w:color w:val="auto"/>
          <w:szCs w:val="28"/>
          <w:highlight w:val="none"/>
        </w:rPr>
        <w:tab/>
      </w:r>
    </w:p>
    <w:p w14:paraId="0384637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1.6.1 图纸的提供和交底</w:t>
      </w:r>
    </w:p>
    <w:p w14:paraId="4B20040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发包人向承包人提供图纸的期限：</w:t>
      </w:r>
      <w:r>
        <w:rPr>
          <w:rFonts w:hint="eastAsia" w:ascii="宋体" w:hAnsi="宋体" w:cs="宋体"/>
          <w:color w:val="auto"/>
          <w:highlight w:val="none"/>
          <w:u w:val="single"/>
        </w:rPr>
        <w:t xml:space="preserve">   开工通知前 14 日内提供 </w:t>
      </w:r>
      <w:r>
        <w:rPr>
          <w:rFonts w:hint="eastAsia" w:ascii="宋体" w:hAnsi="宋体" w:cs="宋体"/>
          <w:color w:val="auto"/>
          <w:highlight w:val="none"/>
        </w:rPr>
        <w:t>；</w:t>
      </w:r>
    </w:p>
    <w:p w14:paraId="0EEC7F2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发包人向承包人提供图纸的数量：</w:t>
      </w:r>
      <w:r>
        <w:rPr>
          <w:rFonts w:hint="eastAsia" w:ascii="宋体" w:hAnsi="宋体" w:cs="宋体"/>
          <w:color w:val="auto"/>
          <w:szCs w:val="21"/>
          <w:highlight w:val="none"/>
          <w:u w:val="single"/>
        </w:rPr>
        <w:t xml:space="preserve">提供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套（含竣工图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 xml:space="preserve"> 套），不足的由承包人自行复制，费用自理；</w:t>
      </w:r>
    </w:p>
    <w:p w14:paraId="188A63B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发包人向承包人提供图纸的内容：</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E13588C">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1.6.4 承包人文件</w:t>
      </w:r>
    </w:p>
    <w:p w14:paraId="42397B9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需要由承包人提供的文件，包括：</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rPr>
        <w:t>另行约定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1FBE2F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承包人提供的文件的期限为：</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rPr>
        <w:t>另行约定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3F69C8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承包人提供的文件的数量为：</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rPr>
        <w:t>另行约定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DD6266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承包人提供的文件的形式为：</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rPr>
        <w:t>另行约定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FAD639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发包人审批承包人文件的期限：</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rPr>
        <w:t>另行约定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EEB824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1.6.5 图纸和承包人文件的保管</w:t>
      </w:r>
    </w:p>
    <w:p w14:paraId="2BC8A7D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关于图纸和承包人文件保管的约定：</w:t>
      </w:r>
      <w:r>
        <w:rPr>
          <w:rFonts w:hint="eastAsia" w:ascii="宋体" w:hAnsi="宋体" w:cs="宋体"/>
          <w:color w:val="auto"/>
          <w:szCs w:val="21"/>
          <w:highlight w:val="none"/>
          <w:u w:val="single"/>
        </w:rPr>
        <w:t xml:space="preserve">除专用合同条款另有约定外，承包人应在施工现场另外保存一套完整的图纸和承包人文件，供发包人、监理人及有关人员进行工程检查时使用  </w:t>
      </w:r>
      <w:r>
        <w:rPr>
          <w:rFonts w:hint="eastAsia" w:ascii="宋体" w:hAnsi="宋体" w:cs="宋体"/>
          <w:color w:val="auto"/>
          <w:highlight w:val="none"/>
        </w:rPr>
        <w:t>。</w:t>
      </w:r>
    </w:p>
    <w:p w14:paraId="68389B20">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1.7 联络</w:t>
      </w:r>
    </w:p>
    <w:p w14:paraId="61E9BD69">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1.7.1 发包人和承包人应当在</w:t>
      </w:r>
      <w:r>
        <w:rPr>
          <w:rFonts w:hint="eastAsia" w:ascii="宋体" w:hAnsi="宋体" w:cs="宋体"/>
          <w:color w:val="auto"/>
          <w:highlight w:val="none"/>
          <w:u w:val="single"/>
        </w:rPr>
        <w:t>7</w:t>
      </w:r>
      <w:r>
        <w:rPr>
          <w:rFonts w:hint="eastAsia" w:ascii="宋体" w:hAnsi="宋体" w:cs="宋体"/>
          <w:color w:val="auto"/>
          <w:kern w:val="0"/>
          <w:highlight w:val="none"/>
        </w:rPr>
        <w:t>天内将与合同有关的通知、批准、证明、证书、指示、指令、要求、请求、同意、意见、确定和决定等书面函件送达对方当事人。</w:t>
      </w:r>
    </w:p>
    <w:p w14:paraId="516C71FE">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1.7.2 发包人接收文件的地点：</w:t>
      </w:r>
      <w:r>
        <w:rPr>
          <w:rFonts w:hint="eastAsia" w:ascii="宋体" w:hAnsi="宋体" w:cs="宋体"/>
          <w:color w:val="auto"/>
          <w:highlight w:val="none"/>
          <w:u w:val="single"/>
        </w:rPr>
        <w:t xml:space="preserve">  </w:t>
      </w:r>
      <w:r>
        <w:rPr>
          <w:rFonts w:hint="eastAsia" w:ascii="宋体" w:hAnsi="宋体" w:eastAsia="宋体" w:cs="宋体"/>
          <w:color w:val="auto"/>
          <w:szCs w:val="21"/>
          <w:highlight w:val="none"/>
          <w:u w:val="single"/>
          <w:lang w:val="en-US" w:eastAsia="zh-CN"/>
        </w:rPr>
        <w:t>发包人办公室</w:t>
      </w:r>
      <w:r>
        <w:rPr>
          <w:rFonts w:hint="eastAsia" w:ascii="宋体" w:hAnsi="宋体" w:cs="宋体"/>
          <w:color w:val="auto"/>
          <w:highlight w:val="none"/>
          <w:u w:val="single"/>
        </w:rPr>
        <w:t></w:t>
      </w:r>
      <w:r>
        <w:rPr>
          <w:rFonts w:hint="eastAsia" w:ascii="宋体" w:hAnsi="宋体" w:cs="宋体"/>
          <w:color w:val="auto"/>
          <w:kern w:val="0"/>
          <w:highlight w:val="none"/>
        </w:rPr>
        <w:t>；</w:t>
      </w:r>
    </w:p>
    <w:p w14:paraId="566CF594">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发包人指定的接收人为：</w:t>
      </w:r>
      <w:r>
        <w:rPr>
          <w:rFonts w:hint="eastAsia" w:ascii="宋体" w:hAnsi="宋体" w:cs="宋体"/>
          <w:color w:val="auto"/>
          <w:highlight w:val="none"/>
          <w:u w:val="single"/>
        </w:rPr>
        <w:t xml:space="preserve">   发包人代表</w:t>
      </w:r>
      <w:r>
        <w:rPr>
          <w:rFonts w:hint="eastAsia" w:ascii="宋体" w:hAnsi="宋体" w:cs="宋体"/>
          <w:color w:val="auto"/>
          <w:kern w:val="0"/>
          <w:highlight w:val="none"/>
        </w:rPr>
        <w:t>。</w:t>
      </w:r>
    </w:p>
    <w:p w14:paraId="1E0F666C">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承包人接收文件的地点：</w:t>
      </w:r>
      <w:r>
        <w:rPr>
          <w:rFonts w:hint="eastAsia" w:ascii="宋体" w:hAnsi="宋体" w:cs="宋体"/>
          <w:color w:val="auto"/>
          <w:highlight w:val="none"/>
          <w:u w:val="single"/>
        </w:rPr>
        <w:t xml:space="preserve">   项目部   </w:t>
      </w:r>
      <w:r>
        <w:rPr>
          <w:rFonts w:hint="eastAsia" w:ascii="宋体" w:hAnsi="宋体" w:cs="宋体"/>
          <w:color w:val="auto"/>
          <w:kern w:val="0"/>
          <w:highlight w:val="none"/>
        </w:rPr>
        <w:t>；</w:t>
      </w:r>
    </w:p>
    <w:p w14:paraId="2DB268BC">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承包人指定的接收人为：</w:t>
      </w:r>
      <w:r>
        <w:rPr>
          <w:rFonts w:hint="eastAsia" w:ascii="宋体" w:hAnsi="宋体" w:cs="宋体"/>
          <w:color w:val="auto"/>
          <w:highlight w:val="none"/>
          <w:u w:val="single"/>
        </w:rPr>
        <w:t xml:space="preserve">    项目负责人   </w:t>
      </w:r>
      <w:r>
        <w:rPr>
          <w:rFonts w:hint="eastAsia" w:ascii="宋体" w:hAnsi="宋体" w:cs="宋体"/>
          <w:color w:val="auto"/>
          <w:kern w:val="0"/>
          <w:highlight w:val="none"/>
        </w:rPr>
        <w:t>。</w:t>
      </w:r>
    </w:p>
    <w:p w14:paraId="4E14D3EA">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监理人接收文件的地点：</w:t>
      </w:r>
      <w:r>
        <w:rPr>
          <w:rFonts w:hint="eastAsia" w:ascii="宋体" w:hAnsi="宋体" w:cs="宋体"/>
          <w:color w:val="auto"/>
          <w:highlight w:val="none"/>
          <w:u w:val="single"/>
        </w:rPr>
        <w:t xml:space="preserve">   监理部 </w:t>
      </w:r>
      <w:r>
        <w:rPr>
          <w:rFonts w:hint="eastAsia" w:ascii="宋体" w:hAnsi="宋体" w:cs="宋体"/>
          <w:color w:val="auto"/>
          <w:kern w:val="0"/>
          <w:highlight w:val="none"/>
        </w:rPr>
        <w:t>；</w:t>
      </w:r>
    </w:p>
    <w:p w14:paraId="61067C2C">
      <w:pPr>
        <w:keepNext/>
        <w:keepLines/>
        <w:adjustRightInd w:val="0"/>
        <w:snapToGrid w:val="0"/>
        <w:spacing w:line="384" w:lineRule="auto"/>
        <w:ind w:firstLine="420" w:firstLineChars="200"/>
        <w:outlineLvl w:val="3"/>
        <w:rPr>
          <w:rFonts w:hint="eastAsia" w:ascii="宋体" w:hAnsi="宋体" w:cs="宋体"/>
          <w:color w:val="auto"/>
          <w:kern w:val="0"/>
          <w:highlight w:val="none"/>
        </w:rPr>
      </w:pPr>
      <w:r>
        <w:rPr>
          <w:rFonts w:hint="eastAsia" w:ascii="宋体" w:hAnsi="宋体" w:cs="宋体"/>
          <w:color w:val="auto"/>
          <w:kern w:val="0"/>
          <w:highlight w:val="none"/>
        </w:rPr>
        <w:t>监理人指定的接收人为：</w:t>
      </w:r>
      <w:r>
        <w:rPr>
          <w:rFonts w:hint="eastAsia" w:ascii="宋体" w:hAnsi="宋体" w:cs="宋体"/>
          <w:color w:val="auto"/>
          <w:highlight w:val="none"/>
          <w:u w:val="single"/>
        </w:rPr>
        <w:t xml:space="preserve">  总监理工程师或总监代表</w:t>
      </w:r>
      <w:r>
        <w:rPr>
          <w:rFonts w:hint="eastAsia" w:ascii="宋体" w:hAnsi="宋体" w:cs="宋体"/>
          <w:color w:val="auto"/>
          <w:kern w:val="0"/>
          <w:highlight w:val="none"/>
        </w:rPr>
        <w:t>。</w:t>
      </w:r>
    </w:p>
    <w:p w14:paraId="21635125">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1.10 交通运输</w:t>
      </w:r>
    </w:p>
    <w:p w14:paraId="24E89CB9">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w:t>
      </w:r>
      <w:bookmarkStart w:id="760" w:name="_Toc304295521"/>
      <w:bookmarkStart w:id="761" w:name="_Toc300934943"/>
      <w:bookmarkStart w:id="762" w:name="_Toc312677986"/>
      <w:bookmarkStart w:id="763" w:name="_Toc303539100"/>
      <w:bookmarkStart w:id="764" w:name="_Toc318581155"/>
      <w:r>
        <w:rPr>
          <w:rFonts w:hint="eastAsia" w:ascii="宋体" w:hAnsi="宋体" w:cs="宋体"/>
          <w:color w:val="auto"/>
          <w:highlight w:val="none"/>
        </w:rPr>
        <w:t>.10.1 出入现场的权利</w:t>
      </w:r>
    </w:p>
    <w:p w14:paraId="19F20F7B">
      <w:pPr>
        <w:adjustRightInd w:val="0"/>
        <w:snapToGrid w:val="0"/>
        <w:spacing w:line="384"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cs="宋体"/>
          <w:color w:val="auto"/>
          <w:highlight w:val="none"/>
        </w:rPr>
        <w:t>关于出入现场的权利的约定：</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按有关规定办理有关施工场地交通、环卫和施工噪音管理等手续，费用由承包人负责。施工中建筑垃圾需运出施工现场外时，承包人需到城管部门办理相关手续并按城管部门指定地点放置。承包人违反城管、环卫等有关管理的规定，被处以罚款的，由承包人承担。</w:t>
      </w:r>
    </w:p>
    <w:p w14:paraId="0C46A5EB">
      <w:pPr>
        <w:adjustRightInd w:val="0"/>
        <w:snapToGrid w:val="0"/>
        <w:spacing w:line="384"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single"/>
          <w:lang w:val="en-US" w:eastAsia="zh-CN"/>
        </w:rPr>
        <w:t>施工前应开设1-2个固定施工通道，通道位置由发包人和承包人现场共同确认，确定后不得移动并采取有效硬化措施。不得损坏道路路面路侧石、人行道板、雨水井、雨水篦、绿化带、通信光缆、燃气管道、供电等公共设施，如因工程需要，确需损坏少量公共设施的，施工方应办理相关手续，在完工后必须恢复原状或按照有关部门核定的价格赔偿。以上均为工程验收内容，若施工方有损毁不及时修复，发包人有权委托其他施工方进行维修，发生的费用从承包人工程款中直接扣除，并在每阶段付款节点顺延三个月支付。施工过程中，应办理渣土运输证件，保持开发区道路清洁，如有抛撒滴漏，应及时清扫。否则发包人对承包人进行处罚。施工方应确保施工安全,若施工过程中出现工伤事故及由此产生的所有经济赔偿由施工方负责,与发包人无关。</w:t>
      </w:r>
    </w:p>
    <w:p w14:paraId="1C5C3677">
      <w:pPr>
        <w:adjustRightInd w:val="0"/>
        <w:snapToGrid w:val="0"/>
        <w:spacing w:line="384"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single"/>
          <w:lang w:val="en-US" w:eastAsia="zh-CN"/>
        </w:rPr>
        <w:t>在本工程施工期间，施工单位使用的运输车辆须满足公安、市容城管、交通管理部门等的规定并按要求依法遵照有关规定办理运输许可证，严禁使用无牌无证车辆进行施工，若因以上原因造成的各种行政罚款等费用，由施工单位自行承担，发包人不具有协调等责任义务。如由此造成影响导致业主声誉受损，发包人将向承包人收取违约金5000元/次。</w:t>
      </w:r>
      <w:r>
        <w:rPr>
          <w:rFonts w:hint="eastAsia" w:ascii="宋体" w:hAnsi="宋体" w:cs="宋体"/>
          <w:color w:val="auto"/>
          <w:szCs w:val="21"/>
          <w:highlight w:val="none"/>
          <w:u w:val="single"/>
        </w:rPr>
        <w:t xml:space="preserve">  </w:t>
      </w:r>
    </w:p>
    <w:bookmarkEnd w:id="760"/>
    <w:bookmarkEnd w:id="761"/>
    <w:bookmarkEnd w:id="762"/>
    <w:bookmarkEnd w:id="763"/>
    <w:bookmarkEnd w:id="764"/>
    <w:p w14:paraId="6F14A11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w:t>
      </w:r>
      <w:bookmarkStart w:id="765" w:name="_Toc318581156"/>
      <w:bookmarkStart w:id="766" w:name="_Toc304295522"/>
      <w:bookmarkStart w:id="767" w:name="_Toc312677987"/>
      <w:bookmarkStart w:id="768" w:name="_Toc300934944"/>
      <w:bookmarkStart w:id="769" w:name="_Toc303539101"/>
      <w:r>
        <w:rPr>
          <w:rFonts w:hint="eastAsia" w:ascii="宋体" w:hAnsi="宋体" w:cs="宋体"/>
          <w:color w:val="auto"/>
          <w:highlight w:val="none"/>
        </w:rPr>
        <w:t>.10.3 场内交通</w:t>
      </w:r>
    </w:p>
    <w:p w14:paraId="2AB122CA">
      <w:pPr>
        <w:adjustRightInd w:val="0"/>
        <w:snapToGrid w:val="0"/>
        <w:spacing w:line="384"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cs="宋体"/>
          <w:color w:val="auto"/>
          <w:kern w:val="0"/>
          <w:highlight w:val="none"/>
        </w:rPr>
        <w:t>关于场外交通和场内交通的边界的约定：</w:t>
      </w:r>
      <w:r>
        <w:rPr>
          <w:rFonts w:hint="eastAsia" w:ascii="宋体" w:hAnsi="宋体" w:eastAsia="宋体" w:cs="宋体"/>
          <w:color w:val="auto"/>
          <w:szCs w:val="21"/>
          <w:highlight w:val="none"/>
          <w:u w:val="single"/>
          <w:lang w:val="en-US" w:eastAsia="zh-CN"/>
        </w:rPr>
        <w:t>场内交通设施和道路由承包人负责建设，发包人不另支付费用，场内交通边界现场确定。</w:t>
      </w:r>
    </w:p>
    <w:p w14:paraId="6C304DBE">
      <w:pPr>
        <w:adjustRightInd w:val="0"/>
        <w:snapToGrid w:val="0"/>
        <w:spacing w:line="384"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cs="宋体"/>
          <w:color w:val="auto"/>
          <w:highlight w:val="none"/>
        </w:rPr>
        <w:t>关于发包人向承包人免费提供满足工程施工需要的场内道路和交通设施的约定：</w:t>
      </w:r>
      <w:r>
        <w:rPr>
          <w:rFonts w:hint="eastAsia" w:ascii="宋体" w:hAnsi="宋体" w:eastAsia="宋体" w:cs="宋体"/>
          <w:color w:val="auto"/>
          <w:szCs w:val="21"/>
          <w:highlight w:val="none"/>
          <w:u w:val="single"/>
          <w:lang w:val="en-US" w:eastAsia="zh-CN"/>
        </w:rPr>
        <w:t>承包人自行踏勘，自行解决。</w:t>
      </w:r>
    </w:p>
    <w:bookmarkEnd w:id="765"/>
    <w:bookmarkEnd w:id="766"/>
    <w:bookmarkEnd w:id="767"/>
    <w:bookmarkEnd w:id="768"/>
    <w:bookmarkEnd w:id="769"/>
    <w:p w14:paraId="0A0F77AF">
      <w:pPr>
        <w:adjustRightInd w:val="0"/>
        <w:snapToGrid w:val="0"/>
        <w:spacing w:line="384" w:lineRule="auto"/>
        <w:ind w:firstLine="420" w:firstLineChars="200"/>
        <w:rPr>
          <w:rFonts w:hint="eastAsia" w:ascii="宋体" w:hAnsi="宋体" w:cs="宋体"/>
          <w:color w:val="auto"/>
          <w:highlight w:val="none"/>
        </w:rPr>
      </w:pPr>
      <w:bookmarkStart w:id="770" w:name="_Toc318581157"/>
      <w:r>
        <w:rPr>
          <w:rFonts w:hint="eastAsia" w:ascii="宋体" w:hAnsi="宋体" w:cs="宋体"/>
          <w:color w:val="auto"/>
          <w:highlight w:val="none"/>
        </w:rPr>
        <w:t>1.10.4 超大件和超重件的运输</w:t>
      </w:r>
    </w:p>
    <w:p w14:paraId="4C8214F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运输超大件或超重件所需的道路和桥梁临时加固改造费用和其他有关费用由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承包人</w:t>
      </w:r>
      <w:r>
        <w:rPr>
          <w:rFonts w:hint="eastAsia" w:ascii="宋体" w:hAnsi="宋体" w:cs="宋体"/>
          <w:color w:val="auto"/>
          <w:szCs w:val="21"/>
          <w:highlight w:val="none"/>
          <w:u w:val="single"/>
        </w:rPr>
        <w:t xml:space="preserve">  </w:t>
      </w:r>
      <w:r>
        <w:rPr>
          <w:rFonts w:hint="eastAsia" w:ascii="宋体" w:hAnsi="宋体" w:cs="宋体"/>
          <w:color w:val="auto"/>
          <w:highlight w:val="none"/>
        </w:rPr>
        <w:t>承担。</w:t>
      </w:r>
    </w:p>
    <w:bookmarkEnd w:id="770"/>
    <w:p w14:paraId="18EF4FB7">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1.11 知识产权</w:t>
      </w:r>
    </w:p>
    <w:p w14:paraId="662FF2CF">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发包人</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35D5B3E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关于发包人提供的上述文件的使用限制的要求：</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未经发包人同意不得复制，不得向承包人以外的人员泄漏有关图纸内容，工程竣工后，原图全部收回</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481BC39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1.11.2 关于承包人为实施工程所编制文件的著作权的归属：</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执行通用条款</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0F02EC8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关于承包人提供的上述文件的使用限制的要求：</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执行通用条款</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635EA86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1.11.4 承包人在施工过程中所采用的专利、专有技术、技术秘密的使用费的承担方式：</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执行通用条款</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46B79988">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1.13 工程量清单错误的修正</w:t>
      </w:r>
    </w:p>
    <w:p w14:paraId="538FF539">
      <w:pPr>
        <w:adjustRightInd w:val="0"/>
        <w:snapToGrid w:val="0"/>
        <w:spacing w:line="384" w:lineRule="auto"/>
        <w:ind w:firstLine="420" w:firstLineChars="200"/>
        <w:rPr>
          <w:rFonts w:hint="eastAsia" w:ascii="宋体" w:hAnsi="宋体" w:cs="宋体"/>
          <w:b/>
          <w:color w:val="auto"/>
          <w:highlight w:val="none"/>
          <w:u w:val="single"/>
        </w:rPr>
      </w:pPr>
      <w:r>
        <w:rPr>
          <w:rFonts w:hint="eastAsia" w:ascii="宋体" w:hAnsi="宋体" w:cs="宋体"/>
          <w:color w:val="auto"/>
          <w:highlight w:val="none"/>
        </w:rPr>
        <w:t>出现工程量清单错误时，是否调整合同价格：</w:t>
      </w:r>
      <w:r>
        <w:rPr>
          <w:rFonts w:hint="eastAsia" w:ascii="宋体" w:hAnsi="宋体" w:cs="宋体"/>
          <w:b/>
          <w:color w:val="auto"/>
          <w:highlight w:val="none"/>
          <w:u w:val="single"/>
        </w:rPr>
        <w:t xml:space="preserve"> 是，具体调整方式见下款  </w:t>
      </w:r>
      <w:r>
        <w:rPr>
          <w:rFonts w:hint="eastAsia" w:ascii="宋体" w:hAnsi="宋体" w:cs="宋体"/>
          <w:bCs/>
          <w:color w:val="auto"/>
          <w:highlight w:val="none"/>
        </w:rPr>
        <w:t xml:space="preserve"> 。</w:t>
      </w:r>
    </w:p>
    <w:p w14:paraId="0672B295">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允许调整合同价格的工程量偏差范围：</w:t>
      </w:r>
      <w:r>
        <w:rPr>
          <w:rFonts w:hint="eastAsia" w:ascii="宋体" w:hAnsi="宋体" w:cs="宋体"/>
          <w:color w:val="auto"/>
          <w:highlight w:val="none"/>
          <w:u w:val="single"/>
        </w:rPr>
        <w:t>工程量按实计量，结算工程量减少 0-100%或增加 15%以内部分，执行中标单价；超出 15％以外部分的，若中标综合单价高于（最高投标限价中综合单价×投标让利幅度）时，按（最高投标限价中综合单价×投标让利幅度）计算；若中标综合单价低于（最高投标限价中综合单价×投标让利幅度）时，执行中标单价(组价明显错误的予以纠正） 。新增项目单价按照最高投标限价的编制原则重新组价×投标让利幅度，重新组价价格最终以审计部门审核结算价为准。注：投标让利幅度为中标价/最高投标限价，其中中标价和最高投标限价均扣除暂定金额、暂估价。</w:t>
      </w:r>
    </w:p>
    <w:p w14:paraId="72A41A95">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u w:val="single"/>
        </w:rPr>
        <w:t>技术措施费调整：由于承包人改变施工技术措施，造成的价格变动，措施费不予调整。因发包人要求或工程量的增减必须改变原来施工技术措施，造成价格变动的，应扣减相应的原施工技术措施费后，按新增项目组价方式，进行措施费调整。由于分部分项清单工程量增减导致措施费用变化的，按实调整。</w:t>
      </w:r>
    </w:p>
    <w:p w14:paraId="0F02FD6F">
      <w:pPr>
        <w:adjustRightInd w:val="0"/>
        <w:snapToGrid w:val="0"/>
        <w:spacing w:line="384" w:lineRule="auto"/>
        <w:ind w:firstLine="420" w:firstLineChars="200"/>
        <w:rPr>
          <w:rFonts w:hint="eastAsia"/>
          <w:color w:val="auto"/>
          <w:highlight w:val="none"/>
          <w:lang w:val="en-US" w:eastAsia="zh-CN"/>
        </w:rPr>
      </w:pPr>
      <w:r>
        <w:rPr>
          <w:rFonts w:hint="eastAsia" w:ascii="宋体" w:hAnsi="宋体" w:cs="宋体"/>
          <w:color w:val="auto"/>
          <w:highlight w:val="none"/>
          <w:u w:val="single"/>
        </w:rPr>
        <w:tab/>
      </w:r>
      <w:r>
        <w:rPr>
          <w:rFonts w:hint="eastAsia" w:ascii="宋体" w:hAnsi="宋体" w:cs="宋体"/>
          <w:color w:val="auto"/>
          <w:highlight w:val="none"/>
          <w:u w:val="single"/>
        </w:rPr>
        <w:t xml:space="preserve">组织措施费调整： 由于分部分项清单工程量增减导致措施费用变化的，按实调整 </w:t>
      </w:r>
    </w:p>
    <w:p w14:paraId="66AA85FB">
      <w:pPr>
        <w:keepNext/>
        <w:keepLines/>
        <w:adjustRightInd w:val="0"/>
        <w:snapToGrid w:val="0"/>
        <w:spacing w:line="384" w:lineRule="auto"/>
        <w:jc w:val="left"/>
        <w:outlineLvl w:val="2"/>
        <w:rPr>
          <w:rFonts w:hint="eastAsia" w:ascii="宋体" w:hAnsi="宋体" w:cs="宋体"/>
          <w:bCs/>
          <w:color w:val="auto"/>
          <w:sz w:val="24"/>
          <w:highlight w:val="none"/>
        </w:rPr>
      </w:pPr>
      <w:bookmarkStart w:id="771" w:name="_Toc351203634"/>
      <w:bookmarkStart w:id="772" w:name="_Toc95223463"/>
      <w:r>
        <w:rPr>
          <w:rFonts w:hint="eastAsia" w:ascii="宋体" w:hAnsi="宋体" w:cs="宋体"/>
          <w:bCs/>
          <w:color w:val="auto"/>
          <w:sz w:val="24"/>
          <w:highlight w:val="none"/>
        </w:rPr>
        <w:t>2</w:t>
      </w:r>
      <w:bookmarkStart w:id="773" w:name="_Toc296890985"/>
      <w:bookmarkStart w:id="774" w:name="_Toc296347156"/>
      <w:bookmarkStart w:id="775" w:name="_Toc296346658"/>
      <w:bookmarkStart w:id="776" w:name="_Toc297120457"/>
      <w:bookmarkStart w:id="777" w:name="_Toc292559362"/>
      <w:bookmarkStart w:id="778" w:name="_Toc296503157"/>
      <w:bookmarkStart w:id="779" w:name="_Toc296944496"/>
      <w:bookmarkStart w:id="780" w:name="_Toc297048343"/>
      <w:bookmarkStart w:id="781" w:name="_Toc296891197"/>
      <w:bookmarkStart w:id="782" w:name="_Toc292559867"/>
      <w:r>
        <w:rPr>
          <w:rFonts w:hint="eastAsia" w:ascii="宋体" w:hAnsi="宋体" w:cs="宋体"/>
          <w:bCs/>
          <w:color w:val="auto"/>
          <w:sz w:val="24"/>
          <w:highlight w:val="none"/>
        </w:rPr>
        <w:t>. 发包人</w:t>
      </w:r>
      <w:bookmarkEnd w:id="771"/>
      <w:bookmarkEnd w:id="772"/>
    </w:p>
    <w:bookmarkEnd w:id="773"/>
    <w:bookmarkEnd w:id="774"/>
    <w:bookmarkEnd w:id="775"/>
    <w:bookmarkEnd w:id="776"/>
    <w:bookmarkEnd w:id="777"/>
    <w:bookmarkEnd w:id="778"/>
    <w:bookmarkEnd w:id="779"/>
    <w:bookmarkEnd w:id="780"/>
    <w:bookmarkEnd w:id="781"/>
    <w:bookmarkEnd w:id="782"/>
    <w:p w14:paraId="25B98829">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2.2 发包人代表</w:t>
      </w:r>
    </w:p>
    <w:p w14:paraId="5243B4D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发包人代表：</w:t>
      </w:r>
    </w:p>
    <w:p w14:paraId="415F0BE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26BA10BC">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身份证号：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BD4029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职    务：</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w:t>
      </w:r>
      <w:r>
        <w:rPr>
          <w:rFonts w:hint="eastAsia" w:ascii="宋体" w:hAnsi="宋体" w:cs="宋体"/>
          <w:color w:val="auto"/>
          <w:highlight w:val="none"/>
        </w:rPr>
        <w:t>；</w:t>
      </w:r>
    </w:p>
    <w:p w14:paraId="118EF82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3613C8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81A33E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41F226A2">
      <w:pPr>
        <w:adjustRightInd w:val="0"/>
        <w:snapToGrid w:val="0"/>
        <w:spacing w:line="384" w:lineRule="auto"/>
        <w:ind w:firstLine="420" w:firstLineChars="200"/>
        <w:rPr>
          <w:rFonts w:hint="eastAsia" w:ascii="宋体" w:hAnsi="宋体" w:cs="宋体"/>
          <w:b/>
          <w:color w:val="auto"/>
          <w:highlight w:val="none"/>
        </w:rPr>
      </w:pPr>
      <w:r>
        <w:rPr>
          <w:rFonts w:hint="eastAsia" w:ascii="宋体" w:hAnsi="宋体" w:cs="宋体"/>
          <w:color w:val="auto"/>
          <w:highlight w:val="none"/>
        </w:rPr>
        <w:t>发包人对发包人代表的授权范围如下：</w:t>
      </w:r>
      <w:r>
        <w:rPr>
          <w:rFonts w:hint="eastAsia" w:ascii="宋体" w:hAnsi="宋体" w:eastAsia="宋体" w:cs="宋体"/>
          <w:color w:val="auto"/>
          <w:szCs w:val="21"/>
          <w:highlight w:val="none"/>
          <w:u w:val="single"/>
        </w:rPr>
        <w:t>施工组织设计和总进度计划的审批权和调整权；人员在岗、工程进度、质量、安全、环保的监督检查权和建议处罚权；工程款的初步审查权；第三方检测的委托权；主要材料的质量否决权；工程量的确认权；工程变更签证的审核权；可调价格材料的价格确认权；工程结算的审核权；合同的解释；等等</w:t>
      </w:r>
    </w:p>
    <w:p w14:paraId="00C47664">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2.4 施工现场、施工条件和基础资料的提供</w:t>
      </w:r>
    </w:p>
    <w:p w14:paraId="10A1DB6C">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2.4.1 提供施工现场</w:t>
      </w:r>
    </w:p>
    <w:p w14:paraId="30A59B7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关于发包人移交施工现场的期限要求：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开工前</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16AD974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2.4.2 提供施工条件</w:t>
      </w:r>
    </w:p>
    <w:p w14:paraId="555EC6BA">
      <w:pPr>
        <w:adjustRightInd w:val="0"/>
        <w:snapToGrid w:val="0"/>
        <w:spacing w:line="384" w:lineRule="auto"/>
        <w:ind w:firstLine="420" w:firstLineChars="200"/>
        <w:rPr>
          <w:rFonts w:hint="eastAsia" w:ascii="宋体" w:hAnsi="宋体" w:eastAsia="宋体" w:cs="宋体"/>
          <w:color w:val="auto"/>
          <w:kern w:val="0"/>
          <w:szCs w:val="21"/>
          <w:highlight w:val="none"/>
          <w:u w:val="single"/>
          <w:lang w:val="en-US" w:eastAsia="zh-CN"/>
        </w:rPr>
      </w:pPr>
      <w:r>
        <w:rPr>
          <w:rFonts w:hint="eastAsia" w:ascii="宋体" w:hAnsi="宋体" w:cs="宋体"/>
          <w:color w:val="auto"/>
          <w:highlight w:val="none"/>
        </w:rPr>
        <w:t>关于发包人应负责提供施工所需要的条件，包括</w:t>
      </w:r>
      <w:r>
        <w:rPr>
          <w:rFonts w:hint="eastAsia" w:ascii="宋体" w:hAnsi="宋体" w:eastAsia="宋体" w:cs="宋体"/>
          <w:color w:val="auto"/>
          <w:szCs w:val="21"/>
          <w:highlight w:val="none"/>
          <w:u w:val="single"/>
        </w:rPr>
        <w:t>（1）将施工用水、电力、通讯线路等施工所必需的条件接至施工现场内；（2）保证向承包人提供正常施工所需要的进入施工现场的交通条件；（3）协调处理施工现场周围地下管线和邻近建筑物、构筑物、古树名木的保护工作，并承担相关费用。若上述费用已包含在本项目发包范围，则由承包人自行解决并承担费用</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w:t>
      </w:r>
    </w:p>
    <w:p w14:paraId="4E9AC8E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2.5 资金来源证明及支付担保</w:t>
      </w:r>
    </w:p>
    <w:p w14:paraId="1D42872C">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发包人提供资金来源证明及资金安排的期限要求：在取得施工许可证的</w:t>
      </w:r>
      <w:r>
        <w:rPr>
          <w:rFonts w:hint="eastAsia" w:ascii="宋体" w:hAnsi="宋体" w:cs="宋体"/>
          <w:color w:val="auto"/>
          <w:highlight w:val="none"/>
          <w:lang w:val="en-US" w:eastAsia="zh-CN"/>
        </w:rPr>
        <w:t>3</w:t>
      </w:r>
      <w:r>
        <w:rPr>
          <w:rFonts w:hint="eastAsia" w:ascii="宋体" w:hAnsi="宋体" w:cs="宋体"/>
          <w:color w:val="auto"/>
          <w:highlight w:val="none"/>
        </w:rPr>
        <w:t>个月内办结工程款支付担保。施工单位在收到工程款支付担保后</w:t>
      </w:r>
      <w:r>
        <w:rPr>
          <w:rFonts w:hint="eastAsia" w:ascii="宋体" w:hAnsi="宋体" w:cs="宋体"/>
          <w:color w:val="auto"/>
          <w:highlight w:val="none"/>
          <w:lang w:val="en-US" w:eastAsia="zh-CN"/>
        </w:rPr>
        <w:t>3</w:t>
      </w:r>
      <w:r>
        <w:rPr>
          <w:rFonts w:hint="eastAsia" w:ascii="宋体" w:hAnsi="宋体" w:cs="宋体"/>
          <w:color w:val="auto"/>
          <w:highlight w:val="none"/>
        </w:rPr>
        <w:t>日内将相关资料上传至至项目所在地农民工工资支付监管平台，未按时按承诺提交工程款支付担保的工程建设项目，将视作建设资金未落实。</w:t>
      </w:r>
    </w:p>
    <w:p w14:paraId="5FA1737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发包人是否提供支付担保：</w:t>
      </w:r>
      <w:r>
        <w:rPr>
          <w:rFonts w:hint="eastAsia" w:ascii="宋体" w:hAnsi="宋体" w:cs="宋体"/>
          <w:b/>
          <w:color w:val="auto"/>
          <w:highlight w:val="none"/>
        </w:rPr>
        <w:t>提供支付担保</w:t>
      </w:r>
      <w:r>
        <w:rPr>
          <w:rFonts w:hint="eastAsia" w:ascii="宋体" w:hAnsi="宋体" w:cs="宋体"/>
          <w:color w:val="auto"/>
          <w:highlight w:val="none"/>
        </w:rPr>
        <w:t>。</w:t>
      </w:r>
    </w:p>
    <w:p w14:paraId="1E3487D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提供支付担保的形式：工程款支付担保可以采用银行保函、保证保险、工程担保公司担保等方式。银行保函、保证保险和工程担保保单应当为不可撤销的保证。发包人应当向承包人提供签约合同价8%的工程款支付担保。</w:t>
      </w:r>
    </w:p>
    <w:p w14:paraId="1320279C">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对于政府投资的工程建设项目，发包人可以提供财政等政府有权部门出具的落实项目建设资金保障证明作为工程款支付担保凭证。工程款支付担保保证期限原则上应与施工合同约定的期限保持一致（采用分阶段担保的，建设单位支付相应的工程款后，当期工程款支付担保解除，进入下一阶段工程款支付担保）。施工工期延期的，建设单位应在保证期限到期前 30 天，办理保函、保单延期手续。</w:t>
      </w:r>
    </w:p>
    <w:p w14:paraId="027A8CC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工程款支付担保保证有效期内，建设单位未按照规定向农民工工资专用账户拨付工资性工程款或者未按照合同约定支付施工进度款的，施工总承包企业（包括专业承包企业，下同）可以要求保证人履行保证责任，同时将拖欠信息报送工程所在地住房城乡建设主管部门和人力资源社会保障主管部门。</w:t>
      </w:r>
    </w:p>
    <w:p w14:paraId="493BE81A">
      <w:pPr>
        <w:pStyle w:val="19"/>
        <w:ind w:left="0" w:leftChars="0"/>
        <w:rPr>
          <w:rFonts w:hint="eastAsia"/>
          <w:color w:val="auto"/>
          <w:highlight w:val="none"/>
        </w:rPr>
      </w:pPr>
      <w:r>
        <w:rPr>
          <w:rFonts w:hint="eastAsia"/>
          <w:color w:val="auto"/>
          <w:highlight w:val="none"/>
        </w:rPr>
        <w:t>在我省开展工程款支付担保业务的保证人应向有关主管部门提供担保凭证网络验证途径。</w:t>
      </w:r>
    </w:p>
    <w:p w14:paraId="0E9BEF5D">
      <w:pPr>
        <w:keepNext/>
        <w:keepLines/>
        <w:adjustRightInd w:val="0"/>
        <w:snapToGrid w:val="0"/>
        <w:spacing w:line="384" w:lineRule="auto"/>
        <w:jc w:val="left"/>
        <w:outlineLvl w:val="2"/>
        <w:rPr>
          <w:rFonts w:hint="eastAsia" w:ascii="宋体" w:hAnsi="宋体" w:cs="宋体"/>
          <w:bCs/>
          <w:color w:val="auto"/>
          <w:sz w:val="24"/>
          <w:highlight w:val="none"/>
        </w:rPr>
      </w:pPr>
      <w:bookmarkStart w:id="783" w:name="_Toc351203635"/>
      <w:bookmarkStart w:id="784" w:name="_Toc95223464"/>
      <w:r>
        <w:rPr>
          <w:rFonts w:hint="eastAsia" w:ascii="宋体" w:hAnsi="宋体" w:cs="宋体"/>
          <w:bCs/>
          <w:color w:val="auto"/>
          <w:sz w:val="24"/>
          <w:highlight w:val="none"/>
        </w:rPr>
        <w:t>3</w:t>
      </w:r>
      <w:bookmarkStart w:id="785" w:name="_Toc296944497"/>
      <w:bookmarkStart w:id="786" w:name="_Toc292559363"/>
      <w:bookmarkStart w:id="787" w:name="_Toc296890986"/>
      <w:bookmarkStart w:id="788" w:name="_Toc297120458"/>
      <w:bookmarkStart w:id="789" w:name="_Toc296891198"/>
      <w:bookmarkStart w:id="790" w:name="_Toc296503158"/>
      <w:bookmarkStart w:id="791" w:name="_Toc292559868"/>
      <w:bookmarkStart w:id="792" w:name="_Toc296347157"/>
      <w:bookmarkStart w:id="793" w:name="_Toc297048344"/>
      <w:bookmarkStart w:id="794" w:name="_Toc296346659"/>
      <w:r>
        <w:rPr>
          <w:rFonts w:hint="eastAsia" w:ascii="宋体" w:hAnsi="宋体" w:cs="宋体"/>
          <w:bCs/>
          <w:color w:val="auto"/>
          <w:sz w:val="24"/>
          <w:highlight w:val="none"/>
        </w:rPr>
        <w:t>. 承包人</w:t>
      </w:r>
      <w:bookmarkEnd w:id="783"/>
      <w:bookmarkEnd w:id="784"/>
    </w:p>
    <w:bookmarkEnd w:id="785"/>
    <w:bookmarkEnd w:id="786"/>
    <w:bookmarkEnd w:id="787"/>
    <w:bookmarkEnd w:id="788"/>
    <w:bookmarkEnd w:id="789"/>
    <w:bookmarkEnd w:id="790"/>
    <w:bookmarkEnd w:id="791"/>
    <w:bookmarkEnd w:id="792"/>
    <w:bookmarkEnd w:id="793"/>
    <w:bookmarkEnd w:id="794"/>
    <w:p w14:paraId="68D8DC58">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3.1 承包人的一般义务</w:t>
      </w:r>
    </w:p>
    <w:p w14:paraId="711105A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kern w:val="0"/>
          <w:highlight w:val="none"/>
        </w:rPr>
        <w:t>（9）</w:t>
      </w:r>
      <w:r>
        <w:rPr>
          <w:rFonts w:hint="eastAsia" w:ascii="宋体" w:hAnsi="宋体" w:cs="宋体"/>
          <w:color w:val="auto"/>
          <w:highlight w:val="none"/>
        </w:rPr>
        <w:t>承包人提交的竣工资料的内容：</w:t>
      </w:r>
      <w:r>
        <w:rPr>
          <w:rFonts w:hint="eastAsia" w:ascii="宋体" w:hAnsi="宋体" w:cs="宋体"/>
          <w:color w:val="auto"/>
          <w:szCs w:val="21"/>
          <w:highlight w:val="none"/>
          <w:u w:val="single"/>
        </w:rPr>
        <w:t>承包人提供全套竣工图，所有竣工图应为新图纸</w:t>
      </w:r>
      <w:r>
        <w:rPr>
          <w:rFonts w:hint="eastAsia" w:ascii="宋体" w:hAnsi="宋体" w:cs="宋体"/>
          <w:color w:val="auto"/>
          <w:highlight w:val="none"/>
        </w:rPr>
        <w:t>。</w:t>
      </w:r>
    </w:p>
    <w:p w14:paraId="738990C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承包人需要提交的竣工资料套数：</w:t>
      </w:r>
      <w:r>
        <w:rPr>
          <w:rFonts w:hint="eastAsia" w:ascii="宋体" w:hAnsi="宋体" w:cs="宋体"/>
          <w:color w:val="auto"/>
          <w:szCs w:val="21"/>
          <w:highlight w:val="none"/>
          <w:u w:val="single"/>
        </w:rPr>
        <w:t xml:space="preserve"> 按市档案馆要求执行  </w:t>
      </w:r>
      <w:r>
        <w:rPr>
          <w:rFonts w:hint="eastAsia" w:ascii="宋体" w:hAnsi="宋体" w:cs="宋体"/>
          <w:color w:val="auto"/>
          <w:highlight w:val="none"/>
        </w:rPr>
        <w:t>。</w:t>
      </w:r>
    </w:p>
    <w:p w14:paraId="7927C2F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承包人提交的竣工资料的费用承担：</w:t>
      </w:r>
      <w:r>
        <w:rPr>
          <w:rFonts w:hint="eastAsia" w:ascii="宋体" w:hAnsi="宋体" w:cs="宋体"/>
          <w:color w:val="auto"/>
          <w:szCs w:val="21"/>
          <w:highlight w:val="none"/>
          <w:u w:val="single"/>
        </w:rPr>
        <w:t xml:space="preserve">承包人承担           </w:t>
      </w:r>
      <w:r>
        <w:rPr>
          <w:rFonts w:hint="eastAsia" w:ascii="宋体" w:hAnsi="宋体" w:cs="宋体"/>
          <w:color w:val="auto"/>
          <w:highlight w:val="none"/>
        </w:rPr>
        <w:t>。</w:t>
      </w:r>
    </w:p>
    <w:p w14:paraId="45F78DD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承包人提交的竣工资料移交时间：</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工程竣工验收合格后</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个月内</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E13967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承包人提交的竣工资料形式要求：</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按市档案馆要求执行</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9A09175">
      <w:pPr>
        <w:adjustRightInd w:val="0"/>
        <w:snapToGrid w:val="0"/>
        <w:spacing w:line="384" w:lineRule="auto"/>
        <w:ind w:firstLine="420" w:firstLineChars="200"/>
        <w:rPr>
          <w:rFonts w:hint="eastAsia" w:ascii="宋体" w:hAnsi="宋体" w:cs="宋体"/>
          <w:color w:val="auto"/>
          <w:szCs w:val="21"/>
          <w:highlight w:val="none"/>
          <w:u w:val="single"/>
        </w:rPr>
      </w:pPr>
      <w:r>
        <w:rPr>
          <w:rFonts w:hint="eastAsia" w:ascii="宋体" w:hAnsi="宋体" w:cs="宋体"/>
          <w:color w:val="auto"/>
          <w:kern w:val="0"/>
          <w:highlight w:val="none"/>
        </w:rPr>
        <w:t>（10）承包人应履行的其他义务：</w:t>
      </w:r>
      <w:r>
        <w:rPr>
          <w:rFonts w:hint="eastAsia" w:ascii="宋体" w:hAnsi="宋体" w:cs="宋体"/>
          <w:color w:val="auto"/>
          <w:szCs w:val="21"/>
          <w:highlight w:val="none"/>
          <w:u w:val="single"/>
        </w:rPr>
        <w:t xml:space="preserve"> a.包括但不限于场地三通一平（或五通一平，如需），费用由承包人承担。  </w:t>
      </w:r>
    </w:p>
    <w:p w14:paraId="7A065D25">
      <w:pPr>
        <w:adjustRightInd w:val="0"/>
        <w:snapToGrid w:val="0"/>
        <w:spacing w:line="384"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b.承包人在各自施工区域围挡自成系统。公共道路及冲洗平台由承包人提供，承包人不得因其他人使用公共道路及冲洗平台而收取任何费用。</w:t>
      </w:r>
    </w:p>
    <w:p w14:paraId="5B7CE593">
      <w:pPr>
        <w:adjustRightInd w:val="0"/>
        <w:snapToGrid w:val="0"/>
        <w:spacing w:line="384"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c.若施工过程中根据发包人需要调整施工供水管线走向，承包人须按发包人指令更改供水管线走向，由此产生的费用已包含在合同价款中，发包人不另行支付。</w:t>
      </w:r>
    </w:p>
    <w:p w14:paraId="3181C8F8">
      <w:pPr>
        <w:adjustRightInd w:val="0"/>
        <w:snapToGrid w:val="0"/>
        <w:spacing w:line="384"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d.发包人代表有权就其他未尽事宜或临时发生的计划发出指令，承包人须积极配合执行，除有设计变更增加费用外，其他费用不予增加。  </w:t>
      </w:r>
    </w:p>
    <w:p w14:paraId="4829F04D">
      <w:pPr>
        <w:adjustRightInd w:val="0"/>
        <w:snapToGrid w:val="0"/>
        <w:spacing w:line="384"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e.承包人在领取中标通知书后必须配合办理相关报建手续、施工许可证；因承包人原因导致报建手续、施工许可证办理拖延，每拖延一天处以 1000 元违约金。</w:t>
      </w:r>
    </w:p>
    <w:p w14:paraId="42859707">
      <w:pPr>
        <w:adjustRightInd w:val="0"/>
        <w:snapToGrid w:val="0"/>
        <w:spacing w:line="384"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f.承包人应按要求建立电子脸谱考勤系统，并接入行业主管部门或项目单位的监管系统。  </w:t>
      </w:r>
    </w:p>
    <w:p w14:paraId="5A8B632E">
      <w:pPr>
        <w:adjustRightInd w:val="0"/>
        <w:snapToGrid w:val="0"/>
        <w:spacing w:line="384"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g.承包人应做好施工现场突发事件、公共事件的应急处置工作，并承担相应费用；若因承包人自身原因造成的相关损失及法律责任均由承包人承担。  </w:t>
      </w:r>
    </w:p>
    <w:p w14:paraId="20C8858C">
      <w:pPr>
        <w:adjustRightInd w:val="0"/>
        <w:snapToGrid w:val="0"/>
        <w:spacing w:line="384" w:lineRule="auto"/>
        <w:ind w:firstLine="420" w:firstLineChars="200"/>
        <w:rPr>
          <w:rFonts w:hint="eastAsia" w:ascii="宋体" w:hAnsi="宋体" w:eastAsia="宋体" w:cs="宋体"/>
          <w:color w:val="auto"/>
          <w:szCs w:val="21"/>
          <w:highlight w:val="none"/>
          <w:u w:val="single"/>
        </w:rPr>
      </w:pPr>
      <w:r>
        <w:rPr>
          <w:rFonts w:hint="eastAsia" w:ascii="宋体" w:hAnsi="宋体" w:cs="宋体"/>
          <w:color w:val="auto"/>
          <w:szCs w:val="21"/>
          <w:highlight w:val="none"/>
          <w:u w:val="single"/>
        </w:rPr>
        <w:t xml:space="preserve">h.施工过程中，承包人应做好施工现场与小区住户、物业等的沟通协调工作，保障工程按期推进  </w:t>
      </w:r>
      <w:r>
        <w:rPr>
          <w:rFonts w:hint="eastAsia" w:ascii="宋体" w:hAnsi="宋体" w:cs="宋体"/>
          <w:color w:val="auto"/>
          <w:szCs w:val="21"/>
          <w:highlight w:val="none"/>
        </w:rPr>
        <w:t>。</w:t>
      </w:r>
    </w:p>
    <w:p w14:paraId="2D59C320">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3.2 项目经理</w:t>
      </w:r>
    </w:p>
    <w:p w14:paraId="02719FF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kern w:val="0"/>
          <w:highlight w:val="none"/>
        </w:rPr>
        <w:t xml:space="preserve">3.2.1 </w:t>
      </w:r>
      <w:r>
        <w:rPr>
          <w:rFonts w:hint="eastAsia" w:ascii="宋体" w:hAnsi="宋体" w:cs="宋体"/>
          <w:color w:val="auto"/>
          <w:highlight w:val="none"/>
        </w:rPr>
        <w:t>项目经理：</w:t>
      </w:r>
    </w:p>
    <w:p w14:paraId="0519C27B">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w:t>
      </w:r>
      <w:r>
        <w:rPr>
          <w:rFonts w:hint="eastAsia" w:ascii="宋体" w:hAnsi="宋体" w:cs="宋体"/>
          <w:color w:val="auto"/>
          <w:highlight w:val="none"/>
        </w:rPr>
        <w:t>；</w:t>
      </w:r>
    </w:p>
    <w:p w14:paraId="6696D7C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身份证号：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6B0400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建造师执业资格等级：</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38B791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建造师注册证书号：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0ACAD9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建造师执业印章号：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DF36C2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安全生产考核合格证书号：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E3DECE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256527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9B50AA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9B1F5E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承包人对项目经理的授权范围如下：</w:t>
      </w:r>
      <w:r>
        <w:rPr>
          <w:rFonts w:hint="eastAsia" w:ascii="宋体" w:hAnsi="宋体" w:cs="宋体"/>
          <w:color w:val="auto"/>
          <w:highlight w:val="none"/>
          <w:u w:val="single"/>
        </w:rPr>
        <w:t xml:space="preserve"> 代表承包人履行本合同项下各项权利和义务，具体范围由承包人在签订合同时以书面授权并提供给发包人</w:t>
      </w:r>
      <w:r>
        <w:rPr>
          <w:rFonts w:hint="eastAsia" w:ascii="宋体" w:hAnsi="宋体" w:cs="宋体"/>
          <w:color w:val="auto"/>
          <w:highlight w:val="none"/>
        </w:rPr>
        <w:t>。</w:t>
      </w:r>
    </w:p>
    <w:p w14:paraId="44C5B400">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关于项目经理每月在施工现场的时间要求：</w:t>
      </w:r>
      <w:r>
        <w:rPr>
          <w:rFonts w:hint="eastAsia" w:ascii="宋体" w:hAnsi="宋体" w:eastAsia="宋体" w:cs="宋体"/>
          <w:color w:val="auto"/>
          <w:szCs w:val="21"/>
          <w:highlight w:val="none"/>
          <w:u w:val="single"/>
        </w:rPr>
        <w:t>项目</w:t>
      </w:r>
      <w:r>
        <w:rPr>
          <w:rFonts w:hint="eastAsia" w:ascii="宋体" w:hAnsi="宋体" w:eastAsia="宋体" w:cs="宋体"/>
          <w:color w:val="auto"/>
          <w:szCs w:val="21"/>
          <w:highlight w:val="none"/>
          <w:u w:val="single"/>
          <w:lang w:val="en-US" w:eastAsia="zh-CN"/>
        </w:rPr>
        <w:t>经理</w:t>
      </w:r>
      <w:r>
        <w:rPr>
          <w:rFonts w:hint="eastAsia" w:ascii="宋体" w:hAnsi="宋体" w:eastAsia="宋体" w:cs="宋体"/>
          <w:color w:val="auto"/>
          <w:szCs w:val="21"/>
          <w:highlight w:val="none"/>
          <w:u w:val="single"/>
        </w:rPr>
        <w:t>每月在岗时间不得少于</w:t>
      </w:r>
      <w:r>
        <w:rPr>
          <w:rFonts w:hint="eastAsia" w:ascii="宋体" w:hAnsi="宋体" w:cs="宋体"/>
          <w:color w:val="auto"/>
          <w:szCs w:val="21"/>
          <w:highlight w:val="none"/>
          <w:u w:val="single"/>
          <w:lang w:val="en-US" w:eastAsia="zh-CN"/>
        </w:rPr>
        <w:t>22</w:t>
      </w:r>
      <w:r>
        <w:rPr>
          <w:rFonts w:hint="eastAsia" w:ascii="宋体" w:hAnsi="宋体" w:eastAsia="宋体" w:cs="宋体"/>
          <w:color w:val="auto"/>
          <w:szCs w:val="21"/>
          <w:highlight w:val="none"/>
          <w:u w:val="single"/>
        </w:rPr>
        <w:t>天，每天不少于8小时</w:t>
      </w:r>
      <w:r>
        <w:rPr>
          <w:rFonts w:hint="eastAsia" w:ascii="宋体" w:hAnsi="宋体" w:cs="宋体"/>
          <w:color w:val="auto"/>
          <w:szCs w:val="21"/>
          <w:highlight w:val="none"/>
        </w:rPr>
        <w:t>。</w:t>
      </w:r>
      <w:r>
        <w:rPr>
          <w:rFonts w:hint="eastAsia" w:ascii="宋体" w:hAnsi="宋体" w:cs="宋体"/>
          <w:color w:val="auto"/>
          <w:highlight w:val="none"/>
        </w:rPr>
        <w:t xml:space="preserve"> </w:t>
      </w:r>
    </w:p>
    <w:p w14:paraId="06F94D7C">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承包人未提交劳动合同，以及没有为项目经理缴纳社会保险证明的违约责任：</w:t>
      </w:r>
      <w:r>
        <w:rPr>
          <w:rFonts w:hint="eastAsia" w:ascii="宋体" w:hAnsi="宋体" w:cs="宋体"/>
          <w:color w:val="auto"/>
          <w:highlight w:val="none"/>
          <w:u w:val="single"/>
        </w:rPr>
        <w:t xml:space="preserve"> 承包人未按要求递交项目经理劳动合同及提供社保证明，视同为允许他人以承包人名义承揽工程。发包人将依法上报有关部门追究承包人法律责任，发包人有权处以承包人违约金30万元。承包人需一次性向发包人现金转账支付违约金，否则发包人有权在进度款支付中扣除  </w:t>
      </w:r>
    </w:p>
    <w:p w14:paraId="37A74889">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kern w:val="0"/>
          <w:highlight w:val="none"/>
        </w:rPr>
        <w:t>项目经理未经批准，擅自离开施工现场的违约责任：</w:t>
      </w:r>
      <w:r>
        <w:rPr>
          <w:rFonts w:hint="eastAsia" w:ascii="宋体" w:hAnsi="宋体" w:cs="宋体"/>
          <w:color w:val="auto"/>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5B56411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3.2.3 承包人擅自更换项目经理的违约责任：</w:t>
      </w:r>
    </w:p>
    <w:p w14:paraId="7898A3D9">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w:t>
      </w:r>
      <w:r>
        <w:rPr>
          <w:rFonts w:hint="eastAsia" w:ascii="宋体" w:hAnsi="宋体" w:cs="宋体"/>
          <w:b/>
          <w:bCs/>
          <w:color w:val="auto"/>
          <w:szCs w:val="21"/>
          <w:highlight w:val="none"/>
          <w:u w:val="single"/>
        </w:rPr>
        <w:t>并支付</w:t>
      </w:r>
      <w:r>
        <w:rPr>
          <w:rFonts w:hint="eastAsia" w:ascii="宋体" w:hAnsi="宋体" w:cs="宋体"/>
          <w:b/>
          <w:bCs/>
          <w:color w:val="auto"/>
          <w:szCs w:val="21"/>
          <w:highlight w:val="none"/>
          <w:u w:val="single"/>
          <w:lang w:val="en-US" w:eastAsia="zh-CN"/>
        </w:rPr>
        <w:t>30</w:t>
      </w:r>
      <w:r>
        <w:rPr>
          <w:rFonts w:hint="eastAsia" w:ascii="宋体" w:hAnsi="宋体" w:cs="宋体"/>
          <w:b/>
          <w:bCs/>
          <w:color w:val="auto"/>
          <w:szCs w:val="21"/>
          <w:highlight w:val="none"/>
          <w:u w:val="single"/>
        </w:rPr>
        <w:t>万元的违约金</w:t>
      </w:r>
      <w:r>
        <w:rPr>
          <w:rFonts w:hint="eastAsia" w:ascii="宋体" w:hAnsi="宋体" w:cs="宋体"/>
          <w:color w:val="auto"/>
          <w:szCs w:val="21"/>
          <w:highlight w:val="none"/>
          <w:u w:val="single"/>
        </w:rPr>
        <w:t>，更换后的人员不得低于承包人投标时所报人员资质和技术水平。</w:t>
      </w:r>
    </w:p>
    <w:p w14:paraId="6FA84C1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3.2.4 承包人无正当理由拒绝更换项目经理的违约责任：</w:t>
      </w:r>
      <w:r>
        <w:rPr>
          <w:rFonts w:hint="eastAsia" w:ascii="宋体" w:hAnsi="宋体" w:cs="宋体"/>
          <w:color w:val="auto"/>
          <w:highlight w:val="none"/>
          <w:u w:val="single"/>
        </w:rPr>
        <w:t>承包方项目经理（建造师）不满足岗位管理水平及技术水平等原因要求时，发包人和监理人可要求承包方更换，更换后人员不得低</w:t>
      </w:r>
      <w:r>
        <w:rPr>
          <w:rFonts w:hint="eastAsia" w:ascii="宋体" w:hAnsi="宋体" w:cs="宋体"/>
          <w:color w:val="auto"/>
          <w:highlight w:val="none"/>
          <w:u w:val="single"/>
          <w:lang w:val="en-US" w:eastAsia="zh-CN"/>
        </w:rPr>
        <w:t>于承包人投标时所报人员资质和技术水平，并经发包人书面认可，同时发包人对承包人处以人民币30万元违约金/人·次。如承包人拒不更换项目经理（建造师），发包人有权要求承包人退场 。</w:t>
      </w:r>
    </w:p>
    <w:p w14:paraId="71001C5F">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3.3 承包人人员</w:t>
      </w:r>
    </w:p>
    <w:p w14:paraId="2505B27F">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3.3.1 承包人提交项目管理机构及施工现场管理人员安排报告的期限：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签订合同时</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12B9CED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3.3.3 承包人无正当理由拒绝撤换主要施工管理人员的违约责任：</w:t>
      </w:r>
      <w:r>
        <w:rPr>
          <w:rFonts w:hint="eastAsia" w:ascii="宋体" w:hAnsi="宋体" w:cs="宋体"/>
          <w:color w:val="auto"/>
          <w:highlight w:val="none"/>
          <w:u w:val="single"/>
        </w:rPr>
        <w:t>发包人将组织对人员进行业务能力考核，对未按投标文件配备或经考核不合格要求更换人员的，承包人7日内必须整</w:t>
      </w:r>
      <w:r>
        <w:rPr>
          <w:rFonts w:hint="eastAsia" w:ascii="宋体" w:hAnsi="宋体" w:cs="宋体"/>
          <w:color w:val="auto"/>
          <w:highlight w:val="none"/>
          <w:u w:val="single"/>
          <w:lang w:val="en-US" w:eastAsia="zh-CN"/>
        </w:rPr>
        <w:t>改调整到位。对项目经理（建造师）和技术负责人处以5000元/人·天的违约金，对项目经理（建造师）和技术负责人以外的其他管理人员处以3000元/人 ·天的违约金。28日内未整改调整到位的，发包人有权终止合同，并提请相关行政主管部门对企业和人员进行“黑名单 ”处罚。发包人在施工进场第一个月或施工过程中发现承包人转包、挂靠等行为的，发包人立即解除合同，清退出场，承包人已完合格工程量按合同价款 60%进行结算</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DBFE01A">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3.3.4 承包人主要施工管理人员离开施工现场的批准要求：</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需离开时必须事先征得发包人和监理人同意后方可离开。</w:t>
      </w:r>
    </w:p>
    <w:p w14:paraId="101B0302">
      <w:pPr>
        <w:adjustRightInd w:val="0"/>
        <w:snapToGrid w:val="0"/>
        <w:spacing w:line="384" w:lineRule="auto"/>
        <w:ind w:firstLine="424" w:firstLineChars="202"/>
        <w:rPr>
          <w:rFonts w:hint="eastAsia"/>
          <w:color w:val="auto"/>
          <w:highlight w:val="none"/>
        </w:rPr>
      </w:pPr>
      <w:r>
        <w:rPr>
          <w:rFonts w:hint="eastAsia" w:ascii="宋体" w:hAnsi="宋体" w:cs="宋体"/>
          <w:color w:val="auto"/>
          <w:highlight w:val="none"/>
        </w:rPr>
        <w:t>3.3.5 承包人擅自更换主要施工管理人员的违约责任：</w:t>
      </w:r>
      <w:r>
        <w:rPr>
          <w:rFonts w:hint="eastAsia" w:ascii="宋体" w:hAnsi="宋体" w:cs="宋体"/>
          <w:color w:val="auto"/>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w:t>
      </w:r>
      <w:r>
        <w:rPr>
          <w:rFonts w:hint="eastAsia" w:ascii="宋体" w:hAnsi="宋体" w:cs="宋体"/>
          <w:b/>
          <w:bCs/>
          <w:color w:val="auto"/>
          <w:szCs w:val="21"/>
          <w:highlight w:val="none"/>
          <w:u w:val="single"/>
        </w:rPr>
        <w:t>并支付</w:t>
      </w:r>
      <w:r>
        <w:rPr>
          <w:rFonts w:hint="eastAsia" w:ascii="宋体" w:hAnsi="宋体" w:cs="宋体"/>
          <w:b/>
          <w:bCs/>
          <w:color w:val="auto"/>
          <w:szCs w:val="21"/>
          <w:highlight w:val="none"/>
          <w:u w:val="single"/>
          <w:lang w:val="en-US" w:eastAsia="zh-CN"/>
        </w:rPr>
        <w:t>20</w:t>
      </w:r>
      <w:r>
        <w:rPr>
          <w:rFonts w:hint="eastAsia" w:ascii="宋体" w:hAnsi="宋体" w:cs="宋体"/>
          <w:b/>
          <w:bCs/>
          <w:color w:val="auto"/>
          <w:szCs w:val="21"/>
          <w:highlight w:val="none"/>
          <w:u w:val="single"/>
        </w:rPr>
        <w:t>万元/人的违约金，</w:t>
      </w:r>
      <w:r>
        <w:rPr>
          <w:rFonts w:hint="eastAsia" w:ascii="宋体" w:hAnsi="宋体" w:cs="宋体"/>
          <w:color w:val="auto"/>
          <w:szCs w:val="21"/>
          <w:highlight w:val="none"/>
          <w:u w:val="single"/>
        </w:rPr>
        <w:t>更换后的人员不得低于承包人投标时所报人员资质和技术水平。发包人如认为有必要，可要求对上述人员中的部分人员作出更好的调整。</w:t>
      </w:r>
    </w:p>
    <w:p w14:paraId="7EF26D06">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承包人主要施工管理人员擅自离开施工现场的违约责任：</w:t>
      </w:r>
      <w:r>
        <w:rPr>
          <w:rFonts w:hint="eastAsia" w:ascii="宋体" w:hAnsi="宋体" w:cs="宋体"/>
          <w:color w:val="auto"/>
          <w:highlight w:val="none"/>
          <w:u w:val="single"/>
        </w:rPr>
        <w:t>未按规定在岗履责的，对项目经理（建造师）和技术负责人处以</w:t>
      </w:r>
      <w:r>
        <w:rPr>
          <w:rFonts w:hint="eastAsia" w:ascii="宋体" w:hAnsi="宋体" w:cs="宋体"/>
          <w:color w:val="auto"/>
          <w:highlight w:val="none"/>
          <w:u w:val="single"/>
          <w:lang w:val="en-US" w:eastAsia="zh-CN"/>
        </w:rPr>
        <w:t>5000</w:t>
      </w:r>
      <w:r>
        <w:rPr>
          <w:rFonts w:hint="eastAsia" w:ascii="宋体" w:hAnsi="宋体" w:cs="宋体"/>
          <w:color w:val="auto"/>
          <w:highlight w:val="none"/>
          <w:u w:val="single"/>
        </w:rPr>
        <w:t>元/人·天的违约金，对项目经理（建造师）和技术负责外</w:t>
      </w:r>
      <w:r>
        <w:rPr>
          <w:rFonts w:hint="eastAsia" w:ascii="宋体" w:hAnsi="宋体" w:cs="宋体"/>
          <w:color w:val="auto"/>
          <w:highlight w:val="none"/>
          <w:u w:val="single"/>
          <w:lang w:val="en-US" w:eastAsia="zh-CN"/>
        </w:rPr>
        <w:t>以外的其他管理人员处以3000元/人·天的违约金</w:t>
      </w:r>
      <w:r>
        <w:rPr>
          <w:rFonts w:hint="eastAsia" w:ascii="宋体" w:hAnsi="宋体" w:cs="宋体"/>
          <w:color w:val="auto"/>
          <w:highlight w:val="none"/>
          <w:u w:val="single"/>
        </w:rPr>
        <w:t xml:space="preserve"> </w:t>
      </w:r>
    </w:p>
    <w:p w14:paraId="5FA96A94">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3</w:t>
      </w:r>
      <w:bookmarkStart w:id="795" w:name="_Toc297120459"/>
      <w:bookmarkStart w:id="796" w:name="_Toc292559364"/>
      <w:bookmarkStart w:id="797" w:name="_Toc292559869"/>
      <w:bookmarkStart w:id="798" w:name="_Toc296347158"/>
      <w:bookmarkStart w:id="799" w:name="_Toc304295523"/>
      <w:bookmarkStart w:id="800" w:name="_Toc296346660"/>
      <w:bookmarkStart w:id="801" w:name="_Toc297216151"/>
      <w:bookmarkStart w:id="802" w:name="_Toc312677988"/>
      <w:bookmarkStart w:id="803" w:name="_Toc296944498"/>
      <w:bookmarkStart w:id="804" w:name="_Toc296891199"/>
      <w:bookmarkStart w:id="805" w:name="_Toc297048345"/>
      <w:bookmarkStart w:id="806" w:name="_Toc300934945"/>
      <w:bookmarkStart w:id="807" w:name="_Toc297123492"/>
      <w:bookmarkStart w:id="808" w:name="_Toc296890987"/>
      <w:bookmarkStart w:id="809" w:name="_Toc303539102"/>
      <w:bookmarkStart w:id="810" w:name="_Toc296503159"/>
      <w:r>
        <w:rPr>
          <w:rFonts w:hint="eastAsia" w:ascii="宋体" w:hAnsi="宋体" w:cs="宋体"/>
          <w:bCs/>
          <w:color w:val="auto"/>
          <w:szCs w:val="28"/>
          <w:highlight w:val="none"/>
        </w:rPr>
        <w:t>.5 分包</w:t>
      </w:r>
    </w:p>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14:paraId="3D465CBC">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3</w:t>
      </w:r>
      <w:bookmarkStart w:id="811" w:name="_Toc296944499"/>
      <w:bookmarkStart w:id="812" w:name="_Toc296890988"/>
      <w:bookmarkStart w:id="813" w:name="_Toc297048346"/>
      <w:bookmarkStart w:id="814" w:name="_Toc296347159"/>
      <w:bookmarkStart w:id="815" w:name="_Toc296346661"/>
      <w:bookmarkStart w:id="816" w:name="_Toc292559365"/>
      <w:bookmarkStart w:id="817" w:name="_Toc297123493"/>
      <w:bookmarkStart w:id="818" w:name="_Toc296891200"/>
      <w:bookmarkStart w:id="819" w:name="_Toc300934946"/>
      <w:bookmarkStart w:id="820" w:name="_Toc304295524"/>
      <w:bookmarkStart w:id="821" w:name="_Toc297120460"/>
      <w:bookmarkStart w:id="822" w:name="_Toc297216152"/>
      <w:bookmarkStart w:id="823" w:name="_Toc303539103"/>
      <w:bookmarkStart w:id="824" w:name="_Toc296503160"/>
      <w:bookmarkStart w:id="825" w:name="_Toc292559870"/>
      <w:bookmarkStart w:id="826" w:name="_Toc318581158"/>
      <w:bookmarkStart w:id="827" w:name="_Toc312677989"/>
      <w:r>
        <w:rPr>
          <w:rFonts w:hint="eastAsia" w:ascii="宋体" w:hAnsi="宋体" w:cs="宋体"/>
          <w:color w:val="auto"/>
          <w:highlight w:val="none"/>
        </w:rPr>
        <w:t>.5.1 分包的一般约定</w:t>
      </w:r>
    </w:p>
    <w:p w14:paraId="4D70DAB6">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禁止分包的工程包括：</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szCs w:val="21"/>
          <w:highlight w:val="none"/>
          <w:u w:val="single"/>
          <w:lang w:val="en-US" w:eastAsia="zh-CN"/>
        </w:rPr>
        <w:t>按国家规定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657CEC6">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主体结构、关键性工作的范围：</w:t>
      </w:r>
      <w:r>
        <w:rPr>
          <w:rFonts w:hint="eastAsia" w:ascii="宋体" w:hAnsi="宋体" w:eastAsia="宋体" w:cs="宋体"/>
          <w:color w:val="auto"/>
          <w:szCs w:val="21"/>
          <w:highlight w:val="none"/>
          <w:u w:val="single"/>
          <w:lang w:val="en-US" w:eastAsia="zh-CN"/>
        </w:rPr>
        <w:t>房建、水利工程为主体结构；市政工程为道路基层、面层；园林景观工程为绿化采购、栽植、养护。</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Start w:id="828" w:name="_Toc296944500"/>
      <w:bookmarkStart w:id="829" w:name="_Toc296347160"/>
      <w:bookmarkStart w:id="830" w:name="_Toc297048347"/>
      <w:bookmarkStart w:id="831" w:name="_Toc303539104"/>
      <w:bookmarkStart w:id="832" w:name="_Toc300934947"/>
      <w:bookmarkStart w:id="833" w:name="_Toc296346662"/>
      <w:bookmarkStart w:id="834" w:name="_Toc296890989"/>
      <w:bookmarkStart w:id="835" w:name="_Toc297123494"/>
      <w:bookmarkStart w:id="836" w:name="_Toc297216153"/>
      <w:bookmarkStart w:id="837" w:name="_Toc304295525"/>
      <w:bookmarkStart w:id="838" w:name="_Toc297120461"/>
      <w:bookmarkStart w:id="839" w:name="_Toc296891201"/>
      <w:bookmarkStart w:id="840" w:name="_Toc296503161"/>
    </w:p>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14:paraId="4389E33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3</w:t>
      </w:r>
      <w:bookmarkStart w:id="841" w:name="_Toc312677990"/>
      <w:bookmarkStart w:id="842" w:name="_Toc318581159"/>
      <w:r>
        <w:rPr>
          <w:rFonts w:hint="eastAsia" w:ascii="宋体" w:hAnsi="宋体" w:cs="宋体"/>
          <w:color w:val="auto"/>
          <w:highlight w:val="none"/>
        </w:rPr>
        <w:t>.5.2 分包的确定</w:t>
      </w:r>
    </w:p>
    <w:p w14:paraId="65DA1FDB">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允许分包的专业工程包括：</w:t>
      </w:r>
      <w:r>
        <w:rPr>
          <w:rFonts w:hint="eastAsia" w:ascii="宋体" w:hAnsi="宋体" w:eastAsia="宋体" w:cs="宋体"/>
          <w:color w:val="auto"/>
          <w:szCs w:val="21"/>
          <w:highlight w:val="none"/>
          <w:u w:val="single"/>
          <w:lang w:val="en-US" w:eastAsia="zh-CN"/>
        </w:rPr>
        <w:t>主体结构、关键性工作的范围以外的专业工程</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326D8D0B">
      <w:pPr>
        <w:adjustRightInd w:val="0"/>
        <w:snapToGrid w:val="0"/>
        <w:spacing w:line="384" w:lineRule="auto"/>
        <w:ind w:firstLine="420" w:firstLineChars="200"/>
        <w:rPr>
          <w:rFonts w:hint="eastAsia" w:ascii="宋体" w:hAnsi="宋体" w:eastAsia="宋体" w:cs="宋体"/>
          <w:color w:val="auto"/>
          <w:highlight w:val="none"/>
          <w:u w:val="single"/>
          <w:lang w:val="en-US" w:eastAsia="zh-CN"/>
        </w:rPr>
      </w:pPr>
      <w:r>
        <w:rPr>
          <w:rFonts w:hint="eastAsia" w:ascii="宋体" w:hAnsi="宋体" w:cs="宋体"/>
          <w:color w:val="auto"/>
          <w:highlight w:val="none"/>
        </w:rPr>
        <w:t>其他关于分包的约定：</w:t>
      </w:r>
      <w:r>
        <w:rPr>
          <w:rFonts w:hint="eastAsia" w:ascii="宋体" w:hAnsi="宋体" w:cs="宋体"/>
          <w:color w:val="auto"/>
          <w:highlight w:val="none"/>
          <w:u w:val="single"/>
        </w:rPr>
        <w:t>承包人不得以劳务分包的名义转包或违法分包工程。发包人在施工进场第一个月或施工过程中发现承包人转包、挂靠等行为的，发包人立即解除合同，清退出场，承包人已完合格工程量按合同价款 60%进行结算</w:t>
      </w:r>
      <w:r>
        <w:rPr>
          <w:rFonts w:hint="eastAsia" w:ascii="宋体" w:hAnsi="宋体" w:cs="宋体"/>
          <w:color w:val="auto"/>
          <w:highlight w:val="none"/>
          <w:u w:val="single"/>
          <w:lang w:eastAsia="zh-CN"/>
        </w:rPr>
        <w:t>。</w:t>
      </w:r>
    </w:p>
    <w:p w14:paraId="3E6B4EF6">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3.5.4 分包合同价款</w:t>
      </w:r>
    </w:p>
    <w:p w14:paraId="7868F2A6">
      <w:pPr>
        <w:adjustRightInd w:val="0"/>
        <w:snapToGrid w:val="0"/>
        <w:spacing w:line="384"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关于分包合同价款支付的约定：</w:t>
      </w:r>
      <w:r>
        <w:rPr>
          <w:rFonts w:hint="eastAsia" w:ascii="宋体" w:hAnsi="宋体" w:cs="宋体"/>
          <w:color w:val="auto"/>
          <w:szCs w:val="21"/>
          <w:highlight w:val="none"/>
          <w:u w:val="single"/>
        </w:rPr>
        <w:t>（1）除本项第（2）和（3）条约定的情况外，分包合同价款由承包人与分包人结算，未经承包人同意，发包人不得向分包人支付分包工程价款；（2）生效法律文书要求发包人向分包人支付分包合同价款的，发包人有权从应付承包人工程款中扣除该部分款项 ；（3）恶意拖欠农民工工资，并经人力资源和社会保障部门核实的，发包人有权从应付承包人工程款中代付</w:t>
      </w:r>
      <w:r>
        <w:rPr>
          <w:rFonts w:hint="eastAsia" w:ascii="宋体" w:hAnsi="宋体" w:cs="宋体"/>
          <w:color w:val="auto"/>
          <w:szCs w:val="21"/>
          <w:highlight w:val="none"/>
          <w:u w:val="single"/>
          <w:lang w:eastAsia="zh-CN"/>
        </w:rPr>
        <w:t>。</w:t>
      </w:r>
    </w:p>
    <w:bookmarkEnd w:id="841"/>
    <w:bookmarkEnd w:id="842"/>
    <w:p w14:paraId="7DBFA9AA">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3.6 工程照管与成品、半成品保护</w:t>
      </w:r>
    </w:p>
    <w:p w14:paraId="2A1AC337">
      <w:pPr>
        <w:adjustRightInd w:val="0"/>
        <w:snapToGrid w:val="0"/>
        <w:spacing w:line="384" w:lineRule="auto"/>
        <w:ind w:firstLine="420" w:firstLineChars="200"/>
        <w:rPr>
          <w:rFonts w:hint="eastAsia" w:ascii="宋体" w:hAnsi="宋体" w:cs="宋体"/>
          <w:color w:val="auto"/>
          <w:kern w:val="0"/>
          <w:highlight w:val="none"/>
          <w:u w:val="single"/>
        </w:rPr>
      </w:pPr>
      <w:r>
        <w:rPr>
          <w:rFonts w:hint="eastAsia" w:ascii="宋体" w:hAnsi="宋体" w:cs="宋体"/>
          <w:color w:val="auto"/>
          <w:kern w:val="0"/>
          <w:highlight w:val="none"/>
        </w:rPr>
        <w:t>承包人负责照管工程及工程相关的材料、工程设备的起始时间：</w:t>
      </w:r>
      <w:r>
        <w:rPr>
          <w:rFonts w:hint="eastAsia" w:ascii="宋体" w:hAnsi="宋体" w:cs="宋体"/>
          <w:color w:val="auto"/>
          <w:szCs w:val="21"/>
          <w:highlight w:val="none"/>
          <w:u w:val="single"/>
        </w:rPr>
        <w:t>自发包人向承包人移交施工现场之日起，承包人应负责照管工程及工程相关的材料、工程设备，直到颁发工程接收证书之日止。</w:t>
      </w:r>
    </w:p>
    <w:p w14:paraId="2ACB055C">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3.7 履约保证金</w:t>
      </w:r>
    </w:p>
    <w:p w14:paraId="7C701C3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承包人是否提供履约保证金： </w:t>
      </w:r>
      <w:r>
        <w:rPr>
          <w:rFonts w:hint="eastAsia" w:ascii="宋体" w:hAnsi="宋体" w:cs="宋体"/>
          <w:color w:val="auto"/>
          <w:szCs w:val="21"/>
          <w:highlight w:val="none"/>
          <w:u w:val="single"/>
        </w:rPr>
        <w:t>提供</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6DF4D7A2">
      <w:pPr>
        <w:adjustRightInd w:val="0"/>
        <w:snapToGrid w:val="0"/>
        <w:spacing w:line="384" w:lineRule="auto"/>
        <w:ind w:firstLine="420" w:firstLineChars="200"/>
        <w:rPr>
          <w:rFonts w:hint="eastAsia" w:ascii="宋体" w:hAnsi="宋体" w:cs="宋体"/>
          <w:bCs/>
          <w:snapToGrid w:val="0"/>
          <w:color w:val="auto"/>
          <w:kern w:val="0"/>
          <w:szCs w:val="21"/>
          <w:highlight w:val="none"/>
        </w:rPr>
      </w:pPr>
      <w:r>
        <w:rPr>
          <w:rFonts w:hint="eastAsia" w:ascii="宋体" w:hAnsi="宋体" w:cs="宋体"/>
          <w:color w:val="auto"/>
          <w:highlight w:val="none"/>
        </w:rPr>
        <w:t>承包人提供履约保证金的形式：</w:t>
      </w:r>
      <w:r>
        <w:rPr>
          <w:rFonts w:hint="eastAsia" w:ascii="宋体" w:hAnsi="宋体" w:cs="宋体"/>
          <w:bCs/>
          <w:snapToGrid w:val="0"/>
          <w:color w:val="auto"/>
          <w:kern w:val="0"/>
          <w:szCs w:val="21"/>
          <w:highlight w:val="none"/>
        </w:rPr>
        <w:t>银行转账或银行电汇或银行保函或担保机构担保或保证保险</w:t>
      </w:r>
    </w:p>
    <w:p w14:paraId="660C1D17">
      <w:pPr>
        <w:adjustRightInd w:val="0"/>
        <w:snapToGrid w:val="0"/>
        <w:spacing w:line="384" w:lineRule="auto"/>
        <w:ind w:left="-73" w:leftChars="-35" w:firstLine="497" w:firstLineChars="237"/>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注：</w:t>
      </w:r>
      <w:r>
        <w:rPr>
          <w:rFonts w:hint="eastAsia" w:ascii="宋体" w:hAnsi="宋体" w:cs="宋体"/>
          <w:color w:val="auto"/>
          <w:highlight w:val="none"/>
        </w:rPr>
        <w:t>履约保证金的金额：</w:t>
      </w:r>
      <w:r>
        <w:rPr>
          <w:rFonts w:hint="eastAsia" w:ascii="宋体" w:hAnsi="宋体" w:cs="宋体"/>
          <w:color w:val="auto"/>
          <w:szCs w:val="21"/>
          <w:highlight w:val="none"/>
        </w:rPr>
        <w:t>中标合同金额×</w:t>
      </w:r>
      <w:r>
        <w:rPr>
          <w:rFonts w:hint="eastAsia" w:ascii="宋体" w:hAnsi="宋体" w:cs="宋体"/>
          <w:color w:val="auto"/>
          <w:highlight w:val="none"/>
        </w:rPr>
        <w:t>2％。</w:t>
      </w:r>
    </w:p>
    <w:p w14:paraId="4547529C">
      <w:pPr>
        <w:adjustRightInd w:val="0"/>
        <w:snapToGrid w:val="0"/>
        <w:spacing w:line="384" w:lineRule="auto"/>
        <w:ind w:firstLine="840" w:firstLineChars="400"/>
        <w:rPr>
          <w:rFonts w:hint="eastAsia" w:ascii="宋体" w:hAnsi="宋体" w:cs="宋体"/>
          <w:color w:val="auto"/>
          <w:highlight w:val="none"/>
        </w:rPr>
      </w:pPr>
      <w:r>
        <w:rPr>
          <w:rFonts w:hint="eastAsia" w:ascii="宋体" w:hAnsi="宋体" w:cs="宋体"/>
          <w:color w:val="auto"/>
          <w:highlight w:val="none"/>
        </w:rPr>
        <w:t>履约保证金提交期限的要求：</w:t>
      </w:r>
      <w:r>
        <w:rPr>
          <w:rFonts w:hint="eastAsia" w:ascii="宋体" w:hAnsi="宋体" w:cs="宋体"/>
          <w:color w:val="auto"/>
          <w:szCs w:val="21"/>
          <w:highlight w:val="none"/>
          <w:u w:val="none"/>
        </w:rPr>
        <w:t>签订合同前</w:t>
      </w:r>
    </w:p>
    <w:p w14:paraId="08ACF5F0">
      <w:pPr>
        <w:adjustRightInd w:val="0"/>
        <w:snapToGrid w:val="0"/>
        <w:spacing w:line="384" w:lineRule="auto"/>
        <w:ind w:firstLine="840" w:firstLineChars="400"/>
        <w:rPr>
          <w:rFonts w:hint="eastAsia" w:ascii="宋体" w:hAnsi="宋体" w:cs="宋体"/>
          <w:color w:val="auto"/>
          <w:highlight w:val="none"/>
        </w:rPr>
      </w:pPr>
      <w:r>
        <w:rPr>
          <w:rFonts w:hint="eastAsia" w:ascii="宋体" w:hAnsi="宋体" w:cs="宋体"/>
          <w:bCs/>
          <w:snapToGrid w:val="0"/>
          <w:color w:val="auto"/>
          <w:kern w:val="0"/>
          <w:szCs w:val="21"/>
          <w:highlight w:val="none"/>
        </w:rPr>
        <w:t>履约保证金退还时限：履约保证金有效期满7日内</w:t>
      </w:r>
    </w:p>
    <w:p w14:paraId="24E1D48A">
      <w:pPr>
        <w:keepNext/>
        <w:keepLines/>
        <w:adjustRightInd w:val="0"/>
        <w:snapToGrid w:val="0"/>
        <w:spacing w:line="384" w:lineRule="auto"/>
        <w:jc w:val="left"/>
        <w:outlineLvl w:val="2"/>
        <w:rPr>
          <w:rFonts w:hint="eastAsia" w:ascii="宋体" w:hAnsi="宋体" w:cs="宋体"/>
          <w:bCs/>
          <w:color w:val="auto"/>
          <w:sz w:val="24"/>
          <w:highlight w:val="none"/>
        </w:rPr>
      </w:pPr>
      <w:bookmarkStart w:id="843" w:name="_Toc351203636"/>
      <w:bookmarkStart w:id="844" w:name="_Toc95223465"/>
      <w:r>
        <w:rPr>
          <w:rFonts w:hint="eastAsia" w:ascii="宋体" w:hAnsi="宋体" w:cs="宋体"/>
          <w:bCs/>
          <w:color w:val="auto"/>
          <w:sz w:val="24"/>
          <w:highlight w:val="none"/>
        </w:rPr>
        <w:t>4</w:t>
      </w:r>
      <w:bookmarkStart w:id="845" w:name="_Toc296347161"/>
      <w:bookmarkStart w:id="846" w:name="_Toc297120462"/>
      <w:bookmarkStart w:id="847" w:name="_Toc296891202"/>
      <w:bookmarkStart w:id="848" w:name="_Toc297048348"/>
      <w:bookmarkStart w:id="849" w:name="_Toc292559366"/>
      <w:bookmarkStart w:id="850" w:name="_Toc296890990"/>
      <w:bookmarkStart w:id="851" w:name="_Toc296944501"/>
      <w:bookmarkStart w:id="852" w:name="_Toc267251413"/>
      <w:bookmarkStart w:id="853" w:name="_Toc296503162"/>
      <w:bookmarkStart w:id="854" w:name="_Toc292559871"/>
      <w:bookmarkStart w:id="855" w:name="_Toc296346663"/>
      <w:r>
        <w:rPr>
          <w:rFonts w:hint="eastAsia" w:ascii="宋体" w:hAnsi="宋体" w:cs="宋体"/>
          <w:bCs/>
          <w:color w:val="auto"/>
          <w:sz w:val="24"/>
          <w:highlight w:val="none"/>
        </w:rPr>
        <w:t>. 监</w:t>
      </w:r>
      <w:bookmarkEnd w:id="845"/>
      <w:bookmarkEnd w:id="846"/>
      <w:bookmarkEnd w:id="847"/>
      <w:bookmarkEnd w:id="848"/>
      <w:bookmarkEnd w:id="849"/>
      <w:bookmarkEnd w:id="850"/>
      <w:bookmarkEnd w:id="851"/>
      <w:bookmarkEnd w:id="852"/>
      <w:bookmarkEnd w:id="853"/>
      <w:bookmarkEnd w:id="854"/>
      <w:bookmarkEnd w:id="855"/>
      <w:r>
        <w:rPr>
          <w:rFonts w:hint="eastAsia" w:ascii="宋体" w:hAnsi="宋体" w:cs="宋体"/>
          <w:bCs/>
          <w:color w:val="auto"/>
          <w:sz w:val="24"/>
          <w:highlight w:val="none"/>
        </w:rPr>
        <w:t>理人</w:t>
      </w:r>
      <w:bookmarkEnd w:id="843"/>
      <w:bookmarkEnd w:id="844"/>
    </w:p>
    <w:p w14:paraId="75611DA3">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4.1 监理人的一般规定</w:t>
      </w:r>
    </w:p>
    <w:p w14:paraId="65A47564">
      <w:pPr>
        <w:adjustRightInd w:val="0"/>
        <w:snapToGrid w:val="0"/>
        <w:spacing w:line="384" w:lineRule="auto"/>
        <w:ind w:firstLine="420" w:firstLineChars="200"/>
        <w:rPr>
          <w:rFonts w:hint="eastAsia" w:ascii="宋体" w:hAnsi="宋体" w:cs="宋体"/>
          <w:b/>
          <w:color w:val="auto"/>
          <w:highlight w:val="none"/>
          <w:u w:val="single"/>
        </w:rPr>
      </w:pPr>
      <w:r>
        <w:rPr>
          <w:rFonts w:hint="eastAsia" w:ascii="宋体" w:hAnsi="宋体" w:cs="宋体"/>
          <w:color w:val="auto"/>
          <w:highlight w:val="none"/>
        </w:rPr>
        <w:t>关于监理人的监理内容：</w:t>
      </w:r>
      <w:r>
        <w:rPr>
          <w:rFonts w:hint="eastAsia" w:ascii="宋体" w:hAnsi="宋体" w:cs="宋体"/>
          <w:color w:val="auto"/>
          <w:highlight w:val="none"/>
          <w:u w:val="single"/>
          <w:lang w:val="en-US" w:eastAsia="zh-CN"/>
        </w:rPr>
        <w:t xml:space="preserve">                           </w:t>
      </w:r>
      <w:r>
        <w:rPr>
          <w:rFonts w:hint="eastAsia" w:ascii="宋体" w:hAnsi="宋体" w:cs="宋体"/>
          <w:color w:val="auto"/>
          <w:szCs w:val="21"/>
          <w:highlight w:val="none"/>
        </w:rPr>
        <w:t>。</w:t>
      </w:r>
    </w:p>
    <w:p w14:paraId="6B1E57B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关于监理人的监理权限：</w:t>
      </w:r>
      <w:r>
        <w:rPr>
          <w:rFonts w:hint="eastAsia" w:ascii="宋体" w:hAnsi="宋体" w:cs="宋体"/>
          <w:color w:val="auto"/>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highlight w:val="none"/>
        </w:rPr>
        <w:t xml:space="preserve"> </w:t>
      </w:r>
    </w:p>
    <w:p w14:paraId="61398E17">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关于监理人在施工现场的办公场所、生活场所的提供和费用承担的约定：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执行监理合同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D1BDAF3">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4.2 监理人员</w:t>
      </w:r>
    </w:p>
    <w:p w14:paraId="67DEF0D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总监理工程师：</w:t>
      </w:r>
    </w:p>
    <w:p w14:paraId="00D1CBD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C99637C">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职    务：</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07A166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监理工程师执业资格证书号：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189B03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w:t>
      </w:r>
      <w:r>
        <w:rPr>
          <w:rFonts w:hint="eastAsia" w:ascii="宋体" w:hAnsi="宋体" w:cs="宋体"/>
          <w:color w:val="auto"/>
          <w:highlight w:val="none"/>
        </w:rPr>
        <w:t>；</w:t>
      </w:r>
    </w:p>
    <w:p w14:paraId="2A1937B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A1C292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4B2774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关于监理人的其他约定：</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507683AE">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4.4 商定或确定</w:t>
      </w:r>
    </w:p>
    <w:p w14:paraId="5B1060A2">
      <w:pPr>
        <w:adjustRightInd w:val="0"/>
        <w:snapToGrid w:val="0"/>
        <w:spacing w:line="384" w:lineRule="auto"/>
        <w:ind w:firstLine="420" w:firstLineChars="200"/>
        <w:rPr>
          <w:rFonts w:hint="eastAsia" w:ascii="宋体" w:hAnsi="宋体" w:cs="宋体"/>
          <w:color w:val="auto"/>
          <w:highlight w:val="none"/>
        </w:rPr>
      </w:pPr>
      <w:bookmarkStart w:id="856" w:name="_Toc267251418"/>
      <w:r>
        <w:rPr>
          <w:rFonts w:hint="eastAsia" w:ascii="宋体" w:hAnsi="宋体" w:cs="宋体"/>
          <w:color w:val="auto"/>
          <w:highlight w:val="none"/>
        </w:rPr>
        <w:t>在发包人和承包人不能通过协商达成一致意见时，发包人授权监理人对以下事项进行确定：</w:t>
      </w:r>
    </w:p>
    <w:p w14:paraId="35F3DC7D">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2785A1C">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2FA747F">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（3）</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511BBCD">
      <w:pPr>
        <w:keepNext/>
        <w:keepLines/>
        <w:adjustRightInd w:val="0"/>
        <w:snapToGrid w:val="0"/>
        <w:spacing w:line="384" w:lineRule="auto"/>
        <w:jc w:val="left"/>
        <w:outlineLvl w:val="2"/>
        <w:rPr>
          <w:rFonts w:hint="eastAsia" w:ascii="宋体" w:hAnsi="宋体" w:cs="宋体"/>
          <w:bCs/>
          <w:color w:val="auto"/>
          <w:sz w:val="24"/>
          <w:highlight w:val="none"/>
        </w:rPr>
      </w:pPr>
      <w:bookmarkStart w:id="857" w:name="_Toc351203637"/>
      <w:bookmarkStart w:id="858" w:name="_Toc95223466"/>
      <w:r>
        <w:rPr>
          <w:rFonts w:hint="eastAsia" w:ascii="宋体" w:hAnsi="宋体" w:cs="宋体"/>
          <w:bCs/>
          <w:color w:val="auto"/>
          <w:sz w:val="24"/>
          <w:highlight w:val="none"/>
        </w:rPr>
        <w:t>5</w:t>
      </w:r>
      <w:bookmarkEnd w:id="856"/>
      <w:bookmarkStart w:id="859" w:name="_Toc296503163"/>
      <w:bookmarkStart w:id="860" w:name="_Toc297120463"/>
      <w:bookmarkStart w:id="861" w:name="_Toc296944502"/>
      <w:bookmarkStart w:id="862" w:name="_Toc296891203"/>
      <w:bookmarkStart w:id="863" w:name="_Toc292559367"/>
      <w:bookmarkStart w:id="864" w:name="_Toc296347162"/>
      <w:bookmarkStart w:id="865" w:name="_Toc297048349"/>
      <w:bookmarkStart w:id="866" w:name="_Toc292559872"/>
      <w:bookmarkStart w:id="867" w:name="_Toc296346664"/>
      <w:bookmarkStart w:id="868" w:name="_Toc296890991"/>
      <w:r>
        <w:rPr>
          <w:rFonts w:hint="eastAsia" w:ascii="宋体" w:hAnsi="宋体" w:cs="宋体"/>
          <w:bCs/>
          <w:color w:val="auto"/>
          <w:sz w:val="24"/>
          <w:highlight w:val="none"/>
        </w:rPr>
        <w:t>. 工程质量</w:t>
      </w:r>
      <w:bookmarkEnd w:id="857"/>
      <w:bookmarkEnd w:id="858"/>
    </w:p>
    <w:p w14:paraId="584A5536">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5.1 质量要求</w:t>
      </w:r>
    </w:p>
    <w:p w14:paraId="29AA074E">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5</w:t>
      </w:r>
      <w:bookmarkStart w:id="869" w:name="_Toc303539106"/>
      <w:bookmarkStart w:id="870" w:name="_Toc297123496"/>
      <w:bookmarkStart w:id="871" w:name="_Toc318581164"/>
      <w:bookmarkStart w:id="872" w:name="_Toc300934949"/>
      <w:bookmarkStart w:id="873" w:name="_Toc312677997"/>
      <w:bookmarkStart w:id="874" w:name="_Toc297216155"/>
      <w:bookmarkStart w:id="875" w:name="_Toc304295527"/>
      <w:r>
        <w:rPr>
          <w:rFonts w:hint="eastAsia" w:ascii="宋体" w:hAnsi="宋体" w:cs="宋体"/>
          <w:color w:val="auto"/>
          <w:highlight w:val="none"/>
        </w:rPr>
        <w:t>.1.1 特殊质量标准和要求：</w:t>
      </w:r>
      <w:r>
        <w:rPr>
          <w:rFonts w:hint="eastAsia" w:ascii="宋体" w:hAnsi="宋体" w:cs="宋体"/>
          <w:color w:val="auto"/>
          <w:szCs w:val="21"/>
          <w:highlight w:val="none"/>
          <w:u w:val="single"/>
        </w:rPr>
        <w:t>本工程应达到招标文件规定的质量合格标准。</w:t>
      </w:r>
      <w:r>
        <w:rPr>
          <w:rFonts w:hint="eastAsia" w:ascii="宋体" w:hAnsi="宋体" w:eastAsia="宋体" w:cs="宋体"/>
          <w:color w:val="auto"/>
          <w:szCs w:val="21"/>
          <w:highlight w:val="none"/>
          <w:u w:val="single"/>
        </w:rPr>
        <w:t>承包人应按照现行的国家施工验收规范和资料评定标准施工；预验收不合格须整改</w:t>
      </w:r>
      <w:r>
        <w:rPr>
          <w:rFonts w:hint="eastAsia" w:ascii="宋体" w:hAnsi="宋体" w:cs="宋体"/>
          <w:color w:val="auto"/>
          <w:szCs w:val="21"/>
          <w:highlight w:val="none"/>
          <w:u w:val="single"/>
        </w:rPr>
        <w:t>合格，并处以10万元违约金；竣工验收必须合格，否则发包人将处以20万元违约金</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承包人同意终止施工合同并不再支付剩余工程款，承包人并应当另行承担因此给发包人造成的全部损</w:t>
      </w:r>
      <w:r>
        <w:rPr>
          <w:rFonts w:hint="eastAsia" w:ascii="宋体" w:hAnsi="宋体" w:cs="宋体"/>
          <w:color w:val="auto"/>
          <w:szCs w:val="21"/>
          <w:highlight w:val="none"/>
          <w:u w:val="single"/>
          <w:lang w:eastAsia="zh-CN"/>
        </w:rPr>
        <w:t>。</w:t>
      </w:r>
    </w:p>
    <w:p w14:paraId="61812FC8">
      <w:pPr>
        <w:adjustRightInd w:val="0"/>
        <w:snapToGrid w:val="0"/>
        <w:spacing w:line="384"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cs="宋体"/>
          <w:color w:val="auto"/>
          <w:highlight w:val="none"/>
        </w:rPr>
        <w:t>关于工程奖项的约定：</w:t>
      </w:r>
      <w:r>
        <w:rPr>
          <w:rFonts w:hint="eastAsia" w:ascii="宋体" w:hAnsi="宋体" w:cs="宋体"/>
          <w:color w:val="auto"/>
          <w:szCs w:val="21"/>
          <w:highlight w:val="none"/>
          <w:u w:val="single"/>
          <w:lang w:val="en-US" w:eastAsia="zh-CN"/>
        </w:rPr>
        <w:t xml:space="preserve">  无  </w:t>
      </w:r>
      <w:r>
        <w:rPr>
          <w:rFonts w:hint="eastAsia" w:ascii="宋体" w:hAnsi="宋体" w:eastAsia="宋体" w:cs="宋体"/>
          <w:color w:val="auto"/>
          <w:szCs w:val="21"/>
          <w:highlight w:val="none"/>
          <w:u w:val="single"/>
          <w:lang w:val="en-US" w:eastAsia="zh-CN"/>
        </w:rPr>
        <w:t>。</w:t>
      </w:r>
    </w:p>
    <w:p w14:paraId="00825185">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5.3 隐蔽工程检查</w:t>
      </w:r>
    </w:p>
    <w:p w14:paraId="5D61E099">
      <w:pPr>
        <w:adjustRightInd w:val="0"/>
        <w:snapToGrid w:val="0"/>
        <w:spacing w:line="384"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cs="宋体"/>
          <w:color w:val="auto"/>
          <w:highlight w:val="none"/>
        </w:rPr>
        <w:t>5.3.2 承包人提前通知监理人隐蔽工程检查的期限的约定：</w:t>
      </w:r>
      <w:r>
        <w:rPr>
          <w:rFonts w:hint="eastAsia" w:ascii="宋体" w:hAnsi="宋体" w:eastAsia="宋体" w:cs="宋体"/>
          <w:color w:val="auto"/>
          <w:szCs w:val="21"/>
          <w:highlight w:val="none"/>
          <w:u w:val="single"/>
          <w:lang w:val="en-US" w:eastAsia="zh-CN"/>
        </w:rPr>
        <w:t>工程具备隐蔽条件或达到中间验收部位时，承包人自检合格后，在隐蔽和中间验收48小时前书面通知发包人代表和监理工程师参加。通知应包含承包人自检记录、隐蔽和中间验收的内容、时间和地点。承包人准备验收记录，验收合格，发包人代表及监理工程师在验收记录上签字后，方可进行隐蔽和继续施工。验收不合格，承包人在限定时间内重新验收。承包人不服从质量管理的，发包人有权清退其出场，并赔偿因此而造成的一切损失。</w:t>
      </w:r>
    </w:p>
    <w:p w14:paraId="7848821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监理人不能按时进行检查时，应提前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24</w:t>
      </w:r>
      <w:r>
        <w:rPr>
          <w:rFonts w:hint="eastAsia" w:ascii="宋体" w:hAnsi="宋体" w:cs="宋体"/>
          <w:color w:val="auto"/>
          <w:szCs w:val="21"/>
          <w:highlight w:val="none"/>
          <w:u w:val="single"/>
        </w:rPr>
        <w:t xml:space="preserve"> </w:t>
      </w:r>
      <w:r>
        <w:rPr>
          <w:rFonts w:hint="eastAsia" w:ascii="宋体" w:hAnsi="宋体" w:cs="宋体"/>
          <w:color w:val="auto"/>
          <w:highlight w:val="none"/>
        </w:rPr>
        <w:t>小时提交书面延期要求。</w:t>
      </w:r>
    </w:p>
    <w:p w14:paraId="1CC9E4A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关于延期最长不得超过：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48</w:t>
      </w:r>
      <w:r>
        <w:rPr>
          <w:rFonts w:hint="eastAsia" w:ascii="宋体" w:hAnsi="宋体" w:cs="宋体"/>
          <w:color w:val="auto"/>
          <w:szCs w:val="21"/>
          <w:highlight w:val="none"/>
          <w:u w:val="single"/>
        </w:rPr>
        <w:t xml:space="preserve"> </w:t>
      </w:r>
      <w:r>
        <w:rPr>
          <w:rFonts w:hint="eastAsia" w:ascii="宋体" w:hAnsi="宋体" w:cs="宋体"/>
          <w:color w:val="auto"/>
          <w:highlight w:val="none"/>
        </w:rPr>
        <w:t>小时。</w:t>
      </w:r>
    </w:p>
    <w:p w14:paraId="41C58EEB">
      <w:pPr>
        <w:keepNext/>
        <w:keepLines/>
        <w:adjustRightInd w:val="0"/>
        <w:snapToGrid w:val="0"/>
        <w:spacing w:line="384" w:lineRule="auto"/>
        <w:jc w:val="left"/>
        <w:outlineLvl w:val="2"/>
        <w:rPr>
          <w:rFonts w:hint="eastAsia" w:ascii="宋体" w:hAnsi="宋体" w:cs="宋体"/>
          <w:bCs/>
          <w:color w:val="auto"/>
          <w:sz w:val="24"/>
          <w:highlight w:val="none"/>
        </w:rPr>
      </w:pPr>
      <w:bookmarkStart w:id="876" w:name="_Toc95223467"/>
      <w:bookmarkStart w:id="877" w:name="_Toc351203638"/>
      <w:r>
        <w:rPr>
          <w:rFonts w:hint="eastAsia" w:ascii="宋体" w:hAnsi="宋体" w:cs="宋体"/>
          <w:bCs/>
          <w:color w:val="auto"/>
          <w:sz w:val="24"/>
          <w:highlight w:val="none"/>
        </w:rPr>
        <w:t>6. 安全文明施工与环境保护</w:t>
      </w:r>
      <w:bookmarkEnd w:id="876"/>
      <w:bookmarkEnd w:id="877"/>
    </w:p>
    <w:p w14:paraId="52A89478">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6.1 安全文明施工</w:t>
      </w:r>
    </w:p>
    <w:p w14:paraId="2F410996">
      <w:pPr>
        <w:adjustRightInd w:val="0"/>
        <w:snapToGrid w:val="0"/>
        <w:spacing w:line="384" w:lineRule="auto"/>
        <w:ind w:firstLine="420" w:firstLineChars="200"/>
        <w:rPr>
          <w:rFonts w:hint="eastAsia" w:ascii="宋体" w:hAnsi="宋体" w:eastAsia="宋体" w:cs="宋体"/>
          <w:color w:val="auto"/>
          <w:highlight w:val="none"/>
          <w:u w:val="single"/>
          <w:lang w:eastAsia="zh-CN"/>
        </w:rPr>
      </w:pPr>
      <w:r>
        <w:rPr>
          <w:rFonts w:hint="eastAsia" w:ascii="宋体" w:hAnsi="宋体" w:cs="宋体"/>
          <w:color w:val="auto"/>
          <w:highlight w:val="none"/>
        </w:rPr>
        <w:t>6.1.1 项目安全生产的达标目标及相应事项的约定：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B81983E">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6.1.4 关于治安保卫的特别约定：</w:t>
      </w:r>
      <w:r>
        <w:rPr>
          <w:rFonts w:hint="eastAsia" w:ascii="宋体" w:hAnsi="宋体" w:cs="宋体"/>
          <w:color w:val="auto"/>
          <w:szCs w:val="21"/>
          <w:highlight w:val="none"/>
          <w:u w:val="single"/>
        </w:rPr>
        <w:t xml:space="preserve"> 执行通用条款  </w:t>
      </w:r>
      <w:r>
        <w:rPr>
          <w:rFonts w:hint="eastAsia" w:ascii="宋体" w:hAnsi="宋体" w:cs="宋体"/>
          <w:color w:val="auto"/>
          <w:highlight w:val="none"/>
        </w:rPr>
        <w:t>。</w:t>
      </w:r>
    </w:p>
    <w:p w14:paraId="681D147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关于编制施工场地治安管理计划的约定：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4D303E0">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6.1.5 文明施工</w:t>
      </w:r>
    </w:p>
    <w:p w14:paraId="03635E0C">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合同当事人对文明施工的要求：</w:t>
      </w:r>
      <w:r>
        <w:rPr>
          <w:rFonts w:hint="eastAsia" w:ascii="宋体" w:hAnsi="宋体" w:cs="宋体"/>
          <w:color w:val="auto"/>
          <w:highlight w:val="none"/>
          <w:u w:val="single"/>
        </w:rPr>
        <w:t xml:space="preserve"> (1）符合项目建设地文明施工要求；</w:t>
      </w:r>
    </w:p>
    <w:p w14:paraId="385C2A5C">
      <w:pPr>
        <w:adjustRightInd w:val="0"/>
        <w:snapToGrid w:val="0"/>
        <w:spacing w:line="384" w:lineRule="auto"/>
        <w:ind w:firstLine="420" w:firstLineChars="200"/>
        <w:rPr>
          <w:rFonts w:hint="eastAsia" w:ascii="宋体" w:hAnsi="宋体" w:cs="宋体"/>
          <w:color w:val="auto"/>
          <w:highlight w:val="none"/>
          <w:u w:val="single"/>
          <w:lang w:val="en-US" w:eastAsia="zh-CN"/>
        </w:rPr>
      </w:pPr>
      <w:r>
        <w:rPr>
          <w:rFonts w:hint="eastAsia" w:ascii="宋体" w:hAnsi="宋体" w:cs="宋体"/>
          <w:color w:val="auto"/>
          <w:highlight w:val="none"/>
          <w:u w:val="single"/>
        </w:rPr>
        <w:t>（2）发生安全事故，承包人应按照有关规定立即上报有关部门并通知发包人，同时按照政府有关要求处理，由事故责任</w:t>
      </w:r>
      <w:r>
        <w:rPr>
          <w:rFonts w:hint="eastAsia" w:ascii="宋体" w:hAnsi="宋体" w:cs="宋体"/>
          <w:color w:val="auto"/>
          <w:highlight w:val="none"/>
          <w:u w:val="single"/>
          <w:lang w:val="en-US" w:eastAsia="zh-CN"/>
        </w:rPr>
        <w:t>方承担发生的费用。发包人根据事故的分类对承包人进行处以违约：</w:t>
      </w:r>
    </w:p>
    <w:p w14:paraId="64281B92">
      <w:pPr>
        <w:adjustRightInd w:val="0"/>
        <w:snapToGrid w:val="0"/>
        <w:spacing w:line="384" w:lineRule="auto"/>
        <w:ind w:firstLine="420" w:firstLineChars="200"/>
        <w:rPr>
          <w:rFonts w:hint="eastAsia" w:ascii="宋体" w:hAnsi="宋体" w:cs="宋体"/>
          <w:color w:val="auto"/>
          <w:highlight w:val="none"/>
          <w:u w:val="single"/>
          <w:lang w:val="en-US" w:eastAsia="zh-CN"/>
        </w:rPr>
      </w:pPr>
      <w:r>
        <w:rPr>
          <w:rFonts w:hint="eastAsia" w:ascii="宋体" w:hAnsi="宋体" w:cs="宋体"/>
          <w:color w:val="auto"/>
          <w:highlight w:val="none"/>
          <w:u w:val="single"/>
          <w:lang w:val="en-US" w:eastAsia="zh-CN"/>
        </w:rPr>
        <w:t xml:space="preserve">1）特别重大事故，发包人对承包人处以 50万元的人民币违约金，并承担因施工安全事故给本工程建设单位、项目管理单位和监理人带来的经济损失；  </w:t>
      </w:r>
    </w:p>
    <w:p w14:paraId="32A077F0">
      <w:pPr>
        <w:adjustRightInd w:val="0"/>
        <w:snapToGrid w:val="0"/>
        <w:spacing w:line="384" w:lineRule="auto"/>
        <w:ind w:firstLine="420" w:firstLineChars="200"/>
        <w:rPr>
          <w:rFonts w:hint="eastAsia" w:ascii="宋体" w:hAnsi="宋体" w:cs="宋体"/>
          <w:color w:val="auto"/>
          <w:highlight w:val="none"/>
          <w:u w:val="single"/>
          <w:lang w:val="en-US" w:eastAsia="zh-CN"/>
        </w:rPr>
      </w:pPr>
      <w:r>
        <w:rPr>
          <w:rFonts w:hint="eastAsia" w:ascii="宋体" w:hAnsi="宋体" w:cs="宋体"/>
          <w:color w:val="auto"/>
          <w:highlight w:val="none"/>
          <w:u w:val="single"/>
          <w:lang w:val="en-US" w:eastAsia="zh-CN"/>
        </w:rPr>
        <w:t xml:space="preserve">2）重大事故，发包人对承包人处以30万元的人民币违约金，并承担因施工安全事故给本工程建设单位、项目管理单位和监理人带来的经济损失；  </w:t>
      </w:r>
    </w:p>
    <w:p w14:paraId="1B3F0C90">
      <w:pPr>
        <w:adjustRightInd w:val="0"/>
        <w:snapToGrid w:val="0"/>
        <w:spacing w:line="384" w:lineRule="auto"/>
        <w:ind w:firstLine="420" w:firstLineChars="200"/>
        <w:rPr>
          <w:rFonts w:hint="eastAsia" w:ascii="宋体" w:hAnsi="宋体" w:cs="宋体"/>
          <w:color w:val="auto"/>
          <w:highlight w:val="none"/>
          <w:u w:val="single"/>
          <w:lang w:val="en-US" w:eastAsia="zh-CN"/>
        </w:rPr>
      </w:pPr>
      <w:r>
        <w:rPr>
          <w:rFonts w:hint="eastAsia" w:ascii="宋体" w:hAnsi="宋体" w:cs="宋体"/>
          <w:color w:val="auto"/>
          <w:highlight w:val="none"/>
          <w:u w:val="single"/>
          <w:lang w:val="en-US" w:eastAsia="zh-CN"/>
        </w:rPr>
        <w:t xml:space="preserve">3）较大事故，发包人对承包人处以20万元的人民币违约金，并承担因施工安全事故给本工程建设单位、项目管理单位和监理人带来的经济损失；  </w:t>
      </w:r>
    </w:p>
    <w:p w14:paraId="4B0DBA9D">
      <w:pPr>
        <w:adjustRightInd w:val="0"/>
        <w:snapToGrid w:val="0"/>
        <w:spacing w:line="384" w:lineRule="auto"/>
        <w:ind w:firstLine="420" w:firstLineChars="200"/>
        <w:rPr>
          <w:rFonts w:hint="eastAsia" w:ascii="宋体" w:hAnsi="宋体" w:cs="宋体"/>
          <w:color w:val="auto"/>
          <w:highlight w:val="none"/>
          <w:u w:val="single"/>
          <w:lang w:val="en-US" w:eastAsia="zh-CN"/>
        </w:rPr>
      </w:pPr>
      <w:r>
        <w:rPr>
          <w:rFonts w:hint="eastAsia" w:ascii="宋体" w:hAnsi="宋体" w:cs="宋体"/>
          <w:color w:val="auto"/>
          <w:highlight w:val="none"/>
          <w:u w:val="single"/>
          <w:lang w:val="en-US" w:eastAsia="zh-CN"/>
        </w:rPr>
        <w:t>4）一般事故，发包人对承包人处以 10 万元的人民币违约金，并承担因施工安全事故给本工程建设单位、项目管理单位和监理人带来的经济损失。</w:t>
      </w:r>
    </w:p>
    <w:p w14:paraId="3FECE49C">
      <w:pPr>
        <w:adjustRightInd w:val="0"/>
        <w:snapToGrid w:val="0"/>
        <w:spacing w:line="384" w:lineRule="auto"/>
        <w:ind w:firstLine="420" w:firstLineChars="200"/>
        <w:rPr>
          <w:rFonts w:hint="eastAsia" w:ascii="宋体" w:hAnsi="宋体" w:cs="宋体"/>
          <w:color w:val="auto"/>
          <w:highlight w:val="none"/>
          <w:u w:val="single"/>
          <w:lang w:val="en-US" w:eastAsia="zh-CN"/>
        </w:rPr>
      </w:pPr>
      <w:r>
        <w:rPr>
          <w:rFonts w:hint="eastAsia" w:ascii="宋体" w:hAnsi="宋体" w:cs="宋体"/>
          <w:color w:val="auto"/>
          <w:highlight w:val="none"/>
          <w:u w:val="single"/>
          <w:lang w:val="en-US" w:eastAsia="zh-CN"/>
        </w:rPr>
        <w:t>（3）发生质量事故，承包人应按照有关规定立即上报有关部门并通知发包人，同时按照政府有关要求处理，由事故责任方承担发生的费用。发包人根据事故的分类对承包人进行处以违约：1）特别重大质量事故，发包人对承包人处以50万元的人民币违约金，并承担因施工质量事故给本工程建设单位、项目管理单位和监理人带来的经济损失；2）重大质量事故，发包人对承包人处以30万元的人民币违约金，并承担因施工质量事故给本工程建设单位、项目管理单位和监理人带来的经济损失；3）严重质量事故，发包人对承包人处以20万元的人民币违约金，并承担因施工质量事故给本工程建设单位、项目管理单位和监理人带来的经济损失；4）一般质量事故，发包人对承包人处以10万元的人民币违约金，并承担因施工质量事故给本工程建设单位、项目管理单位和监理人带来的经济损失。</w:t>
      </w:r>
    </w:p>
    <w:p w14:paraId="26E46375">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u w:val="single"/>
          <w:lang w:val="en-US" w:eastAsia="zh-CN"/>
        </w:rPr>
        <w:t>（4）进场道路绿化开口协调等安全文明施工相关工作及所需费用均由承包人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F6A83B8">
      <w:pPr>
        <w:adjustRightInd w:val="0"/>
        <w:snapToGrid w:val="0"/>
        <w:spacing w:line="384"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cs="宋体"/>
          <w:color w:val="auto"/>
          <w:highlight w:val="none"/>
        </w:rPr>
        <w:t>6.1.6 关于安全文明施工费支付比例和支付期限的约定：</w:t>
      </w:r>
      <w:r>
        <w:rPr>
          <w:rFonts w:hint="eastAsia" w:ascii="宋体" w:hAnsi="宋体" w:cs="宋体"/>
          <w:color w:val="auto"/>
          <w:highlight w:val="none"/>
          <w:u w:val="single"/>
        </w:rPr>
        <w:t xml:space="preserve"> 执行通用条款</w:t>
      </w:r>
      <w:r>
        <w:rPr>
          <w:rFonts w:hint="eastAsia" w:ascii="宋体" w:hAnsi="宋体" w:cs="宋体"/>
          <w:color w:val="auto"/>
          <w:highlight w:val="none"/>
          <w:u w:val="single"/>
          <w:lang w:eastAsia="zh-CN"/>
        </w:rPr>
        <w:t>。</w:t>
      </w:r>
    </w:p>
    <w:bookmarkEnd w:id="869"/>
    <w:bookmarkEnd w:id="870"/>
    <w:bookmarkEnd w:id="871"/>
    <w:bookmarkEnd w:id="872"/>
    <w:bookmarkEnd w:id="873"/>
    <w:bookmarkEnd w:id="874"/>
    <w:bookmarkEnd w:id="875"/>
    <w:p w14:paraId="3C5DCB93">
      <w:pPr>
        <w:adjustRightInd w:val="0"/>
        <w:snapToGrid w:val="0"/>
        <w:spacing w:line="384" w:lineRule="auto"/>
        <w:rPr>
          <w:rFonts w:hint="eastAsia" w:ascii="宋体" w:hAnsi="宋体" w:cs="宋体"/>
          <w:bCs/>
          <w:color w:val="auto"/>
          <w:sz w:val="24"/>
          <w:highlight w:val="none"/>
        </w:rPr>
      </w:pPr>
      <w:bookmarkStart w:id="878" w:name="_Toc351203639"/>
      <w:bookmarkStart w:id="879" w:name="_Toc95223468"/>
      <w:r>
        <w:rPr>
          <w:rFonts w:hint="eastAsia" w:ascii="宋体" w:hAnsi="宋体" w:cs="宋体"/>
          <w:bCs/>
          <w:color w:val="auto"/>
          <w:sz w:val="24"/>
          <w:highlight w:val="none"/>
        </w:rPr>
        <w:t>7. 工期和进度</w:t>
      </w:r>
      <w:bookmarkEnd w:id="878"/>
      <w:bookmarkEnd w:id="879"/>
    </w:p>
    <w:p w14:paraId="683D543E">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7.1 施工组织设计</w:t>
      </w:r>
    </w:p>
    <w:p w14:paraId="1E01A316">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7.1.1 合</w:t>
      </w:r>
      <w:r>
        <w:rPr>
          <w:rFonts w:hint="eastAsia" w:ascii="宋体" w:hAnsi="宋体" w:cs="宋体"/>
          <w:color w:val="auto"/>
          <w:kern w:val="0"/>
          <w:highlight w:val="none"/>
        </w:rPr>
        <w:t>同当事人约定的施工组织设计应包括的其他内容：</w:t>
      </w:r>
      <w:r>
        <w:rPr>
          <w:rFonts w:hint="eastAsia" w:ascii="宋体" w:hAnsi="宋体" w:eastAsia="宋体" w:cs="宋体"/>
          <w:color w:val="auto"/>
          <w:szCs w:val="21"/>
          <w:highlight w:val="none"/>
          <w:u w:val="single"/>
          <w:lang w:val="en-US" w:eastAsia="zh-CN"/>
        </w:rPr>
        <w:t>本工程需编制每月施工进度计划，经监理、发包人审批后作为进度款支付和考核进度完成的指标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91AC99E">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highlight w:val="none"/>
        </w:rPr>
        <w:t xml:space="preserve">7.1.2 </w:t>
      </w:r>
      <w:r>
        <w:rPr>
          <w:rFonts w:hint="eastAsia" w:ascii="宋体" w:hAnsi="宋体" w:cs="宋体"/>
          <w:color w:val="auto"/>
          <w:kern w:val="0"/>
          <w:highlight w:val="none"/>
        </w:rPr>
        <w:t>施工组织设计的提交和修改</w:t>
      </w:r>
    </w:p>
    <w:p w14:paraId="35C35804">
      <w:pPr>
        <w:adjustRightInd w:val="0"/>
        <w:snapToGrid w:val="0"/>
        <w:spacing w:line="384"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cs="宋体"/>
          <w:color w:val="auto"/>
          <w:kern w:val="0"/>
          <w:highlight w:val="none"/>
        </w:rPr>
        <w:t>承包人提交详细施工组织设计的期限的约定：</w:t>
      </w:r>
      <w:r>
        <w:rPr>
          <w:rFonts w:hint="eastAsia" w:ascii="宋体" w:hAnsi="宋体" w:eastAsia="宋体" w:cs="宋体"/>
          <w:color w:val="auto"/>
          <w:szCs w:val="21"/>
          <w:highlight w:val="none"/>
          <w:u w:val="single"/>
          <w:lang w:val="en-US" w:eastAsia="zh-CN"/>
        </w:rPr>
        <w:t>图纸会审及设计交底后一周内提供标后施工组织设计。</w:t>
      </w:r>
    </w:p>
    <w:p w14:paraId="76994709">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发包人和监理人在收到详细的施工组织设计后确认或提出修改意见的期限：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7日内</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rPr>
        <w:t>。</w:t>
      </w:r>
    </w:p>
    <w:p w14:paraId="35893F49">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7</w:t>
      </w:r>
      <w:bookmarkStart w:id="880" w:name="_Toc300934966"/>
      <w:bookmarkStart w:id="881" w:name="_Toc303539123"/>
      <w:bookmarkStart w:id="882" w:name="_Toc297123514"/>
      <w:bookmarkStart w:id="883" w:name="_Toc297216173"/>
      <w:bookmarkStart w:id="884" w:name="_Toc312678005"/>
      <w:bookmarkStart w:id="885" w:name="_Toc312677479"/>
      <w:bookmarkStart w:id="886" w:name="_Toc304295541"/>
      <w:r>
        <w:rPr>
          <w:rFonts w:hint="eastAsia" w:ascii="宋体" w:hAnsi="宋体" w:cs="宋体"/>
          <w:bCs/>
          <w:color w:val="auto"/>
          <w:szCs w:val="28"/>
          <w:highlight w:val="none"/>
        </w:rPr>
        <w:t>.2 施工进度计划</w:t>
      </w:r>
    </w:p>
    <w:p w14:paraId="2BE5C06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7.2.2 施工进度计划的修订</w:t>
      </w:r>
    </w:p>
    <w:p w14:paraId="33133E09">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发包人和监理人在收到修订的施工进度计划后确认或提出修改意见的期限：</w:t>
      </w:r>
      <w:r>
        <w:rPr>
          <w:rFonts w:hint="eastAsia" w:ascii="宋体" w:hAnsi="宋体" w:cs="宋体"/>
          <w:color w:val="auto"/>
          <w:szCs w:val="21"/>
          <w:highlight w:val="none"/>
          <w:u w:val="single"/>
        </w:rPr>
        <w:t xml:space="preserve"> 7日内</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BB099DF">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7.3 开工</w:t>
      </w:r>
    </w:p>
    <w:p w14:paraId="5842AA1B">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7.3.1 开工准备</w:t>
      </w:r>
    </w:p>
    <w:p w14:paraId="40DBC81D">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关于承包人提交</w:t>
      </w:r>
      <w:r>
        <w:rPr>
          <w:rFonts w:hint="eastAsia" w:ascii="宋体" w:hAnsi="宋体" w:cs="宋体"/>
          <w:color w:val="auto"/>
          <w:kern w:val="0"/>
          <w:highlight w:val="none"/>
        </w:rPr>
        <w:t>工程开工报审表的期限：</w:t>
      </w:r>
      <w:r>
        <w:rPr>
          <w:rFonts w:hint="eastAsia" w:ascii="宋体" w:hAnsi="宋体" w:cs="宋体"/>
          <w:color w:val="auto"/>
          <w:szCs w:val="21"/>
          <w:highlight w:val="none"/>
          <w:u w:val="single"/>
        </w:rPr>
        <w:t xml:space="preserve"> 执行通用条款    </w:t>
      </w:r>
    </w:p>
    <w:p w14:paraId="73249582">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关于发包人应完成的其他开工准备工作及期限：</w:t>
      </w:r>
      <w:r>
        <w:rPr>
          <w:rFonts w:hint="eastAsia" w:ascii="宋体" w:hAnsi="宋体" w:cs="宋体"/>
          <w:color w:val="auto"/>
          <w:szCs w:val="21"/>
          <w:highlight w:val="none"/>
          <w:u w:val="single"/>
        </w:rPr>
        <w:t xml:space="preserve"> 执行通用条款  </w:t>
      </w:r>
      <w:r>
        <w:rPr>
          <w:rFonts w:hint="eastAsia" w:ascii="宋体" w:hAnsi="宋体" w:cs="宋体"/>
          <w:color w:val="auto"/>
          <w:highlight w:val="none"/>
        </w:rPr>
        <w:t>。</w:t>
      </w:r>
    </w:p>
    <w:p w14:paraId="05EA7F4C">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关于承包人应完成的其他开工准备工作及期限：</w:t>
      </w:r>
      <w:r>
        <w:rPr>
          <w:rFonts w:hint="eastAsia" w:ascii="宋体" w:hAnsi="宋体" w:cs="宋体"/>
          <w:color w:val="auto"/>
          <w:szCs w:val="21"/>
          <w:highlight w:val="none"/>
          <w:u w:val="single"/>
        </w:rPr>
        <w:t xml:space="preserve"> 执行通用条款    </w:t>
      </w:r>
      <w:r>
        <w:rPr>
          <w:rFonts w:hint="eastAsia" w:ascii="宋体" w:hAnsi="宋体" w:cs="宋体"/>
          <w:color w:val="auto"/>
          <w:highlight w:val="none"/>
        </w:rPr>
        <w:t>。</w:t>
      </w:r>
    </w:p>
    <w:p w14:paraId="56C449C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7.3.2 开工通知</w:t>
      </w:r>
    </w:p>
    <w:p w14:paraId="20DE3FF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因发包人原因造成监理人未能在计划开工日期之日起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90 </w:t>
      </w:r>
      <w:r>
        <w:rPr>
          <w:rFonts w:hint="eastAsia" w:ascii="宋体" w:hAnsi="宋体" w:cs="宋体"/>
          <w:color w:val="auto"/>
          <w:szCs w:val="21"/>
          <w:highlight w:val="none"/>
          <w:u w:val="single"/>
        </w:rPr>
        <w:t xml:space="preserve"> </w:t>
      </w:r>
      <w:r>
        <w:rPr>
          <w:rFonts w:hint="eastAsia" w:ascii="宋体" w:hAnsi="宋体" w:cs="宋体"/>
          <w:color w:val="auto"/>
          <w:highlight w:val="none"/>
        </w:rPr>
        <w:t>天内发出开工通知的，承包人有权提出价格调整要求，或者解除合同。</w:t>
      </w:r>
    </w:p>
    <w:bookmarkEnd w:id="880"/>
    <w:bookmarkEnd w:id="881"/>
    <w:bookmarkEnd w:id="882"/>
    <w:bookmarkEnd w:id="883"/>
    <w:bookmarkEnd w:id="884"/>
    <w:bookmarkEnd w:id="885"/>
    <w:bookmarkEnd w:id="886"/>
    <w:p w14:paraId="64CE2DD2">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7.4 测量放线</w:t>
      </w:r>
    </w:p>
    <w:p w14:paraId="396F4536">
      <w:pPr>
        <w:adjustRightInd w:val="0"/>
        <w:snapToGrid w:val="0"/>
        <w:spacing w:line="384"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cs="宋体"/>
          <w:color w:val="auto"/>
          <w:highlight w:val="none"/>
        </w:rPr>
        <w:t>7.4.1 发包人通过监理人向承包人提供测量基准点、基准线和水准点及其书面资料的期限：</w:t>
      </w:r>
      <w:r>
        <w:rPr>
          <w:rFonts w:hint="eastAsia" w:ascii="宋体" w:hAnsi="宋体" w:cs="宋体"/>
          <w:color w:val="auto"/>
          <w:szCs w:val="21"/>
          <w:highlight w:val="none"/>
          <w:u w:val="single"/>
        </w:rPr>
        <w:t xml:space="preserve"> </w:t>
      </w:r>
      <w:bookmarkStart w:id="887" w:name="EBce06c504456746f28786ccb2e7cc12c8"/>
      <w:r>
        <w:rPr>
          <w:rFonts w:hint="eastAsia" w:ascii="宋体" w:hAnsi="宋体" w:eastAsia="宋体" w:cs="宋体"/>
          <w:color w:val="auto"/>
          <w:szCs w:val="21"/>
          <w:highlight w:val="none"/>
          <w:u w:val="single"/>
          <w:lang w:val="en-US" w:eastAsia="zh-CN"/>
        </w:rPr>
        <w:t>开工前提供</w:t>
      </w:r>
      <w:bookmarkEnd w:id="887"/>
      <w:r>
        <w:rPr>
          <w:rFonts w:hint="eastAsia" w:ascii="宋体" w:hAnsi="宋体" w:eastAsia="宋体" w:cs="宋体"/>
          <w:color w:val="auto"/>
          <w:szCs w:val="21"/>
          <w:highlight w:val="none"/>
          <w:u w:val="single"/>
          <w:lang w:val="en-US" w:eastAsia="zh-CN"/>
        </w:rPr>
        <w:t>水准点与坐标控制点，按施工图由发包人、承包人、监理现场交验，交验后，承包人应妥善保护场内水准点与控制点，任意破坏或遗失应由承包人负责恢复的费用。</w:t>
      </w:r>
    </w:p>
    <w:p w14:paraId="7D917865">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7</w:t>
      </w:r>
      <w:bookmarkStart w:id="888" w:name="_Toc297216175"/>
      <w:bookmarkStart w:id="889" w:name="_Toc303539125"/>
      <w:bookmarkStart w:id="890" w:name="_Toc300934968"/>
      <w:bookmarkStart w:id="891" w:name="_Toc312678010"/>
      <w:bookmarkStart w:id="892" w:name="_Toc297123516"/>
      <w:bookmarkStart w:id="893" w:name="_Toc312677484"/>
      <w:bookmarkStart w:id="894" w:name="_Toc304295546"/>
      <w:r>
        <w:rPr>
          <w:rFonts w:hint="eastAsia" w:ascii="宋体" w:hAnsi="宋体" w:cs="宋体"/>
          <w:bCs/>
          <w:color w:val="auto"/>
          <w:szCs w:val="28"/>
          <w:highlight w:val="none"/>
        </w:rPr>
        <w:t>.5 工期延误</w:t>
      </w:r>
    </w:p>
    <w:bookmarkEnd w:id="888"/>
    <w:bookmarkEnd w:id="889"/>
    <w:bookmarkEnd w:id="890"/>
    <w:bookmarkEnd w:id="891"/>
    <w:bookmarkEnd w:id="892"/>
    <w:bookmarkEnd w:id="893"/>
    <w:bookmarkEnd w:id="894"/>
    <w:p w14:paraId="3FF11DD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7.5.1 因发包人原因导致工期延误</w:t>
      </w:r>
    </w:p>
    <w:p w14:paraId="4DF2CE04">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（7）因发包人原因导致工期延误的其他情形：</w:t>
      </w:r>
      <w:r>
        <w:rPr>
          <w:rFonts w:hint="eastAsia" w:ascii="宋体" w:hAnsi="宋体" w:cs="宋体"/>
          <w:color w:val="auto"/>
          <w:highlight w:val="none"/>
          <w:u w:val="single"/>
        </w:rPr>
        <w:t xml:space="preserve"> </w:t>
      </w:r>
      <w:r>
        <w:rPr>
          <w:rFonts w:hint="eastAsia" w:ascii="宋体" w:hAnsi="宋体" w:eastAsia="宋体" w:cs="宋体"/>
          <w:color w:val="auto"/>
          <w:szCs w:val="21"/>
          <w:highlight w:val="none"/>
          <w:u w:val="single"/>
          <w:lang w:val="en-US" w:eastAsia="zh-CN"/>
        </w:rPr>
        <w:t>由于发包人的原因和非承包人的责任停工的，工期顺延</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6ECA4D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7</w:t>
      </w:r>
      <w:bookmarkStart w:id="895" w:name="_Toc312677486"/>
      <w:bookmarkStart w:id="896" w:name="_Toc318581169"/>
      <w:bookmarkStart w:id="897" w:name="_Toc312678012"/>
      <w:bookmarkStart w:id="898" w:name="_Toc297216177"/>
      <w:bookmarkStart w:id="899" w:name="_Toc300934970"/>
      <w:bookmarkStart w:id="900" w:name="_Toc304295548"/>
      <w:bookmarkStart w:id="901" w:name="_Toc303539127"/>
      <w:bookmarkStart w:id="902" w:name="_Toc297123518"/>
      <w:r>
        <w:rPr>
          <w:rFonts w:hint="eastAsia" w:ascii="宋体" w:hAnsi="宋体" w:cs="宋体"/>
          <w:color w:val="auto"/>
          <w:highlight w:val="none"/>
        </w:rPr>
        <w:t>.5.2 因承包人原因导致工期延误</w:t>
      </w:r>
    </w:p>
    <w:bookmarkEnd w:id="895"/>
    <w:bookmarkEnd w:id="896"/>
    <w:bookmarkEnd w:id="897"/>
    <w:p w14:paraId="23A307CB">
      <w:pPr>
        <w:adjustRightInd w:val="0"/>
        <w:snapToGrid w:val="0"/>
        <w:spacing w:line="384" w:lineRule="auto"/>
        <w:ind w:firstLine="420" w:firstLineChars="200"/>
        <w:rPr>
          <w:rFonts w:hint="eastAsia" w:ascii="宋体" w:hAnsi="宋体" w:eastAsia="宋体" w:cs="宋体"/>
          <w:color w:val="auto"/>
          <w:highlight w:val="none"/>
          <w:u w:val="single"/>
        </w:rPr>
      </w:pPr>
      <w:r>
        <w:rPr>
          <w:rFonts w:hint="eastAsia" w:ascii="宋体" w:hAnsi="宋体" w:cs="宋体"/>
          <w:color w:val="auto"/>
          <w:highlight w:val="none"/>
        </w:rPr>
        <w:t>因</w:t>
      </w:r>
      <w:bookmarkStart w:id="903" w:name="_Toc312677487"/>
      <w:bookmarkStart w:id="904" w:name="_Toc312678013"/>
      <w:bookmarkStart w:id="905" w:name="_Toc318581170"/>
      <w:r>
        <w:rPr>
          <w:rFonts w:hint="eastAsia" w:ascii="宋体" w:hAnsi="宋体" w:cs="宋体"/>
          <w:color w:val="auto"/>
          <w:highlight w:val="none"/>
        </w:rPr>
        <w:t>承包人原因造成工期延误，逾期竣工违约金的计算方法为：</w:t>
      </w:r>
      <w:bookmarkEnd w:id="898"/>
      <w:bookmarkEnd w:id="899"/>
      <w:bookmarkEnd w:id="900"/>
      <w:bookmarkEnd w:id="901"/>
      <w:bookmarkEnd w:id="902"/>
      <w:bookmarkEnd w:id="903"/>
      <w:bookmarkEnd w:id="904"/>
      <w:r>
        <w:rPr>
          <w:rFonts w:hint="eastAsia" w:ascii="宋体" w:hAnsi="宋体" w:eastAsia="宋体" w:cs="宋体"/>
          <w:color w:val="auto"/>
          <w:highlight w:val="none"/>
          <w:u w:val="single"/>
          <w:lang w:val="en-US" w:eastAsia="zh-CN"/>
        </w:rPr>
        <w:t>因承包人原因造成合同工期延误，每延误一天，处以</w:t>
      </w:r>
      <w:r>
        <w:rPr>
          <w:rFonts w:hint="eastAsia" w:ascii="宋体" w:hAnsi="宋体" w:cs="宋体"/>
          <w:color w:val="auto"/>
          <w:highlight w:val="none"/>
          <w:u w:val="single"/>
          <w:lang w:val="en-US" w:eastAsia="zh-CN"/>
        </w:rPr>
        <w:t>10000</w:t>
      </w:r>
      <w:r>
        <w:rPr>
          <w:rFonts w:hint="eastAsia" w:ascii="宋体" w:hAnsi="宋体" w:eastAsia="宋体" w:cs="宋体"/>
          <w:color w:val="auto"/>
          <w:highlight w:val="none"/>
          <w:u w:val="single"/>
          <w:lang w:val="en-US" w:eastAsia="zh-CN"/>
        </w:rPr>
        <w:t>元违约金。月工程量未完成的当期不得请款，当月未完成的工程量纳入下月一并完成，完不成的仍不予请款，依次类推。</w:t>
      </w:r>
      <w:r>
        <w:rPr>
          <w:rFonts w:hint="eastAsia" w:ascii="宋体" w:hAnsi="宋体" w:eastAsia="宋体" w:cs="宋体"/>
          <w:color w:val="auto"/>
          <w:highlight w:val="none"/>
          <w:u w:val="single"/>
        </w:rPr>
        <w:t>因承包人原因造成工期延误后，仍无法在业主要求的时间内完成本项目全部工程量的，除履行支付违约金外，按照已完成工程量的 80%结算工程款的方式进行结算，扣除已完成工程量 20%的结算工程款。</w:t>
      </w:r>
    </w:p>
    <w:bookmarkEnd w:id="905"/>
    <w:p w14:paraId="4917EA04">
      <w:pPr>
        <w:adjustRightInd w:val="0"/>
        <w:snapToGrid w:val="0"/>
        <w:spacing w:line="384" w:lineRule="auto"/>
        <w:ind w:firstLine="420" w:firstLineChars="200"/>
        <w:rPr>
          <w:rFonts w:hint="eastAsia" w:ascii="宋体" w:hAnsi="宋体" w:cs="宋体"/>
          <w:b/>
          <w:color w:val="auto"/>
          <w:highlight w:val="none"/>
          <w:u w:val="single"/>
        </w:rPr>
      </w:pPr>
      <w:r>
        <w:rPr>
          <w:rFonts w:hint="eastAsia" w:ascii="宋体" w:hAnsi="宋体" w:cs="宋体"/>
          <w:color w:val="auto"/>
          <w:highlight w:val="none"/>
        </w:rPr>
        <w:t>因承包人原因造成工期延误，逾</w:t>
      </w:r>
      <w:bookmarkStart w:id="906" w:name="_Toc318581171"/>
      <w:bookmarkStart w:id="907" w:name="_Toc312678014"/>
      <w:r>
        <w:rPr>
          <w:rFonts w:hint="eastAsia" w:ascii="宋体" w:hAnsi="宋体" w:cs="宋体"/>
          <w:color w:val="auto"/>
          <w:highlight w:val="none"/>
        </w:rPr>
        <w:t>期竣工违约金的上限：</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中标价*2%</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bookmarkEnd w:id="906"/>
    <w:bookmarkEnd w:id="907"/>
    <w:p w14:paraId="44987F1D">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7</w:t>
      </w:r>
      <w:bookmarkStart w:id="908" w:name="_Toc297123519"/>
      <w:bookmarkStart w:id="909" w:name="_Toc303539128"/>
      <w:bookmarkStart w:id="910" w:name="_Toc297216178"/>
      <w:bookmarkStart w:id="911" w:name="_Toc304295549"/>
      <w:bookmarkStart w:id="912" w:name="_Toc312678015"/>
      <w:bookmarkStart w:id="913" w:name="_Toc300934971"/>
      <w:r>
        <w:rPr>
          <w:rFonts w:hint="eastAsia" w:ascii="宋体" w:hAnsi="宋体" w:cs="宋体"/>
          <w:bCs/>
          <w:color w:val="auto"/>
          <w:szCs w:val="28"/>
          <w:highlight w:val="none"/>
        </w:rPr>
        <w:t>.6 不</w:t>
      </w:r>
      <w:bookmarkEnd w:id="908"/>
      <w:bookmarkEnd w:id="909"/>
      <w:bookmarkEnd w:id="910"/>
      <w:bookmarkEnd w:id="911"/>
      <w:bookmarkEnd w:id="912"/>
      <w:bookmarkEnd w:id="913"/>
      <w:r>
        <w:rPr>
          <w:rFonts w:hint="eastAsia" w:ascii="宋体" w:hAnsi="宋体" w:cs="宋体"/>
          <w:bCs/>
          <w:color w:val="auto"/>
          <w:szCs w:val="28"/>
          <w:highlight w:val="none"/>
        </w:rPr>
        <w:t>利物质条件</w:t>
      </w:r>
    </w:p>
    <w:p w14:paraId="3B319545">
      <w:pPr>
        <w:adjustRightInd w:val="0"/>
        <w:snapToGrid w:val="0"/>
        <w:spacing w:line="384" w:lineRule="auto"/>
        <w:ind w:firstLine="420" w:firstLineChars="200"/>
        <w:rPr>
          <w:rFonts w:hint="eastAsia" w:ascii="宋体" w:hAnsi="宋体" w:cs="宋体"/>
          <w:b/>
          <w:color w:val="auto"/>
          <w:highlight w:val="none"/>
          <w:u w:val="single"/>
        </w:rPr>
      </w:pPr>
      <w:bookmarkStart w:id="914" w:name="_Toc300934972"/>
      <w:bookmarkStart w:id="915" w:name="_Toc312678016"/>
      <w:bookmarkStart w:id="916" w:name="_Toc297216179"/>
      <w:bookmarkStart w:id="917" w:name="_Toc297123520"/>
      <w:bookmarkStart w:id="918" w:name="_Toc304295550"/>
      <w:bookmarkStart w:id="919" w:name="_Toc318581172"/>
      <w:bookmarkStart w:id="920" w:name="_Toc303539129"/>
      <w:r>
        <w:rPr>
          <w:rFonts w:hint="eastAsia" w:ascii="宋体" w:hAnsi="宋体" w:cs="宋体"/>
          <w:color w:val="auto"/>
          <w:highlight w:val="none"/>
        </w:rPr>
        <w:t>不利物质条件的其他情形和有关约定：</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执行通用条款</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bookmarkEnd w:id="914"/>
    <w:bookmarkEnd w:id="915"/>
    <w:bookmarkEnd w:id="916"/>
    <w:bookmarkEnd w:id="917"/>
    <w:bookmarkEnd w:id="918"/>
    <w:bookmarkEnd w:id="919"/>
    <w:bookmarkEnd w:id="920"/>
    <w:p w14:paraId="2D676448">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7</w:t>
      </w:r>
      <w:bookmarkStart w:id="921" w:name="_Toc300934973"/>
      <w:bookmarkStart w:id="922" w:name="_Toc297216180"/>
      <w:bookmarkStart w:id="923" w:name="_Toc303539130"/>
      <w:bookmarkStart w:id="924" w:name="_Toc297123521"/>
      <w:bookmarkStart w:id="925" w:name="_Toc304295551"/>
      <w:bookmarkStart w:id="926" w:name="_Toc312678017"/>
      <w:r>
        <w:rPr>
          <w:rFonts w:hint="eastAsia" w:ascii="宋体" w:hAnsi="宋体" w:cs="宋体"/>
          <w:bCs/>
          <w:color w:val="auto"/>
          <w:szCs w:val="28"/>
          <w:highlight w:val="none"/>
        </w:rPr>
        <w:t>.7 异常恶劣的气候条件</w:t>
      </w:r>
    </w:p>
    <w:bookmarkEnd w:id="921"/>
    <w:bookmarkEnd w:id="922"/>
    <w:bookmarkEnd w:id="923"/>
    <w:bookmarkEnd w:id="924"/>
    <w:bookmarkEnd w:id="925"/>
    <w:bookmarkEnd w:id="926"/>
    <w:p w14:paraId="23427F5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发包人和承包人同意以下情形视为异常恶劣的气候条件：</w:t>
      </w:r>
    </w:p>
    <w:p w14:paraId="6478BE2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七</w:t>
      </w:r>
      <w:r>
        <w:rPr>
          <w:rFonts w:hint="eastAsia" w:ascii="宋体" w:hAnsi="宋体" w:eastAsia="宋体" w:cs="宋体"/>
          <w:color w:val="auto"/>
          <w:szCs w:val="21"/>
          <w:highlight w:val="none"/>
          <w:u w:val="single"/>
          <w:lang w:val="en-US" w:eastAsia="zh-CN"/>
        </w:rPr>
        <w:t>级以上（含七级）大风连续 8 小时</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0C013E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u w:val="single"/>
        </w:rPr>
        <w:t xml:space="preserve">  </w:t>
      </w:r>
      <w:r>
        <w:rPr>
          <w:rFonts w:hint="eastAsia" w:ascii="宋体" w:hAnsi="宋体" w:eastAsia="宋体" w:cs="宋体"/>
          <w:color w:val="auto"/>
          <w:szCs w:val="21"/>
          <w:highlight w:val="none"/>
          <w:u w:val="single"/>
          <w:lang w:val="en-US" w:eastAsia="zh-CN"/>
        </w:rPr>
        <w:t>日最高温度大于 40 摄氏度，日最低温度小于-4 摄氏度</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C750CE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u w:val="single"/>
        </w:rPr>
        <w:t xml:space="preserve">  </w:t>
      </w:r>
      <w:r>
        <w:rPr>
          <w:rFonts w:hint="eastAsia" w:ascii="宋体" w:hAnsi="宋体" w:eastAsia="宋体" w:cs="宋体"/>
          <w:color w:val="auto"/>
          <w:szCs w:val="21"/>
          <w:highlight w:val="none"/>
          <w:u w:val="single"/>
          <w:lang w:val="en-US" w:eastAsia="zh-CN"/>
        </w:rPr>
        <w:t>日（昼夜）平均积雪量超过 200mm 的恶劣天气影响</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58C422F">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7.9 提前竣工</w:t>
      </w:r>
    </w:p>
    <w:p w14:paraId="539CA01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7.9.2 提前竣工的奖励：</w:t>
      </w:r>
      <w:r>
        <w:rPr>
          <w:rFonts w:hint="eastAsia" w:ascii="宋体" w:hAnsi="宋体" w:cs="宋体"/>
          <w:color w:val="auto"/>
          <w:highlight w:val="none"/>
          <w:u w:val="single"/>
          <w:lang w:val="en-US" w:eastAsia="zh-CN"/>
        </w:rPr>
        <w:t>无</w:t>
      </w:r>
    </w:p>
    <w:p w14:paraId="6B7E7F8B">
      <w:pPr>
        <w:keepNext/>
        <w:keepLines/>
        <w:adjustRightInd w:val="0"/>
        <w:snapToGrid w:val="0"/>
        <w:spacing w:line="384" w:lineRule="auto"/>
        <w:jc w:val="left"/>
        <w:outlineLvl w:val="2"/>
        <w:rPr>
          <w:rFonts w:hint="eastAsia" w:ascii="宋体" w:hAnsi="宋体" w:cs="宋体"/>
          <w:bCs/>
          <w:color w:val="auto"/>
          <w:sz w:val="24"/>
          <w:highlight w:val="none"/>
        </w:rPr>
      </w:pPr>
      <w:bookmarkStart w:id="927" w:name="_Toc95223469"/>
      <w:bookmarkStart w:id="928" w:name="_Toc351203640"/>
      <w:r>
        <w:rPr>
          <w:rFonts w:hint="eastAsia" w:ascii="宋体" w:hAnsi="宋体" w:cs="宋体"/>
          <w:bCs/>
          <w:color w:val="auto"/>
          <w:sz w:val="24"/>
          <w:highlight w:val="none"/>
        </w:rPr>
        <w:t>8. 材料与设备</w:t>
      </w:r>
      <w:bookmarkEnd w:id="927"/>
      <w:bookmarkEnd w:id="928"/>
    </w:p>
    <w:bookmarkEnd w:id="859"/>
    <w:bookmarkEnd w:id="860"/>
    <w:bookmarkEnd w:id="861"/>
    <w:bookmarkEnd w:id="862"/>
    <w:bookmarkEnd w:id="863"/>
    <w:bookmarkEnd w:id="864"/>
    <w:bookmarkEnd w:id="865"/>
    <w:bookmarkEnd w:id="866"/>
    <w:bookmarkEnd w:id="867"/>
    <w:bookmarkEnd w:id="868"/>
    <w:p w14:paraId="37150CC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8</w:t>
      </w:r>
      <w:bookmarkStart w:id="929" w:name="_Toc303539136"/>
      <w:bookmarkStart w:id="930" w:name="_Toc292559372"/>
      <w:bookmarkStart w:id="931" w:name="_Toc292559877"/>
      <w:bookmarkStart w:id="932" w:name="_Toc296346668"/>
      <w:bookmarkStart w:id="933" w:name="_Toc296890995"/>
      <w:bookmarkStart w:id="934" w:name="_Toc297216186"/>
      <w:bookmarkStart w:id="935" w:name="_Toc296503167"/>
      <w:bookmarkStart w:id="936" w:name="_Toc304295556"/>
      <w:bookmarkStart w:id="937" w:name="_Toc296891207"/>
      <w:bookmarkStart w:id="938" w:name="_Toc312678019"/>
      <w:bookmarkStart w:id="939" w:name="_Toc296944506"/>
      <w:bookmarkStart w:id="940" w:name="_Toc300934979"/>
      <w:bookmarkStart w:id="941" w:name="_Toc280868654"/>
      <w:bookmarkStart w:id="942" w:name="_Toc297123527"/>
      <w:bookmarkStart w:id="943" w:name="_Toc297120467"/>
      <w:bookmarkStart w:id="944" w:name="_Toc296347166"/>
      <w:bookmarkStart w:id="945" w:name="_Toc297048353"/>
      <w:bookmarkStart w:id="946" w:name="_Toc312677493"/>
      <w:bookmarkStart w:id="947" w:name="_Toc267251424"/>
      <w:bookmarkStart w:id="948" w:name="_Toc280868655"/>
      <w:bookmarkStart w:id="949" w:name="_Toc280868656"/>
      <w:r>
        <w:rPr>
          <w:rFonts w:hint="eastAsia" w:ascii="宋体" w:hAnsi="宋体" w:cs="宋体"/>
          <w:color w:val="auto"/>
          <w:highlight w:val="none"/>
        </w:rPr>
        <w:t>.4 材料与工程设备的保管与使用</w:t>
      </w:r>
    </w:p>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14:paraId="6310C4D5">
      <w:pPr>
        <w:adjustRightInd w:val="0"/>
        <w:snapToGrid w:val="0"/>
        <w:spacing w:line="384" w:lineRule="auto"/>
        <w:ind w:firstLine="420" w:firstLineChars="200"/>
        <w:rPr>
          <w:rFonts w:hint="eastAsia" w:ascii="宋体" w:hAnsi="宋体" w:cs="宋体"/>
          <w:color w:val="auto"/>
          <w:highlight w:val="none"/>
          <w:u w:val="single"/>
          <w:lang w:val="en-US" w:eastAsia="zh-CN"/>
        </w:rPr>
      </w:pPr>
      <w:r>
        <w:rPr>
          <w:rFonts w:hint="eastAsia" w:ascii="宋体" w:hAnsi="宋体" w:cs="宋体"/>
          <w:color w:val="auto"/>
          <w:highlight w:val="none"/>
        </w:rPr>
        <w:t>8</w:t>
      </w:r>
      <w:bookmarkStart w:id="950" w:name="_Toc292559373"/>
      <w:bookmarkStart w:id="951" w:name="_Toc292559878"/>
      <w:bookmarkStart w:id="952" w:name="_Toc304295557"/>
      <w:bookmarkStart w:id="953" w:name="_Toc296346669"/>
      <w:bookmarkStart w:id="954" w:name="_Toc297120468"/>
      <w:bookmarkStart w:id="955" w:name="_Toc318581173"/>
      <w:bookmarkStart w:id="956" w:name="_Toc300934980"/>
      <w:bookmarkStart w:id="957" w:name="_Toc303539137"/>
      <w:bookmarkStart w:id="958" w:name="_Toc296890996"/>
      <w:bookmarkStart w:id="959" w:name="_Toc297123528"/>
      <w:bookmarkStart w:id="960" w:name="_Toc296503168"/>
      <w:bookmarkStart w:id="961" w:name="_Toc297216187"/>
      <w:bookmarkStart w:id="962" w:name="_Toc296891208"/>
      <w:bookmarkStart w:id="963" w:name="_Toc312678020"/>
      <w:bookmarkStart w:id="964" w:name="_Toc312677494"/>
      <w:bookmarkStart w:id="965" w:name="_Toc296944507"/>
      <w:bookmarkStart w:id="966" w:name="_Toc297048354"/>
      <w:bookmarkStart w:id="967" w:name="_Toc296347167"/>
      <w:r>
        <w:rPr>
          <w:rFonts w:hint="eastAsia" w:ascii="宋体" w:hAnsi="宋体" w:cs="宋体"/>
          <w:color w:val="auto"/>
          <w:highlight w:val="none"/>
        </w:rPr>
        <w:t>.4.1 发包人供应的材料设备的保管费用的承担：</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承包人承担。</w:t>
      </w:r>
    </w:p>
    <w:bookmarkEnd w:id="950"/>
    <w:bookmarkEnd w:id="951"/>
    <w:p w14:paraId="52B49273">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8.6 样品</w:t>
      </w:r>
    </w:p>
    <w:p w14:paraId="5119CEC9">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8.6.1 样品的报送与封存</w:t>
      </w:r>
    </w:p>
    <w:p w14:paraId="406A3B60">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kern w:val="0"/>
          <w:highlight w:val="none"/>
        </w:rPr>
        <w:t>需要承包人报送样品的材料或工程设备，样品的种类、名称、规格、数量要求：</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lang w:val="en-US" w:eastAsia="zh-CN"/>
        </w:rPr>
        <w:t>按监理或发包人要求确定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EE7C059">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8.8 施工设备和临时设施</w:t>
      </w:r>
    </w:p>
    <w:p w14:paraId="0B1B8B3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8.8.1 承包人提供的施工设备和临时设施</w:t>
      </w:r>
    </w:p>
    <w:p w14:paraId="300CD89A">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关于修建临时设施费用承担的约定：</w:t>
      </w:r>
      <w:r>
        <w:rPr>
          <w:rFonts w:hint="eastAsia" w:ascii="宋体" w:hAnsi="宋体" w:cs="宋体"/>
          <w:color w:val="auto"/>
          <w:szCs w:val="21"/>
          <w:highlight w:val="none"/>
          <w:u w:val="single"/>
        </w:rPr>
        <w:t xml:space="preserve"> </w:t>
      </w:r>
      <w:r>
        <w:rPr>
          <w:rFonts w:hint="eastAsia" w:ascii="宋体" w:hAnsi="宋体" w:eastAsia="宋体" w:cs="宋体"/>
          <w:color w:val="auto"/>
          <w:highlight w:val="none"/>
          <w:u w:val="single"/>
          <w:lang w:val="en-US" w:eastAsia="zh-CN"/>
        </w:rPr>
        <w:t>由承包人自行承担费用</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14:paraId="7BF41286">
      <w:pPr>
        <w:keepNext/>
        <w:keepLines/>
        <w:adjustRightInd w:val="0"/>
        <w:snapToGrid w:val="0"/>
        <w:spacing w:line="384" w:lineRule="auto"/>
        <w:jc w:val="left"/>
        <w:outlineLvl w:val="2"/>
        <w:rPr>
          <w:rFonts w:hint="eastAsia" w:ascii="宋体" w:hAnsi="宋体" w:cs="宋体"/>
          <w:bCs/>
          <w:color w:val="auto"/>
          <w:sz w:val="24"/>
          <w:highlight w:val="none"/>
        </w:rPr>
      </w:pPr>
      <w:bookmarkStart w:id="968" w:name="_Toc95223470"/>
      <w:bookmarkStart w:id="969" w:name="_Toc351203641"/>
      <w:r>
        <w:rPr>
          <w:rFonts w:hint="eastAsia" w:ascii="宋体" w:hAnsi="宋体" w:cs="宋体"/>
          <w:bCs/>
          <w:color w:val="auto"/>
          <w:sz w:val="24"/>
          <w:highlight w:val="none"/>
        </w:rPr>
        <w:t>9</w:t>
      </w:r>
      <w:bookmarkEnd w:id="947"/>
      <w:bookmarkEnd w:id="948"/>
      <w:bookmarkEnd w:id="949"/>
      <w:bookmarkStart w:id="970" w:name="_Toc312677495"/>
      <w:bookmarkStart w:id="971" w:name="_Toc303539139"/>
      <w:bookmarkStart w:id="972" w:name="_Toc297216192"/>
      <w:bookmarkStart w:id="973" w:name="_Toc312678021"/>
      <w:bookmarkStart w:id="974" w:name="_Toc304295559"/>
      <w:bookmarkStart w:id="975" w:name="_Toc297123533"/>
      <w:bookmarkStart w:id="976" w:name="_Toc300934982"/>
      <w:bookmarkStart w:id="977" w:name="_Toc292559378"/>
      <w:bookmarkStart w:id="978" w:name="_Toc297120473"/>
      <w:bookmarkStart w:id="979" w:name="_Toc267251427"/>
      <w:bookmarkStart w:id="980" w:name="_Toc297048359"/>
      <w:bookmarkStart w:id="981" w:name="_Toc296891213"/>
      <w:bookmarkStart w:id="982" w:name="_Toc296503173"/>
      <w:bookmarkStart w:id="983" w:name="_Toc296347172"/>
      <w:bookmarkStart w:id="984" w:name="_Toc296891001"/>
      <w:bookmarkStart w:id="985" w:name="_Toc296346674"/>
      <w:bookmarkStart w:id="986" w:name="_Toc267251428"/>
      <w:bookmarkStart w:id="987" w:name="_Toc296944512"/>
      <w:bookmarkStart w:id="988" w:name="_Toc292559883"/>
      <w:r>
        <w:rPr>
          <w:rFonts w:hint="eastAsia" w:ascii="宋体" w:hAnsi="宋体" w:cs="宋体"/>
          <w:bCs/>
          <w:color w:val="auto"/>
          <w:sz w:val="24"/>
          <w:highlight w:val="none"/>
        </w:rPr>
        <w:t>. 试验与检验</w:t>
      </w:r>
      <w:bookmarkEnd w:id="968"/>
      <w:bookmarkEnd w:id="969"/>
    </w:p>
    <w:bookmarkEnd w:id="970"/>
    <w:bookmarkEnd w:id="971"/>
    <w:bookmarkEnd w:id="972"/>
    <w:bookmarkEnd w:id="973"/>
    <w:bookmarkEnd w:id="974"/>
    <w:bookmarkEnd w:id="975"/>
    <w:bookmarkEnd w:id="976"/>
    <w:p w14:paraId="745AA666">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9</w:t>
      </w:r>
      <w:bookmarkStart w:id="989" w:name="_Toc312677496"/>
      <w:bookmarkStart w:id="990" w:name="_Toc304295560"/>
      <w:bookmarkStart w:id="991" w:name="_Toc312678022"/>
      <w:bookmarkStart w:id="992" w:name="_Toc303539140"/>
      <w:bookmarkStart w:id="993" w:name="_Toc297123534"/>
      <w:bookmarkStart w:id="994" w:name="_Toc300934983"/>
      <w:bookmarkStart w:id="995" w:name="_Toc297216193"/>
      <w:r>
        <w:rPr>
          <w:rFonts w:hint="eastAsia" w:ascii="宋体" w:hAnsi="宋体" w:cs="宋体"/>
          <w:bCs/>
          <w:color w:val="auto"/>
          <w:szCs w:val="28"/>
          <w:highlight w:val="none"/>
        </w:rPr>
        <w:t>.1 试验设备与试验人员</w:t>
      </w:r>
    </w:p>
    <w:bookmarkEnd w:id="989"/>
    <w:bookmarkEnd w:id="990"/>
    <w:bookmarkEnd w:id="991"/>
    <w:bookmarkEnd w:id="992"/>
    <w:bookmarkEnd w:id="993"/>
    <w:bookmarkEnd w:id="994"/>
    <w:bookmarkEnd w:id="995"/>
    <w:p w14:paraId="47C6CCB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9</w:t>
      </w:r>
      <w:bookmarkStart w:id="996" w:name="_Toc297216194"/>
      <w:bookmarkStart w:id="997" w:name="_Toc312678023"/>
      <w:bookmarkStart w:id="998" w:name="_Toc297123535"/>
      <w:bookmarkStart w:id="999" w:name="_Toc312677497"/>
      <w:bookmarkStart w:id="1000" w:name="_Toc303539141"/>
      <w:bookmarkStart w:id="1001" w:name="_Toc300934984"/>
      <w:bookmarkStart w:id="1002" w:name="_Toc304295561"/>
      <w:bookmarkStart w:id="1003" w:name="_Toc318581174"/>
      <w:r>
        <w:rPr>
          <w:rFonts w:hint="eastAsia" w:ascii="宋体" w:hAnsi="宋体" w:cs="宋体"/>
          <w:color w:val="auto"/>
          <w:highlight w:val="none"/>
        </w:rPr>
        <w:t>.1.2 试验设备</w:t>
      </w:r>
    </w:p>
    <w:p w14:paraId="013AD9FB">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施工现场需要配置的试验场所</w:t>
      </w:r>
      <w:bookmarkEnd w:id="996"/>
      <w:bookmarkEnd w:id="997"/>
      <w:bookmarkEnd w:id="998"/>
      <w:bookmarkEnd w:id="999"/>
      <w:bookmarkEnd w:id="1000"/>
      <w:bookmarkEnd w:id="1001"/>
      <w:bookmarkEnd w:id="1002"/>
      <w:bookmarkStart w:id="1004" w:name="_Toc303539142"/>
      <w:bookmarkStart w:id="1005" w:name="_Toc304295562"/>
      <w:bookmarkStart w:id="1006" w:name="_Toc297123536"/>
      <w:bookmarkStart w:id="1007" w:name="_Toc312677498"/>
      <w:bookmarkStart w:id="1008" w:name="_Toc297216195"/>
      <w:bookmarkStart w:id="1009" w:name="_Toc312678024"/>
      <w:bookmarkStart w:id="1010" w:name="_Toc300934985"/>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lang w:val="en-US" w:eastAsia="zh-CN"/>
        </w:rPr>
        <w:t>按有关规定执行，承包人自行承担费用</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610F7A7E">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施工现场需要配备的试验设备：</w:t>
      </w:r>
      <w:r>
        <w:rPr>
          <w:rFonts w:hint="eastAsia" w:ascii="宋体" w:hAnsi="宋体" w:eastAsia="宋体" w:cs="宋体"/>
          <w:color w:val="auto"/>
          <w:highlight w:val="none"/>
          <w:u w:val="single"/>
          <w:lang w:val="en-US" w:eastAsia="zh-CN"/>
        </w:rPr>
        <w:t>按有关规定执行，承包人自行承担费用</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54301C0">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施工现场需要具备的其他试验条件：</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lang w:val="en-US" w:eastAsia="zh-CN"/>
        </w:rPr>
        <w:t>按有关规定执行，承包人自行承担费用</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43EAF0E">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 xml:space="preserve">9.4 现场工艺试验 </w:t>
      </w:r>
    </w:p>
    <w:p w14:paraId="23E17515">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现场工艺试验的有关约定：</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lang w:val="en-US" w:eastAsia="zh-CN"/>
        </w:rPr>
        <w:t>按有关规定执行，承包人自行承担费用</w:t>
      </w:r>
      <w:r>
        <w:rPr>
          <w:rFonts w:hint="eastAsia" w:ascii="宋体" w:hAnsi="宋体" w:cs="宋体"/>
          <w:color w:val="auto"/>
          <w:highlight w:val="none"/>
          <w:u w:val="single"/>
        </w:rPr>
        <w:t xml:space="preserve">  </w:t>
      </w:r>
      <w:r>
        <w:rPr>
          <w:rFonts w:hint="eastAsia" w:ascii="宋体" w:hAnsi="宋体" w:cs="宋体"/>
          <w:color w:val="auto"/>
          <w:highlight w:val="none"/>
        </w:rPr>
        <w:t>。</w:t>
      </w:r>
    </w:p>
    <w:bookmarkEnd w:id="1003"/>
    <w:bookmarkEnd w:id="1004"/>
    <w:bookmarkEnd w:id="1005"/>
    <w:bookmarkEnd w:id="1006"/>
    <w:bookmarkEnd w:id="1007"/>
    <w:bookmarkEnd w:id="1008"/>
    <w:bookmarkEnd w:id="1009"/>
    <w:bookmarkEnd w:id="1010"/>
    <w:p w14:paraId="783247E7">
      <w:pPr>
        <w:keepNext/>
        <w:keepLines/>
        <w:adjustRightInd w:val="0"/>
        <w:snapToGrid w:val="0"/>
        <w:spacing w:line="384" w:lineRule="auto"/>
        <w:jc w:val="left"/>
        <w:outlineLvl w:val="2"/>
        <w:rPr>
          <w:rFonts w:hint="eastAsia" w:ascii="宋体" w:hAnsi="宋体" w:cs="宋体"/>
          <w:bCs/>
          <w:color w:val="auto"/>
          <w:sz w:val="24"/>
          <w:highlight w:val="none"/>
        </w:rPr>
      </w:pPr>
      <w:bookmarkStart w:id="1011" w:name="_Toc95223471"/>
      <w:bookmarkStart w:id="1012" w:name="_Toc351203642"/>
      <w:r>
        <w:rPr>
          <w:rFonts w:hint="eastAsia" w:ascii="宋体" w:hAnsi="宋体" w:cs="宋体"/>
          <w:bCs/>
          <w:color w:val="auto"/>
          <w:sz w:val="24"/>
          <w:highlight w:val="none"/>
        </w:rPr>
        <w:t>1</w:t>
      </w:r>
      <w:bookmarkEnd w:id="977"/>
      <w:bookmarkEnd w:id="978"/>
      <w:bookmarkEnd w:id="979"/>
      <w:bookmarkEnd w:id="980"/>
      <w:bookmarkEnd w:id="981"/>
      <w:bookmarkEnd w:id="982"/>
      <w:bookmarkEnd w:id="983"/>
      <w:bookmarkEnd w:id="984"/>
      <w:bookmarkEnd w:id="985"/>
      <w:bookmarkEnd w:id="986"/>
      <w:bookmarkEnd w:id="987"/>
      <w:bookmarkEnd w:id="988"/>
      <w:bookmarkStart w:id="1013" w:name="_Toc296346694"/>
      <w:bookmarkStart w:id="1014" w:name="_Toc297120493"/>
      <w:bookmarkStart w:id="1015" w:name="_Toc296891021"/>
      <w:bookmarkStart w:id="1016" w:name="_Toc292559398"/>
      <w:bookmarkStart w:id="1017" w:name="_Toc297216199"/>
      <w:bookmarkStart w:id="1018" w:name="_Toc300934989"/>
      <w:bookmarkStart w:id="1019" w:name="_Toc292559903"/>
      <w:bookmarkStart w:id="1020" w:name="_Toc296944532"/>
      <w:bookmarkStart w:id="1021" w:name="_Toc296891233"/>
      <w:bookmarkStart w:id="1022" w:name="_Toc296347192"/>
      <w:bookmarkStart w:id="1023" w:name="_Toc296503193"/>
      <w:bookmarkStart w:id="1024" w:name="_Toc304295566"/>
      <w:bookmarkStart w:id="1025" w:name="_Toc297123540"/>
      <w:bookmarkStart w:id="1026" w:name="_Toc303539146"/>
      <w:bookmarkStart w:id="1027" w:name="_Toc297048379"/>
      <w:bookmarkStart w:id="1028" w:name="_Toc312677499"/>
      <w:bookmarkStart w:id="1029" w:name="_Toc312678025"/>
      <w:bookmarkStart w:id="1030" w:name="_Toc267251441"/>
      <w:bookmarkStart w:id="1031" w:name="_Toc267251435"/>
      <w:bookmarkStart w:id="1032" w:name="_Toc267251440"/>
      <w:bookmarkStart w:id="1033" w:name="_Toc267251437"/>
      <w:bookmarkStart w:id="1034" w:name="_Toc267251433"/>
      <w:bookmarkStart w:id="1035" w:name="_Toc267251439"/>
      <w:bookmarkStart w:id="1036" w:name="_Toc267251442"/>
      <w:r>
        <w:rPr>
          <w:rFonts w:hint="eastAsia" w:ascii="宋体" w:hAnsi="宋体" w:cs="宋体"/>
          <w:bCs/>
          <w:color w:val="auto"/>
          <w:sz w:val="24"/>
          <w:highlight w:val="none"/>
        </w:rPr>
        <w:t>0. 变更</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bookmarkEnd w:id="1028"/>
    <w:bookmarkEnd w:id="1029"/>
    <w:p w14:paraId="3ACEE9C0">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w:t>
      </w:r>
      <w:bookmarkStart w:id="1037" w:name="_Toc297120494"/>
      <w:bookmarkStart w:id="1038" w:name="_Toc297123541"/>
      <w:bookmarkStart w:id="1039" w:name="_Toc297216200"/>
      <w:bookmarkStart w:id="1040" w:name="_Toc300934990"/>
      <w:bookmarkStart w:id="1041" w:name="_Toc312677500"/>
      <w:bookmarkStart w:id="1042" w:name="_Toc292559904"/>
      <w:bookmarkStart w:id="1043" w:name="_Toc297048380"/>
      <w:bookmarkStart w:id="1044" w:name="_Toc296503194"/>
      <w:bookmarkStart w:id="1045" w:name="_Toc312678026"/>
      <w:bookmarkStart w:id="1046" w:name="_Toc296891234"/>
      <w:bookmarkStart w:id="1047" w:name="_Toc303539147"/>
      <w:bookmarkStart w:id="1048" w:name="_Toc296346695"/>
      <w:bookmarkStart w:id="1049" w:name="_Toc296891022"/>
      <w:bookmarkStart w:id="1050" w:name="_Toc296944533"/>
      <w:bookmarkStart w:id="1051" w:name="_Toc296347193"/>
      <w:bookmarkStart w:id="1052" w:name="_Toc304295567"/>
      <w:bookmarkStart w:id="1053" w:name="_Toc292559399"/>
      <w:r>
        <w:rPr>
          <w:rFonts w:hint="eastAsia" w:ascii="宋体" w:hAnsi="宋体" w:cs="宋体"/>
          <w:bCs/>
          <w:color w:val="auto"/>
          <w:szCs w:val="28"/>
          <w:highlight w:val="none"/>
        </w:rPr>
        <w:t>0.1 变更的范围</w:t>
      </w:r>
    </w:p>
    <w:p w14:paraId="0FC12C09">
      <w:pPr>
        <w:adjustRightInd w:val="0"/>
        <w:snapToGrid w:val="0"/>
        <w:spacing w:line="384" w:lineRule="auto"/>
        <w:ind w:firstLine="420" w:firstLineChars="200"/>
        <w:rPr>
          <w:rFonts w:hint="eastAsia" w:ascii="宋体" w:hAnsi="宋体" w:eastAsia="宋体" w:cs="宋体"/>
          <w:color w:val="auto"/>
          <w:highlight w:val="none"/>
          <w:u w:val="single"/>
          <w:lang w:val="en-US" w:eastAsia="zh-CN"/>
        </w:rPr>
      </w:pPr>
      <w:r>
        <w:rPr>
          <w:rFonts w:hint="eastAsia" w:ascii="宋体" w:hAnsi="宋体" w:cs="宋体"/>
          <w:color w:val="auto"/>
          <w:highlight w:val="none"/>
        </w:rPr>
        <w:t>关于变更的范围的约定：</w:t>
      </w:r>
      <w:r>
        <w:rPr>
          <w:rFonts w:hint="eastAsia" w:ascii="宋体" w:hAnsi="宋体" w:cs="宋体"/>
          <w:color w:val="auto"/>
          <w:szCs w:val="21"/>
          <w:highlight w:val="none"/>
          <w:u w:val="single"/>
        </w:rPr>
        <w:t xml:space="preserve"> </w:t>
      </w:r>
      <w:r>
        <w:rPr>
          <w:rFonts w:hint="eastAsia" w:ascii="宋体" w:hAnsi="宋体" w:eastAsia="宋体" w:cs="宋体"/>
          <w:color w:val="auto"/>
          <w:highlight w:val="none"/>
          <w:u w:val="single"/>
          <w:lang w:val="en-US" w:eastAsia="zh-CN"/>
        </w:rPr>
        <w:t>执行通用条款，符合国家、省、市相关文件规定。</w:t>
      </w:r>
    </w:p>
    <w:p w14:paraId="67E34EB3">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10.4 变更估价</w:t>
      </w:r>
    </w:p>
    <w:p w14:paraId="3D428836">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10.4.1 变更估价原则</w:t>
      </w:r>
    </w:p>
    <w:p w14:paraId="694A90F4">
      <w:pPr>
        <w:pageBreakBefore w:val="0"/>
        <w:widowControl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kern w:val="0"/>
          <w:highlight w:val="none"/>
        </w:rPr>
      </w:pPr>
      <w:r>
        <w:rPr>
          <w:rFonts w:hint="eastAsia" w:ascii="宋体" w:hAnsi="宋体" w:cs="宋体"/>
          <w:color w:val="auto"/>
          <w:highlight w:val="none"/>
        </w:rPr>
        <w:t xml:space="preserve">关于变更估价的约定： </w:t>
      </w:r>
      <w:r>
        <w:rPr>
          <w:rFonts w:hint="eastAsia" w:ascii="宋体" w:hAnsi="宋体" w:eastAsia="宋体" w:cs="宋体"/>
          <w:color w:val="auto"/>
          <w:kern w:val="2"/>
          <w:sz w:val="21"/>
          <w:szCs w:val="24"/>
          <w:highlight w:val="none"/>
          <w:u w:val="single"/>
          <w:lang w:val="en-US" w:eastAsia="zh-CN" w:bidi="ar-SA"/>
        </w:rPr>
        <w:t>按国家、省、市相关文件规定</w:t>
      </w:r>
      <w:r>
        <w:rPr>
          <w:rFonts w:hint="eastAsia" w:ascii="宋体" w:hAnsi="宋体" w:cs="宋体"/>
          <w:color w:val="auto"/>
          <w:highlight w:val="none"/>
        </w:rPr>
        <w:t xml:space="preserve"> </w:t>
      </w:r>
    </w:p>
    <w:p w14:paraId="3E3BB75D">
      <w:pPr>
        <w:adjustRightInd w:val="0"/>
        <w:snapToGrid w:val="0"/>
        <w:spacing w:line="384" w:lineRule="auto"/>
        <w:ind w:firstLine="422" w:firstLineChars="200"/>
        <w:rPr>
          <w:rFonts w:hint="eastAsia" w:ascii="宋体" w:hAnsi="宋体" w:cs="宋体"/>
          <w:b/>
          <w:color w:val="auto"/>
          <w:highlight w:val="none"/>
        </w:rPr>
      </w:pPr>
      <w:r>
        <w:rPr>
          <w:rFonts w:hint="eastAsia" w:ascii="宋体" w:hAnsi="宋体" w:cs="宋体"/>
          <w:b/>
          <w:color w:val="auto"/>
          <w:kern w:val="0"/>
          <w:highlight w:val="none"/>
        </w:rPr>
        <w:t>10.4.1.1 因工程变更引起已标价工程量清单项目或其工程数量发生变化时，按下列规定调整：</w:t>
      </w:r>
      <w:r>
        <w:rPr>
          <w:rFonts w:hint="eastAsia" w:ascii="宋体" w:hAnsi="宋体" w:cs="宋体"/>
          <w:b/>
          <w:color w:val="auto"/>
          <w:highlight w:val="none"/>
        </w:rPr>
        <w:t xml:space="preserve"> 变更导致结算工程量减少 0-100%或增加 15%以内部分，执行中标单价；超出 15％以外部分的，若中标综合单价高于（最高投标限价中综合单价×投标让利幅度）时，按（最高投标限价中综合单价×投标让利幅度）计算；若中标综合单价低于（最高投标限价中综合单价×投标让利幅度）时，执行中标单价(组价明显错误的予以纠正） 。新增项目单价按照最高投标限价的编制原则重新组价×投标让利幅度，重新组价价格最终以审计部门审核结算价为准。注：投标让利幅度为中标价/最高投标限价，其中中标价和最高投标限价均扣除暂定金额、暂估价</w:t>
      </w:r>
      <w:r>
        <w:rPr>
          <w:rFonts w:hint="eastAsia" w:ascii="宋体" w:hAnsi="宋体" w:cs="宋体"/>
          <w:b/>
          <w:color w:val="auto"/>
          <w:highlight w:val="none"/>
          <w:lang w:eastAsia="zh-CN"/>
        </w:rPr>
        <w:t>。</w:t>
      </w:r>
      <w:r>
        <w:rPr>
          <w:rFonts w:hint="eastAsia" w:ascii="宋体" w:hAnsi="宋体" w:cs="宋体"/>
          <w:b/>
          <w:color w:val="auto"/>
          <w:highlight w:val="none"/>
        </w:rPr>
        <w:t xml:space="preserve">   </w:t>
      </w:r>
    </w:p>
    <w:p w14:paraId="4DB882FC">
      <w:pPr>
        <w:adjustRightInd w:val="0"/>
        <w:snapToGrid w:val="0"/>
        <w:spacing w:line="384"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59439BF7">
      <w:pPr>
        <w:adjustRightInd w:val="0"/>
        <w:snapToGrid w:val="0"/>
        <w:spacing w:line="384" w:lineRule="auto"/>
        <w:ind w:firstLine="422" w:firstLineChars="200"/>
        <w:rPr>
          <w:rFonts w:hint="eastAsia" w:ascii="宋体" w:hAnsi="宋体" w:cs="宋体"/>
          <w:b/>
          <w:color w:val="auto"/>
          <w:szCs w:val="21"/>
          <w:highlight w:val="none"/>
          <w:u w:val="none"/>
        </w:rPr>
      </w:pPr>
      <w:r>
        <w:rPr>
          <w:rFonts w:hint="eastAsia" w:ascii="宋体" w:hAnsi="宋体" w:cs="宋体"/>
          <w:b/>
          <w:color w:val="auto"/>
          <w:szCs w:val="21"/>
          <w:highlight w:val="none"/>
          <w:u w:val="none"/>
        </w:rPr>
        <w:t xml:space="preserve">  技术措施费调整：由于承包人改变施工技术措施，造成的价格变动，措施费不予调整。因发包人要求或工程量的增减必须改变原来施工技术措施，造成价格变动的，应扣减相应的原施工技术措施费后，按新增项目组价方式，进行措施费调整。由于分部分项清单工程量增减导致措施费用变化的，按实调整。</w:t>
      </w:r>
    </w:p>
    <w:p w14:paraId="535C022F">
      <w:pPr>
        <w:adjustRightInd w:val="0"/>
        <w:snapToGrid w:val="0"/>
        <w:spacing w:line="384" w:lineRule="auto"/>
        <w:ind w:firstLine="422" w:firstLineChars="200"/>
        <w:rPr>
          <w:rFonts w:hint="eastAsia" w:ascii="宋体" w:hAnsi="宋体" w:cs="宋体"/>
          <w:b/>
          <w:color w:val="auto"/>
          <w:szCs w:val="21"/>
          <w:highlight w:val="none"/>
          <w:u w:val="none"/>
        </w:rPr>
      </w:pPr>
      <w:r>
        <w:rPr>
          <w:rFonts w:hint="eastAsia" w:ascii="宋体" w:hAnsi="宋体" w:cs="宋体"/>
          <w:b/>
          <w:color w:val="auto"/>
          <w:szCs w:val="21"/>
          <w:highlight w:val="none"/>
          <w:u w:val="none"/>
        </w:rPr>
        <w:t xml:space="preserve">组织措施费调整： 由于分部分项清单工程量增减导致措施费用变化的，按实调整。 </w:t>
      </w:r>
    </w:p>
    <w:p w14:paraId="571FF3D2">
      <w:pPr>
        <w:keepNext/>
        <w:keepLines/>
        <w:pageBreakBefore w:val="0"/>
        <w:widowControl w:val="0"/>
        <w:kinsoku/>
        <w:wordWrap/>
        <w:overflowPunct/>
        <w:topLinePunct w:val="0"/>
        <w:autoSpaceDE/>
        <w:autoSpaceDN/>
        <w:bidi w:val="0"/>
        <w:adjustRightInd w:val="0"/>
        <w:snapToGrid w:val="0"/>
        <w:spacing w:line="384" w:lineRule="auto"/>
        <w:ind w:firstLine="420" w:firstLineChars="200"/>
        <w:textAlignment w:val="auto"/>
        <w:outlineLvl w:val="3"/>
        <w:rPr>
          <w:rFonts w:hint="eastAsia" w:ascii="宋体" w:hAnsi="宋体" w:cs="宋体"/>
          <w:bCs/>
          <w:color w:val="auto"/>
          <w:szCs w:val="28"/>
          <w:highlight w:val="none"/>
        </w:rPr>
      </w:pPr>
      <w:r>
        <w:rPr>
          <w:rFonts w:hint="eastAsia" w:ascii="宋体" w:hAnsi="宋体" w:cs="宋体"/>
          <w:bCs/>
          <w:color w:val="auto"/>
          <w:szCs w:val="28"/>
          <w:highlight w:val="none"/>
        </w:rPr>
        <w:t>1</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Start w:id="1054" w:name="_Toc292559402"/>
      <w:bookmarkStart w:id="1055" w:name="_Toc296891237"/>
      <w:bookmarkStart w:id="1056" w:name="_Toc296503197"/>
      <w:bookmarkStart w:id="1057" w:name="_Toc296891025"/>
      <w:bookmarkStart w:id="1058" w:name="_Toc297216203"/>
      <w:bookmarkStart w:id="1059" w:name="_Toc297120497"/>
      <w:bookmarkStart w:id="1060" w:name="_Toc296347196"/>
      <w:bookmarkStart w:id="1061" w:name="_Toc300934993"/>
      <w:bookmarkStart w:id="1062" w:name="_Toc296944536"/>
      <w:bookmarkStart w:id="1063" w:name="_Toc296346698"/>
      <w:bookmarkStart w:id="1064" w:name="_Toc297123544"/>
      <w:bookmarkStart w:id="1065" w:name="_Toc303539150"/>
      <w:bookmarkStart w:id="1066" w:name="_Toc297048383"/>
      <w:bookmarkStart w:id="1067" w:name="_Toc292559907"/>
      <w:bookmarkStart w:id="1068" w:name="_Toc312678029"/>
      <w:bookmarkStart w:id="1069" w:name="_Toc312677503"/>
      <w:bookmarkStart w:id="1070" w:name="_Toc304295570"/>
      <w:r>
        <w:rPr>
          <w:rFonts w:hint="eastAsia" w:ascii="宋体" w:hAnsi="宋体" w:cs="宋体"/>
          <w:bCs/>
          <w:color w:val="auto"/>
          <w:szCs w:val="28"/>
          <w:highlight w:val="none"/>
        </w:rPr>
        <w:t>0.5 承</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Start w:id="1071" w:name="_Toc297123545"/>
      <w:bookmarkStart w:id="1072" w:name="_Toc292559913"/>
      <w:bookmarkStart w:id="1073" w:name="_Toc303539151"/>
      <w:bookmarkStart w:id="1074" w:name="_Toc300934994"/>
      <w:bookmarkStart w:id="1075" w:name="_Toc296503203"/>
      <w:bookmarkStart w:id="1076" w:name="_Toc296891243"/>
      <w:bookmarkStart w:id="1077" w:name="_Toc297216204"/>
      <w:bookmarkStart w:id="1078" w:name="_Toc292559408"/>
      <w:bookmarkStart w:id="1079" w:name="_Toc296944542"/>
      <w:bookmarkStart w:id="1080" w:name="_Toc296347202"/>
      <w:bookmarkStart w:id="1081" w:name="_Toc296346704"/>
      <w:bookmarkStart w:id="1082" w:name="_Toc296891031"/>
      <w:bookmarkStart w:id="1083" w:name="_Toc297048389"/>
      <w:bookmarkStart w:id="1084" w:name="_Toc297120503"/>
      <w:r>
        <w:rPr>
          <w:rFonts w:hint="eastAsia" w:ascii="宋体" w:hAnsi="宋体" w:cs="宋体"/>
          <w:bCs/>
          <w:color w:val="auto"/>
          <w:szCs w:val="28"/>
          <w:highlight w:val="none"/>
        </w:rPr>
        <w:t>包人的合理化建议</w:t>
      </w:r>
    </w:p>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14:paraId="1496D4D6">
      <w:pPr>
        <w:pageBreakBefore w:val="0"/>
        <w:widowControl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highlight w:val="none"/>
          <w:u w:val="single"/>
        </w:rPr>
      </w:pPr>
      <w:r>
        <w:rPr>
          <w:rFonts w:hint="eastAsia" w:ascii="宋体" w:hAnsi="宋体" w:cs="宋体"/>
          <w:color w:val="auto"/>
          <w:highlight w:val="none"/>
        </w:rPr>
        <w:t>监理人审查承包人合理化建议的期限：</w:t>
      </w:r>
      <w:r>
        <w:rPr>
          <w:rFonts w:hint="eastAsia" w:ascii="宋体" w:hAnsi="宋体" w:cs="宋体"/>
          <w:color w:val="auto"/>
          <w:szCs w:val="21"/>
          <w:highlight w:val="none"/>
          <w:u w:val="single"/>
        </w:rPr>
        <w:t>监理人应在收到承包人提交的合理化建议后 7 天内审查完毕并报送发包人，发现其存在技术上的缺陷，应通知承包人修改</w:t>
      </w:r>
      <w:r>
        <w:rPr>
          <w:rFonts w:hint="eastAsia" w:ascii="宋体" w:hAnsi="宋体" w:cs="宋体"/>
          <w:color w:val="auto"/>
          <w:highlight w:val="none"/>
        </w:rPr>
        <w:t>。</w:t>
      </w:r>
    </w:p>
    <w:p w14:paraId="4EAE83D6">
      <w:pPr>
        <w:pageBreakBefore w:val="0"/>
        <w:widowControl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发包人审批承包人合理化建议的期限：</w:t>
      </w:r>
      <w:r>
        <w:rPr>
          <w:rFonts w:hint="eastAsia" w:ascii="宋体" w:hAnsi="宋体" w:cs="宋体"/>
          <w:color w:val="auto"/>
          <w:szCs w:val="21"/>
          <w:highlight w:val="none"/>
          <w:u w:val="single"/>
        </w:rPr>
        <w:t xml:space="preserve"> 发包人应在收到监理人报送的合理化建议后 7 天内审批完毕。合理化建议经发包人批准的，监理人应及时发出变更指示，由此引起的合同价格调整按照第 10.4 款〔变更估价〕约定执行。发包人不同意变更的，监理人应书面通知承包人 </w:t>
      </w:r>
      <w:r>
        <w:rPr>
          <w:rFonts w:hint="eastAsia" w:ascii="宋体" w:hAnsi="宋体" w:cs="宋体"/>
          <w:color w:val="auto"/>
          <w:highlight w:val="none"/>
        </w:rPr>
        <w:t>。</w:t>
      </w:r>
    </w:p>
    <w:p w14:paraId="36634FEF">
      <w:pPr>
        <w:pageBreakBefore w:val="0"/>
        <w:widowControl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highlight w:val="none"/>
          <w:u w:val="single"/>
        </w:rPr>
      </w:pPr>
      <w:r>
        <w:rPr>
          <w:rFonts w:hint="eastAsia" w:ascii="宋体" w:hAnsi="宋体" w:cs="宋体"/>
          <w:color w:val="auto"/>
          <w:highlight w:val="none"/>
        </w:rPr>
        <w:t>承</w:t>
      </w:r>
      <w:bookmarkStart w:id="1085" w:name="_Toc304295571"/>
      <w:bookmarkStart w:id="1086" w:name="_Toc297120504"/>
      <w:bookmarkStart w:id="1087" w:name="_Toc303539152"/>
      <w:bookmarkStart w:id="1088" w:name="_Toc312678030"/>
      <w:bookmarkStart w:id="1089" w:name="_Toc300934995"/>
      <w:bookmarkStart w:id="1090" w:name="_Toc312677504"/>
      <w:bookmarkStart w:id="1091" w:name="_Toc296891244"/>
      <w:bookmarkStart w:id="1092" w:name="_Toc296346705"/>
      <w:bookmarkStart w:id="1093" w:name="_Toc296944543"/>
      <w:bookmarkStart w:id="1094" w:name="_Toc296503204"/>
      <w:bookmarkStart w:id="1095" w:name="_Toc292559409"/>
      <w:bookmarkStart w:id="1096" w:name="_Toc318581175"/>
      <w:bookmarkStart w:id="1097" w:name="_Toc292559914"/>
      <w:bookmarkStart w:id="1098" w:name="_Toc297123546"/>
      <w:bookmarkStart w:id="1099" w:name="_Toc296347203"/>
      <w:bookmarkStart w:id="1100" w:name="_Toc296891032"/>
      <w:bookmarkStart w:id="1101" w:name="_Toc297048390"/>
      <w:bookmarkStart w:id="1102" w:name="_Toc297216205"/>
      <w:r>
        <w:rPr>
          <w:rFonts w:hint="eastAsia" w:ascii="宋体" w:hAnsi="宋体" w:cs="宋体"/>
          <w:color w:val="auto"/>
          <w:highlight w:val="none"/>
        </w:rPr>
        <w:t>包人提出的合理化建议降低了合同价格或者提高了工程经济效益的奖励的方法和金额为：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p w14:paraId="7DD6BE15">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w:t>
      </w:r>
      <w:bookmarkStart w:id="1103" w:name="_Toc296503199"/>
      <w:bookmarkStart w:id="1104" w:name="_Toc297120499"/>
      <w:bookmarkStart w:id="1105" w:name="_Toc296944538"/>
      <w:bookmarkStart w:id="1106" w:name="_Toc312678033"/>
      <w:bookmarkStart w:id="1107" w:name="_Toc303539154"/>
      <w:bookmarkStart w:id="1108" w:name="_Toc304295574"/>
      <w:bookmarkStart w:id="1109" w:name="_Toc292559404"/>
      <w:bookmarkStart w:id="1110" w:name="_Toc296347198"/>
      <w:bookmarkStart w:id="1111" w:name="_Toc312677507"/>
      <w:bookmarkStart w:id="1112" w:name="_Toc300934997"/>
      <w:bookmarkStart w:id="1113" w:name="_Toc296891239"/>
      <w:bookmarkStart w:id="1114" w:name="_Toc296346700"/>
      <w:bookmarkStart w:id="1115" w:name="_Toc292559909"/>
      <w:bookmarkStart w:id="1116" w:name="_Toc297123548"/>
      <w:bookmarkStart w:id="1117" w:name="_Toc296891027"/>
      <w:bookmarkStart w:id="1118" w:name="_Toc297216207"/>
      <w:bookmarkStart w:id="1119" w:name="_Toc297048385"/>
      <w:r>
        <w:rPr>
          <w:rFonts w:hint="eastAsia" w:ascii="宋体" w:hAnsi="宋体" w:cs="宋体"/>
          <w:bCs/>
          <w:color w:val="auto"/>
          <w:szCs w:val="28"/>
          <w:highlight w:val="none"/>
        </w:rPr>
        <w:t>0.7 暂估价</w:t>
      </w:r>
    </w:p>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14:paraId="5AF1BEE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kern w:val="0"/>
          <w:highlight w:val="none"/>
        </w:rPr>
        <w:t>暂</w:t>
      </w:r>
      <w:bookmarkStart w:id="1120" w:name="_Toc318581176"/>
      <w:bookmarkStart w:id="1121" w:name="_Toc312678034"/>
      <w:bookmarkStart w:id="1122" w:name="_Toc312677508"/>
      <w:r>
        <w:rPr>
          <w:rFonts w:hint="eastAsia" w:ascii="宋体" w:hAnsi="宋体" w:cs="宋体"/>
          <w:color w:val="auto"/>
          <w:kern w:val="0"/>
          <w:highlight w:val="none"/>
        </w:rPr>
        <w:t>估价材料和工程设备的明细详见附件12：《</w:t>
      </w:r>
      <w:r>
        <w:rPr>
          <w:rFonts w:hint="eastAsia" w:ascii="宋体" w:hAnsi="宋体" w:cs="宋体"/>
          <w:color w:val="auto"/>
          <w:highlight w:val="none"/>
        </w:rPr>
        <w:t>暂估价一览表》</w:t>
      </w:r>
      <w:r>
        <w:rPr>
          <w:rFonts w:hint="eastAsia" w:ascii="宋体" w:hAnsi="宋体" w:cs="宋体"/>
          <w:color w:val="auto"/>
          <w:kern w:val="0"/>
          <w:highlight w:val="none"/>
        </w:rPr>
        <w:t>。</w:t>
      </w:r>
    </w:p>
    <w:bookmarkEnd w:id="1120"/>
    <w:bookmarkEnd w:id="1121"/>
    <w:bookmarkEnd w:id="1122"/>
    <w:p w14:paraId="55A1C59B">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w:t>
      </w:r>
      <w:bookmarkStart w:id="1123" w:name="_Toc312678035"/>
      <w:bookmarkStart w:id="1124" w:name="_Toc312677509"/>
      <w:bookmarkStart w:id="1125" w:name="_Toc318581177"/>
      <w:r>
        <w:rPr>
          <w:rFonts w:hint="eastAsia" w:ascii="宋体" w:hAnsi="宋体" w:cs="宋体"/>
          <w:color w:val="auto"/>
          <w:highlight w:val="none"/>
        </w:rPr>
        <w:t>0.7.1 依法必须招标的暂估价项目</w:t>
      </w:r>
    </w:p>
    <w:bookmarkEnd w:id="1123"/>
    <w:bookmarkEnd w:id="1124"/>
    <w:bookmarkEnd w:id="1125"/>
    <w:p w14:paraId="65A93B4C">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对于依法必须招标的暂估价项目的确认和批准采取第</w:t>
      </w:r>
      <w:r>
        <w:rPr>
          <w:rFonts w:hint="eastAsia" w:ascii="宋体" w:hAnsi="宋体" w:cs="宋体"/>
          <w:color w:val="auto"/>
          <w:highlight w:val="none"/>
          <w:u w:val="single"/>
        </w:rPr>
        <w:t xml:space="preserve">  2  </w:t>
      </w:r>
      <w:r>
        <w:rPr>
          <w:rFonts w:hint="eastAsia" w:ascii="宋体" w:hAnsi="宋体" w:cs="宋体"/>
          <w:color w:val="auto"/>
          <w:highlight w:val="none"/>
        </w:rPr>
        <w:t>种方式确定。</w:t>
      </w:r>
      <w:r>
        <w:rPr>
          <w:rFonts w:hint="eastAsia" w:ascii="宋体" w:hAnsi="宋体" w:cs="宋体"/>
          <w:b/>
          <w:color w:val="auto"/>
          <w:highlight w:val="none"/>
          <w:u w:val="single"/>
        </w:rPr>
        <w:t xml:space="preserve">并应按相关规定进行二次招标  </w:t>
      </w:r>
      <w:r>
        <w:rPr>
          <w:rFonts w:hint="eastAsia" w:ascii="宋体" w:hAnsi="宋体" w:cs="宋体"/>
          <w:color w:val="auto"/>
          <w:highlight w:val="none"/>
        </w:rPr>
        <w:t>。</w:t>
      </w:r>
    </w:p>
    <w:p w14:paraId="474642E6">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10.7.2 不属于依法必须招标的暂估价项目</w:t>
      </w:r>
    </w:p>
    <w:p w14:paraId="6BE15B6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对于不属于依法必须招标的暂估价项目的确认和批准采取第 </w:t>
      </w:r>
      <w:r>
        <w:rPr>
          <w:rFonts w:hint="eastAsia" w:ascii="宋体" w:hAnsi="宋体" w:cs="宋体"/>
          <w:color w:val="auto"/>
          <w:highlight w:val="none"/>
          <w:u w:val="single"/>
        </w:rPr>
        <w:t xml:space="preserve">1 </w:t>
      </w:r>
      <w:r>
        <w:rPr>
          <w:rFonts w:hint="eastAsia" w:ascii="宋体" w:hAnsi="宋体" w:cs="宋体"/>
          <w:color w:val="auto"/>
          <w:highlight w:val="none"/>
        </w:rPr>
        <w:t>种方式确定。</w:t>
      </w:r>
    </w:p>
    <w:p w14:paraId="0A4F3851">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highlight w:val="none"/>
        </w:rPr>
        <w:t>第3种方式：</w:t>
      </w:r>
      <w:r>
        <w:rPr>
          <w:rFonts w:hint="eastAsia" w:ascii="宋体" w:hAnsi="宋体" w:cs="宋体"/>
          <w:color w:val="auto"/>
          <w:kern w:val="0"/>
          <w:highlight w:val="none"/>
        </w:rPr>
        <w:t>承包人直接实施的暂估价项目</w:t>
      </w:r>
    </w:p>
    <w:p w14:paraId="6E076629">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承包人直接实施的暂估价项目的约定：</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3640FE1B">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10.8 暂列金额</w:t>
      </w:r>
    </w:p>
    <w:p w14:paraId="091E5473">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kern w:val="0"/>
          <w:highlight w:val="none"/>
        </w:rPr>
        <w:t>合同当事人关于暂列金额使用的约定：</w:t>
      </w:r>
      <w:r>
        <w:rPr>
          <w:rFonts w:hint="eastAsia" w:ascii="宋体" w:hAnsi="宋体" w:cs="宋体"/>
          <w:color w:val="auto"/>
          <w:szCs w:val="21"/>
          <w:highlight w:val="none"/>
          <w:u w:val="single"/>
        </w:rPr>
        <w:t>暂列金是发包人为可能发生工程变更而暂列的金额，是</w:t>
      </w:r>
      <w:r>
        <w:rPr>
          <w:rFonts w:hint="eastAsia" w:ascii="宋体" w:hAnsi="宋体" w:eastAsia="宋体" w:cs="宋体"/>
          <w:color w:val="auto"/>
          <w:szCs w:val="21"/>
          <w:highlight w:val="none"/>
          <w:u w:val="single"/>
          <w:lang w:val="en-US" w:eastAsia="zh-CN"/>
        </w:rPr>
        <w:t>发包人</w:t>
      </w:r>
      <w:r>
        <w:rPr>
          <w:rFonts w:hint="eastAsia" w:ascii="宋体" w:hAnsi="宋体" w:cs="宋体"/>
          <w:color w:val="auto"/>
          <w:szCs w:val="21"/>
          <w:highlight w:val="none"/>
          <w:u w:val="single"/>
        </w:rPr>
        <w:t>自行确定设立的，承包商无权使用此笔费用。此费用按实际发生经</w:t>
      </w:r>
      <w:r>
        <w:rPr>
          <w:rFonts w:hint="eastAsia" w:ascii="宋体" w:hAnsi="宋体" w:eastAsia="宋体" w:cs="宋体"/>
          <w:color w:val="auto"/>
          <w:szCs w:val="21"/>
          <w:highlight w:val="none"/>
          <w:u w:val="single"/>
          <w:lang w:val="en-US" w:eastAsia="zh-CN"/>
        </w:rPr>
        <w:t>发包人</w:t>
      </w:r>
      <w:r>
        <w:rPr>
          <w:rFonts w:hint="eastAsia" w:ascii="宋体" w:hAnsi="宋体" w:cs="宋体"/>
          <w:color w:val="auto"/>
          <w:szCs w:val="21"/>
          <w:highlight w:val="none"/>
          <w:u w:val="single"/>
        </w:rPr>
        <w:t xml:space="preserve">签证后确定全部使用、部分使用或不使用。暂列金不计入工程款付款的基数。 </w:t>
      </w:r>
      <w:r>
        <w:rPr>
          <w:rFonts w:hint="eastAsia" w:ascii="宋体" w:hAnsi="宋体" w:cs="宋体"/>
          <w:color w:val="auto"/>
          <w:kern w:val="0"/>
          <w:highlight w:val="none"/>
        </w:rPr>
        <w:t>。</w:t>
      </w:r>
    </w:p>
    <w:p w14:paraId="58F0B302">
      <w:pPr>
        <w:keepNext/>
        <w:keepLines/>
        <w:adjustRightInd w:val="0"/>
        <w:snapToGrid w:val="0"/>
        <w:spacing w:line="384" w:lineRule="auto"/>
        <w:jc w:val="left"/>
        <w:outlineLvl w:val="2"/>
        <w:rPr>
          <w:rFonts w:hint="eastAsia" w:ascii="宋体" w:hAnsi="宋体" w:cs="宋体"/>
          <w:bCs/>
          <w:color w:val="auto"/>
          <w:sz w:val="24"/>
          <w:highlight w:val="none"/>
        </w:rPr>
      </w:pPr>
      <w:bookmarkStart w:id="1126" w:name="_Toc351203643"/>
      <w:bookmarkStart w:id="1127" w:name="_Toc95223472"/>
      <w:r>
        <w:rPr>
          <w:rFonts w:hint="eastAsia" w:ascii="宋体" w:hAnsi="宋体" w:cs="宋体"/>
          <w:bCs/>
          <w:color w:val="auto"/>
          <w:sz w:val="24"/>
          <w:highlight w:val="none"/>
        </w:rPr>
        <w:t>11. 价格调整</w:t>
      </w:r>
      <w:bookmarkEnd w:id="1126"/>
      <w:bookmarkEnd w:id="1127"/>
    </w:p>
    <w:p w14:paraId="72F9548D">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bookmarkStart w:id="1128" w:name="_Toc292559406"/>
      <w:bookmarkStart w:id="1129" w:name="_Toc300935000"/>
      <w:bookmarkStart w:id="1130" w:name="_Toc296346702"/>
      <w:bookmarkStart w:id="1131" w:name="_Toc296347200"/>
      <w:bookmarkStart w:id="1132" w:name="_Toc296891029"/>
      <w:bookmarkStart w:id="1133" w:name="_Toc297048387"/>
      <w:bookmarkStart w:id="1134" w:name="_Toc297216209"/>
      <w:bookmarkStart w:id="1135" w:name="_Toc296944540"/>
      <w:bookmarkStart w:id="1136" w:name="_Toc297120501"/>
      <w:bookmarkStart w:id="1137" w:name="_Toc292559911"/>
      <w:bookmarkStart w:id="1138" w:name="_Toc296503201"/>
      <w:bookmarkStart w:id="1139" w:name="_Toc303539157"/>
      <w:bookmarkStart w:id="1140" w:name="_Toc312678039"/>
      <w:bookmarkStart w:id="1141" w:name="_Toc297123550"/>
      <w:bookmarkStart w:id="1142" w:name="_Toc304295577"/>
      <w:bookmarkStart w:id="1143" w:name="_Toc296891241"/>
      <w:r>
        <w:rPr>
          <w:rFonts w:hint="eastAsia" w:ascii="宋体" w:hAnsi="宋体" w:cs="宋体"/>
          <w:bCs/>
          <w:color w:val="auto"/>
          <w:szCs w:val="28"/>
          <w:highlight w:val="none"/>
        </w:rPr>
        <w:t>11.1 市场价格波动引起的调整</w:t>
      </w:r>
    </w:p>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14:paraId="0D536E36">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kern w:val="0"/>
          <w:highlight w:val="none"/>
        </w:rPr>
        <w:t>市场价格波动是否调整合同价格的约定：</w:t>
      </w:r>
      <w:r>
        <w:rPr>
          <w:rFonts w:hint="eastAsia" w:ascii="宋体" w:hAnsi="宋体" w:cs="宋体"/>
          <w:b/>
          <w:color w:val="auto"/>
          <w:highlight w:val="none"/>
          <w:u w:val="single"/>
        </w:rPr>
        <w:t xml:space="preserve">   </w:t>
      </w:r>
      <w:r>
        <w:rPr>
          <w:rFonts w:hint="eastAsia" w:ascii="宋体" w:hAnsi="宋体" w:cs="宋体"/>
          <w:b/>
          <w:color w:val="auto"/>
          <w:highlight w:val="none"/>
          <w:u w:val="single"/>
          <w:lang w:val="en-US" w:eastAsia="zh-CN"/>
        </w:rPr>
        <w:t>调整，具体见以下约定</w:t>
      </w:r>
      <w:r>
        <w:rPr>
          <w:rFonts w:hint="eastAsia" w:ascii="宋体" w:hAnsi="宋体" w:cs="宋体"/>
          <w:b/>
          <w:color w:val="auto"/>
          <w:highlight w:val="none"/>
          <w:u w:val="single"/>
        </w:rPr>
        <w:t xml:space="preserve">   </w:t>
      </w:r>
      <w:r>
        <w:rPr>
          <w:rFonts w:hint="eastAsia" w:ascii="宋体" w:hAnsi="宋体" w:cs="宋体"/>
          <w:color w:val="auto"/>
          <w:highlight w:val="none"/>
        </w:rPr>
        <w:t>。</w:t>
      </w:r>
    </w:p>
    <w:p w14:paraId="114BDD3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因市场价格波动调整合同价格，采用以下第</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2</w:t>
      </w:r>
      <w:r>
        <w:rPr>
          <w:rFonts w:hint="eastAsia" w:ascii="宋体" w:hAnsi="宋体" w:cs="宋体"/>
          <w:color w:val="auto"/>
          <w:highlight w:val="none"/>
          <w:u w:val="single"/>
        </w:rPr>
        <w:t xml:space="preserve">  </w:t>
      </w:r>
      <w:r>
        <w:rPr>
          <w:rFonts w:hint="eastAsia" w:ascii="宋体" w:hAnsi="宋体" w:cs="宋体"/>
          <w:color w:val="auto"/>
          <w:highlight w:val="none"/>
        </w:rPr>
        <w:t>种方式对合同价格进行调整：</w:t>
      </w:r>
    </w:p>
    <w:p w14:paraId="286CCBD9">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第1种方式：采用价格指数进行价格调整。</w:t>
      </w:r>
    </w:p>
    <w:p w14:paraId="15F2B175">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关于各可调因子、定值和变值权重，以及基本价格指数及其来源的约定：</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2F07AC4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第2种方式：采用造价信息进行价格调整。</w:t>
      </w:r>
    </w:p>
    <w:p w14:paraId="05949A4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（1）价格的调整：</w:t>
      </w:r>
    </w:p>
    <w:p w14:paraId="1142ECC6">
      <w:pPr>
        <w:adjustRightInd w:val="0"/>
        <w:snapToGrid w:val="0"/>
        <w:spacing w:line="384" w:lineRule="auto"/>
        <w:ind w:firstLine="840" w:firstLineChars="400"/>
        <w:rPr>
          <w:rFonts w:hint="eastAsia" w:ascii="宋体" w:hAnsi="宋体" w:cs="宋体"/>
          <w:color w:val="auto"/>
          <w:highlight w:val="none"/>
        </w:rPr>
      </w:pPr>
      <w:r>
        <w:rPr>
          <w:rFonts w:hint="eastAsia" w:ascii="宋体" w:hAnsi="宋体" w:cs="宋体"/>
          <w:color w:val="auto"/>
          <w:highlight w:val="none"/>
        </w:rPr>
        <w:t>①可调整价格的主要材料范围的约定:</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lang w:val="en-US" w:eastAsia="zh-CN"/>
        </w:rPr>
        <w:t>钢材（钢筋、</w:t>
      </w:r>
      <w:r>
        <w:rPr>
          <w:rFonts w:hint="eastAsia" w:ascii="宋体" w:hAnsi="宋体" w:cs="宋体"/>
          <w:color w:val="auto"/>
          <w:highlight w:val="none"/>
          <w:u w:val="single"/>
          <w:lang w:val="en-US" w:eastAsia="zh-CN"/>
        </w:rPr>
        <w:t>钢结构主构件</w:t>
      </w:r>
      <w:r>
        <w:rPr>
          <w:rFonts w:hint="eastAsia" w:ascii="宋体" w:hAnsi="宋体" w:eastAsia="宋体" w:cs="宋体"/>
          <w:color w:val="auto"/>
          <w:highlight w:val="none"/>
          <w:u w:val="single"/>
          <w:lang w:val="en-US" w:eastAsia="zh-CN"/>
        </w:rPr>
        <w:t>）、水泥、混凝土、砂、石、预拌砂浆、电线电缆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029B00B">
      <w:pPr>
        <w:adjustRightInd w:val="0"/>
        <w:snapToGrid w:val="0"/>
        <w:spacing w:line="384" w:lineRule="auto"/>
        <w:ind w:firstLine="840" w:firstLineChars="400"/>
        <w:rPr>
          <w:rFonts w:hint="eastAsia" w:ascii="宋体" w:hAnsi="宋体" w:cs="宋体"/>
          <w:color w:val="auto"/>
          <w:highlight w:val="none"/>
        </w:rPr>
      </w:pPr>
      <w:r>
        <w:rPr>
          <w:rFonts w:hint="eastAsia" w:ascii="宋体" w:hAnsi="宋体" w:cs="宋体"/>
          <w:color w:val="auto"/>
          <w:highlight w:val="none"/>
        </w:rPr>
        <w:t>②主要材料价差调整周期的约定:</w:t>
      </w:r>
      <w:r>
        <w:rPr>
          <w:rFonts w:hint="eastAsia" w:ascii="宋体" w:hAnsi="宋体" w:cs="宋体"/>
          <w:color w:val="auto"/>
          <w:highlight w:val="none"/>
          <w:u w:val="single"/>
        </w:rPr>
        <w:t xml:space="preserve">  </w:t>
      </w:r>
      <w:r>
        <w:rPr>
          <w:rFonts w:hint="eastAsia" w:ascii="宋体" w:hAnsi="宋体" w:eastAsia="宋体" w:cs="宋体"/>
          <w:color w:val="auto"/>
          <w:kern w:val="0"/>
          <w:szCs w:val="21"/>
          <w:highlight w:val="none"/>
          <w:u w:val="single"/>
          <w:lang w:val="en-US" w:eastAsia="zh-CN"/>
        </w:rPr>
        <w:t>合同履行期间</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8B75461">
      <w:pPr>
        <w:adjustRightInd w:val="0"/>
        <w:snapToGrid w:val="0"/>
        <w:spacing w:line="384" w:lineRule="auto"/>
        <w:ind w:firstLine="840" w:firstLineChars="400"/>
        <w:rPr>
          <w:rFonts w:hint="eastAsia" w:ascii="宋体" w:hAnsi="宋体" w:cs="宋体"/>
          <w:color w:val="auto"/>
          <w:sz w:val="24"/>
          <w:szCs w:val="32"/>
          <w:highlight w:val="none"/>
        </w:rPr>
      </w:pPr>
      <w:r>
        <w:rPr>
          <w:rFonts w:hint="eastAsia" w:ascii="宋体" w:hAnsi="宋体" w:cs="宋体"/>
          <w:color w:val="auto"/>
          <w:highlight w:val="none"/>
        </w:rPr>
        <w:t>③主要材料价差调整计算方法的约定:</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如下</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75E4F6B">
      <w:pPr>
        <w:adjustRightInd w:val="0"/>
        <w:snapToGrid w:val="0"/>
        <w:spacing w:line="384" w:lineRule="auto"/>
        <w:ind w:firstLine="840" w:firstLineChars="400"/>
        <w:rPr>
          <w:rFonts w:hint="eastAsia" w:ascii="宋体" w:hAnsi="宋体" w:cs="宋体"/>
          <w:color w:val="auto"/>
          <w:highlight w:val="none"/>
        </w:rPr>
      </w:pPr>
      <w:r>
        <w:rPr>
          <w:rFonts w:hint="eastAsia" w:ascii="宋体" w:hAnsi="宋体" w:cs="宋体"/>
          <w:color w:val="auto"/>
          <w:highlight w:val="none"/>
        </w:rPr>
        <w:t>④主要材料价差调整时间的约定:</w:t>
      </w:r>
      <w:r>
        <w:rPr>
          <w:rFonts w:hint="eastAsia" w:ascii="宋体" w:hAnsi="宋体" w:cs="宋体"/>
          <w:color w:val="auto"/>
          <w:highlight w:val="none"/>
          <w:u w:val="single"/>
        </w:rPr>
        <w:t xml:space="preserve"> </w:t>
      </w:r>
      <w:r>
        <w:rPr>
          <w:rFonts w:hint="eastAsia" w:ascii="宋体" w:hAnsi="宋体" w:eastAsia="宋体" w:cs="宋体"/>
          <w:color w:val="auto"/>
          <w:kern w:val="0"/>
          <w:szCs w:val="21"/>
          <w:highlight w:val="none"/>
          <w:u w:val="single"/>
          <w:lang w:val="en-US" w:eastAsia="zh-CN"/>
        </w:rPr>
        <w:t>合同履行期间</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6CB1FF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（2）关于基准价格的约定：</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lang w:val="en-US" w:eastAsia="zh-CN"/>
        </w:rPr>
        <w:t>基准价格为滁州市建设工程造价管理部门发布工程造价信息（《滁州市工程造价信息》（202</w:t>
      </w:r>
      <w:r>
        <w:rPr>
          <w:rFonts w:hint="eastAsia" w:ascii="宋体" w:hAnsi="宋体" w:cs="宋体"/>
          <w:color w:val="auto"/>
          <w:highlight w:val="none"/>
          <w:u w:val="single"/>
          <w:lang w:val="en-US" w:eastAsia="zh-CN"/>
        </w:rPr>
        <w:t>6</w:t>
      </w:r>
      <w:r>
        <w:rPr>
          <w:rFonts w:hint="eastAsia" w:ascii="宋体" w:hAnsi="宋体" w:eastAsia="宋体" w:cs="宋体"/>
          <w:color w:val="auto"/>
          <w:highlight w:val="none"/>
          <w:u w:val="single"/>
          <w:lang w:val="en-US" w:eastAsia="zh-CN"/>
        </w:rPr>
        <w:t>年第</w:t>
      </w:r>
      <w:r>
        <w:rPr>
          <w:rFonts w:hint="eastAsia" w:ascii="宋体" w:hAnsi="宋体" w:cs="宋体"/>
          <w:color w:val="auto"/>
          <w:highlight w:val="none"/>
          <w:u w:val="single"/>
          <w:lang w:val="en-US" w:eastAsia="zh-CN"/>
        </w:rPr>
        <w:t>6</w:t>
      </w:r>
      <w:r>
        <w:rPr>
          <w:rFonts w:hint="eastAsia" w:ascii="宋体" w:hAnsi="宋体" w:eastAsia="宋体" w:cs="宋体"/>
          <w:color w:val="auto"/>
          <w:highlight w:val="none"/>
          <w:u w:val="single"/>
          <w:lang w:val="en-US" w:eastAsia="zh-CN"/>
        </w:rPr>
        <w:t>期）中相对应的不含税价格以及最高投标限价中以市场询价计入的价格。人工费执行 202</w:t>
      </w:r>
      <w:r>
        <w:rPr>
          <w:rFonts w:hint="eastAsia" w:ascii="宋体" w:hAnsi="宋体" w:cs="宋体"/>
          <w:color w:val="auto"/>
          <w:highlight w:val="none"/>
          <w:u w:val="single"/>
          <w:lang w:val="en-US" w:eastAsia="zh-CN"/>
        </w:rPr>
        <w:t>6</w:t>
      </w:r>
      <w:r>
        <w:rPr>
          <w:rFonts w:hint="eastAsia" w:ascii="宋体" w:hAnsi="宋体" w:eastAsia="宋体" w:cs="宋体"/>
          <w:color w:val="auto"/>
          <w:highlight w:val="none"/>
          <w:u w:val="single"/>
          <w:lang w:val="en-US" w:eastAsia="zh-CN"/>
        </w:rPr>
        <w:t>年滁州市第</w:t>
      </w:r>
      <w:r>
        <w:rPr>
          <w:rFonts w:hint="eastAsia" w:ascii="宋体" w:hAnsi="宋体" w:cs="宋体"/>
          <w:color w:val="auto"/>
          <w:highlight w:val="none"/>
          <w:u w:val="single"/>
          <w:lang w:val="en-US" w:eastAsia="zh-CN"/>
        </w:rPr>
        <w:t>二</w:t>
      </w:r>
      <w:r>
        <w:rPr>
          <w:rFonts w:hint="eastAsia" w:ascii="宋体" w:hAnsi="宋体" w:eastAsia="宋体" w:cs="宋体"/>
          <w:color w:val="auto"/>
          <w:highlight w:val="none"/>
          <w:u w:val="single"/>
          <w:lang w:val="en-US" w:eastAsia="zh-CN"/>
        </w:rPr>
        <w:t>季度人工费156.5元/工日</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F9C49E8">
      <w:pPr>
        <w:adjustRightInd w:val="0"/>
        <w:snapToGrid w:val="0"/>
        <w:spacing w:line="384" w:lineRule="auto"/>
        <w:ind w:firstLine="630" w:firstLineChars="300"/>
        <w:rPr>
          <w:rFonts w:hint="eastAsia" w:ascii="宋体" w:hAnsi="宋体" w:cs="宋体"/>
          <w:color w:val="auto"/>
          <w:highlight w:val="none"/>
        </w:rPr>
      </w:pPr>
      <w:r>
        <w:rPr>
          <w:rFonts w:hint="eastAsia" w:ascii="宋体" w:hAnsi="宋体" w:cs="宋体"/>
          <w:color w:val="auto"/>
          <w:highlight w:val="none"/>
        </w:rPr>
        <w:t>①承包人在已标价工程量清单或预算书中载明的材料单价低于基准价格的：专用合同条款合同履行期间材料单价涨幅以基准价格为基础超过</w:t>
      </w:r>
      <w:r>
        <w:rPr>
          <w:rFonts w:hint="eastAsia" w:ascii="宋体" w:hAnsi="宋体" w:cs="宋体"/>
          <w:b/>
          <w:bCs/>
          <w:color w:val="auto"/>
          <w:highlight w:val="none"/>
          <w:u w:val="single"/>
        </w:rPr>
        <w:t xml:space="preserve">  5%  </w:t>
      </w:r>
      <w:r>
        <w:rPr>
          <w:rFonts w:hint="eastAsia" w:ascii="宋体" w:hAnsi="宋体" w:cs="宋体"/>
          <w:color w:val="auto"/>
          <w:highlight w:val="none"/>
        </w:rPr>
        <w:t>时，或材料单价跌幅以已标价工程量清单或预算书中载明材料单价为基础超过</w:t>
      </w:r>
      <w:r>
        <w:rPr>
          <w:rFonts w:hint="eastAsia" w:ascii="宋体" w:hAnsi="宋体" w:cs="宋体"/>
          <w:color w:val="auto"/>
          <w:highlight w:val="none"/>
          <w:u w:val="single"/>
        </w:rPr>
        <w:t xml:space="preserve">  </w:t>
      </w:r>
      <w:r>
        <w:rPr>
          <w:rFonts w:hint="eastAsia" w:ascii="宋体" w:hAnsi="宋体" w:cs="宋体"/>
          <w:b/>
          <w:bCs/>
          <w:color w:val="auto"/>
          <w:highlight w:val="none"/>
          <w:u w:val="single"/>
        </w:rPr>
        <w:t xml:space="preserve">5%  </w:t>
      </w:r>
      <w:r>
        <w:rPr>
          <w:rFonts w:hint="eastAsia" w:ascii="宋体" w:hAnsi="宋体" w:cs="宋体"/>
          <w:color w:val="auto"/>
          <w:highlight w:val="none"/>
        </w:rPr>
        <w:t>时，其超过部分据实调整。</w:t>
      </w:r>
    </w:p>
    <w:p w14:paraId="386410D2">
      <w:pPr>
        <w:adjustRightInd w:val="0"/>
        <w:snapToGrid w:val="0"/>
        <w:spacing w:line="384" w:lineRule="auto"/>
        <w:ind w:firstLine="630" w:firstLineChars="300"/>
        <w:rPr>
          <w:rFonts w:hint="eastAsia" w:ascii="宋体" w:hAnsi="宋体" w:cs="宋体"/>
          <w:color w:val="auto"/>
          <w:highlight w:val="none"/>
        </w:rPr>
      </w:pPr>
      <w:r>
        <w:rPr>
          <w:rFonts w:hint="eastAsia" w:ascii="宋体" w:hAnsi="宋体" w:cs="宋体"/>
          <w:color w:val="auto"/>
          <w:highlight w:val="none"/>
        </w:rPr>
        <w:t>②承包人在已标价工程量清单或预算书中载明的材料单价高于基准价格的：专用合同条款合同履行期间材料单价跌幅以基准价格为基础超过</w:t>
      </w:r>
      <w:r>
        <w:rPr>
          <w:rFonts w:hint="eastAsia" w:ascii="宋体" w:hAnsi="宋体" w:cs="宋体"/>
          <w:color w:val="auto"/>
          <w:highlight w:val="none"/>
          <w:u w:val="single"/>
        </w:rPr>
        <w:t xml:space="preserve">  </w:t>
      </w:r>
      <w:r>
        <w:rPr>
          <w:rFonts w:hint="eastAsia" w:ascii="宋体" w:hAnsi="宋体" w:cs="宋体"/>
          <w:b/>
          <w:bCs/>
          <w:color w:val="auto"/>
          <w:highlight w:val="none"/>
          <w:u w:val="single"/>
        </w:rPr>
        <w:t xml:space="preserve">5%  </w:t>
      </w:r>
      <w:r>
        <w:rPr>
          <w:rFonts w:hint="eastAsia" w:ascii="宋体" w:hAnsi="宋体" w:cs="宋体"/>
          <w:color w:val="auto"/>
          <w:highlight w:val="none"/>
        </w:rPr>
        <w:t>时，材料单价涨幅以已标价工程量清单或预算书中载明材料单价为基础超过</w:t>
      </w:r>
      <w:r>
        <w:rPr>
          <w:rFonts w:hint="eastAsia" w:ascii="宋体" w:hAnsi="宋体" w:cs="宋体"/>
          <w:color w:val="auto"/>
          <w:highlight w:val="none"/>
          <w:u w:val="single"/>
        </w:rPr>
        <w:t xml:space="preserve">  </w:t>
      </w:r>
      <w:r>
        <w:rPr>
          <w:rFonts w:hint="eastAsia" w:ascii="宋体" w:hAnsi="宋体" w:cs="宋体"/>
          <w:b/>
          <w:bCs/>
          <w:color w:val="auto"/>
          <w:highlight w:val="none"/>
          <w:u w:val="single"/>
        </w:rPr>
        <w:t xml:space="preserve">5%  </w:t>
      </w:r>
      <w:r>
        <w:rPr>
          <w:rFonts w:hint="eastAsia" w:ascii="宋体" w:hAnsi="宋体" w:cs="宋体"/>
          <w:color w:val="auto"/>
          <w:highlight w:val="none"/>
        </w:rPr>
        <w:t>时，其超过部分据实调整。</w:t>
      </w:r>
    </w:p>
    <w:p w14:paraId="2C76749D">
      <w:pPr>
        <w:adjustRightInd w:val="0"/>
        <w:snapToGrid w:val="0"/>
        <w:spacing w:line="384" w:lineRule="auto"/>
        <w:ind w:firstLine="630" w:firstLineChars="300"/>
        <w:rPr>
          <w:rFonts w:hint="eastAsia" w:ascii="宋体" w:hAnsi="宋体" w:cs="宋体"/>
          <w:color w:val="auto"/>
          <w:highlight w:val="none"/>
        </w:rPr>
      </w:pPr>
      <w:r>
        <w:rPr>
          <w:rFonts w:hint="eastAsia" w:ascii="宋体" w:hAnsi="宋体" w:cs="宋体"/>
          <w:color w:val="auto"/>
          <w:highlight w:val="none"/>
        </w:rPr>
        <w:t>③承包人在已标价工程量清单或预算书中载明的材料单价等于基准单价的：专用合同条款合同履行期间材料单价涨跌幅以基准单价为基础超过±</w:t>
      </w:r>
      <w:r>
        <w:rPr>
          <w:rFonts w:hint="eastAsia" w:ascii="宋体" w:hAnsi="宋体" w:cs="宋体"/>
          <w:color w:val="auto"/>
          <w:highlight w:val="none"/>
          <w:u w:val="single"/>
        </w:rPr>
        <w:t xml:space="preserve">  </w:t>
      </w:r>
      <w:r>
        <w:rPr>
          <w:rFonts w:hint="eastAsia" w:ascii="宋体" w:hAnsi="宋体" w:cs="宋体"/>
          <w:b/>
          <w:bCs/>
          <w:color w:val="auto"/>
          <w:highlight w:val="none"/>
          <w:u w:val="single"/>
        </w:rPr>
        <w:t xml:space="preserve">5%  </w:t>
      </w:r>
      <w:r>
        <w:rPr>
          <w:rFonts w:hint="eastAsia" w:ascii="宋体" w:hAnsi="宋体" w:cs="宋体"/>
          <w:color w:val="auto"/>
          <w:highlight w:val="none"/>
        </w:rPr>
        <w:t>时，其超过部分据实调整。</w:t>
      </w:r>
    </w:p>
    <w:p w14:paraId="6D9CA82A">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第3种方式：其他价格调整方式：</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cs="宋体"/>
          <w:color w:val="auto"/>
          <w:highlight w:val="none"/>
          <w:u w:val="single"/>
        </w:rPr>
        <w:t xml:space="preserve">        </w:t>
      </w:r>
      <w:r>
        <w:rPr>
          <w:rFonts w:hint="eastAsia" w:ascii="宋体" w:hAnsi="宋体" w:cs="宋体"/>
          <w:color w:val="auto"/>
          <w:highlight w:val="none"/>
        </w:rPr>
        <w:t>。</w:t>
      </w:r>
    </w:p>
    <w:bookmarkEnd w:id="1030"/>
    <w:bookmarkEnd w:id="1031"/>
    <w:bookmarkEnd w:id="1032"/>
    <w:bookmarkEnd w:id="1033"/>
    <w:bookmarkEnd w:id="1034"/>
    <w:bookmarkEnd w:id="1035"/>
    <w:p w14:paraId="389E707B">
      <w:pPr>
        <w:keepNext/>
        <w:keepLines/>
        <w:adjustRightInd w:val="0"/>
        <w:snapToGrid w:val="0"/>
        <w:spacing w:line="384" w:lineRule="auto"/>
        <w:jc w:val="left"/>
        <w:outlineLvl w:val="2"/>
        <w:rPr>
          <w:rFonts w:hint="eastAsia" w:ascii="宋体" w:hAnsi="宋体" w:cs="宋体"/>
          <w:bCs/>
          <w:color w:val="auto"/>
          <w:sz w:val="24"/>
          <w:highlight w:val="none"/>
        </w:rPr>
      </w:pPr>
      <w:bookmarkStart w:id="1144" w:name="_Toc296346706"/>
      <w:bookmarkStart w:id="1145" w:name="_Toc296891033"/>
      <w:bookmarkStart w:id="1146" w:name="_Toc296891245"/>
      <w:bookmarkStart w:id="1147" w:name="_Toc292559915"/>
      <w:bookmarkStart w:id="1148" w:name="_Toc296944544"/>
      <w:bookmarkStart w:id="1149" w:name="_Toc297048391"/>
      <w:bookmarkStart w:id="1150" w:name="_Toc296347204"/>
      <w:bookmarkStart w:id="1151" w:name="_Toc297120505"/>
      <w:bookmarkStart w:id="1152" w:name="_Toc292559410"/>
      <w:bookmarkStart w:id="1153" w:name="_Toc296503205"/>
      <w:bookmarkStart w:id="1154" w:name="_Toc351203644"/>
      <w:bookmarkStart w:id="1155" w:name="_Toc95223473"/>
      <w:bookmarkStart w:id="1156" w:name="_Toc304295579"/>
      <w:bookmarkStart w:id="1157" w:name="_Toc312678040"/>
      <w:bookmarkStart w:id="1158" w:name="_Toc303539159"/>
      <w:bookmarkStart w:id="1159" w:name="_Toc297216211"/>
      <w:bookmarkStart w:id="1160" w:name="_Toc300935002"/>
      <w:bookmarkStart w:id="1161" w:name="_Toc297123552"/>
      <w:r>
        <w:rPr>
          <w:rFonts w:hint="eastAsia" w:ascii="宋体" w:hAnsi="宋体" w:cs="宋体"/>
          <w:bCs/>
          <w:color w:val="auto"/>
          <w:sz w:val="24"/>
          <w:highlight w:val="none"/>
        </w:rPr>
        <w:t xml:space="preserve">12. </w:t>
      </w:r>
      <w:bookmarkEnd w:id="1144"/>
      <w:bookmarkEnd w:id="1145"/>
      <w:bookmarkEnd w:id="1146"/>
      <w:bookmarkEnd w:id="1147"/>
      <w:bookmarkEnd w:id="1148"/>
      <w:bookmarkEnd w:id="1149"/>
      <w:bookmarkEnd w:id="1150"/>
      <w:bookmarkEnd w:id="1151"/>
      <w:bookmarkEnd w:id="1152"/>
      <w:bookmarkEnd w:id="1153"/>
      <w:r>
        <w:rPr>
          <w:rFonts w:hint="eastAsia" w:ascii="宋体" w:hAnsi="宋体" w:cs="宋体"/>
          <w:bCs/>
          <w:color w:val="auto"/>
          <w:sz w:val="24"/>
          <w:highlight w:val="none"/>
        </w:rPr>
        <w:t>合同价格、计量与支付</w:t>
      </w:r>
      <w:bookmarkEnd w:id="1154"/>
      <w:bookmarkEnd w:id="1155"/>
    </w:p>
    <w:bookmarkEnd w:id="1156"/>
    <w:bookmarkEnd w:id="1157"/>
    <w:bookmarkEnd w:id="1158"/>
    <w:bookmarkEnd w:id="1159"/>
    <w:bookmarkEnd w:id="1160"/>
    <w:bookmarkEnd w:id="1161"/>
    <w:p w14:paraId="38DC5353">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bookmarkStart w:id="1162" w:name="_Toc292559916"/>
      <w:bookmarkStart w:id="1163" w:name="_Toc292559411"/>
      <w:bookmarkStart w:id="1164" w:name="_Toc267251461"/>
      <w:bookmarkStart w:id="1165" w:name="_Toc296503206"/>
      <w:bookmarkStart w:id="1166" w:name="_Toc296891034"/>
      <w:bookmarkStart w:id="1167" w:name="_Toc296891246"/>
      <w:bookmarkStart w:id="1168" w:name="_Toc296944545"/>
      <w:bookmarkStart w:id="1169" w:name="_Toc296347205"/>
      <w:bookmarkStart w:id="1170" w:name="_Toc296346707"/>
      <w:bookmarkStart w:id="1171" w:name="_Toc297048392"/>
      <w:bookmarkStart w:id="1172" w:name="_Toc297120506"/>
      <w:bookmarkStart w:id="1173" w:name="_Toc300935003"/>
      <w:bookmarkStart w:id="1174" w:name="_Toc297216212"/>
      <w:bookmarkStart w:id="1175" w:name="_Toc303539160"/>
      <w:bookmarkStart w:id="1176" w:name="_Toc304295580"/>
      <w:bookmarkStart w:id="1177" w:name="_Toc312678041"/>
      <w:bookmarkStart w:id="1178" w:name="_Toc297123553"/>
      <w:r>
        <w:rPr>
          <w:rFonts w:hint="eastAsia" w:ascii="宋体" w:hAnsi="宋体" w:cs="宋体"/>
          <w:bCs/>
          <w:color w:val="auto"/>
          <w:szCs w:val="28"/>
          <w:highlight w:val="none"/>
        </w:rPr>
        <w:t>12.1 合</w:t>
      </w:r>
      <w:bookmarkEnd w:id="1162"/>
      <w:bookmarkEnd w:id="1163"/>
      <w:bookmarkEnd w:id="1164"/>
      <w:r>
        <w:rPr>
          <w:rFonts w:hint="eastAsia" w:ascii="宋体" w:hAnsi="宋体" w:cs="宋体"/>
          <w:bCs/>
          <w:color w:val="auto"/>
          <w:szCs w:val="28"/>
          <w:highlight w:val="none"/>
        </w:rPr>
        <w:t>同价</w:t>
      </w:r>
      <w:bookmarkEnd w:id="1165"/>
      <w:bookmarkEnd w:id="1166"/>
      <w:bookmarkEnd w:id="1167"/>
      <w:bookmarkEnd w:id="1168"/>
      <w:bookmarkEnd w:id="1169"/>
      <w:bookmarkEnd w:id="1170"/>
      <w:bookmarkEnd w:id="1171"/>
      <w:bookmarkEnd w:id="1172"/>
      <w:r>
        <w:rPr>
          <w:rFonts w:hint="eastAsia" w:ascii="宋体" w:hAnsi="宋体" w:cs="宋体"/>
          <w:bCs/>
          <w:color w:val="auto"/>
          <w:szCs w:val="28"/>
          <w:highlight w:val="none"/>
        </w:rPr>
        <w:t>格形式</w:t>
      </w:r>
    </w:p>
    <w:bookmarkEnd w:id="1173"/>
    <w:bookmarkEnd w:id="1174"/>
    <w:bookmarkEnd w:id="1175"/>
    <w:bookmarkEnd w:id="1176"/>
    <w:bookmarkEnd w:id="1177"/>
    <w:bookmarkEnd w:id="1178"/>
    <w:p w14:paraId="196BB9F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(1)单价合同。</w:t>
      </w:r>
    </w:p>
    <w:p w14:paraId="0F008565">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综合单价包含的风险范围：</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隐含于已标价工程量清单综合单价中，用于化解发承包双方在工程合同中约定内容和范围内的市场价格波动风险的费用</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B215D7D">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风险费用的计算方法：</w:t>
      </w:r>
      <w:r>
        <w:rPr>
          <w:rFonts w:hint="eastAsia" w:ascii="宋体" w:hAnsi="宋体" w:cs="宋体"/>
          <w:color w:val="auto"/>
          <w:highlight w:val="none"/>
          <w:u w:val="single"/>
        </w:rPr>
        <w:t xml:space="preserve">   </w:t>
      </w:r>
      <w:r>
        <w:rPr>
          <w:rFonts w:hint="eastAsia" w:ascii="宋体" w:hAnsi="宋体" w:eastAsia="宋体" w:cs="宋体"/>
          <w:color w:val="auto"/>
          <w:szCs w:val="21"/>
          <w:highlight w:val="none"/>
          <w:u w:val="single"/>
        </w:rPr>
        <w:t>承包人自行考虑，包含在报价中</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1460CC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风险范围以外合同价格的调整方法：</w:t>
      </w:r>
      <w:r>
        <w:rPr>
          <w:rFonts w:hint="eastAsia" w:ascii="宋体" w:hAnsi="宋体" w:cs="宋体"/>
          <w:color w:val="auto"/>
          <w:highlight w:val="none"/>
          <w:u w:val="single"/>
        </w:rPr>
        <w:t xml:space="preserve"> 结算价=合同价±工程变更造价±分部分项工程量清单工程量误差造价±材料价格调整造价±政策性调整造价±措施项目调整造价－暂列金额× 1.09±合理工程索赔   </w:t>
      </w:r>
      <w:r>
        <w:rPr>
          <w:rFonts w:hint="eastAsia" w:ascii="宋体" w:hAnsi="宋体" w:cs="宋体"/>
          <w:color w:val="auto"/>
          <w:highlight w:val="none"/>
        </w:rPr>
        <w:t>。</w:t>
      </w:r>
    </w:p>
    <w:p w14:paraId="1FAB7079">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(2)总价合同。</w:t>
      </w:r>
    </w:p>
    <w:p w14:paraId="0D4DD317">
      <w:pPr>
        <w:adjustRightInd w:val="0"/>
        <w:snapToGrid w:val="0"/>
        <w:spacing w:line="384" w:lineRule="auto"/>
        <w:ind w:firstLine="420" w:firstLineChars="200"/>
        <w:rPr>
          <w:rFonts w:hint="eastAsia" w:ascii="宋体" w:hAnsi="宋体" w:cs="宋体"/>
          <w:b/>
          <w:color w:val="auto"/>
          <w:highlight w:val="none"/>
        </w:rPr>
      </w:pPr>
      <w:r>
        <w:rPr>
          <w:rFonts w:hint="eastAsia" w:ascii="宋体" w:hAnsi="宋体" w:cs="宋体"/>
          <w:color w:val="auto"/>
          <w:highlight w:val="none"/>
        </w:rPr>
        <w:t>总价包含的风险范围：</w:t>
      </w:r>
      <w:r>
        <w:rPr>
          <w:rFonts w:hint="eastAsia" w:ascii="宋体" w:hAnsi="宋体" w:cs="宋体"/>
          <w:b/>
          <w:color w:val="auto"/>
          <w:highlight w:val="none"/>
          <w:u w:val="single"/>
        </w:rPr>
        <w:t xml:space="preserve">                                    </w:t>
      </w:r>
    </w:p>
    <w:p w14:paraId="11DE6B1D">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风险费用的计算方法：</w:t>
      </w:r>
      <w:r>
        <w:rPr>
          <w:rFonts w:hint="eastAsia" w:ascii="宋体" w:hAnsi="宋体" w:cs="宋体"/>
          <w:b/>
          <w:color w:val="auto"/>
          <w:highlight w:val="none"/>
          <w:u w:val="single"/>
        </w:rPr>
        <w:t xml:space="preserve">                     </w:t>
      </w:r>
      <w:r>
        <w:rPr>
          <w:rFonts w:hint="eastAsia" w:ascii="宋体" w:hAnsi="宋体" w:cs="宋体"/>
          <w:color w:val="auto"/>
          <w:highlight w:val="none"/>
        </w:rPr>
        <w:t>。</w:t>
      </w:r>
    </w:p>
    <w:p w14:paraId="0F3624E6">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风险范围以外合同价格的调整方法：</w:t>
      </w:r>
      <w:r>
        <w:rPr>
          <w:rFonts w:hint="eastAsia" w:ascii="宋体" w:hAnsi="宋体" w:cs="宋体"/>
          <w:color w:val="auto"/>
          <w:highlight w:val="none"/>
          <w:u w:val="single"/>
        </w:rPr>
        <w:t xml:space="preserve">  </w:t>
      </w:r>
      <w:r>
        <w:rPr>
          <w:rFonts w:hint="eastAsia" w:ascii="宋体" w:hAnsi="宋体" w:cs="宋体"/>
          <w:b/>
          <w:color w:val="auto"/>
          <w:highlight w:val="none"/>
          <w:u w:val="single"/>
        </w:rPr>
        <w:t xml:space="preserve">       </w:t>
      </w:r>
      <w:r>
        <w:rPr>
          <w:rFonts w:hint="eastAsia" w:ascii="宋体" w:hAnsi="宋体" w:cs="宋体"/>
          <w:color w:val="auto"/>
          <w:highlight w:val="none"/>
        </w:rPr>
        <w:t>。</w:t>
      </w:r>
    </w:p>
    <w:p w14:paraId="3ED25696">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(3)其他价格方式：</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AE1D0E8">
      <w:pPr>
        <w:keepNext/>
        <w:keepLines/>
        <w:adjustRightInd w:val="0"/>
        <w:snapToGrid w:val="0"/>
        <w:spacing w:line="384" w:lineRule="auto"/>
        <w:jc w:val="left"/>
        <w:outlineLvl w:val="2"/>
        <w:rPr>
          <w:rFonts w:hint="eastAsia" w:ascii="宋体" w:hAnsi="宋体" w:cs="宋体"/>
          <w:bCs/>
          <w:color w:val="auto"/>
          <w:sz w:val="24"/>
          <w:highlight w:val="none"/>
        </w:rPr>
      </w:pPr>
      <w:bookmarkStart w:id="1179" w:name="_Toc95223474"/>
      <w:bookmarkStart w:id="1180" w:name="_Toc300935004"/>
      <w:bookmarkStart w:id="1181" w:name="_Toc304295581"/>
      <w:bookmarkStart w:id="1182" w:name="_Toc297216213"/>
      <w:bookmarkStart w:id="1183" w:name="_Toc312678042"/>
      <w:bookmarkStart w:id="1184" w:name="_Toc297123554"/>
      <w:bookmarkStart w:id="1185" w:name="_Toc303539161"/>
      <w:bookmarkStart w:id="1186" w:name="_Toc297048393"/>
      <w:bookmarkStart w:id="1187" w:name="_Toc292559412"/>
      <w:bookmarkStart w:id="1188" w:name="_Toc296891247"/>
      <w:bookmarkStart w:id="1189" w:name="_Toc296347206"/>
      <w:bookmarkStart w:id="1190" w:name="_Toc296944546"/>
      <w:bookmarkStart w:id="1191" w:name="_Toc292559917"/>
      <w:bookmarkStart w:id="1192" w:name="_Toc296346708"/>
      <w:bookmarkStart w:id="1193" w:name="_Toc296891035"/>
      <w:bookmarkStart w:id="1194" w:name="_Toc296503207"/>
      <w:bookmarkStart w:id="1195" w:name="_Toc297120507"/>
      <w:r>
        <w:rPr>
          <w:rFonts w:hint="eastAsia" w:ascii="宋体" w:hAnsi="宋体" w:cs="宋体"/>
          <w:bCs/>
          <w:color w:val="auto"/>
          <w:sz w:val="24"/>
          <w:highlight w:val="none"/>
        </w:rPr>
        <w:t>12.2 预付款</w:t>
      </w:r>
      <w:bookmarkEnd w:id="1179"/>
    </w:p>
    <w:bookmarkEnd w:id="1180"/>
    <w:bookmarkEnd w:id="1181"/>
    <w:bookmarkEnd w:id="1182"/>
    <w:bookmarkEnd w:id="1183"/>
    <w:bookmarkEnd w:id="1184"/>
    <w:bookmarkEnd w:id="1185"/>
    <w:p w14:paraId="3B9117B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12.2.1 预付款的支付</w:t>
      </w:r>
    </w:p>
    <w:p w14:paraId="367D0CB0">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预付款支付比例或金额：</w:t>
      </w:r>
      <w:r>
        <w:rPr>
          <w:rFonts w:hint="eastAsia" w:ascii="宋体" w:hAnsi="宋体" w:cs="宋体"/>
          <w:color w:val="auto"/>
          <w:highlight w:val="none"/>
          <w:u w:val="single"/>
        </w:rPr>
        <w:t>合同总价（扣除暂列金额）的10%</w:t>
      </w:r>
      <w:r>
        <w:rPr>
          <w:rFonts w:hint="eastAsia" w:ascii="宋体" w:hAnsi="宋体" w:cs="宋体"/>
          <w:color w:val="auto"/>
          <w:highlight w:val="none"/>
        </w:rPr>
        <w:t>。</w:t>
      </w:r>
    </w:p>
    <w:p w14:paraId="0FB90696">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预付款支付期限：</w:t>
      </w:r>
      <w:r>
        <w:rPr>
          <w:rFonts w:hint="eastAsia" w:ascii="宋体" w:hAnsi="宋体" w:cs="宋体"/>
          <w:color w:val="auto"/>
          <w:highlight w:val="none"/>
          <w:u w:val="single"/>
        </w:rPr>
        <w:t>在具备施工条件的前提下，发包人在合同签订后一个月内或不迟于约定的开工日期前 7 天内预付工程款</w:t>
      </w:r>
      <w:r>
        <w:rPr>
          <w:rFonts w:hint="eastAsia" w:ascii="宋体" w:hAnsi="宋体" w:cs="宋体"/>
          <w:color w:val="auto"/>
          <w:highlight w:val="none"/>
        </w:rPr>
        <w:t>。</w:t>
      </w:r>
    </w:p>
    <w:p w14:paraId="3E5D25FB">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预付款扣回的方式：</w:t>
      </w:r>
      <w:r>
        <w:rPr>
          <w:rFonts w:hint="eastAsia" w:ascii="宋体" w:hAnsi="宋体" w:cs="宋体"/>
          <w:color w:val="auto"/>
          <w:highlight w:val="none"/>
          <w:u w:val="single"/>
          <w:lang w:val="en-US" w:eastAsia="zh-CN"/>
        </w:rPr>
        <w:t xml:space="preserve"> 在支付工程进度款中按比例扣除，扣完为止</w:t>
      </w:r>
      <w:r>
        <w:rPr>
          <w:rFonts w:hint="eastAsia" w:ascii="宋体" w:hAnsi="宋体" w:cs="宋体"/>
          <w:color w:val="auto"/>
          <w:highlight w:val="none"/>
        </w:rPr>
        <w:t>。</w:t>
      </w:r>
    </w:p>
    <w:p w14:paraId="76770EE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12.2.2 预付款担保</w:t>
      </w:r>
    </w:p>
    <w:p w14:paraId="5706FA5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承包人提交预付款担保的期限：</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DA477E6">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预付款担保的形式为：</w:t>
      </w:r>
      <w:r>
        <w:rPr>
          <w:rFonts w:hint="eastAsia" w:ascii="宋体" w:hAnsi="宋体" w:cs="宋体"/>
          <w:color w:val="auto"/>
          <w:highlight w:val="none"/>
          <w:u w:val="single"/>
        </w:rPr>
        <w:t xml:space="preserve">                                  </w:t>
      </w:r>
      <w:r>
        <w:rPr>
          <w:rFonts w:hint="eastAsia" w:ascii="宋体" w:hAnsi="宋体" w:cs="宋体"/>
          <w:color w:val="auto"/>
          <w:highlight w:val="none"/>
        </w:rPr>
        <w:t>。</w:t>
      </w:r>
    </w:p>
    <w:bookmarkEnd w:id="1186"/>
    <w:bookmarkEnd w:id="1187"/>
    <w:bookmarkEnd w:id="1188"/>
    <w:bookmarkEnd w:id="1189"/>
    <w:bookmarkEnd w:id="1190"/>
    <w:bookmarkEnd w:id="1191"/>
    <w:bookmarkEnd w:id="1192"/>
    <w:bookmarkEnd w:id="1193"/>
    <w:bookmarkEnd w:id="1194"/>
    <w:bookmarkEnd w:id="1195"/>
    <w:p w14:paraId="6BBC3229">
      <w:pPr>
        <w:keepNext/>
        <w:keepLines/>
        <w:adjustRightInd w:val="0"/>
        <w:snapToGrid w:val="0"/>
        <w:spacing w:line="384" w:lineRule="auto"/>
        <w:jc w:val="left"/>
        <w:outlineLvl w:val="2"/>
        <w:rPr>
          <w:rFonts w:hint="eastAsia" w:ascii="宋体" w:hAnsi="宋体" w:cs="宋体"/>
          <w:bCs/>
          <w:color w:val="auto"/>
          <w:sz w:val="24"/>
          <w:highlight w:val="none"/>
        </w:rPr>
      </w:pPr>
      <w:bookmarkStart w:id="1196" w:name="_Toc95223475"/>
      <w:r>
        <w:rPr>
          <w:rFonts w:hint="eastAsia" w:ascii="宋体" w:hAnsi="宋体" w:cs="宋体"/>
          <w:bCs/>
          <w:color w:val="auto"/>
          <w:sz w:val="24"/>
          <w:highlight w:val="none"/>
        </w:rPr>
        <w:t>12.3 计量</w:t>
      </w:r>
      <w:bookmarkEnd w:id="1196"/>
    </w:p>
    <w:p w14:paraId="7CDF639C">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12.3.1 计量原则</w:t>
      </w:r>
    </w:p>
    <w:p w14:paraId="173E00FF">
      <w:pPr>
        <w:adjustRightInd w:val="0"/>
        <w:snapToGrid w:val="0"/>
        <w:spacing w:line="384" w:lineRule="auto"/>
        <w:ind w:firstLine="420" w:firstLineChars="200"/>
        <w:rPr>
          <w:rFonts w:hint="eastAsia" w:ascii="宋体" w:hAnsi="宋体" w:cs="宋体"/>
          <w:b/>
          <w:color w:val="auto"/>
          <w:highlight w:val="none"/>
        </w:rPr>
      </w:pPr>
      <w:r>
        <w:rPr>
          <w:rFonts w:hint="eastAsia" w:ascii="宋体" w:hAnsi="宋体" w:cs="宋体"/>
          <w:color w:val="auto"/>
          <w:highlight w:val="none"/>
        </w:rPr>
        <w:t>工程量计算规则：</w:t>
      </w:r>
      <w:r>
        <w:rPr>
          <w:rFonts w:hint="eastAsia" w:ascii="宋体" w:hAnsi="宋体" w:cs="宋体"/>
          <w:color w:val="auto"/>
          <w:szCs w:val="21"/>
          <w:highlight w:val="none"/>
          <w:u w:val="single"/>
        </w:rPr>
        <w:t>按招标工程量清单及最高投标限价所采用的工程量清单计价规范及配套文件等</w:t>
      </w:r>
      <w:r>
        <w:rPr>
          <w:rFonts w:hint="eastAsia" w:ascii="宋体" w:hAnsi="宋体" w:cs="宋体"/>
          <w:b/>
          <w:color w:val="auto"/>
          <w:highlight w:val="none"/>
        </w:rPr>
        <w:t>。</w:t>
      </w:r>
    </w:p>
    <w:p w14:paraId="5F5C098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12.3.2 计量周期</w:t>
      </w:r>
    </w:p>
    <w:p w14:paraId="64CC0595">
      <w:pPr>
        <w:adjustRightInd w:val="0"/>
        <w:snapToGrid w:val="0"/>
        <w:spacing w:line="384" w:lineRule="auto"/>
        <w:ind w:firstLine="420" w:firstLineChars="200"/>
        <w:rPr>
          <w:rFonts w:hint="eastAsia" w:ascii="宋体" w:hAnsi="宋体" w:cs="宋体"/>
          <w:b/>
          <w:color w:val="auto"/>
          <w:highlight w:val="none"/>
        </w:rPr>
      </w:pPr>
      <w:r>
        <w:rPr>
          <w:rFonts w:hint="eastAsia" w:ascii="宋体" w:hAnsi="宋体" w:cs="宋体"/>
          <w:color w:val="auto"/>
          <w:highlight w:val="none"/>
        </w:rPr>
        <w:t>关于计量周期的约定</w:t>
      </w:r>
      <w:r>
        <w:rPr>
          <w:rFonts w:hint="eastAsia" w:ascii="宋体" w:hAnsi="宋体" w:cs="宋体"/>
          <w:b/>
          <w:color w:val="auto"/>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按月计量</w:t>
      </w:r>
      <w:r>
        <w:rPr>
          <w:rFonts w:hint="eastAsia" w:ascii="宋体" w:hAnsi="宋体" w:cs="宋体"/>
          <w:color w:val="auto"/>
          <w:szCs w:val="21"/>
          <w:highlight w:val="none"/>
          <w:u w:val="single"/>
        </w:rPr>
        <w:t xml:space="preserve">   </w:t>
      </w:r>
      <w:r>
        <w:rPr>
          <w:rFonts w:hint="eastAsia" w:ascii="宋体" w:hAnsi="宋体" w:cs="宋体"/>
          <w:b/>
          <w:color w:val="auto"/>
          <w:highlight w:val="none"/>
        </w:rPr>
        <w:t>。</w:t>
      </w:r>
    </w:p>
    <w:p w14:paraId="20D6613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12.3.3 单价合同的计量</w:t>
      </w:r>
    </w:p>
    <w:p w14:paraId="02FAE43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关于单价合同计量的约定：</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7D233E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12.3.4 总价合同的计量</w:t>
      </w:r>
    </w:p>
    <w:p w14:paraId="65FEEC7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关于总价合同计量的约定：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45FC0A10">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12.3.5 总价合同采用支付分解表计量支付的，是否适用第</w:t>
      </w:r>
      <w:r>
        <w:rPr>
          <w:rFonts w:hint="eastAsia" w:ascii="宋体" w:hAnsi="宋体" w:cs="宋体"/>
          <w:color w:val="auto"/>
          <w:kern w:val="0"/>
          <w:highlight w:val="none"/>
        </w:rPr>
        <w:t>12.3.4</w:t>
      </w:r>
      <w:r>
        <w:rPr>
          <w:rFonts w:hint="eastAsia" w:ascii="宋体" w:hAnsi="宋体" w:cs="宋体"/>
          <w:color w:val="auto"/>
          <w:highlight w:val="none"/>
        </w:rPr>
        <w:t>项</w:t>
      </w:r>
      <w:r>
        <w:rPr>
          <w:rFonts w:hint="eastAsia" w:ascii="宋体" w:hAnsi="宋体" w:cs="宋体"/>
          <w:color w:val="auto"/>
          <w:kern w:val="0"/>
          <w:highlight w:val="none"/>
        </w:rPr>
        <w:t>〔总价合同的计量〕</w:t>
      </w:r>
      <w:r>
        <w:rPr>
          <w:rFonts w:hint="eastAsia" w:ascii="宋体" w:hAnsi="宋体" w:cs="宋体"/>
          <w:color w:val="auto"/>
          <w:highlight w:val="none"/>
        </w:rPr>
        <w:t>约定进行计量：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b/>
          <w:color w:val="auto"/>
          <w:highlight w:val="none"/>
        </w:rPr>
        <w:t>。</w:t>
      </w:r>
    </w:p>
    <w:p w14:paraId="209E0CE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12.3.6 其他价格形式合同的计量</w:t>
      </w:r>
    </w:p>
    <w:p w14:paraId="747444AD">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其他价格形式的计量方式和程序：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34E5111A">
      <w:pPr>
        <w:keepNext/>
        <w:keepLines/>
        <w:adjustRightInd w:val="0"/>
        <w:snapToGrid w:val="0"/>
        <w:spacing w:line="384" w:lineRule="auto"/>
        <w:jc w:val="left"/>
        <w:outlineLvl w:val="2"/>
        <w:rPr>
          <w:rFonts w:hint="eastAsia" w:ascii="宋体" w:hAnsi="宋体" w:cs="宋体"/>
          <w:bCs/>
          <w:color w:val="auto"/>
          <w:sz w:val="24"/>
          <w:highlight w:val="none"/>
        </w:rPr>
      </w:pPr>
      <w:bookmarkStart w:id="1197" w:name="_Toc95223476"/>
      <w:r>
        <w:rPr>
          <w:rFonts w:hint="eastAsia" w:ascii="宋体" w:hAnsi="宋体" w:cs="宋体"/>
          <w:bCs/>
          <w:color w:val="auto"/>
          <w:sz w:val="24"/>
          <w:highlight w:val="none"/>
        </w:rPr>
        <w:t>12.4 工程进度款支付</w:t>
      </w:r>
      <w:bookmarkEnd w:id="1197"/>
    </w:p>
    <w:p w14:paraId="3FFDE55A">
      <w:pPr>
        <w:adjustRightInd w:val="0"/>
        <w:snapToGrid w:val="0"/>
        <w:spacing w:line="384" w:lineRule="auto"/>
        <w:ind w:firstLine="420" w:firstLineChars="200"/>
        <w:rPr>
          <w:rFonts w:hint="eastAsia" w:ascii="宋体" w:hAnsi="宋体" w:cs="宋体"/>
          <w:color w:val="auto"/>
          <w:highlight w:val="none"/>
        </w:rPr>
      </w:pPr>
      <w:bookmarkStart w:id="1198" w:name="_Toc297048397"/>
      <w:bookmarkStart w:id="1199" w:name="_Toc292559416"/>
      <w:bookmarkStart w:id="1200" w:name="_Toc296944550"/>
      <w:bookmarkStart w:id="1201" w:name="_Toc303539163"/>
      <w:bookmarkStart w:id="1202" w:name="_Toc292559921"/>
      <w:bookmarkStart w:id="1203" w:name="_Toc296346712"/>
      <w:bookmarkStart w:id="1204" w:name="_Toc297123556"/>
      <w:bookmarkStart w:id="1205" w:name="_Toc296347210"/>
      <w:bookmarkStart w:id="1206" w:name="_Toc296891039"/>
      <w:bookmarkStart w:id="1207" w:name="_Toc300935006"/>
      <w:bookmarkStart w:id="1208" w:name="_Toc296891251"/>
      <w:bookmarkStart w:id="1209" w:name="_Toc297120511"/>
      <w:bookmarkStart w:id="1210" w:name="_Toc297216215"/>
      <w:bookmarkStart w:id="1211" w:name="_Toc296503211"/>
      <w:r>
        <w:rPr>
          <w:rFonts w:hint="eastAsia" w:ascii="宋体" w:hAnsi="宋体" w:cs="宋体"/>
          <w:color w:val="auto"/>
          <w:highlight w:val="none"/>
        </w:rPr>
        <w:t>12.4.1 付款周期</w:t>
      </w:r>
    </w:p>
    <w:p w14:paraId="2970EE90">
      <w:pPr>
        <w:pageBreakBefore w:val="0"/>
        <w:widowControl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highlight w:val="none"/>
          <w:u w:val="single"/>
        </w:rPr>
      </w:pPr>
      <w:r>
        <w:rPr>
          <w:rFonts w:hint="eastAsia" w:ascii="宋体" w:hAnsi="宋体" w:cs="宋体"/>
          <w:color w:val="auto"/>
          <w:highlight w:val="none"/>
        </w:rPr>
        <w:t>关于付款周期的约定：</w:t>
      </w:r>
      <w:r>
        <w:rPr>
          <w:rFonts w:hint="eastAsia" w:ascii="宋体" w:hAnsi="宋体" w:cs="宋体"/>
          <w:color w:val="auto"/>
          <w:highlight w:val="none"/>
          <w:u w:val="single"/>
        </w:rPr>
        <w:t>在具备施工条件的前提下，发包人在合同签订后一个月内或不迟于约定的开工日期前7天内预付工程款为合同总价（扣除暂列金额）的</w:t>
      </w:r>
      <w:r>
        <w:rPr>
          <w:rFonts w:hint="eastAsia" w:ascii="宋体" w:hAnsi="宋体" w:cs="宋体"/>
          <w:b/>
          <w:color w:val="auto"/>
          <w:highlight w:val="none"/>
          <w:u w:val="single"/>
        </w:rPr>
        <w:t>10</w:t>
      </w:r>
      <w:r>
        <w:rPr>
          <w:rFonts w:hint="eastAsia" w:ascii="宋体" w:hAnsi="宋体" w:cs="宋体"/>
          <w:color w:val="auto"/>
          <w:highlight w:val="none"/>
          <w:u w:val="single"/>
        </w:rPr>
        <w:t>%，</w:t>
      </w:r>
      <w:r>
        <w:rPr>
          <w:rFonts w:hint="eastAsia" w:ascii="宋体" w:hAnsi="宋体" w:cs="宋体"/>
          <w:b/>
          <w:color w:val="auto"/>
          <w:highlight w:val="none"/>
          <w:u w:val="single"/>
        </w:rPr>
        <w:t>施工过程结算款支付比例不低于85%</w:t>
      </w:r>
      <w:r>
        <w:rPr>
          <w:rFonts w:hint="eastAsia" w:ascii="宋体" w:hAnsi="宋体" w:cs="宋体"/>
          <w:color w:val="auto"/>
          <w:highlight w:val="none"/>
          <w:u w:val="single"/>
        </w:rPr>
        <w:t>，结算审核完成后付至结算价款的</w:t>
      </w:r>
      <w:r>
        <w:rPr>
          <w:rFonts w:hint="eastAsia" w:ascii="宋体" w:hAnsi="宋体" w:cs="宋体"/>
          <w:b/>
          <w:color w:val="auto"/>
          <w:highlight w:val="none"/>
          <w:u w:val="single"/>
        </w:rPr>
        <w:t>98%</w:t>
      </w:r>
      <w:r>
        <w:rPr>
          <w:rFonts w:hint="eastAsia" w:ascii="宋体" w:hAnsi="宋体" w:cs="宋体"/>
          <w:color w:val="auto"/>
          <w:highlight w:val="none"/>
          <w:u w:val="single"/>
        </w:rPr>
        <w:t>，剩余</w:t>
      </w:r>
      <w:r>
        <w:rPr>
          <w:rFonts w:hint="eastAsia" w:ascii="宋体" w:hAnsi="宋体" w:cs="宋体"/>
          <w:b/>
          <w:color w:val="auto"/>
          <w:highlight w:val="none"/>
          <w:u w:val="single"/>
        </w:rPr>
        <w:t>2%</w:t>
      </w:r>
      <w:r>
        <w:rPr>
          <w:rFonts w:hint="eastAsia" w:ascii="宋体" w:hAnsi="宋体" w:cs="宋体"/>
          <w:color w:val="auto"/>
          <w:highlight w:val="none"/>
          <w:u w:val="single"/>
        </w:rPr>
        <w:t>作为质量保证金，工程缺陷责任期（自竣工验收合格之日起满</w:t>
      </w:r>
      <w:r>
        <w:rPr>
          <w:rFonts w:hint="eastAsia" w:ascii="宋体" w:hAnsi="宋体" w:cs="宋体"/>
          <w:color w:val="auto"/>
          <w:highlight w:val="none"/>
          <w:u w:val="single"/>
          <w:lang w:val="en-US" w:eastAsia="zh-CN"/>
        </w:rPr>
        <w:t>2</w:t>
      </w:r>
      <w:r>
        <w:rPr>
          <w:rFonts w:hint="eastAsia" w:ascii="宋体" w:hAnsi="宋体" w:cs="宋体"/>
          <w:color w:val="auto"/>
          <w:highlight w:val="none"/>
          <w:u w:val="single"/>
        </w:rPr>
        <w:t>年）满后付清余款。质量保证金支持保函（银行保函、担保机构担保、保证保险）使用。采用保函的不再从工程进度款中扣留质量保证金，保函有效期须与工程缺陷责任期截止时间保持一致。</w:t>
      </w:r>
    </w:p>
    <w:p w14:paraId="2E0D596D">
      <w:pPr>
        <w:adjustRightInd w:val="0"/>
        <w:snapToGrid w:val="0"/>
        <w:spacing w:line="384"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关于付款周期的其他约定：</w:t>
      </w:r>
      <w:r>
        <w:rPr>
          <w:rFonts w:hint="eastAsia" w:ascii="宋体" w:hAnsi="宋体" w:cs="宋体"/>
          <w:color w:val="auto"/>
          <w:highlight w:val="none"/>
          <w:u w:val="single"/>
        </w:rPr>
        <w:t>按月进度支付工程款，每月付至已完成合格工程量价款的85%工程完工验收合格取得验收报告后付至已完合格工程价款的 85%，施工过程结算价款按 85%支付</w:t>
      </w:r>
      <w:r>
        <w:rPr>
          <w:rFonts w:hint="eastAsia" w:ascii="宋体" w:hAnsi="宋体" w:cs="宋体"/>
          <w:color w:val="auto"/>
          <w:highlight w:val="none"/>
          <w:u w:val="single"/>
          <w:lang w:eastAsia="zh-CN"/>
        </w:rPr>
        <w:t>。</w:t>
      </w:r>
    </w:p>
    <w:p w14:paraId="158A79EB">
      <w:pPr>
        <w:adjustRightInd w:val="0"/>
        <w:snapToGrid w:val="0"/>
        <w:spacing w:line="384" w:lineRule="auto"/>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关于竣工结算超额审计费用：根据滁规建管办字〔2023〕3 号文件《关于规范建设项目工程造价控制与审核费用的通知》第二条规定，工程造价审减率超过5%时，施工单位承担审减率超出。</w:t>
      </w:r>
    </w:p>
    <w:p w14:paraId="379278EB">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12.4.2进度付款申请单的编制</w:t>
      </w:r>
    </w:p>
    <w:p w14:paraId="4CD5D614">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关于进度付款申请单编制的约定：</w:t>
      </w:r>
      <w:r>
        <w:rPr>
          <w:rFonts w:hint="eastAsia" w:ascii="宋体" w:hAnsi="宋体" w:cs="宋体"/>
          <w:color w:val="auto"/>
          <w:szCs w:val="21"/>
          <w:highlight w:val="none"/>
          <w:u w:val="single"/>
        </w:rPr>
        <w:t xml:space="preserve">  按监理及跟踪审计单位要求执行  </w:t>
      </w:r>
      <w:r>
        <w:rPr>
          <w:rFonts w:hint="eastAsia" w:ascii="宋体" w:hAnsi="宋体" w:cs="宋体"/>
          <w:color w:val="auto"/>
          <w:highlight w:val="none"/>
        </w:rPr>
        <w:t>。</w:t>
      </w:r>
    </w:p>
    <w:p w14:paraId="399CA2DB">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r>
        <w:rPr>
          <w:rFonts w:hint="eastAsia" w:ascii="宋体" w:hAnsi="宋体" w:cs="宋体"/>
          <w:color w:val="auto"/>
          <w:highlight w:val="none"/>
        </w:rPr>
        <w:t>2.4.3进度付款申请单的提交</w:t>
      </w:r>
    </w:p>
    <w:p w14:paraId="18671DF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（1）单价合同进度付款申请单提交的约定：</w:t>
      </w:r>
      <w:r>
        <w:rPr>
          <w:rFonts w:hint="eastAsia" w:ascii="宋体" w:hAnsi="宋体" w:cs="宋体"/>
          <w:color w:val="auto"/>
          <w:highlight w:val="none"/>
          <w:u w:val="single"/>
        </w:rPr>
        <w:t xml:space="preserve"> </w:t>
      </w:r>
      <w:r>
        <w:rPr>
          <w:rFonts w:hint="eastAsia" w:ascii="宋体" w:hAnsi="宋体" w:cs="宋体"/>
          <w:b/>
          <w:bCs/>
          <w:color w:val="auto"/>
          <w:kern w:val="2"/>
          <w:sz w:val="21"/>
          <w:szCs w:val="21"/>
          <w:highlight w:val="none"/>
          <w:u w:val="single"/>
          <w:lang w:val="en-US" w:eastAsia="zh-CN" w:bidi="ar-SA"/>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45FFF4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（2）总价合同进度付款申请单提交的约定：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不执行</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093BA1B0">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（3）其他价格形式合同进度付款申请单提交的约定：</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lang w:val="en-US" w:eastAsia="zh-CN"/>
        </w:rPr>
        <w:t>不执行</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EF93F40">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12.4.4 进度款审核和支付</w:t>
      </w:r>
    </w:p>
    <w:p w14:paraId="01517125">
      <w:pPr>
        <w:adjustRightInd w:val="0"/>
        <w:snapToGrid w:val="0"/>
        <w:spacing w:line="384" w:lineRule="auto"/>
        <w:ind w:firstLine="420" w:firstLineChars="200"/>
        <w:rPr>
          <w:rFonts w:hint="eastAsia" w:ascii="宋体" w:hAnsi="宋体" w:cs="宋体"/>
          <w:b/>
          <w:color w:val="auto"/>
          <w:highlight w:val="none"/>
          <w:u w:val="single"/>
        </w:rPr>
      </w:pPr>
      <w:r>
        <w:rPr>
          <w:rFonts w:hint="eastAsia" w:ascii="宋体" w:hAnsi="宋体" w:cs="宋体"/>
          <w:color w:val="auto"/>
          <w:highlight w:val="none"/>
        </w:rPr>
        <w:t>（1）监理人审查并报送发包人的期限：</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执行通用条款</w:t>
      </w:r>
      <w:r>
        <w:rPr>
          <w:rFonts w:hint="eastAsia" w:ascii="宋体" w:hAnsi="宋体" w:cs="宋体"/>
          <w:color w:val="auto"/>
          <w:szCs w:val="21"/>
          <w:highlight w:val="none"/>
          <w:u w:val="single"/>
        </w:rPr>
        <w:t xml:space="preserve">  </w:t>
      </w:r>
      <w:r>
        <w:rPr>
          <w:rFonts w:hint="eastAsia" w:ascii="宋体" w:hAnsi="宋体" w:cs="宋体"/>
          <w:b/>
          <w:color w:val="auto"/>
          <w:highlight w:val="none"/>
        </w:rPr>
        <w:t>。</w:t>
      </w:r>
    </w:p>
    <w:p w14:paraId="25C103E2">
      <w:pPr>
        <w:adjustRightInd w:val="0"/>
        <w:snapToGrid w:val="0"/>
        <w:spacing w:line="384" w:lineRule="auto"/>
        <w:ind w:firstLine="420" w:firstLineChars="200"/>
        <w:rPr>
          <w:rFonts w:hint="eastAsia" w:ascii="宋体" w:hAnsi="宋体" w:cs="宋体"/>
          <w:b/>
          <w:color w:val="auto"/>
          <w:highlight w:val="none"/>
          <w:u w:val="single"/>
        </w:rPr>
      </w:pPr>
      <w:r>
        <w:rPr>
          <w:rFonts w:hint="eastAsia" w:ascii="宋体" w:hAnsi="宋体" w:cs="宋体"/>
          <w:color w:val="auto"/>
          <w:highlight w:val="none"/>
        </w:rPr>
        <w:t>发包人完成审批并签发进度款支付证书的期限：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C5CDA5B">
      <w:pPr>
        <w:adjustRightInd w:val="0"/>
        <w:snapToGrid w:val="0"/>
        <w:spacing w:line="384" w:lineRule="auto"/>
        <w:ind w:firstLine="420" w:firstLineChars="200"/>
        <w:rPr>
          <w:rFonts w:hint="eastAsia" w:ascii="宋体" w:hAnsi="宋体" w:cs="宋体"/>
          <w:b/>
          <w:color w:val="auto"/>
          <w:highlight w:val="none"/>
        </w:rPr>
      </w:pPr>
      <w:r>
        <w:rPr>
          <w:rFonts w:hint="eastAsia" w:ascii="宋体" w:hAnsi="宋体" w:cs="宋体"/>
          <w:color w:val="auto"/>
          <w:highlight w:val="none"/>
        </w:rPr>
        <w:t>（2）发包人支付进度款的期限：</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详见12.4规定</w:t>
      </w:r>
      <w:r>
        <w:rPr>
          <w:rFonts w:hint="eastAsia" w:ascii="宋体" w:hAnsi="宋体" w:cs="宋体"/>
          <w:color w:val="auto"/>
          <w:szCs w:val="21"/>
          <w:highlight w:val="none"/>
          <w:u w:val="single"/>
        </w:rPr>
        <w:t xml:space="preserve"> </w:t>
      </w:r>
      <w:r>
        <w:rPr>
          <w:rFonts w:hint="eastAsia" w:ascii="宋体" w:hAnsi="宋体" w:cs="宋体"/>
          <w:b/>
          <w:color w:val="auto"/>
          <w:highlight w:val="none"/>
        </w:rPr>
        <w:t>。</w:t>
      </w:r>
    </w:p>
    <w:p w14:paraId="43A464A0">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 xml:space="preserve">发包人逾期支付进度款的违约金的计算方式 </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无</w:t>
      </w:r>
      <w:r>
        <w:rPr>
          <w:rFonts w:hint="eastAsia" w:ascii="宋体" w:hAnsi="宋体" w:cs="宋体"/>
          <w:color w:val="auto"/>
          <w:highlight w:val="none"/>
          <w:u w:val="single"/>
        </w:rPr>
        <w:t xml:space="preserve">    </w:t>
      </w:r>
      <w:r>
        <w:rPr>
          <w:rFonts w:hint="eastAsia" w:ascii="宋体" w:hAnsi="宋体" w:cs="宋体"/>
          <w:b/>
          <w:color w:val="auto"/>
          <w:highlight w:val="none"/>
        </w:rPr>
        <w:t>。</w:t>
      </w:r>
    </w:p>
    <w:p w14:paraId="2B9E24F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12.4.6 支付分解表的编制</w:t>
      </w:r>
    </w:p>
    <w:p w14:paraId="3FA1159C">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(2)总价合同支付分解表的编制与审批：</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632B560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(3)单价合同的总价项目支付分解表的编制与审批：</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510EE50C">
      <w:pPr>
        <w:adjustRightInd w:val="0"/>
        <w:snapToGrid w:val="0"/>
        <w:spacing w:line="384" w:lineRule="auto"/>
        <w:ind w:firstLine="422" w:firstLineChars="200"/>
        <w:rPr>
          <w:rFonts w:hint="eastAsia" w:ascii="宋体" w:hAnsi="宋体" w:cs="宋体"/>
          <w:b/>
          <w:color w:val="auto"/>
          <w:highlight w:val="none"/>
        </w:rPr>
      </w:pPr>
      <w:r>
        <w:rPr>
          <w:rFonts w:hint="eastAsia" w:ascii="宋体" w:hAnsi="宋体" w:cs="宋体"/>
          <w:b/>
          <w:color w:val="auto"/>
          <w:highlight w:val="none"/>
        </w:rPr>
        <w:t>12.4.7 农民工工资管理（农民工工资保证金支持保函使用）</w:t>
      </w:r>
    </w:p>
    <w:p w14:paraId="60FFF673">
      <w:pPr>
        <w:adjustRightInd w:val="0"/>
        <w:snapToGrid w:val="0"/>
        <w:spacing w:line="384" w:lineRule="auto"/>
        <w:ind w:firstLine="420" w:firstLineChars="200"/>
        <w:rPr>
          <w:rFonts w:hint="eastAsia" w:ascii="宋体" w:hAnsi="宋体" w:eastAsia="宋体" w:cs="宋体"/>
          <w:bCs/>
          <w:color w:val="auto"/>
          <w:highlight w:val="none"/>
          <w:lang w:eastAsia="zh-CN"/>
        </w:rPr>
      </w:pPr>
      <w:r>
        <w:rPr>
          <w:rFonts w:hint="eastAsia" w:ascii="宋体" w:hAnsi="宋体" w:cs="宋体"/>
          <w:bCs/>
          <w:color w:val="auto"/>
          <w:highlight w:val="none"/>
        </w:rPr>
        <w:t>(1)本工程农民工工资实行专用账户管理，承包人设立的专用账户开户行为</w:t>
      </w:r>
      <w:r>
        <w:rPr>
          <w:rFonts w:hint="eastAsia" w:ascii="宋体" w:hAnsi="宋体" w:cs="宋体"/>
          <w:bCs/>
          <w:color w:val="auto"/>
          <w:highlight w:val="none"/>
          <w:u w:val="single"/>
        </w:rPr>
        <w:t xml:space="preserve">：        </w:t>
      </w:r>
      <w:r>
        <w:rPr>
          <w:rFonts w:hint="eastAsia" w:ascii="宋体" w:hAnsi="宋体" w:cs="宋体"/>
          <w:bCs/>
          <w:color w:val="auto"/>
          <w:highlight w:val="none"/>
        </w:rPr>
        <w:t>，账号：</w:t>
      </w:r>
      <w:r>
        <w:rPr>
          <w:rFonts w:hint="eastAsia" w:ascii="宋体" w:hAnsi="宋体" w:cs="宋体"/>
          <w:bCs/>
          <w:color w:val="auto"/>
          <w:highlight w:val="none"/>
          <w:u w:val="single"/>
        </w:rPr>
        <w:t xml:space="preserve">              </w:t>
      </w:r>
      <w:r>
        <w:rPr>
          <w:rFonts w:hint="eastAsia" w:ascii="宋体" w:hAnsi="宋体" w:cs="宋体"/>
          <w:bCs/>
          <w:color w:val="auto"/>
          <w:highlight w:val="none"/>
          <w:lang w:eastAsia="zh-CN"/>
        </w:rPr>
        <w:t>；</w:t>
      </w:r>
    </w:p>
    <w:p w14:paraId="45E10B69">
      <w:pPr>
        <w:adjustRightInd w:val="0"/>
        <w:snapToGrid w:val="0"/>
        <w:spacing w:line="384"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(2)本工程工资性工程款</w:t>
      </w:r>
      <w:r>
        <w:rPr>
          <w:rFonts w:hint="eastAsia" w:ascii="宋体" w:hAnsi="宋体" w:cs="宋体"/>
          <w:bCs/>
          <w:color w:val="auto"/>
          <w:highlight w:val="none"/>
          <w:u w:val="single"/>
        </w:rPr>
        <w:t xml:space="preserve">         </w:t>
      </w:r>
      <w:r>
        <w:rPr>
          <w:rFonts w:hint="eastAsia" w:ascii="宋体" w:hAnsi="宋体" w:cs="宋体"/>
          <w:bCs/>
          <w:color w:val="auto"/>
          <w:highlight w:val="none"/>
        </w:rPr>
        <w:t>元（相应的最低工资标准乘建筑面积）；其中工资性工程预付款</w:t>
      </w:r>
      <w:r>
        <w:rPr>
          <w:rFonts w:hint="eastAsia" w:ascii="宋体" w:hAnsi="宋体" w:cs="宋体"/>
          <w:bCs/>
          <w:color w:val="auto"/>
          <w:highlight w:val="none"/>
          <w:u w:val="single"/>
        </w:rPr>
        <w:t xml:space="preserve">         </w:t>
      </w:r>
      <w:r>
        <w:rPr>
          <w:rFonts w:hint="eastAsia" w:ascii="宋体" w:hAnsi="宋体" w:cs="宋体"/>
          <w:bCs/>
          <w:color w:val="auto"/>
          <w:highlight w:val="none"/>
        </w:rPr>
        <w:t>元。(工资性工程款除月工期)</w:t>
      </w:r>
    </w:p>
    <w:p w14:paraId="552D7C5E">
      <w:pPr>
        <w:adjustRightInd w:val="0"/>
        <w:snapToGrid w:val="0"/>
        <w:spacing w:line="384"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(3)发包人在监理人签发开工报告前，将工资性工程预付款转入承包人开立的农民工工资专用账户。</w:t>
      </w:r>
    </w:p>
    <w:p w14:paraId="76315385">
      <w:pPr>
        <w:adjustRightInd w:val="0"/>
        <w:snapToGrid w:val="0"/>
        <w:spacing w:line="384"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工程开工后第一个月支付工资性工程进度款起，分</w:t>
      </w:r>
      <w:r>
        <w:rPr>
          <w:rFonts w:hint="eastAsia" w:ascii="宋体" w:hAnsi="宋体" w:cs="宋体"/>
          <w:bCs/>
          <w:color w:val="auto"/>
          <w:highlight w:val="none"/>
          <w:u w:val="single"/>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highlight w:val="none"/>
          <w:u w:val="single"/>
        </w:rPr>
        <w:t xml:space="preserve">  </w:t>
      </w:r>
      <w:r>
        <w:rPr>
          <w:rFonts w:hint="eastAsia" w:ascii="宋体" w:hAnsi="宋体" w:cs="宋体"/>
          <w:bCs/>
          <w:color w:val="auto"/>
          <w:highlight w:val="none"/>
        </w:rPr>
        <w:t>月扣回工资性工程预付款。</w:t>
      </w:r>
    </w:p>
    <w:p w14:paraId="52477C25">
      <w:pPr>
        <w:adjustRightInd w:val="0"/>
        <w:snapToGrid w:val="0"/>
        <w:spacing w:line="384"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(4)发包人于每月25日前将工资性工程进度款转入农民工工资专用账户。</w:t>
      </w:r>
    </w:p>
    <w:p w14:paraId="5452D11E">
      <w:pPr>
        <w:adjustRightInd w:val="0"/>
        <w:snapToGrid w:val="0"/>
        <w:spacing w:line="384"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(5)承包人每月25日前上报本工程农民工工资清单，每月10日前委托开设农民工工资专用账户的银行支付农民工工资。</w:t>
      </w:r>
    </w:p>
    <w:p w14:paraId="45645420">
      <w:pPr>
        <w:adjustRightInd w:val="0"/>
        <w:snapToGrid w:val="0"/>
        <w:spacing w:line="384" w:lineRule="auto"/>
        <w:ind w:firstLine="420" w:firstLineChars="200"/>
        <w:rPr>
          <w:rFonts w:hint="eastAsia" w:ascii="宋体" w:hAnsi="宋体" w:eastAsia="宋体" w:cs="宋体"/>
          <w:bCs/>
          <w:color w:val="auto"/>
          <w:highlight w:val="none"/>
        </w:rPr>
      </w:pPr>
      <w:r>
        <w:rPr>
          <w:rFonts w:hint="eastAsia" w:ascii="宋体" w:hAnsi="宋体" w:cs="宋体"/>
          <w:bCs/>
          <w:color w:val="auto"/>
          <w:highlight w:val="none"/>
        </w:rPr>
        <w:t>(6)工程竣工后，经项目部农民工维权组确认无农民工工资拖欠后，发、承双方办理农民工工</w:t>
      </w:r>
      <w:r>
        <w:rPr>
          <w:rFonts w:hint="eastAsia" w:ascii="宋体" w:hAnsi="宋体" w:eastAsia="宋体" w:cs="宋体"/>
          <w:bCs/>
          <w:color w:val="auto"/>
          <w:highlight w:val="none"/>
        </w:rPr>
        <w:t>资专用账户撤销手续，农民工工资专用账户余额划至本合同约定的承包人账户。</w:t>
      </w:r>
    </w:p>
    <w:bookmarkEnd w:id="1036"/>
    <w:p w14:paraId="21E4B41C">
      <w:pPr>
        <w:adjustRightInd w:val="0"/>
        <w:snapToGrid w:val="0"/>
        <w:spacing w:line="384" w:lineRule="auto"/>
        <w:ind w:firstLine="420" w:firstLineChars="200"/>
        <w:rPr>
          <w:rFonts w:hint="eastAsia" w:ascii="宋体" w:hAnsi="宋体" w:eastAsia="宋体" w:cs="宋体"/>
          <w:bCs/>
          <w:color w:val="auto"/>
          <w:highlight w:val="none"/>
        </w:rPr>
      </w:pPr>
      <w:bookmarkStart w:id="1212" w:name="_Toc351203645"/>
      <w:bookmarkStart w:id="1213" w:name="_Toc95223477"/>
      <w:bookmarkStart w:id="1214" w:name="_Toc296891259"/>
      <w:bookmarkStart w:id="1215" w:name="_Toc304295593"/>
      <w:bookmarkStart w:id="1216" w:name="_Toc300935015"/>
      <w:bookmarkStart w:id="1217" w:name="_Toc296891047"/>
      <w:bookmarkStart w:id="1218" w:name="_Toc296503219"/>
      <w:bookmarkStart w:id="1219" w:name="_Toc296347218"/>
      <w:bookmarkStart w:id="1220" w:name="_Toc292559424"/>
      <w:bookmarkStart w:id="1221" w:name="_Toc303539172"/>
      <w:bookmarkStart w:id="1222" w:name="_Toc297123564"/>
      <w:bookmarkStart w:id="1223" w:name="_Toc297048405"/>
      <w:bookmarkStart w:id="1224" w:name="_Toc292559929"/>
      <w:bookmarkStart w:id="1225" w:name="_Toc297216223"/>
      <w:bookmarkStart w:id="1226" w:name="_Toc296346720"/>
      <w:bookmarkStart w:id="1227" w:name="_Toc297120519"/>
      <w:bookmarkStart w:id="1228" w:name="_Toc296944558"/>
      <w:bookmarkStart w:id="1229" w:name="_Toc312678053"/>
      <w:r>
        <w:rPr>
          <w:rFonts w:hint="eastAsia" w:ascii="宋体" w:hAnsi="宋体" w:eastAsia="宋体" w:cs="宋体"/>
          <w:bCs/>
          <w:color w:val="auto"/>
          <w:highlight w:val="none"/>
        </w:rPr>
        <w:t>13. 验收和工程试车</w:t>
      </w:r>
      <w:bookmarkEnd w:id="1212"/>
      <w:bookmarkEnd w:id="1213"/>
    </w:p>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14:paraId="6CBD5F93">
      <w:pPr>
        <w:adjustRightInd w:val="0"/>
        <w:snapToGrid w:val="0"/>
        <w:spacing w:line="384" w:lineRule="auto"/>
        <w:ind w:firstLine="420" w:firstLineChars="200"/>
        <w:rPr>
          <w:rFonts w:hint="eastAsia" w:ascii="宋体" w:hAnsi="宋体" w:eastAsia="宋体" w:cs="宋体"/>
          <w:bCs/>
          <w:color w:val="auto"/>
          <w:highlight w:val="none"/>
        </w:rPr>
      </w:pPr>
      <w:bookmarkStart w:id="1230" w:name="_Toc95223478"/>
      <w:r>
        <w:rPr>
          <w:rFonts w:hint="eastAsia" w:ascii="宋体" w:hAnsi="宋体" w:eastAsia="宋体" w:cs="宋体"/>
          <w:bCs/>
          <w:color w:val="auto"/>
          <w:highlight w:val="none"/>
        </w:rPr>
        <w:t>13.1 分部分项工程验收</w:t>
      </w:r>
      <w:bookmarkEnd w:id="1230"/>
    </w:p>
    <w:p w14:paraId="65AFA3A7">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13.1.2 监理人不能按时进行验收时，应提前 </w:t>
      </w:r>
      <w:r>
        <w:rPr>
          <w:rFonts w:hint="eastAsia" w:ascii="宋体" w:hAnsi="宋体" w:cs="宋体"/>
          <w:color w:val="auto"/>
          <w:szCs w:val="21"/>
          <w:highlight w:val="none"/>
          <w:u w:val="single"/>
        </w:rPr>
        <w:t xml:space="preserve">24 </w:t>
      </w:r>
      <w:r>
        <w:rPr>
          <w:rFonts w:hint="eastAsia" w:ascii="宋体" w:hAnsi="宋体" w:cs="宋体"/>
          <w:color w:val="auto"/>
          <w:highlight w:val="none"/>
        </w:rPr>
        <w:t>小时提交书面延期要求。</w:t>
      </w:r>
    </w:p>
    <w:p w14:paraId="40B34C73">
      <w:pPr>
        <w:adjustRightInd w:val="0"/>
        <w:snapToGrid w:val="0"/>
        <w:spacing w:line="384" w:lineRule="auto"/>
        <w:ind w:firstLine="420" w:firstLineChars="200"/>
        <w:rPr>
          <w:rFonts w:hint="eastAsia" w:ascii="宋体" w:hAnsi="宋体" w:cs="宋体"/>
          <w:b/>
          <w:color w:val="auto"/>
          <w:highlight w:val="none"/>
        </w:rPr>
      </w:pPr>
      <w:r>
        <w:rPr>
          <w:rFonts w:hint="eastAsia" w:ascii="宋体" w:hAnsi="宋体" w:cs="宋体"/>
          <w:color w:val="auto"/>
          <w:highlight w:val="none"/>
        </w:rPr>
        <w:t>关于延期最长不得超过：</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 xml:space="preserve">48 </w:t>
      </w:r>
      <w:r>
        <w:rPr>
          <w:rFonts w:hint="eastAsia" w:ascii="宋体" w:hAnsi="宋体" w:cs="宋体"/>
          <w:color w:val="auto"/>
          <w:highlight w:val="none"/>
        </w:rPr>
        <w:t>小时。</w:t>
      </w:r>
    </w:p>
    <w:p w14:paraId="28E5686F">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bookmarkStart w:id="1231" w:name="_Toc297120523"/>
      <w:bookmarkStart w:id="1232" w:name="_Toc292559428"/>
      <w:bookmarkStart w:id="1233" w:name="_Toc297123565"/>
      <w:bookmarkStart w:id="1234" w:name="_Toc296503223"/>
      <w:bookmarkStart w:id="1235" w:name="_Toc304295596"/>
      <w:bookmarkStart w:id="1236" w:name="_Toc292559933"/>
      <w:bookmarkStart w:id="1237" w:name="_Toc297216224"/>
      <w:bookmarkStart w:id="1238" w:name="_Toc303539173"/>
      <w:bookmarkStart w:id="1239" w:name="_Toc296346724"/>
      <w:bookmarkStart w:id="1240" w:name="_Toc296891263"/>
      <w:bookmarkStart w:id="1241" w:name="_Toc296347222"/>
      <w:bookmarkStart w:id="1242" w:name="_Toc297048409"/>
      <w:bookmarkStart w:id="1243" w:name="_Toc296891051"/>
      <w:bookmarkStart w:id="1244" w:name="_Toc300935016"/>
      <w:bookmarkStart w:id="1245" w:name="_Toc296944562"/>
      <w:bookmarkStart w:id="1246" w:name="_Toc312678056"/>
      <w:bookmarkStart w:id="1247" w:name="_Toc267251476"/>
      <w:bookmarkStart w:id="1248" w:name="_Toc267251475"/>
      <w:bookmarkStart w:id="1249" w:name="_Toc267251471"/>
      <w:bookmarkStart w:id="1250" w:name="_Toc267251474"/>
      <w:bookmarkStart w:id="1251" w:name="_Toc267251473"/>
      <w:bookmarkStart w:id="1252" w:name="_Toc267251470"/>
      <w:bookmarkStart w:id="1253" w:name="_Toc267251472"/>
      <w:r>
        <w:rPr>
          <w:rFonts w:hint="eastAsia" w:ascii="宋体" w:hAnsi="宋体" w:cs="宋体"/>
          <w:bCs/>
          <w:color w:val="auto"/>
          <w:szCs w:val="28"/>
          <w:highlight w:val="none"/>
        </w:rPr>
        <w:t>13.2 竣工验收</w:t>
      </w:r>
    </w:p>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14:paraId="561174C0">
      <w:pPr>
        <w:adjustRightInd w:val="0"/>
        <w:snapToGrid w:val="0"/>
        <w:spacing w:line="384" w:lineRule="auto"/>
        <w:ind w:firstLine="420" w:firstLineChars="200"/>
        <w:rPr>
          <w:rFonts w:hint="eastAsia" w:ascii="宋体" w:hAnsi="宋体" w:cs="宋体"/>
          <w:color w:val="auto"/>
          <w:highlight w:val="none"/>
        </w:rPr>
      </w:pPr>
      <w:bookmarkStart w:id="1254" w:name="_Toc280868704"/>
      <w:bookmarkStart w:id="1255" w:name="_Toc280868705"/>
      <w:bookmarkStart w:id="1256" w:name="_Toc280868706"/>
      <w:bookmarkStart w:id="1257" w:name="_Toc280868707"/>
      <w:bookmarkStart w:id="1258" w:name="_Toc280868708"/>
      <w:bookmarkStart w:id="1259" w:name="_Toc280868709"/>
      <w:r>
        <w:rPr>
          <w:rFonts w:hint="eastAsia" w:ascii="宋体" w:hAnsi="宋体" w:cs="宋体"/>
          <w:color w:val="auto"/>
          <w:highlight w:val="none"/>
        </w:rPr>
        <w:t>13.2.2 竣工验收程序</w:t>
      </w:r>
    </w:p>
    <w:bookmarkEnd w:id="1254"/>
    <w:p w14:paraId="5B67351E">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kern w:val="0"/>
          <w:highlight w:val="none"/>
        </w:rPr>
        <w:t>关于竣工验收程序的约定：</w:t>
      </w:r>
      <w:r>
        <w:rPr>
          <w:rFonts w:hint="eastAsia" w:ascii="宋体" w:hAnsi="宋体" w:cs="宋体"/>
          <w:color w:val="auto"/>
          <w:szCs w:val="21"/>
          <w:highlight w:val="none"/>
          <w:u w:val="single"/>
        </w:rPr>
        <w:t>执行通用条款</w:t>
      </w:r>
      <w:r>
        <w:rPr>
          <w:rFonts w:hint="eastAsia" w:ascii="宋体" w:hAnsi="宋体" w:cs="宋体"/>
          <w:color w:val="auto"/>
          <w:highlight w:val="none"/>
        </w:rPr>
        <w:t>。</w:t>
      </w:r>
    </w:p>
    <w:p w14:paraId="5EAC97A9">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kern w:val="0"/>
          <w:highlight w:val="none"/>
        </w:rPr>
        <w:t>发包人不按照本项约定组织竣工验收、颁发工程接收证书的违约金的计算方法：</w:t>
      </w:r>
      <w:r>
        <w:rPr>
          <w:rFonts w:hint="eastAsia" w:ascii="宋体" w:hAnsi="宋体" w:cs="宋体"/>
          <w:color w:val="auto"/>
          <w:szCs w:val="21"/>
          <w:highlight w:val="none"/>
          <w:u w:val="single"/>
        </w:rPr>
        <w:t>执行通用条款</w:t>
      </w:r>
      <w:r>
        <w:rPr>
          <w:rFonts w:hint="eastAsia" w:ascii="宋体" w:hAnsi="宋体" w:cs="宋体"/>
          <w:color w:val="auto"/>
          <w:highlight w:val="none"/>
        </w:rPr>
        <w:t>。</w:t>
      </w:r>
    </w:p>
    <w:bookmarkEnd w:id="1255"/>
    <w:p w14:paraId="2557F26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13.2.5 移交、接收全部与部分工程</w:t>
      </w:r>
    </w:p>
    <w:bookmarkEnd w:id="1256"/>
    <w:p w14:paraId="58E9CD1E">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承包人向发包人移交工程的期限：</w:t>
      </w:r>
      <w:r>
        <w:rPr>
          <w:rFonts w:hint="eastAsia" w:ascii="宋体" w:hAnsi="宋体" w:cs="宋体"/>
          <w:color w:val="auto"/>
          <w:szCs w:val="21"/>
          <w:highlight w:val="none"/>
          <w:u w:val="single"/>
        </w:rPr>
        <w:t>颁发工程接收证书后7天内完成工程的移交</w:t>
      </w:r>
      <w:r>
        <w:rPr>
          <w:rFonts w:hint="eastAsia" w:ascii="宋体" w:hAnsi="宋体" w:cs="宋体"/>
          <w:color w:val="auto"/>
          <w:highlight w:val="none"/>
        </w:rPr>
        <w:t>。</w:t>
      </w:r>
    </w:p>
    <w:p w14:paraId="65CAEA31">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kern w:val="0"/>
          <w:highlight w:val="none"/>
        </w:rPr>
        <w:t>发包人未按本合同约定接收全部或部分工程的，违约金的计算方法为：</w:t>
      </w:r>
      <w:r>
        <w:rPr>
          <w:rFonts w:hint="eastAsia" w:ascii="宋体" w:hAnsi="宋体" w:cs="宋体"/>
          <w:color w:val="auto"/>
          <w:szCs w:val="21"/>
          <w:highlight w:val="none"/>
          <w:u w:val="single"/>
        </w:rPr>
        <w:t>发包人自应当接收工程之日起，承担工程照管、成品保护、保管等与工程有关的各项费用</w:t>
      </w:r>
      <w:r>
        <w:rPr>
          <w:rFonts w:hint="eastAsia" w:ascii="宋体" w:hAnsi="宋体" w:cs="宋体"/>
          <w:color w:val="auto"/>
          <w:highlight w:val="none"/>
        </w:rPr>
        <w:t>。</w:t>
      </w:r>
    </w:p>
    <w:bookmarkEnd w:id="1257"/>
    <w:p w14:paraId="36B15213">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承包人未按时移交工程的，违约金的计算方法为：</w:t>
      </w:r>
      <w:r>
        <w:rPr>
          <w:rFonts w:hint="eastAsia" w:ascii="宋体" w:hAnsi="宋体" w:cs="宋体"/>
          <w:color w:val="auto"/>
          <w:szCs w:val="21"/>
          <w:highlight w:val="none"/>
          <w:u w:val="single"/>
        </w:rPr>
        <w:t>每逾期1天，承包人应向发包人支付</w:t>
      </w:r>
      <w:r>
        <w:rPr>
          <w:rFonts w:hint="eastAsia" w:ascii="宋体" w:hAnsi="宋体" w:cs="宋体"/>
          <w:color w:val="auto"/>
          <w:szCs w:val="21"/>
          <w:highlight w:val="none"/>
          <w:u w:val="single"/>
          <w:lang w:val="en-US" w:eastAsia="zh-CN"/>
        </w:rPr>
        <w:t>10000</w:t>
      </w:r>
      <w:r>
        <w:rPr>
          <w:rFonts w:hint="eastAsia" w:ascii="宋体" w:hAnsi="宋体" w:cs="宋体"/>
          <w:color w:val="auto"/>
          <w:szCs w:val="21"/>
          <w:highlight w:val="none"/>
          <w:u w:val="single"/>
        </w:rPr>
        <w:t>元/天违约金</w:t>
      </w:r>
      <w:r>
        <w:rPr>
          <w:rFonts w:hint="eastAsia" w:ascii="宋体" w:hAnsi="宋体" w:cs="宋体"/>
          <w:color w:val="auto"/>
          <w:highlight w:val="none"/>
        </w:rPr>
        <w:t>。</w:t>
      </w:r>
    </w:p>
    <w:p w14:paraId="3EC373DE">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13.3 工程试车</w:t>
      </w:r>
    </w:p>
    <w:bookmarkEnd w:id="1258"/>
    <w:p w14:paraId="578C634B">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13.3.1 试车程序</w:t>
      </w:r>
    </w:p>
    <w:p w14:paraId="7DBE809D">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kern w:val="0"/>
          <w:highlight w:val="none"/>
        </w:rPr>
        <w:t>工程试车内容：</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执行通用条款</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B78BF35">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（1）单机无负荷试车费用由</w:t>
      </w:r>
      <w:r>
        <w:rPr>
          <w:rFonts w:hint="eastAsia" w:ascii="宋体" w:hAnsi="宋体" w:cs="宋体"/>
          <w:color w:val="auto"/>
          <w:kern w:val="0"/>
          <w:highlight w:val="none"/>
          <w:lang w:val="en-US" w:eastAsia="zh-CN"/>
        </w:rPr>
        <w:t xml:space="preserve"> </w:t>
      </w:r>
      <w:r>
        <w:rPr>
          <w:rFonts w:hint="eastAsia" w:ascii="宋体" w:hAnsi="宋体" w:cs="宋体"/>
          <w:color w:val="auto"/>
          <w:szCs w:val="21"/>
          <w:highlight w:val="none"/>
          <w:u w:val="single"/>
        </w:rPr>
        <w:t>试车消耗的生产性原材料由发包人承担；试车其他费用（包括试车所需水电油等费用）由承包人在措施费中考虑</w:t>
      </w:r>
      <w:r>
        <w:rPr>
          <w:rFonts w:hint="eastAsia" w:ascii="宋体" w:hAnsi="宋体" w:cs="宋体"/>
          <w:color w:val="auto"/>
          <w:kern w:val="0"/>
          <w:highlight w:val="none"/>
        </w:rPr>
        <w:t>承担；</w:t>
      </w:r>
    </w:p>
    <w:p w14:paraId="35B8B398">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（2）无负荷联动试车费用由</w:t>
      </w:r>
      <w:r>
        <w:rPr>
          <w:rFonts w:hint="eastAsia" w:ascii="宋体" w:hAnsi="宋体" w:cs="宋体"/>
          <w:color w:val="auto"/>
          <w:szCs w:val="21"/>
          <w:highlight w:val="none"/>
          <w:u w:val="single"/>
        </w:rPr>
        <w:t>试车消耗的生产性原材料由发包人承担；试车其他费用（包括试车所需水电油等费用）由承包人在措施费中考虑</w:t>
      </w:r>
      <w:r>
        <w:rPr>
          <w:rFonts w:hint="eastAsia" w:ascii="宋体" w:hAnsi="宋体" w:cs="宋体"/>
          <w:color w:val="auto"/>
          <w:kern w:val="0"/>
          <w:highlight w:val="none"/>
        </w:rPr>
        <w:t>承担。</w:t>
      </w:r>
    </w:p>
    <w:p w14:paraId="0E879227">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13.3.3 投料试车</w:t>
      </w:r>
    </w:p>
    <w:p w14:paraId="6DB3DAD7">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kern w:val="0"/>
          <w:highlight w:val="none"/>
        </w:rPr>
        <w:t>关于投料试车相关事项的约定：</w:t>
      </w:r>
      <w:r>
        <w:rPr>
          <w:rFonts w:hint="eastAsia" w:ascii="宋体" w:hAnsi="宋体" w:cs="宋体"/>
          <w:color w:val="auto"/>
          <w:szCs w:val="21"/>
          <w:highlight w:val="none"/>
          <w:u w:val="single"/>
        </w:rPr>
        <w:t>执行通用条款</w:t>
      </w:r>
      <w:r>
        <w:rPr>
          <w:rFonts w:hint="eastAsia" w:ascii="宋体" w:hAnsi="宋体" w:cs="宋体"/>
          <w:color w:val="auto"/>
          <w:highlight w:val="none"/>
        </w:rPr>
        <w:t>。</w:t>
      </w:r>
    </w:p>
    <w:p w14:paraId="41FB4469">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13.6 竣工退场</w:t>
      </w:r>
    </w:p>
    <w:p w14:paraId="5CEB286D">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13.6.1 竣工退场</w:t>
      </w:r>
    </w:p>
    <w:p w14:paraId="2B0A1CA3">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承包人完成竣工退场的期限：</w:t>
      </w:r>
      <w:r>
        <w:rPr>
          <w:rFonts w:hint="eastAsia" w:ascii="宋体" w:hAnsi="宋体" w:cs="宋体"/>
          <w:color w:val="auto"/>
          <w:highlight w:val="none"/>
          <w:u w:val="single"/>
        </w:rPr>
        <w:t xml:space="preserve"> </w:t>
      </w:r>
      <w:r>
        <w:rPr>
          <w:rFonts w:hint="eastAsia" w:ascii="宋体" w:hAnsi="宋体" w:eastAsia="宋体" w:cs="宋体"/>
          <w:color w:val="auto"/>
          <w:szCs w:val="21"/>
          <w:highlight w:val="none"/>
          <w:u w:val="single"/>
        </w:rPr>
        <w:t>竣工之日起30日内</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52AA42ED">
      <w:pPr>
        <w:keepNext/>
        <w:keepLines/>
        <w:adjustRightInd w:val="0"/>
        <w:snapToGrid w:val="0"/>
        <w:spacing w:line="384" w:lineRule="auto"/>
        <w:jc w:val="left"/>
        <w:outlineLvl w:val="2"/>
        <w:rPr>
          <w:rFonts w:hint="eastAsia" w:ascii="宋体" w:hAnsi="宋体" w:cs="宋体"/>
          <w:bCs/>
          <w:color w:val="auto"/>
          <w:sz w:val="24"/>
          <w:highlight w:val="none"/>
        </w:rPr>
      </w:pPr>
      <w:bookmarkStart w:id="1260" w:name="_Toc351203646"/>
      <w:bookmarkStart w:id="1261" w:name="_Toc95223479"/>
      <w:r>
        <w:rPr>
          <w:rFonts w:hint="eastAsia" w:ascii="宋体" w:hAnsi="宋体" w:cs="宋体"/>
          <w:bCs/>
          <w:color w:val="auto"/>
          <w:sz w:val="24"/>
          <w:highlight w:val="none"/>
        </w:rPr>
        <w:t>14. 竣工结算</w:t>
      </w:r>
      <w:bookmarkEnd w:id="1260"/>
      <w:bookmarkEnd w:id="1261"/>
    </w:p>
    <w:p w14:paraId="3DD35516">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14.1 竣工结算申请</w:t>
      </w:r>
    </w:p>
    <w:p w14:paraId="68B34043">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承包人提交竣工结算申请单的期限：</w:t>
      </w:r>
      <w:r>
        <w:rPr>
          <w:rFonts w:hint="eastAsia" w:ascii="宋体" w:hAnsi="宋体" w:cs="宋体"/>
          <w:color w:val="auto"/>
          <w:szCs w:val="21"/>
          <w:highlight w:val="none"/>
          <w:u w:val="single"/>
        </w:rPr>
        <w:t>承包人应在工程竣工验收合格后28天内</w:t>
      </w:r>
      <w:r>
        <w:rPr>
          <w:rFonts w:hint="eastAsia" w:ascii="宋体" w:hAnsi="宋体" w:cs="宋体"/>
          <w:color w:val="auto"/>
          <w:highlight w:val="none"/>
        </w:rPr>
        <w:t>。</w:t>
      </w:r>
    </w:p>
    <w:p w14:paraId="16DAE03A">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竣工结算申请单应包括的内容：</w:t>
      </w:r>
      <w:r>
        <w:rPr>
          <w:rFonts w:hint="eastAsia" w:ascii="宋体" w:hAnsi="宋体" w:cs="宋体"/>
          <w:color w:val="auto"/>
          <w:szCs w:val="21"/>
          <w:highlight w:val="none"/>
          <w:u w:val="single"/>
        </w:rPr>
        <w:t>执行通用条款</w:t>
      </w:r>
      <w:r>
        <w:rPr>
          <w:rFonts w:hint="eastAsia" w:ascii="宋体" w:hAnsi="宋体" w:cs="宋体"/>
          <w:color w:val="auto"/>
          <w:highlight w:val="none"/>
        </w:rPr>
        <w:t>。</w:t>
      </w:r>
    </w:p>
    <w:p w14:paraId="6F1C7ABB">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14.2 竣工结算审核</w:t>
      </w:r>
    </w:p>
    <w:p w14:paraId="43CF36B1">
      <w:pPr>
        <w:widowControl/>
        <w:adjustRightInd w:val="0"/>
        <w:snapToGrid w:val="0"/>
        <w:spacing w:line="384"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发包人审批竣工付款申请单的期限：发包人应在收到监理人提交的经审核的竣工结算申请单 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60</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天内完成审批。</w:t>
      </w:r>
    </w:p>
    <w:p w14:paraId="5E3EBE15">
      <w:pPr>
        <w:widowControl/>
        <w:adjustRightInd w:val="0"/>
        <w:snapToGrid w:val="0"/>
        <w:spacing w:line="384" w:lineRule="auto"/>
        <w:ind w:firstLine="422" w:firstLineChars="200"/>
        <w:jc w:val="left"/>
        <w:rPr>
          <w:rFonts w:hint="eastAsia" w:ascii="宋体" w:hAnsi="宋体" w:cs="宋体"/>
          <w:b/>
          <w:bCs/>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rPr>
        <w:t>（机关、事业单位从中小企业采购工程，应当自工程交付之日起30日内支付款项；合同另有约定的，付款期限最长不得超过60日。超过60日的，自超期之日起15日内，机关、事业单位先行按照合同价与结算价孰低的98%支付工程价款。）</w:t>
      </w:r>
    </w:p>
    <w:p w14:paraId="0923A647">
      <w:pPr>
        <w:adjustRightInd w:val="0"/>
        <w:snapToGrid w:val="0"/>
        <w:spacing w:line="384"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发包人完成竣工付款的期限：发包人应在签发竣工付款证书后的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60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天内，完成对承包人的竣工付款。</w:t>
      </w:r>
    </w:p>
    <w:p w14:paraId="11C75510">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关于竣工付款证书异议部分复核的方式和程序：</w:t>
      </w:r>
      <w:r>
        <w:rPr>
          <w:rFonts w:hint="eastAsia" w:ascii="宋体" w:hAnsi="宋体" w:cs="宋体"/>
          <w:color w:val="auto"/>
          <w:szCs w:val="21"/>
          <w:highlight w:val="none"/>
          <w:u w:val="single"/>
        </w:rPr>
        <w:t>执行通用条款</w:t>
      </w:r>
      <w:r>
        <w:rPr>
          <w:rFonts w:hint="eastAsia" w:ascii="宋体" w:hAnsi="宋体" w:cs="宋体"/>
          <w:color w:val="auto"/>
          <w:highlight w:val="none"/>
        </w:rPr>
        <w:t>。</w:t>
      </w:r>
    </w:p>
    <w:p w14:paraId="33AE180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14.4 最终结清</w:t>
      </w:r>
    </w:p>
    <w:p w14:paraId="3E57B3D5">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14.4.1 最终结清申请单</w:t>
      </w:r>
    </w:p>
    <w:p w14:paraId="08778F8F">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承包人提交最终结清申请单的份数：</w:t>
      </w:r>
      <w:r>
        <w:rPr>
          <w:rFonts w:hint="eastAsia" w:ascii="宋体" w:hAnsi="宋体" w:cs="宋体"/>
          <w:color w:val="auto"/>
          <w:highlight w:val="none"/>
          <w:u w:val="single"/>
        </w:rPr>
        <w:t xml:space="preserve"> 按监理和跟踪审计单位要求执行 </w:t>
      </w:r>
      <w:r>
        <w:rPr>
          <w:rFonts w:hint="eastAsia" w:ascii="宋体" w:hAnsi="宋体" w:cs="宋体"/>
          <w:color w:val="auto"/>
          <w:highlight w:val="none"/>
        </w:rPr>
        <w:t>。</w:t>
      </w:r>
    </w:p>
    <w:p w14:paraId="7378E6A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kern w:val="0"/>
          <w:highlight w:val="none"/>
        </w:rPr>
        <w:t>承包人提交最终结算申请单的期限：</w:t>
      </w:r>
      <w:r>
        <w:rPr>
          <w:rFonts w:hint="eastAsia" w:ascii="宋体" w:hAnsi="宋体" w:cs="宋体"/>
          <w:color w:val="auto"/>
          <w:szCs w:val="21"/>
          <w:highlight w:val="none"/>
          <w:u w:val="single"/>
        </w:rPr>
        <w:t>缺陷责任期终止证书颁发后7天内</w:t>
      </w:r>
      <w:r>
        <w:rPr>
          <w:rFonts w:hint="eastAsia" w:ascii="宋体" w:hAnsi="宋体" w:cs="宋体"/>
          <w:color w:val="auto"/>
          <w:highlight w:val="none"/>
        </w:rPr>
        <w:t xml:space="preserve">。 </w:t>
      </w:r>
    </w:p>
    <w:p w14:paraId="2F89ADD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14.4.2 最终结清证书和支付</w:t>
      </w:r>
    </w:p>
    <w:p w14:paraId="051B927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（1）发包人完成最终结清申请单的审批并颁发最终结清证书的期限：</w:t>
      </w:r>
      <w:r>
        <w:rPr>
          <w:rFonts w:hint="eastAsia" w:ascii="宋体" w:hAnsi="宋体" w:cs="宋体"/>
          <w:color w:val="auto"/>
          <w:szCs w:val="21"/>
          <w:highlight w:val="none"/>
          <w:u w:val="single"/>
        </w:rPr>
        <w:t>收到承包人提交的最终结清申请单后14天内</w:t>
      </w:r>
      <w:r>
        <w:rPr>
          <w:rFonts w:hint="eastAsia" w:ascii="宋体" w:hAnsi="宋体" w:cs="宋体"/>
          <w:color w:val="auto"/>
          <w:highlight w:val="none"/>
        </w:rPr>
        <w:t>。</w:t>
      </w:r>
    </w:p>
    <w:p w14:paraId="22A0ABB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（2）发包人完成支付的期限：</w:t>
      </w:r>
      <w:r>
        <w:rPr>
          <w:rFonts w:hint="eastAsia" w:ascii="宋体" w:hAnsi="宋体" w:cs="宋体"/>
          <w:color w:val="auto"/>
          <w:szCs w:val="21"/>
          <w:highlight w:val="none"/>
          <w:u w:val="single"/>
        </w:rPr>
        <w:t>颁发最终结清证书后7天内完成支付</w:t>
      </w:r>
      <w:r>
        <w:rPr>
          <w:rFonts w:hint="eastAsia" w:ascii="宋体" w:hAnsi="宋体" w:cs="宋体"/>
          <w:color w:val="auto"/>
          <w:highlight w:val="none"/>
        </w:rPr>
        <w:t>。</w:t>
      </w:r>
    </w:p>
    <w:bookmarkEnd w:id="1247"/>
    <w:bookmarkEnd w:id="1248"/>
    <w:bookmarkEnd w:id="1249"/>
    <w:bookmarkEnd w:id="1250"/>
    <w:bookmarkEnd w:id="1251"/>
    <w:bookmarkEnd w:id="1252"/>
    <w:bookmarkEnd w:id="1253"/>
    <w:bookmarkEnd w:id="1259"/>
    <w:p w14:paraId="52E999FA">
      <w:pPr>
        <w:keepNext/>
        <w:keepLines/>
        <w:adjustRightInd w:val="0"/>
        <w:snapToGrid w:val="0"/>
        <w:spacing w:line="384" w:lineRule="auto"/>
        <w:jc w:val="left"/>
        <w:outlineLvl w:val="2"/>
        <w:rPr>
          <w:rFonts w:hint="eastAsia" w:ascii="宋体" w:hAnsi="宋体" w:cs="宋体"/>
          <w:bCs/>
          <w:color w:val="auto"/>
          <w:sz w:val="24"/>
          <w:highlight w:val="none"/>
        </w:rPr>
      </w:pPr>
      <w:bookmarkStart w:id="1262" w:name="_Toc95223480"/>
      <w:bookmarkStart w:id="1263" w:name="_Toc351203647"/>
      <w:bookmarkStart w:id="1264" w:name="_Toc267251483"/>
      <w:bookmarkStart w:id="1265" w:name="_Toc267251484"/>
      <w:bookmarkStart w:id="1266" w:name="_Toc267251482"/>
      <w:bookmarkStart w:id="1267" w:name="_Toc267251485"/>
      <w:bookmarkStart w:id="1268" w:name="_Toc267251489"/>
      <w:bookmarkStart w:id="1269" w:name="_Toc267251486"/>
      <w:bookmarkStart w:id="1270" w:name="_Toc267251488"/>
      <w:bookmarkStart w:id="1271" w:name="_Toc267251490"/>
      <w:bookmarkStart w:id="1272" w:name="_Toc267251502"/>
      <w:bookmarkStart w:id="1273" w:name="_Toc267251499"/>
      <w:bookmarkStart w:id="1274" w:name="_Toc267251503"/>
      <w:bookmarkStart w:id="1275" w:name="_Toc267251501"/>
      <w:bookmarkStart w:id="1276" w:name="_Toc267251494"/>
      <w:bookmarkStart w:id="1277" w:name="_Toc267251491"/>
      <w:bookmarkStart w:id="1278" w:name="_Toc267251495"/>
      <w:bookmarkStart w:id="1279" w:name="_Toc267251493"/>
      <w:bookmarkStart w:id="1280" w:name="_Toc267251496"/>
      <w:bookmarkStart w:id="1281" w:name="_Toc267251492"/>
      <w:bookmarkStart w:id="1282" w:name="_Toc267251497"/>
      <w:bookmarkStart w:id="1283" w:name="_Toc267251498"/>
      <w:bookmarkStart w:id="1284" w:name="_Toc267251506"/>
      <w:bookmarkStart w:id="1285" w:name="_Toc267251504"/>
      <w:bookmarkStart w:id="1286" w:name="_Toc267251507"/>
      <w:bookmarkStart w:id="1287" w:name="_Toc267251508"/>
      <w:bookmarkStart w:id="1288" w:name="_Toc267251510"/>
      <w:bookmarkStart w:id="1289" w:name="_Toc267251509"/>
      <w:bookmarkStart w:id="1290" w:name="_Toc267251515"/>
      <w:bookmarkStart w:id="1291" w:name="_Toc267251511"/>
      <w:bookmarkStart w:id="1292" w:name="_Toc267251513"/>
      <w:bookmarkStart w:id="1293" w:name="_Toc267251514"/>
      <w:r>
        <w:rPr>
          <w:rFonts w:hint="eastAsia" w:ascii="宋体" w:hAnsi="宋体" w:cs="宋体"/>
          <w:bCs/>
          <w:color w:val="auto"/>
          <w:sz w:val="24"/>
          <w:highlight w:val="none"/>
        </w:rPr>
        <w:t>15. 缺陷责任期与保修</w:t>
      </w:r>
      <w:bookmarkEnd w:id="1262"/>
      <w:bookmarkEnd w:id="1263"/>
    </w:p>
    <w:p w14:paraId="4C1EA014">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15.2 缺陷责任期</w:t>
      </w:r>
      <w:bookmarkEnd w:id="1264"/>
    </w:p>
    <w:p w14:paraId="06B78006">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缺陷责任期的具体期限：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两年（缺陷责任期自工程竣工验收合格之日起计算）</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44A3BC07">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15.3 质量保证金</w:t>
      </w:r>
    </w:p>
    <w:p w14:paraId="500B773B">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关于是否扣留质量保证金的约定：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是</w:t>
      </w:r>
      <w:r>
        <w:rPr>
          <w:rFonts w:hint="eastAsia" w:ascii="宋体" w:hAnsi="宋体" w:cs="宋体"/>
          <w:color w:val="auto"/>
          <w:szCs w:val="21"/>
          <w:highlight w:val="none"/>
          <w:u w:val="single"/>
        </w:rPr>
        <w:t xml:space="preserve">   </w:t>
      </w:r>
      <w:r>
        <w:rPr>
          <w:rFonts w:hint="eastAsia" w:ascii="宋体" w:hAnsi="宋体" w:cs="宋体"/>
          <w:color w:val="auto"/>
          <w:highlight w:val="none"/>
        </w:rPr>
        <w:t>。在工程项目竣工前，承包人按专用合同条款第3.7款提供履约保证金的，发包人不得同时预留工程质量保证金。</w:t>
      </w:r>
    </w:p>
    <w:p w14:paraId="58998F6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15.3.1 承包人提供质量保证金的方式</w:t>
      </w:r>
    </w:p>
    <w:p w14:paraId="5623F89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质量保证金采用以下方式：</w:t>
      </w:r>
    </w:p>
    <w:p w14:paraId="44328FC9">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（1）质量保证金保函，保证金额为：</w:t>
      </w:r>
      <w:r>
        <w:rPr>
          <w:rFonts w:hint="eastAsia" w:ascii="宋体" w:hAnsi="宋体" w:cs="宋体"/>
          <w:color w:val="auto"/>
          <w:kern w:val="0"/>
          <w:highlight w:val="none"/>
          <w:u w:val="single"/>
        </w:rPr>
        <w:t>2%的工程款</w:t>
      </w:r>
      <w:r>
        <w:rPr>
          <w:rFonts w:hint="eastAsia" w:ascii="宋体" w:hAnsi="宋体" w:cs="宋体"/>
          <w:color w:val="auto"/>
          <w:kern w:val="0"/>
          <w:highlight w:val="none"/>
        </w:rPr>
        <w:t xml:space="preserve">； </w:t>
      </w:r>
    </w:p>
    <w:p w14:paraId="095AE829">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w:t>
      </w:r>
      <w:r>
        <w:rPr>
          <w:rFonts w:hint="eastAsia" w:ascii="宋体" w:hAnsi="宋体" w:cs="宋体"/>
          <w:color w:val="auto"/>
          <w:kern w:val="0"/>
          <w:highlight w:val="none"/>
          <w:u w:val="single"/>
        </w:rPr>
        <w:t>2</w:t>
      </w:r>
      <w:r>
        <w:rPr>
          <w:rFonts w:hint="eastAsia" w:ascii="宋体" w:hAnsi="宋体" w:cs="宋体"/>
          <w:color w:val="auto"/>
          <w:kern w:val="0"/>
          <w:highlight w:val="none"/>
        </w:rPr>
        <w:t>%的工程款；</w:t>
      </w:r>
    </w:p>
    <w:p w14:paraId="65E66078">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（3）其他方式:</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75AF0BF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15.3.2 质量保证金的扣留 </w:t>
      </w:r>
    </w:p>
    <w:p w14:paraId="6E7516DD">
      <w:pPr>
        <w:pageBreakBefore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质量保证金的扣留采取以下方式：</w:t>
      </w:r>
    </w:p>
    <w:p w14:paraId="6EAEAF75">
      <w:pPr>
        <w:pageBreakBefore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kern w:val="0"/>
          <w:highlight w:val="none"/>
        </w:rPr>
      </w:pPr>
      <w:r>
        <w:rPr>
          <w:rFonts w:hint="eastAsia" w:ascii="宋体" w:hAnsi="宋体" w:cs="宋体"/>
          <w:color w:val="auto"/>
          <w:kern w:val="0"/>
          <w:highlight w:val="none"/>
        </w:rPr>
        <w:t>（1）在支付工程进度款时逐次扣留，在此情形下，质量保证金的计算基数不包括预付款的支付、扣回以及价格调整的金额；</w:t>
      </w:r>
    </w:p>
    <w:p w14:paraId="662F5D17">
      <w:pPr>
        <w:pageBreakBefore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kern w:val="0"/>
          <w:highlight w:val="none"/>
        </w:rPr>
      </w:pPr>
      <w:r>
        <w:rPr>
          <w:rFonts w:hint="eastAsia" w:ascii="宋体" w:hAnsi="宋体" w:cs="宋体"/>
          <w:color w:val="auto"/>
          <w:kern w:val="0"/>
          <w:highlight w:val="none"/>
        </w:rPr>
        <w:t>（2）工程竣工结算时一次性扣留质量保证金；</w:t>
      </w:r>
    </w:p>
    <w:p w14:paraId="404F3DB8">
      <w:pPr>
        <w:pageBreakBefore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kern w:val="0"/>
          <w:highlight w:val="none"/>
        </w:rPr>
      </w:pPr>
      <w:r>
        <w:rPr>
          <w:rFonts w:hint="eastAsia" w:ascii="宋体" w:hAnsi="宋体" w:cs="宋体"/>
          <w:color w:val="auto"/>
          <w:kern w:val="0"/>
          <w:highlight w:val="none"/>
        </w:rPr>
        <w:t>（3）其他扣留方式:</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3B3CE0B3">
      <w:pPr>
        <w:pageBreakBefore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关于质量保证金的补充约定：</w:t>
      </w:r>
      <w:r>
        <w:rPr>
          <w:rFonts w:hint="eastAsia" w:ascii="宋体" w:hAnsi="宋体" w:cs="宋体"/>
          <w:color w:val="auto"/>
          <w:kern w:val="0"/>
          <w:highlight w:val="none"/>
          <w:u w:val="single"/>
        </w:rPr>
        <w:t>质量保证金支持保函（银行保函、担保机构担保、保证保险）使用。采用保函的，保函有效期须与缺陷责任期截止时间保持一致</w:t>
      </w:r>
      <w:r>
        <w:rPr>
          <w:rFonts w:hint="eastAsia" w:ascii="宋体" w:hAnsi="宋体" w:cs="宋体"/>
          <w:color w:val="auto"/>
          <w:kern w:val="0"/>
          <w:highlight w:val="none"/>
        </w:rPr>
        <w:t>。</w:t>
      </w:r>
    </w:p>
    <w:bookmarkEnd w:id="1265"/>
    <w:bookmarkEnd w:id="1266"/>
    <w:p w14:paraId="6CB9F7F1">
      <w:pPr>
        <w:keepNext/>
        <w:keepLines/>
        <w:pageBreakBefore w:val="0"/>
        <w:kinsoku/>
        <w:wordWrap/>
        <w:overflowPunct/>
        <w:topLinePunct w:val="0"/>
        <w:autoSpaceDE/>
        <w:autoSpaceDN/>
        <w:bidi w:val="0"/>
        <w:adjustRightInd w:val="0"/>
        <w:snapToGrid w:val="0"/>
        <w:spacing w:line="384" w:lineRule="auto"/>
        <w:ind w:firstLine="420" w:firstLineChars="200"/>
        <w:textAlignment w:val="auto"/>
        <w:outlineLvl w:val="3"/>
        <w:rPr>
          <w:rFonts w:hint="eastAsia" w:ascii="宋体" w:hAnsi="宋体" w:cs="宋体"/>
          <w:bCs/>
          <w:color w:val="auto"/>
          <w:szCs w:val="28"/>
          <w:highlight w:val="none"/>
        </w:rPr>
      </w:pPr>
      <w:r>
        <w:rPr>
          <w:rFonts w:hint="eastAsia" w:ascii="宋体" w:hAnsi="宋体" w:cs="宋体"/>
          <w:bCs/>
          <w:color w:val="auto"/>
          <w:szCs w:val="28"/>
          <w:highlight w:val="none"/>
        </w:rPr>
        <w:t>15.4 保修</w:t>
      </w:r>
    </w:p>
    <w:bookmarkEnd w:id="1267"/>
    <w:p w14:paraId="0423F1D6">
      <w:pPr>
        <w:pageBreakBefore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15.4.1 保修责任</w:t>
      </w:r>
    </w:p>
    <w:p w14:paraId="50E81EF0">
      <w:pPr>
        <w:pageBreakBefore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kern w:val="0"/>
          <w:highlight w:val="none"/>
          <w:u w:val="single"/>
        </w:rPr>
      </w:pPr>
      <w:r>
        <w:rPr>
          <w:rFonts w:hint="eastAsia" w:ascii="宋体" w:hAnsi="宋体" w:cs="宋体"/>
          <w:color w:val="auto"/>
          <w:highlight w:val="none"/>
        </w:rPr>
        <w:t>工程保修期为：</w:t>
      </w:r>
      <w:r>
        <w:rPr>
          <w:rFonts w:hint="eastAsia" w:ascii="宋体" w:hAnsi="宋体" w:cs="宋体"/>
          <w:color w:val="auto"/>
          <w:szCs w:val="21"/>
          <w:highlight w:val="none"/>
          <w:u w:val="single"/>
        </w:rPr>
        <w:t>执行《工程质量保修书》规定</w:t>
      </w:r>
      <w:r>
        <w:rPr>
          <w:rFonts w:hint="eastAsia" w:ascii="宋体" w:hAnsi="宋体" w:cs="宋体"/>
          <w:color w:val="auto"/>
          <w:kern w:val="0"/>
          <w:highlight w:val="none"/>
        </w:rPr>
        <w:t>。</w:t>
      </w:r>
    </w:p>
    <w:p w14:paraId="045E624F">
      <w:pPr>
        <w:pageBreakBefore w:val="0"/>
        <w:kinsoku/>
        <w:wordWrap/>
        <w:overflowPunct/>
        <w:topLinePunct w:val="0"/>
        <w:autoSpaceDE/>
        <w:autoSpaceDN/>
        <w:bidi w:val="0"/>
        <w:adjustRightInd w:val="0"/>
        <w:snapToGrid w:val="0"/>
        <w:spacing w:line="384"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15.4.3 修复通知</w:t>
      </w:r>
    </w:p>
    <w:p w14:paraId="606568CE">
      <w:pPr>
        <w:keepNext w:val="0"/>
        <w:keepLines w:val="0"/>
        <w:pageBreakBefore w:val="0"/>
        <w:widowControl/>
        <w:kinsoku/>
        <w:wordWrap/>
        <w:overflowPunct/>
        <w:topLinePunct w:val="0"/>
        <w:autoSpaceDE/>
        <w:autoSpaceDN/>
        <w:bidi w:val="0"/>
        <w:adjustRightInd/>
        <w:snapToGrid/>
        <w:spacing w:line="384" w:lineRule="auto"/>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highlight w:val="none"/>
        </w:rPr>
        <w:t>承包人收到保修通知并到达工程现场的合理时间：</w:t>
      </w:r>
      <w:r>
        <w:rPr>
          <w:rFonts w:hint="eastAsia" w:ascii="宋体" w:hAnsi="宋体" w:cs="宋体"/>
          <w:color w:val="auto"/>
          <w:kern w:val="0"/>
          <w:highlight w:val="none"/>
          <w:u w:val="single"/>
        </w:rPr>
        <w:t xml:space="preserve"> </w:t>
      </w:r>
      <w:r>
        <w:rPr>
          <w:rFonts w:hint="eastAsia" w:ascii="宋体" w:hAnsi="宋体" w:cs="宋体"/>
          <w:color w:val="auto"/>
          <w:kern w:val="0"/>
          <w:szCs w:val="21"/>
          <w:highlight w:val="none"/>
          <w:u w:val="single"/>
        </w:rPr>
        <w:t xml:space="preserve">自承包人收到保修通知起24小时内到达工程现场并修复缺陷或损坏 ，如承包人违反此规定，由发包人另行安排队伍进行修整，由此产生的费用将在承包人的质保金中扣除。事后出现漏水、漏电等情况，承包人应在12小时内修复 </w:t>
      </w:r>
      <w:r>
        <w:rPr>
          <w:rFonts w:hint="eastAsia" w:ascii="宋体" w:hAnsi="宋体" w:cs="宋体"/>
          <w:color w:val="auto"/>
          <w:kern w:val="0"/>
          <w:szCs w:val="21"/>
          <w:highlight w:val="none"/>
        </w:rPr>
        <w:t>。</w:t>
      </w:r>
    </w:p>
    <w:p w14:paraId="5ABAE822">
      <w:pPr>
        <w:keepNext w:val="0"/>
        <w:keepLines w:val="0"/>
        <w:pageBreakBefore w:val="0"/>
        <w:kinsoku/>
        <w:wordWrap/>
        <w:overflowPunct/>
        <w:topLinePunct w:val="0"/>
        <w:autoSpaceDE/>
        <w:autoSpaceDN/>
        <w:bidi w:val="0"/>
        <w:adjustRightInd/>
        <w:snapToGrid/>
        <w:spacing w:line="384" w:lineRule="auto"/>
        <w:ind w:firstLine="420" w:firstLineChars="200"/>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保修期内的维修：一般性维修承包方应在接到通知后12小时内到达；紧急事故承包方应在接到通知后6小时内到达现场抢修；事后出现渗漏水情况，承包方应在12小时内修复。</w:t>
      </w:r>
    </w:p>
    <w:p w14:paraId="084E2C41">
      <w:pPr>
        <w:keepNext w:val="0"/>
        <w:keepLines w:val="0"/>
        <w:pageBreakBefore w:val="0"/>
        <w:kinsoku/>
        <w:wordWrap/>
        <w:overflowPunct/>
        <w:topLinePunct w:val="0"/>
        <w:autoSpaceDE/>
        <w:autoSpaceDN/>
        <w:bidi w:val="0"/>
        <w:adjustRightInd/>
        <w:snapToGrid/>
        <w:spacing w:line="384" w:lineRule="auto"/>
        <w:ind w:firstLine="420" w:firstLineChars="200"/>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承包人</w:t>
      </w:r>
      <w:r>
        <w:rPr>
          <w:rFonts w:hint="eastAsia" w:ascii="宋体" w:hAnsi="宋体" w:cs="宋体"/>
          <w:color w:val="auto"/>
          <w:kern w:val="0"/>
          <w:szCs w:val="21"/>
          <w:highlight w:val="none"/>
          <w:u w:val="single"/>
          <w:lang w:val="en-US" w:eastAsia="zh-CN"/>
        </w:rPr>
        <w:t>未</w:t>
      </w:r>
      <w:r>
        <w:rPr>
          <w:rFonts w:hint="eastAsia" w:ascii="宋体" w:hAnsi="宋体" w:cs="宋体"/>
          <w:color w:val="auto"/>
          <w:kern w:val="0"/>
          <w:szCs w:val="21"/>
          <w:highlight w:val="none"/>
          <w:u w:val="single"/>
        </w:rPr>
        <w:t>及时维修或</w:t>
      </w:r>
      <w:r>
        <w:rPr>
          <w:rFonts w:hint="eastAsia" w:ascii="宋体" w:hAnsi="宋体" w:cs="宋体"/>
          <w:color w:val="auto"/>
          <w:kern w:val="0"/>
          <w:szCs w:val="21"/>
          <w:highlight w:val="none"/>
          <w:u w:val="single"/>
          <w:lang w:val="en-US" w:eastAsia="zh-CN"/>
        </w:rPr>
        <w:t>未</w:t>
      </w:r>
      <w:r>
        <w:rPr>
          <w:rFonts w:hint="eastAsia" w:ascii="宋体" w:hAnsi="宋体" w:cs="宋体"/>
          <w:color w:val="auto"/>
          <w:kern w:val="0"/>
          <w:szCs w:val="21"/>
          <w:highlight w:val="none"/>
          <w:u w:val="single"/>
        </w:rPr>
        <w:t>在合理期限维修完好、或经过两次维修都</w:t>
      </w:r>
      <w:r>
        <w:rPr>
          <w:rFonts w:hint="eastAsia" w:ascii="宋体" w:hAnsi="宋体" w:cs="宋体"/>
          <w:color w:val="auto"/>
          <w:kern w:val="0"/>
          <w:szCs w:val="21"/>
          <w:highlight w:val="none"/>
          <w:u w:val="single"/>
          <w:lang w:val="en-US" w:eastAsia="zh-CN"/>
        </w:rPr>
        <w:t>未</w:t>
      </w:r>
      <w:r>
        <w:rPr>
          <w:rFonts w:hint="eastAsia" w:ascii="宋体" w:hAnsi="宋体" w:cs="宋体"/>
          <w:color w:val="auto"/>
          <w:kern w:val="0"/>
          <w:szCs w:val="21"/>
          <w:highlight w:val="none"/>
          <w:u w:val="single"/>
        </w:rPr>
        <w:t>能修好的，发包人有权自行请人代为维修并确定价格，所有修复费用及赔偿费用在支付承包人质保金时直接扣除，但不等于解除承包人应负的责任。</w:t>
      </w:r>
    </w:p>
    <w:p w14:paraId="720749C4">
      <w:pPr>
        <w:keepNext w:val="0"/>
        <w:keepLines w:val="0"/>
        <w:pageBreakBefore w:val="0"/>
        <w:kinsoku/>
        <w:wordWrap/>
        <w:overflowPunct/>
        <w:topLinePunct w:val="0"/>
        <w:autoSpaceDE/>
        <w:autoSpaceDN/>
        <w:bidi w:val="0"/>
        <w:adjustRightInd/>
        <w:snapToGrid/>
        <w:spacing w:line="384" w:lineRule="auto"/>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u w:val="single"/>
        </w:rPr>
        <w:t xml:space="preserve">承包人每次维修完毕，应负责将施工现场清理干净、并取得业主和使用单位的验收签字 </w:t>
      </w:r>
      <w:r>
        <w:rPr>
          <w:rFonts w:hint="eastAsia" w:ascii="宋体" w:hAnsi="宋体" w:cs="宋体"/>
          <w:color w:val="auto"/>
          <w:kern w:val="0"/>
          <w:szCs w:val="21"/>
          <w:highlight w:val="none"/>
        </w:rPr>
        <w:t>。</w:t>
      </w:r>
    </w:p>
    <w:p w14:paraId="3AFF04FA">
      <w:pPr>
        <w:keepNext w:val="0"/>
        <w:keepLines w:val="0"/>
        <w:pageBreakBefore w:val="0"/>
        <w:widowControl w:val="0"/>
        <w:kinsoku/>
        <w:wordWrap/>
        <w:overflowPunct/>
        <w:topLinePunct w:val="0"/>
        <w:autoSpaceDE/>
        <w:autoSpaceDN/>
        <w:bidi w:val="0"/>
        <w:adjustRightInd/>
        <w:snapToGrid/>
        <w:spacing w:line="384" w:lineRule="auto"/>
        <w:ind w:firstLine="420" w:firstLineChars="200"/>
        <w:jc w:val="left"/>
        <w:textAlignment w:val="auto"/>
        <w:rPr>
          <w:rFonts w:hint="eastAsia" w:ascii="宋体" w:hAnsi="宋体" w:cs="宋体"/>
          <w:color w:val="auto"/>
          <w:kern w:val="0"/>
          <w:highlight w:val="none"/>
          <w:u w:val="single"/>
        </w:rPr>
      </w:pPr>
      <w:r>
        <w:rPr>
          <w:rFonts w:hint="eastAsia" w:ascii="宋体" w:hAnsi="宋体" w:eastAsia="宋体" w:cs="宋体"/>
          <w:color w:val="auto"/>
          <w:kern w:val="0"/>
          <w:sz w:val="21"/>
          <w:szCs w:val="21"/>
          <w:highlight w:val="none"/>
          <w:u w:val="single"/>
        </w:rPr>
        <w:t>承包人未及时维修或未在合理期限内维修完好、或经过两次维修都未能修好的，发包人有权自行请人代为维修并确定价格，所有修复费用及赔偿费用在支付承包人质保金时直接扣除，但不等于解除承包人应负的责任。</w:t>
      </w:r>
    </w:p>
    <w:bookmarkEnd w:id="1268"/>
    <w:bookmarkEnd w:id="1269"/>
    <w:bookmarkEnd w:id="1270"/>
    <w:bookmarkEnd w:id="1271"/>
    <w:p w14:paraId="30250B96">
      <w:pPr>
        <w:keepNext/>
        <w:keepLines/>
        <w:pageBreakBefore w:val="0"/>
        <w:kinsoku/>
        <w:wordWrap/>
        <w:overflowPunct/>
        <w:topLinePunct w:val="0"/>
        <w:autoSpaceDE/>
        <w:autoSpaceDN/>
        <w:bidi w:val="0"/>
        <w:adjustRightInd w:val="0"/>
        <w:snapToGrid w:val="0"/>
        <w:spacing w:line="384" w:lineRule="auto"/>
        <w:jc w:val="left"/>
        <w:textAlignment w:val="auto"/>
        <w:outlineLvl w:val="2"/>
        <w:rPr>
          <w:rFonts w:hint="eastAsia" w:ascii="宋体" w:hAnsi="宋体" w:cs="宋体"/>
          <w:bCs/>
          <w:color w:val="auto"/>
          <w:sz w:val="24"/>
          <w:highlight w:val="none"/>
        </w:rPr>
      </w:pPr>
      <w:bookmarkStart w:id="1294" w:name="_Toc351203648"/>
      <w:bookmarkStart w:id="1295" w:name="_Toc95223481"/>
      <w:bookmarkStart w:id="1296" w:name="_Toc280868717"/>
      <w:bookmarkStart w:id="1297" w:name="_Toc280868718"/>
      <w:r>
        <w:rPr>
          <w:rFonts w:hint="eastAsia" w:ascii="宋体" w:hAnsi="宋体" w:cs="宋体"/>
          <w:bCs/>
          <w:color w:val="auto"/>
          <w:sz w:val="24"/>
          <w:highlight w:val="none"/>
        </w:rPr>
        <w:t>16. 违约</w:t>
      </w:r>
      <w:bookmarkEnd w:id="1294"/>
      <w:bookmarkEnd w:id="1295"/>
    </w:p>
    <w:p w14:paraId="246E4479">
      <w:pPr>
        <w:keepNext/>
        <w:keepLines/>
        <w:pageBreakBefore w:val="0"/>
        <w:kinsoku/>
        <w:wordWrap/>
        <w:overflowPunct/>
        <w:topLinePunct w:val="0"/>
        <w:autoSpaceDE/>
        <w:autoSpaceDN/>
        <w:bidi w:val="0"/>
        <w:adjustRightInd w:val="0"/>
        <w:snapToGrid w:val="0"/>
        <w:spacing w:line="384" w:lineRule="auto"/>
        <w:ind w:firstLine="420" w:firstLineChars="200"/>
        <w:textAlignment w:val="auto"/>
        <w:outlineLvl w:val="3"/>
        <w:rPr>
          <w:rFonts w:hint="eastAsia" w:ascii="宋体" w:hAnsi="宋体" w:cs="宋体"/>
          <w:bCs/>
          <w:color w:val="auto"/>
          <w:szCs w:val="28"/>
          <w:highlight w:val="none"/>
        </w:rPr>
      </w:pPr>
      <w:r>
        <w:rPr>
          <w:rFonts w:hint="eastAsia" w:ascii="宋体" w:hAnsi="宋体" w:cs="宋体"/>
          <w:bCs/>
          <w:color w:val="auto"/>
          <w:szCs w:val="28"/>
          <w:highlight w:val="none"/>
        </w:rPr>
        <w:t>16.1 发包人违约</w:t>
      </w:r>
    </w:p>
    <w:p w14:paraId="30F02CD6">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16.1.1 发包人违约的情形</w:t>
      </w:r>
    </w:p>
    <w:p w14:paraId="72FE2D97">
      <w:pPr>
        <w:adjustRightInd w:val="0"/>
        <w:snapToGrid w:val="0"/>
        <w:spacing w:line="384" w:lineRule="auto"/>
        <w:ind w:firstLine="420" w:firstLineChars="200"/>
        <w:rPr>
          <w:rFonts w:hint="eastAsia" w:ascii="宋体" w:hAnsi="宋体" w:cs="宋体"/>
          <w:color w:val="auto"/>
          <w:kern w:val="0"/>
          <w:highlight w:val="none"/>
          <w:u w:val="single"/>
        </w:rPr>
      </w:pPr>
      <w:r>
        <w:rPr>
          <w:rFonts w:hint="eastAsia" w:ascii="宋体" w:hAnsi="宋体" w:cs="宋体"/>
          <w:color w:val="auto"/>
          <w:kern w:val="0"/>
          <w:highlight w:val="none"/>
        </w:rPr>
        <w:t>发包人违约的其他情形：</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u w:val="single"/>
          <w:lang w:val="en-US" w:eastAsia="zh-CN"/>
        </w:rPr>
        <w:t>无</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428E15A0">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16.1.2 发包人违约的责任</w:t>
      </w:r>
    </w:p>
    <w:p w14:paraId="7FC9CB38">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发包人违约责任的承担方式和计算方法：</w:t>
      </w:r>
    </w:p>
    <w:p w14:paraId="41D59B38">
      <w:pPr>
        <w:adjustRightInd w:val="0"/>
        <w:snapToGrid w:val="0"/>
        <w:spacing w:line="384" w:lineRule="auto"/>
        <w:ind w:firstLine="420" w:firstLineChars="200"/>
        <w:rPr>
          <w:rFonts w:hint="eastAsia" w:ascii="宋体" w:hAnsi="宋体" w:cs="宋体"/>
          <w:color w:val="auto"/>
          <w:kern w:val="0"/>
          <w:highlight w:val="none"/>
          <w:u w:val="single"/>
        </w:rPr>
      </w:pPr>
      <w:r>
        <w:rPr>
          <w:rFonts w:hint="eastAsia" w:ascii="宋体" w:hAnsi="宋体" w:cs="宋体"/>
          <w:color w:val="auto"/>
          <w:kern w:val="0"/>
          <w:highlight w:val="none"/>
        </w:rPr>
        <w:t>（1）因发包人原因未能在计划开工日期前7天内下达开工通知的违约责任：</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rPr>
        <w:t>发包人以书面通知承包人推迟开工日期，竣工日期相应顺延；承包人应于收到发包人下达的书面开工通知后7日内向发包人提出书面申请，经发包人审核确认后，由发包人承担因延期开工造成的相关费用支付义务，因承包人未能在上述约定时间内提交书面申请的，相关费用由承包人自行承担。</w:t>
      </w:r>
    </w:p>
    <w:p w14:paraId="16A79C4D">
      <w:pPr>
        <w:adjustRightInd w:val="0"/>
        <w:snapToGrid w:val="0"/>
        <w:spacing w:line="384" w:lineRule="auto"/>
        <w:ind w:firstLine="420" w:firstLineChars="200"/>
        <w:rPr>
          <w:rFonts w:hint="eastAsia" w:ascii="宋体" w:hAnsi="宋体" w:eastAsia="宋体" w:cs="宋体"/>
          <w:color w:val="auto"/>
          <w:kern w:val="0"/>
          <w:szCs w:val="21"/>
          <w:highlight w:val="none"/>
          <w:u w:val="single"/>
        </w:rPr>
      </w:pPr>
      <w:r>
        <w:rPr>
          <w:rFonts w:hint="eastAsia" w:ascii="宋体" w:hAnsi="宋体" w:cs="宋体"/>
          <w:color w:val="auto"/>
          <w:kern w:val="0"/>
          <w:highlight w:val="none"/>
        </w:rPr>
        <w:t>（2）因发包人原因未能按合同约定支付合同价款的违约责任：</w:t>
      </w:r>
      <w:r>
        <w:rPr>
          <w:rFonts w:hint="eastAsia" w:ascii="宋体" w:hAnsi="宋体" w:eastAsia="宋体" w:cs="宋体"/>
          <w:color w:val="auto"/>
          <w:kern w:val="0"/>
          <w:szCs w:val="21"/>
          <w:highlight w:val="none"/>
          <w:u w:val="single"/>
        </w:rPr>
        <w:t>工期顺延，承包人应于28日内向发包人提出相关费用索赔书面申请，经发包人审核确认后，由发包人承担因未能按合同约定支付合同价款的相关费用支付义务，因承包人未能在上述约定时间内提交书面申请的，相关费用由承包人自行承担。</w:t>
      </w:r>
    </w:p>
    <w:p w14:paraId="214D8D2D">
      <w:pPr>
        <w:adjustRightInd w:val="0"/>
        <w:snapToGrid w:val="0"/>
        <w:spacing w:line="384" w:lineRule="auto"/>
        <w:ind w:firstLine="420" w:firstLineChars="200"/>
        <w:rPr>
          <w:rFonts w:hint="eastAsia" w:ascii="宋体" w:hAnsi="宋体" w:cs="宋体"/>
          <w:b/>
          <w:color w:val="auto"/>
          <w:kern w:val="0"/>
          <w:highlight w:val="none"/>
          <w:u w:val="single"/>
        </w:rPr>
      </w:pPr>
      <w:r>
        <w:rPr>
          <w:rFonts w:hint="eastAsia" w:ascii="宋体" w:hAnsi="宋体" w:cs="宋体"/>
          <w:color w:val="auto"/>
          <w:kern w:val="0"/>
          <w:highlight w:val="none"/>
        </w:rPr>
        <w:t>（3）发包人违反第10.1款〔变更的范围〕第（2）项约定，自行实施被取消的工作或转由他人实施的违约责任：</w:t>
      </w:r>
      <w:r>
        <w:rPr>
          <w:rFonts w:hint="eastAsia" w:ascii="宋体" w:hAnsi="宋体" w:eastAsia="宋体" w:cs="宋体"/>
          <w:color w:val="auto"/>
          <w:kern w:val="0"/>
          <w:szCs w:val="21"/>
          <w:highlight w:val="none"/>
          <w:u w:val="single"/>
        </w:rPr>
        <w:t>造成工期延误的，工期顺延；承包人因此增加的费用应于28日内向发包人提出相关费用索赔书面申请，经发包人审核确认后，由发包人承担相关费用支付义务，因承包人未能在上述约定时间内提交书面申请的，相关费用由承包人自行承担；相应的工程价款在结算中扣除。如因承包人原因造成的，则承包人承担因其违约行为而增加的费用和（或）延误的工期。</w:t>
      </w:r>
    </w:p>
    <w:p w14:paraId="6727C7F1">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Cs w:val="21"/>
          <w:highlight w:val="none"/>
          <w:u w:val="single"/>
        </w:rPr>
        <w:t>工期顺延，承包人应于28日内向发包人提出相关费用索赔书面申请，经发包人审核确认后，由发包人承担因提供的材料、工程设备的规格、数量或质量不符合合同约定，或因发包人原因导致交货日期延误或交货地点变更等的相关费用支付义务，因承包人未能在上述约定时间内提交书面申请的，相关费用由承包人自行承担。</w:t>
      </w:r>
    </w:p>
    <w:p w14:paraId="27B9329F">
      <w:pPr>
        <w:adjustRightInd w:val="0"/>
        <w:snapToGrid w:val="0"/>
        <w:spacing w:line="384" w:lineRule="auto"/>
        <w:ind w:firstLine="420" w:firstLineChars="200"/>
        <w:rPr>
          <w:rFonts w:hint="eastAsia" w:ascii="宋体" w:hAnsi="宋体" w:cs="宋体"/>
          <w:color w:val="auto"/>
          <w:kern w:val="0"/>
          <w:highlight w:val="none"/>
          <w:u w:val="single"/>
        </w:rPr>
      </w:pPr>
      <w:r>
        <w:rPr>
          <w:rFonts w:hint="eastAsia" w:ascii="宋体" w:hAnsi="宋体" w:cs="宋体"/>
          <w:color w:val="auto"/>
          <w:kern w:val="0"/>
          <w:highlight w:val="none"/>
        </w:rPr>
        <w:t>（5）因发包人违反合同约定造成暂停施工的违约责任：</w:t>
      </w:r>
      <w:r>
        <w:rPr>
          <w:rFonts w:hint="eastAsia" w:ascii="宋体" w:hAnsi="宋体" w:eastAsia="宋体" w:cs="宋体"/>
          <w:color w:val="auto"/>
          <w:kern w:val="0"/>
          <w:szCs w:val="21"/>
          <w:highlight w:val="none"/>
          <w:u w:val="single"/>
        </w:rPr>
        <w:t>工期顺延，承包人应于28日内向发包人提出相关费用索赔书面申请，经发包人审核确认后，由发包人承担因违反合同约定造成暂停施工的相关费用支付义务，因承办人未能在上述约定时间内提交书面申请的，相关费用由承包人自行承担。</w:t>
      </w:r>
    </w:p>
    <w:p w14:paraId="1D1D87AB">
      <w:pPr>
        <w:adjustRightInd w:val="0"/>
        <w:snapToGrid w:val="0"/>
        <w:spacing w:line="384" w:lineRule="auto"/>
        <w:ind w:firstLine="420" w:firstLineChars="200"/>
        <w:rPr>
          <w:rFonts w:hint="eastAsia" w:ascii="宋体" w:hAnsi="宋体" w:eastAsia="宋体" w:cs="宋体"/>
          <w:color w:val="auto"/>
          <w:kern w:val="0"/>
          <w:szCs w:val="21"/>
          <w:highlight w:val="none"/>
          <w:u w:val="single"/>
        </w:rPr>
      </w:pPr>
      <w:r>
        <w:rPr>
          <w:rFonts w:hint="eastAsia" w:ascii="宋体" w:hAnsi="宋体" w:cs="宋体"/>
          <w:color w:val="auto"/>
          <w:kern w:val="0"/>
          <w:highlight w:val="none"/>
        </w:rPr>
        <w:t>（6）发包人无正当理由没有在约定期限内发出复工指示，导致承包人无法复工的违约责任：</w:t>
      </w:r>
      <w:r>
        <w:rPr>
          <w:rFonts w:hint="eastAsia" w:ascii="宋体" w:hAnsi="宋体" w:cs="宋体"/>
          <w:color w:val="auto"/>
          <w:kern w:val="0"/>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eastAsia="宋体" w:cs="宋体"/>
          <w:color w:val="auto"/>
          <w:kern w:val="0"/>
          <w:szCs w:val="21"/>
          <w:highlight w:val="none"/>
          <w:u w:val="single"/>
        </w:rPr>
        <w:t>发包人以书面通知承包人复工日期，竣工日期相应顺延；承包人应于收到发包人书面通知后28日内向发包人提出书面申请，经发包人审核确认后，由发包人承担因无正当理由没有在约定期限内发出复工指示、导致承包人无法复工的相关费用支付义务，因承包人未能在上述约定时间内提交书面申请的，相关费用由承包人自行承担。</w:t>
      </w:r>
    </w:p>
    <w:p w14:paraId="751C83CC">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（7）其他：</w:t>
      </w:r>
      <w:r>
        <w:rPr>
          <w:rFonts w:hint="eastAsia" w:ascii="宋体" w:hAnsi="宋体" w:cs="宋体"/>
          <w:color w:val="auto"/>
          <w:szCs w:val="21"/>
          <w:highlight w:val="none"/>
          <w:u w:val="single"/>
        </w:rPr>
        <w:t xml:space="preserve"> </w:t>
      </w:r>
      <w:r>
        <w:rPr>
          <w:rFonts w:hint="eastAsia" w:ascii="宋体" w:hAnsi="宋体" w:eastAsia="宋体" w:cs="宋体"/>
          <w:color w:val="auto"/>
          <w:kern w:val="0"/>
          <w:szCs w:val="21"/>
          <w:highlight w:val="none"/>
          <w:u w:val="single"/>
        </w:rPr>
        <w:t>双方通过协商方式解决。</w:t>
      </w:r>
    </w:p>
    <w:p w14:paraId="23AF119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16.1.3 因发包人违约解除合同</w:t>
      </w:r>
    </w:p>
    <w:p w14:paraId="6832B3F8">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承包人按16.1.1项〔发包人违约的情形〕约定暂停施工满</w:t>
      </w:r>
      <w:r>
        <w:rPr>
          <w:rFonts w:hint="eastAsia" w:ascii="宋体" w:hAnsi="宋体" w:cs="宋体"/>
          <w:color w:val="auto"/>
          <w:szCs w:val="21"/>
          <w:highlight w:val="none"/>
          <w:u w:val="single"/>
        </w:rPr>
        <w:t>28</w:t>
      </w:r>
      <w:r>
        <w:rPr>
          <w:rFonts w:hint="eastAsia" w:ascii="宋体" w:hAnsi="宋体" w:cs="宋体"/>
          <w:color w:val="auto"/>
          <w:kern w:val="0"/>
          <w:highlight w:val="none"/>
        </w:rPr>
        <w:t>天后发包人仍不纠正其违约行为并致使合同目的不能实现的，承包人有权解除合同。</w:t>
      </w:r>
    </w:p>
    <w:p w14:paraId="25726A65">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16.2 承包人违约</w:t>
      </w:r>
    </w:p>
    <w:p w14:paraId="714B1066">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16.2.1 承包人违约的情形</w:t>
      </w:r>
    </w:p>
    <w:p w14:paraId="009BF900">
      <w:pPr>
        <w:adjustRightInd w:val="0"/>
        <w:snapToGrid w:val="0"/>
        <w:spacing w:line="384" w:lineRule="auto"/>
        <w:ind w:firstLine="420" w:firstLineChars="200"/>
        <w:rPr>
          <w:rFonts w:hint="eastAsia" w:ascii="宋体" w:hAnsi="宋体" w:cs="宋体"/>
          <w:color w:val="auto"/>
          <w:kern w:val="0"/>
          <w:highlight w:val="none"/>
          <w:u w:val="single"/>
        </w:rPr>
      </w:pPr>
      <w:r>
        <w:rPr>
          <w:rFonts w:hint="eastAsia" w:ascii="宋体" w:hAnsi="宋体" w:cs="宋体"/>
          <w:color w:val="auto"/>
          <w:kern w:val="0"/>
          <w:highlight w:val="none"/>
        </w:rPr>
        <w:t>承包人违约的其他情形：</w:t>
      </w:r>
      <w:r>
        <w:rPr>
          <w:rFonts w:hint="eastAsia" w:ascii="宋体" w:hAnsi="宋体" w:cs="宋体"/>
          <w:color w:val="auto"/>
          <w:kern w:val="0"/>
          <w:highlight w:val="none"/>
          <w:u w:val="single"/>
        </w:rPr>
        <w:t xml:space="preserve">    </w:t>
      </w:r>
      <w:r>
        <w:rPr>
          <w:rFonts w:hint="eastAsia" w:ascii="宋体" w:hAnsi="宋体" w:cs="宋体"/>
          <w:color w:val="auto"/>
          <w:kern w:val="0"/>
          <w:szCs w:val="21"/>
          <w:highlight w:val="none"/>
          <w:u w:val="single"/>
        </w:rPr>
        <w:t>执行通用条款</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75EE7EB6">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16.2.2 承包人违约的责任</w:t>
      </w:r>
    </w:p>
    <w:p w14:paraId="0978D9BA">
      <w:pPr>
        <w:adjustRightInd w:val="0"/>
        <w:snapToGrid w:val="0"/>
        <w:spacing w:line="384" w:lineRule="auto"/>
        <w:ind w:firstLine="420" w:firstLineChars="200"/>
        <w:rPr>
          <w:rFonts w:hint="eastAsia" w:ascii="宋体" w:hAnsi="宋体" w:eastAsia="宋体" w:cs="宋体"/>
          <w:color w:val="auto"/>
          <w:kern w:val="0"/>
          <w:szCs w:val="21"/>
          <w:highlight w:val="none"/>
          <w:u w:val="single"/>
        </w:rPr>
      </w:pPr>
      <w:r>
        <w:rPr>
          <w:rFonts w:hint="eastAsia" w:ascii="宋体" w:hAnsi="宋体" w:cs="宋体"/>
          <w:color w:val="auto"/>
          <w:kern w:val="0"/>
          <w:highlight w:val="none"/>
        </w:rPr>
        <w:t>承包人违约责任的承担方式和计算方法：</w:t>
      </w:r>
      <w:r>
        <w:rPr>
          <w:rFonts w:hint="eastAsia" w:ascii="宋体" w:hAnsi="宋体" w:cs="宋体"/>
          <w:b/>
          <w:color w:val="auto"/>
          <w:highlight w:val="none"/>
          <w:u w:val="single"/>
        </w:rPr>
        <w:t xml:space="preserve"> 由承包人承担全部费用并承担相关法律责任 </w:t>
      </w:r>
    </w:p>
    <w:p w14:paraId="7C0CF69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16.2.3 因承包人违约解除合同</w:t>
      </w:r>
    </w:p>
    <w:p w14:paraId="45179852">
      <w:pPr>
        <w:adjustRightInd w:val="0"/>
        <w:snapToGrid w:val="0"/>
        <w:spacing w:line="384" w:lineRule="auto"/>
        <w:ind w:firstLine="420" w:firstLineChars="200"/>
        <w:rPr>
          <w:rFonts w:hint="eastAsia" w:ascii="宋体" w:hAnsi="宋体" w:cs="宋体"/>
          <w:color w:val="auto"/>
          <w:kern w:val="0"/>
          <w:highlight w:val="none"/>
          <w:u w:val="single"/>
        </w:rPr>
      </w:pPr>
      <w:r>
        <w:rPr>
          <w:rFonts w:hint="eastAsia" w:ascii="宋体" w:hAnsi="宋体" w:cs="宋体"/>
          <w:color w:val="auto"/>
          <w:kern w:val="0"/>
          <w:highlight w:val="none"/>
        </w:rPr>
        <w:t>关于承包人违约解除合同的特别约定：</w:t>
      </w:r>
      <w:r>
        <w:rPr>
          <w:rFonts w:hint="eastAsia" w:ascii="宋体" w:hAnsi="宋体" w:cs="宋体"/>
          <w:color w:val="auto"/>
          <w:kern w:val="0"/>
          <w:highlight w:val="none"/>
          <w:u w:val="single"/>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除专用条款约定情形外，其余</w:t>
      </w:r>
      <w:r>
        <w:rPr>
          <w:rFonts w:hint="eastAsia" w:ascii="宋体" w:hAnsi="宋体" w:eastAsia="宋体" w:cs="宋体"/>
          <w:color w:val="auto"/>
          <w:kern w:val="0"/>
          <w:szCs w:val="21"/>
          <w:highlight w:val="none"/>
          <w:u w:val="single"/>
        </w:rPr>
        <w:t>执行通用条款</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0ECB5D86">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highlight w:val="none"/>
          <w:u w:val="single"/>
        </w:rPr>
        <w:t xml:space="preserve"> </w:t>
      </w:r>
      <w:r>
        <w:rPr>
          <w:rFonts w:hint="eastAsia" w:ascii="宋体" w:hAnsi="宋体" w:eastAsia="宋体" w:cs="宋体"/>
          <w:color w:val="auto"/>
          <w:kern w:val="0"/>
          <w:szCs w:val="21"/>
          <w:highlight w:val="none"/>
          <w:u w:val="single"/>
          <w:lang w:val="en-US" w:eastAsia="zh-CN"/>
        </w:rPr>
        <w:t>承包人承担费用</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407165D4">
      <w:pPr>
        <w:keepNext/>
        <w:keepLines/>
        <w:adjustRightInd w:val="0"/>
        <w:snapToGrid w:val="0"/>
        <w:spacing w:line="384" w:lineRule="auto"/>
        <w:jc w:val="left"/>
        <w:outlineLvl w:val="2"/>
        <w:rPr>
          <w:rFonts w:hint="eastAsia" w:ascii="宋体" w:hAnsi="宋体" w:cs="宋体"/>
          <w:bCs/>
          <w:color w:val="auto"/>
          <w:sz w:val="24"/>
          <w:highlight w:val="none"/>
        </w:rPr>
      </w:pPr>
      <w:bookmarkStart w:id="1298" w:name="_Toc351203649"/>
      <w:bookmarkStart w:id="1299" w:name="_Toc95223482"/>
      <w:r>
        <w:rPr>
          <w:rFonts w:hint="eastAsia" w:ascii="宋体" w:hAnsi="宋体" w:cs="宋体"/>
          <w:bCs/>
          <w:color w:val="auto"/>
          <w:sz w:val="24"/>
          <w:highlight w:val="none"/>
        </w:rPr>
        <w:t>17. 不可抗力</w:t>
      </w:r>
      <w:bookmarkEnd w:id="1298"/>
      <w:bookmarkEnd w:id="1299"/>
      <w:r>
        <w:rPr>
          <w:rFonts w:hint="eastAsia" w:ascii="宋体" w:hAnsi="宋体" w:cs="宋体"/>
          <w:bCs/>
          <w:color w:val="auto"/>
          <w:sz w:val="24"/>
          <w:highlight w:val="none"/>
        </w:rPr>
        <w:t xml:space="preserve"> </w:t>
      </w:r>
      <w:bookmarkEnd w:id="1296"/>
    </w:p>
    <w:p w14:paraId="3C920739">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17.1 不可抗力的确认</w:t>
      </w:r>
    </w:p>
    <w:p w14:paraId="543031B7">
      <w:pPr>
        <w:adjustRightInd w:val="0"/>
        <w:snapToGrid w:val="0"/>
        <w:spacing w:line="384" w:lineRule="auto"/>
        <w:ind w:firstLine="420" w:firstLineChars="200"/>
        <w:rPr>
          <w:rFonts w:hint="eastAsia" w:ascii="宋体" w:hAnsi="宋体" w:cs="宋体"/>
          <w:b/>
          <w:color w:val="auto"/>
          <w:highlight w:val="none"/>
          <w:u w:val="single"/>
        </w:rPr>
      </w:pPr>
      <w:r>
        <w:rPr>
          <w:rFonts w:hint="eastAsia" w:ascii="宋体" w:hAnsi="宋体" w:cs="宋体"/>
          <w:color w:val="auto"/>
          <w:highlight w:val="none"/>
        </w:rPr>
        <w:t>除通用合同条款约定的不可抗力事件之外，视为不可抗力的其他情形：</w:t>
      </w:r>
      <w:r>
        <w:rPr>
          <w:rFonts w:hint="eastAsia" w:ascii="宋体" w:hAnsi="宋体" w:cs="宋体"/>
          <w:color w:val="auto"/>
          <w:szCs w:val="21"/>
          <w:highlight w:val="none"/>
          <w:u w:val="single"/>
        </w:rPr>
        <w:t>执行通用条款</w:t>
      </w:r>
      <w:r>
        <w:rPr>
          <w:rFonts w:hint="eastAsia" w:ascii="宋体" w:hAnsi="宋体" w:cs="宋体"/>
          <w:color w:val="auto"/>
          <w:szCs w:val="21"/>
          <w:highlight w:val="none"/>
        </w:rPr>
        <w:t>。</w:t>
      </w:r>
    </w:p>
    <w:p w14:paraId="181F7553">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17.4 因不可抗力解除合同</w:t>
      </w:r>
    </w:p>
    <w:p w14:paraId="0DCC3E5F">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合同解除后，发包人应在商定或确定发包人应支付款项后</w:t>
      </w:r>
      <w:r>
        <w:rPr>
          <w:rFonts w:hint="eastAsia" w:ascii="宋体" w:hAnsi="宋体" w:cs="宋体"/>
          <w:color w:val="auto"/>
          <w:szCs w:val="21"/>
          <w:highlight w:val="none"/>
          <w:u w:val="single"/>
        </w:rPr>
        <w:t>28</w:t>
      </w:r>
      <w:r>
        <w:rPr>
          <w:rFonts w:hint="eastAsia" w:ascii="宋体" w:hAnsi="宋体" w:cs="宋体"/>
          <w:color w:val="auto"/>
          <w:highlight w:val="none"/>
        </w:rPr>
        <w:t>天内完成款项的支付。</w:t>
      </w:r>
    </w:p>
    <w:p w14:paraId="11679BDB">
      <w:pPr>
        <w:keepNext/>
        <w:keepLines/>
        <w:adjustRightInd w:val="0"/>
        <w:snapToGrid w:val="0"/>
        <w:spacing w:line="384" w:lineRule="auto"/>
        <w:jc w:val="left"/>
        <w:outlineLvl w:val="2"/>
        <w:rPr>
          <w:rFonts w:hint="eastAsia" w:ascii="宋体" w:hAnsi="宋体" w:cs="宋体"/>
          <w:bCs/>
          <w:color w:val="auto"/>
          <w:sz w:val="24"/>
          <w:highlight w:val="none"/>
        </w:rPr>
      </w:pPr>
      <w:bookmarkStart w:id="1300" w:name="_Toc95223483"/>
      <w:bookmarkStart w:id="1301" w:name="_Toc351203650"/>
      <w:r>
        <w:rPr>
          <w:rFonts w:hint="eastAsia" w:ascii="宋体" w:hAnsi="宋体" w:cs="宋体"/>
          <w:bCs/>
          <w:color w:val="auto"/>
          <w:sz w:val="24"/>
          <w:highlight w:val="none"/>
        </w:rPr>
        <w:t>18. 保险</w:t>
      </w:r>
      <w:bookmarkEnd w:id="1300"/>
      <w:bookmarkEnd w:id="1301"/>
    </w:p>
    <w:bookmarkEnd w:id="1297"/>
    <w:p w14:paraId="613F3BDD">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18.1 工程保险</w:t>
      </w:r>
    </w:p>
    <w:p w14:paraId="4D4ABE93">
      <w:pPr>
        <w:adjustRightInd w:val="0"/>
        <w:snapToGrid w:val="0"/>
        <w:spacing w:line="384" w:lineRule="auto"/>
        <w:ind w:firstLine="420" w:firstLineChars="200"/>
        <w:rPr>
          <w:rFonts w:hint="eastAsia" w:ascii="宋体" w:hAnsi="宋体" w:eastAsia="宋体" w:cs="宋体"/>
          <w:color w:val="auto"/>
          <w:kern w:val="0"/>
          <w:szCs w:val="21"/>
          <w:highlight w:val="none"/>
          <w:u w:val="single"/>
          <w:lang w:val="en-US" w:eastAsia="zh-CN"/>
        </w:rPr>
      </w:pPr>
      <w:r>
        <w:rPr>
          <w:rFonts w:hint="eastAsia" w:ascii="宋体" w:hAnsi="宋体" w:cs="宋体"/>
          <w:color w:val="auto"/>
          <w:highlight w:val="none"/>
        </w:rPr>
        <w:t>关于工程保险的特别约定：</w:t>
      </w:r>
      <w:r>
        <w:rPr>
          <w:rFonts w:hint="eastAsia" w:ascii="宋体" w:hAnsi="宋体" w:eastAsia="宋体" w:cs="宋体"/>
          <w:color w:val="auto"/>
          <w:kern w:val="0"/>
          <w:szCs w:val="21"/>
          <w:highlight w:val="none"/>
          <w:u w:val="single"/>
          <w:lang w:val="en-US" w:eastAsia="zh-CN"/>
        </w:rPr>
        <w:t>承包人应遵守保险的条件，并对未保险的超出部分及保险责任以外的部分所发生的索赔和责任负责。此外，承包人应以自己的费用与保险人谈判解决所有索赔事项，并应向发包人、保险人或保险代理人提供所要求的一切文件和资料，以便保险安排、更新、保持及索赔能以实施</w:t>
      </w:r>
    </w:p>
    <w:p w14:paraId="37E79735">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18.3 其他保险</w:t>
      </w:r>
    </w:p>
    <w:p w14:paraId="4A9AF939">
      <w:pPr>
        <w:adjustRightInd w:val="0"/>
        <w:snapToGrid w:val="0"/>
        <w:spacing w:line="384" w:lineRule="auto"/>
        <w:ind w:firstLine="420" w:firstLineChars="200"/>
        <w:rPr>
          <w:rFonts w:hint="eastAsia" w:ascii="宋体" w:hAnsi="宋体" w:eastAsia="宋体" w:cs="宋体"/>
          <w:color w:val="auto"/>
          <w:kern w:val="0"/>
          <w:highlight w:val="none"/>
          <w:lang w:val="en-US" w:eastAsia="zh-CN"/>
        </w:rPr>
      </w:pPr>
      <w:r>
        <w:rPr>
          <w:rFonts w:hint="eastAsia" w:ascii="宋体" w:hAnsi="宋体" w:cs="宋体"/>
          <w:color w:val="auto"/>
          <w:highlight w:val="none"/>
        </w:rPr>
        <w:t>关于其他保险的约定：</w:t>
      </w:r>
      <w:r>
        <w:rPr>
          <w:rFonts w:hint="eastAsia" w:ascii="宋体" w:hAnsi="宋体" w:eastAsia="宋体" w:cs="宋体"/>
          <w:color w:val="auto"/>
          <w:kern w:val="0"/>
          <w:szCs w:val="21"/>
          <w:highlight w:val="none"/>
          <w:u w:val="single"/>
        </w:rPr>
        <w:t>执行国家、省、市有关规定</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szCs w:val="21"/>
          <w:highlight w:val="none"/>
          <w:u w:val="single"/>
        </w:rPr>
        <w:t>承包人须为其施工现场的全部人员办理意外伤害保险并支付保险费，包括其员工及为履行合同聘请的第三方的人员</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cs="宋体"/>
          <w:color w:val="auto"/>
          <w:kern w:val="0"/>
          <w:highlight w:val="none"/>
        </w:rPr>
        <w:t>。</w:t>
      </w:r>
    </w:p>
    <w:p w14:paraId="54C14455">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承包人是否应为其施工设备等办理财产保险：</w:t>
      </w:r>
      <w:r>
        <w:rPr>
          <w:rFonts w:hint="eastAsia" w:ascii="宋体" w:hAnsi="宋体" w:cs="宋体"/>
          <w:color w:val="auto"/>
          <w:szCs w:val="21"/>
          <w:highlight w:val="none"/>
          <w:u w:val="single"/>
        </w:rPr>
        <w:t>执行通用条款</w:t>
      </w:r>
      <w:r>
        <w:rPr>
          <w:rFonts w:hint="eastAsia" w:ascii="宋体" w:hAnsi="宋体" w:cs="宋体"/>
          <w:color w:val="auto"/>
          <w:highlight w:val="none"/>
        </w:rPr>
        <w:t>。</w:t>
      </w:r>
    </w:p>
    <w:p w14:paraId="3EB6F8C0">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18.7 通知义务</w:t>
      </w:r>
    </w:p>
    <w:p w14:paraId="777A8F05">
      <w:pPr>
        <w:adjustRightInd w:val="0"/>
        <w:snapToGrid w:val="0"/>
        <w:spacing w:line="384" w:lineRule="auto"/>
        <w:ind w:firstLine="420" w:firstLineChars="200"/>
        <w:rPr>
          <w:rFonts w:hint="eastAsia" w:ascii="宋体" w:hAnsi="宋体" w:cs="宋体"/>
          <w:b/>
          <w:color w:val="auto"/>
          <w:highlight w:val="none"/>
          <w:u w:val="single"/>
        </w:rPr>
      </w:pPr>
      <w:r>
        <w:rPr>
          <w:rFonts w:hint="eastAsia" w:ascii="宋体" w:hAnsi="宋体" w:cs="宋体"/>
          <w:color w:val="auto"/>
          <w:kern w:val="0"/>
          <w:highlight w:val="none"/>
        </w:rPr>
        <w:t>关于变更保险合同时的通知义务的约定：</w:t>
      </w:r>
      <w:r>
        <w:rPr>
          <w:rFonts w:hint="eastAsia" w:ascii="宋体" w:hAnsi="宋体" w:cs="宋体"/>
          <w:color w:val="auto"/>
          <w:szCs w:val="21"/>
          <w:highlight w:val="none"/>
          <w:u w:val="single"/>
        </w:rPr>
        <w:t>执行通用条款</w:t>
      </w:r>
      <w:r>
        <w:rPr>
          <w:rFonts w:hint="eastAsia" w:ascii="宋体" w:hAnsi="宋体" w:cs="宋体"/>
          <w:color w:val="auto"/>
          <w:szCs w:val="21"/>
          <w:highlight w:val="none"/>
        </w:rPr>
        <w:t>。</w:t>
      </w:r>
    </w:p>
    <w:bookmarkEnd w:id="1272"/>
    <w:bookmarkEnd w:id="1273"/>
    <w:bookmarkEnd w:id="1274"/>
    <w:bookmarkEnd w:id="1275"/>
    <w:bookmarkEnd w:id="1276"/>
    <w:bookmarkEnd w:id="1277"/>
    <w:bookmarkEnd w:id="1278"/>
    <w:bookmarkEnd w:id="1279"/>
    <w:bookmarkEnd w:id="1280"/>
    <w:bookmarkEnd w:id="1281"/>
    <w:bookmarkEnd w:id="1282"/>
    <w:bookmarkEnd w:id="1283"/>
    <w:p w14:paraId="5035A60F">
      <w:pPr>
        <w:keepNext/>
        <w:keepLines/>
        <w:adjustRightInd w:val="0"/>
        <w:snapToGrid w:val="0"/>
        <w:spacing w:line="384" w:lineRule="auto"/>
        <w:jc w:val="left"/>
        <w:outlineLvl w:val="2"/>
        <w:rPr>
          <w:rFonts w:hint="eastAsia" w:ascii="宋体" w:hAnsi="宋体" w:cs="宋体"/>
          <w:bCs/>
          <w:color w:val="auto"/>
          <w:sz w:val="24"/>
          <w:highlight w:val="none"/>
        </w:rPr>
      </w:pPr>
      <w:bookmarkStart w:id="1302" w:name="_Toc351203651"/>
      <w:bookmarkStart w:id="1303" w:name="_Toc95223484"/>
      <w:r>
        <w:rPr>
          <w:rFonts w:hint="eastAsia" w:ascii="宋体" w:hAnsi="宋体" w:cs="宋体"/>
          <w:bCs/>
          <w:color w:val="auto"/>
          <w:sz w:val="24"/>
          <w:highlight w:val="none"/>
        </w:rPr>
        <w:t>20. 争议解决</w:t>
      </w:r>
      <w:bookmarkEnd w:id="1302"/>
      <w:bookmarkEnd w:id="1303"/>
    </w:p>
    <w:bookmarkEnd w:id="1284"/>
    <w:bookmarkEnd w:id="1285"/>
    <w:p w14:paraId="0A7B6744">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20.3 争</w:t>
      </w:r>
      <w:bookmarkEnd w:id="1286"/>
      <w:r>
        <w:rPr>
          <w:rFonts w:hint="eastAsia" w:ascii="宋体" w:hAnsi="宋体" w:cs="宋体"/>
          <w:bCs/>
          <w:color w:val="auto"/>
          <w:szCs w:val="28"/>
          <w:highlight w:val="none"/>
        </w:rPr>
        <w:t>议评审</w:t>
      </w:r>
    </w:p>
    <w:p w14:paraId="0E6EC486">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合同当事人是否同意将工程争议提交争议评审小组决定：</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不采用</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57D9BAE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20.3.1 争议评审小组的确定</w:t>
      </w:r>
    </w:p>
    <w:p w14:paraId="4625FA4D">
      <w:pPr>
        <w:adjustRightInd w:val="0"/>
        <w:snapToGrid w:val="0"/>
        <w:spacing w:line="384"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争议评审小组成员的确定：</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D6AD6C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选定争议评审员的期限：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kern w:val="2"/>
          <w:sz w:val="21"/>
          <w:szCs w:val="24"/>
          <w:highlight w:val="none"/>
          <w:u w:val="single"/>
          <w:lang w:val="en-US" w:eastAsia="zh-CN" w:bidi="ar-SA"/>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C108001">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争议评审小组成员的报酬承担方式：</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22643C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其他事项的约定：</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97223A4">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20.3.2 争议评审小组的决定</w:t>
      </w:r>
    </w:p>
    <w:p w14:paraId="2BD455BD">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合同当事人关于本项的约定：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6CEA651">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20.4 仲裁或诉讼</w:t>
      </w:r>
      <w:bookmarkEnd w:id="1287"/>
    </w:p>
    <w:p w14:paraId="11C6BD86">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因合同及合同有关事项发生的争议，按下列第</w:t>
      </w:r>
      <w:r>
        <w:rPr>
          <w:rFonts w:hint="eastAsia" w:ascii="宋体" w:hAnsi="宋体" w:cs="宋体"/>
          <w:b/>
          <w:color w:val="auto"/>
          <w:highlight w:val="none"/>
          <w:u w:val="single"/>
        </w:rPr>
        <w:t xml:space="preserve">  </w:t>
      </w:r>
      <w:r>
        <w:rPr>
          <w:rFonts w:hint="eastAsia" w:ascii="宋体" w:hAnsi="宋体" w:cs="宋体"/>
          <w:b/>
          <w:color w:val="auto"/>
          <w:highlight w:val="none"/>
          <w:u w:val="single"/>
          <w:lang w:eastAsia="zh-CN"/>
        </w:rPr>
        <w:t>（</w:t>
      </w:r>
      <w:r>
        <w:rPr>
          <w:rFonts w:hint="eastAsia" w:ascii="宋体" w:hAnsi="宋体" w:cs="宋体"/>
          <w:b/>
          <w:color w:val="auto"/>
          <w:highlight w:val="none"/>
          <w:u w:val="single"/>
          <w:lang w:val="en-US" w:eastAsia="zh-CN"/>
        </w:rPr>
        <w:t>2）</w:t>
      </w:r>
      <w:r>
        <w:rPr>
          <w:rFonts w:hint="eastAsia" w:ascii="宋体" w:hAnsi="宋体" w:cs="宋体"/>
          <w:b/>
          <w:color w:val="auto"/>
          <w:highlight w:val="none"/>
          <w:u w:val="single"/>
        </w:rPr>
        <w:t xml:space="preserve">  </w:t>
      </w:r>
      <w:r>
        <w:rPr>
          <w:rFonts w:hint="eastAsia" w:ascii="宋体" w:hAnsi="宋体" w:cs="宋体"/>
          <w:color w:val="auto"/>
          <w:highlight w:val="none"/>
        </w:rPr>
        <w:t>种方式解决：</w:t>
      </w:r>
    </w:p>
    <w:p w14:paraId="340D4F3C">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（1）向</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滁州市</w:t>
      </w:r>
      <w:r>
        <w:rPr>
          <w:rFonts w:hint="eastAsia" w:ascii="宋体" w:hAnsi="宋体" w:cs="宋体"/>
          <w:color w:val="auto"/>
          <w:szCs w:val="21"/>
          <w:highlight w:val="none"/>
          <w:u w:val="single"/>
        </w:rPr>
        <w:t xml:space="preserve">  </w:t>
      </w:r>
      <w:r>
        <w:rPr>
          <w:rFonts w:hint="eastAsia" w:ascii="宋体" w:hAnsi="宋体" w:cs="宋体"/>
          <w:color w:val="auto"/>
          <w:highlight w:val="none"/>
        </w:rPr>
        <w:t>仲裁委员会申请仲裁；</w:t>
      </w:r>
    </w:p>
    <w:p w14:paraId="1A1710FA">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（2）向</w:t>
      </w:r>
      <w:r>
        <w:rPr>
          <w:rFonts w:hint="eastAsia" w:ascii="宋体" w:hAnsi="宋体" w:cs="宋体"/>
          <w:color w:val="auto"/>
          <w:szCs w:val="21"/>
          <w:highlight w:val="none"/>
          <w:u w:val="single"/>
          <w:lang w:val="en-US" w:eastAsia="zh-CN"/>
        </w:rPr>
        <w:t xml:space="preserve"> 项目所在地 </w:t>
      </w:r>
      <w:r>
        <w:rPr>
          <w:rFonts w:hint="eastAsia" w:ascii="宋体" w:hAnsi="宋体" w:cs="宋体"/>
          <w:color w:val="auto"/>
          <w:highlight w:val="none"/>
        </w:rPr>
        <w:t>人民法院起诉。</w:t>
      </w:r>
      <w:bookmarkEnd w:id="1288"/>
      <w:bookmarkEnd w:id="1289"/>
      <w:bookmarkEnd w:id="1290"/>
      <w:bookmarkEnd w:id="1291"/>
      <w:bookmarkEnd w:id="1292"/>
      <w:bookmarkEnd w:id="1293"/>
    </w:p>
    <w:p w14:paraId="06F4FE64">
      <w:pPr>
        <w:keepNext/>
        <w:keepLines/>
        <w:adjustRightInd w:val="0"/>
        <w:snapToGrid w:val="0"/>
        <w:spacing w:line="384" w:lineRule="auto"/>
        <w:jc w:val="left"/>
        <w:outlineLvl w:val="2"/>
        <w:rPr>
          <w:rFonts w:hint="eastAsia" w:ascii="宋体" w:hAnsi="宋体" w:cs="宋体"/>
          <w:color w:val="auto"/>
          <w:highlight w:val="none"/>
        </w:rPr>
      </w:pPr>
      <w:bookmarkStart w:id="1304" w:name="_Toc95223485"/>
      <w:r>
        <w:rPr>
          <w:rFonts w:hint="eastAsia" w:ascii="宋体" w:hAnsi="宋体" w:cs="宋体"/>
          <w:color w:val="auto"/>
          <w:highlight w:val="none"/>
        </w:rPr>
        <w:t>21. 补充条款</w:t>
      </w:r>
      <w:bookmarkEnd w:id="1304"/>
      <w:r>
        <w:rPr>
          <w:rFonts w:hint="eastAsia" w:ascii="宋体" w:hAnsi="宋体" w:cs="宋体"/>
          <w:color w:val="auto"/>
          <w:highlight w:val="none"/>
        </w:rPr>
        <w:t xml:space="preserve"> </w:t>
      </w:r>
    </w:p>
    <w:p w14:paraId="29423A82">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本补充条款是专用条款的一部分，其解释顺序优先于专用条款内的其他条款。</w:t>
      </w:r>
    </w:p>
    <w:p w14:paraId="7E8A41FA">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21.1 人员及职责</w:t>
      </w:r>
    </w:p>
    <w:p w14:paraId="73578BCB">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21.1.1 发包人委派的发包人代表或监理工程师（以下简称“工程师”）无权更改合同，也无权解除发包人和承包人的义务和责任。</w:t>
      </w:r>
    </w:p>
    <w:p w14:paraId="6EDA0FCE">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21.1.2 发包人代表的任何批准、检查、证书、同意、通知、建议、检验、指令和要求等不解除承包人在合同中的责任。</w:t>
      </w:r>
    </w:p>
    <w:p w14:paraId="1AE7530D">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21.1.3 承包人只能从发包人代表或其授权代表处接受指令。</w:t>
      </w:r>
    </w:p>
    <w:p w14:paraId="185ACD06">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21.1.4 发包人如需更换发包人代表须提前7天通知承包人。</w:t>
      </w:r>
    </w:p>
    <w:p w14:paraId="61FC7A3D">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21.1.5 投标人委任的项目经理、项目技术负责人、各专业负责人（其他主要管理人员和技术人员）及施工机械等在整个项目施工期内必须在位。</w:t>
      </w:r>
    </w:p>
    <w:p w14:paraId="4E538C24">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承包人的项目经理离开现场的，须经发包人代表同意，并书面指定临时代表，代为行使项目经理的权力；该临时代表的一切行为，甲方均认为是项目经理的行为。</w:t>
      </w:r>
    </w:p>
    <w:p w14:paraId="627BD3E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21.1.6 承包人提交发包人的任何文件，发包人都认为该文件已经承包人内部程序批准；承包人提交的文件发生修改的，应及时将最新版本提交发包人代表。</w:t>
      </w:r>
    </w:p>
    <w:p w14:paraId="642C4BDC">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21.1.7 承包人应始终采取一切合理防范措施来避免在项目人员内部发生违法、动乱或妨碍治安的行为，保持项目的安定；并保护好现场和周围的人员和财产安全。</w:t>
      </w:r>
    </w:p>
    <w:p w14:paraId="6E1A1FA9">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21.1.8 承包人雇佣职员或工人应遵守相关法律法规的规定。</w:t>
      </w:r>
    </w:p>
    <w:p w14:paraId="427C9D6B">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21.1.9 参与本项目的承包人代表或其雇员不遵守合同规定或一贯行为不轨或或不能胜任工作或危害安全，发包人代表有权要求更换；原人选未经发包人许可不得再进入本项目（包括项目经理在内）。</w:t>
      </w:r>
    </w:p>
    <w:p w14:paraId="56AD7AA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21.1.10 承包人更换项目经理的，须提前14天通知发包人，并征得发包人同意；该行为视为违约，承包人须支付发包人</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 xml:space="preserve"> </w:t>
      </w:r>
      <w:r>
        <w:rPr>
          <w:rFonts w:hint="eastAsia" w:ascii="宋体" w:hAnsi="宋体" w:cs="宋体"/>
          <w:color w:val="auto"/>
          <w:highlight w:val="none"/>
        </w:rPr>
        <w:t>万元违约金。更换后的项目经理资历、水平不得降低。</w:t>
      </w:r>
    </w:p>
    <w:p w14:paraId="72AEE4BA">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21.2 变更与调整</w:t>
      </w:r>
    </w:p>
    <w:p w14:paraId="1944F2AB">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21.2.1 在工程移交前，发包人代表有权签发变更指令，承包人应按照指令来实施变更，并进行工期和费用的估算，提交发包人代表。</w:t>
      </w:r>
    </w:p>
    <w:p w14:paraId="1D87A5D8">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21.2.2 发包人代表收到承包人的估算后，可以决定撤销、修改或确认实施该项变更。</w:t>
      </w:r>
    </w:p>
    <w:p w14:paraId="5215816E">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21.2.3 如果承包人认为自己的建议能缩短工期、降低工程实施或运营成本，或对业主产生其他利益，可以向发包人代表提交建议书；建议书的编制费用自理。</w:t>
      </w:r>
    </w:p>
    <w:p w14:paraId="0B5FB14F">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21.2.4 如果发包人采纳承包人的建议节省了工程费用，将给予承包人节约费用适当比例的奖励。</w:t>
      </w:r>
    </w:p>
    <w:p w14:paraId="318B5D26">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21.2.5 上一款中节省费用的计算方法为：降低的合同额度减去因变更而引起在工程质量、寿命、以及运营效率等方面为发包人带来的潜在损失。</w:t>
      </w:r>
    </w:p>
    <w:p w14:paraId="6CED2F06">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21.2.6 任何变更指令都应由发包人代表签发给承包人，承包人收到后应回函说明；涉及到费用调整的，按照相关条款执行。</w:t>
      </w:r>
    </w:p>
    <w:p w14:paraId="2EB1B78C">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21.2.7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7CC4645A">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21.2.8 未经发包人代表批准，承包人不得对工程进行任何变更。</w:t>
      </w:r>
    </w:p>
    <w:p w14:paraId="378795C1">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21.3 分包与配合</w:t>
      </w:r>
    </w:p>
    <w:p w14:paraId="54B74ACF">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21.3.1 承包人进行工程分包的，应遵守通用条款相关规定，发包人视其为承包人自行施工的工程；发包人代表对分包的同意或批准并不解除承包人的任何责任，也不代表发包人对此承担任何责任。</w:t>
      </w:r>
    </w:p>
    <w:p w14:paraId="76837FB7">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 xml:space="preserve">21.3.2 发包人分包的专业工程范围如下： </w:t>
      </w:r>
    </w:p>
    <w:p w14:paraId="5A15D858">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6437CD9B">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30F847CF">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21.3.3 发包人通过招标方式选择专业工程分包施工单位，承包人参与分包工程的招标，认可招标结果，并作为总包单位与分包工程的中标人（以下简称“分包人”）签订工程分包施工合同。</w:t>
      </w:r>
    </w:p>
    <w:p w14:paraId="2E290022">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21.3.4 发包人支付给承包人专业分包工程合同价款（不含设备价格）的</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u w:val="single"/>
          <w:lang w:val="en-US" w:eastAsia="zh-CN"/>
        </w:rPr>
        <w:t xml:space="preserve">0 </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%作为总承包服务配合费用，承包人不得向分包人收取其他费用；该项费用包括但不限于以下内容：</w:t>
      </w:r>
    </w:p>
    <w:p w14:paraId="33E1C448">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（1）乙方承担总包责任所发生的费用。</w:t>
      </w:r>
    </w:p>
    <w:p w14:paraId="3F9334B4">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（2）“分包工程”施工完毕、土建工程的收尾和修复以及使用承包人的施工所用水电管线等费用（水电费用装表计量，按照实际用量结算）。</w:t>
      </w:r>
    </w:p>
    <w:p w14:paraId="55BCD81C">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（3）分包人使用承包人现场临时工程及在用的脚手架、塔吊、施工电梯等费用。</w:t>
      </w:r>
    </w:p>
    <w:p w14:paraId="4D35FC75">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（4）分包人使用工程的施工道路，到总包单位搭伙，使用总包单位的卫生间等。</w:t>
      </w:r>
    </w:p>
    <w:p w14:paraId="0AE79366">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（5）门窗洞口、安装工程管道口、楼地面墙面凿洞、槽等的后塞及修补等，以及整个工程的安全保卫等。</w:t>
      </w:r>
    </w:p>
    <w:p w14:paraId="194C9D08">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（6）为分包人提供标高、轴线、定位，隐蔽工程指引等。</w:t>
      </w:r>
    </w:p>
    <w:p w14:paraId="18D080D7">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（7）分包人的工程资料收集整理和移交；工程质量的检验和验收。</w:t>
      </w:r>
    </w:p>
    <w:p w14:paraId="42DE2FC1">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（8）保证分包工程在施工期间有足够的工作面，保证其按时开工和连续施工，并承担因乙方原因使分包工程不能按时开工和配合不及时造成的工期延误责任。</w:t>
      </w:r>
    </w:p>
    <w:p w14:paraId="652B8BC6">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21.3.5 配合工程：是指某一位于施工现场内或现场外的工程，并非由承包人施工或总包，但与承包人的工程有一定联系，需要承包人配合的工程；配合工程如下：</w:t>
      </w:r>
    </w:p>
    <w:p w14:paraId="0F5E7C39">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u w:val="single"/>
        </w:rPr>
        <w:t xml:space="preserve">                                     </w:t>
      </w:r>
    </w:p>
    <w:p w14:paraId="4C03888D">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w:t>
      </w:r>
      <w:r>
        <w:rPr>
          <w:rFonts w:hint="eastAsia" w:ascii="宋体" w:hAnsi="宋体" w:cs="宋体"/>
          <w:color w:val="auto"/>
          <w:kern w:val="0"/>
          <w:highlight w:val="none"/>
          <w:u w:val="single"/>
        </w:rPr>
        <w:t xml:space="preserve">                                     </w:t>
      </w:r>
    </w:p>
    <w:p w14:paraId="15718E70">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21.3.6 对于配合工程，承包人除不需要承办总包责任外，其他责任和义务同分包工程；发包人给予承包人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万元作为承包人承担配合工作的配合费用。</w:t>
      </w:r>
    </w:p>
    <w:p w14:paraId="44EF443C">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21.3.7 凡在与已交工工程有关联的部位施工时，必须提前向甲方提出书面联系单，经甲方同意，并签字后方可施工。</w:t>
      </w:r>
    </w:p>
    <w:p w14:paraId="60DF327A">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21.4 结算</w:t>
      </w:r>
    </w:p>
    <w:p w14:paraId="7FBD3C1E">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21.4.1 承包人的投标报价（合同价款）是承包人基于业主提供的资料和现场数据及承包人的解释和现场考察计算出来的，覆盖了完成合同义务所包括的一切工作，不得以漏项或考虑不周提出索赔。</w:t>
      </w:r>
    </w:p>
    <w:p w14:paraId="58E2126D">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21.4.2 水电费的结算：</w:t>
      </w:r>
    </w:p>
    <w:p w14:paraId="325D755A">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（1）发包人在现场安装计量装置，承包人负责施工期间的保护，并在工程移交的同时完好地移交给发包人。</w:t>
      </w:r>
    </w:p>
    <w:p w14:paraId="5F873D45">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（2）承包人投标报价已经包含水电费用，工程结算时按照发包人实际缴纳的水电费在结算价（税前）中扣除。</w:t>
      </w:r>
    </w:p>
    <w:p w14:paraId="10B248C2">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（3）因承包人保护不善造成计量装置损坏，承包人负责修复，并承担由此造成的增加费用（包括修复费用和水电损失费用以及可能发生的罚款或其他费用）。</w:t>
      </w:r>
    </w:p>
    <w:p w14:paraId="3DB6C00F">
      <w:pPr>
        <w:adjustRightInd w:val="0"/>
        <w:snapToGrid w:val="0"/>
        <w:spacing w:line="384" w:lineRule="auto"/>
        <w:ind w:firstLine="420" w:firstLineChars="200"/>
        <w:rPr>
          <w:rFonts w:hint="eastAsia" w:ascii="宋体" w:hAnsi="宋体" w:cs="宋体"/>
          <w:color w:val="auto"/>
          <w:kern w:val="0"/>
          <w:highlight w:val="none"/>
          <w:u w:val="single" w:color="FFFFFF"/>
        </w:rPr>
      </w:pPr>
      <w:r>
        <w:rPr>
          <w:rFonts w:hint="eastAsia" w:ascii="宋体" w:hAnsi="宋体" w:cs="宋体"/>
          <w:color w:val="auto"/>
          <w:kern w:val="0"/>
          <w:highlight w:val="none"/>
          <w:u w:val="single" w:color="FFFFFF"/>
        </w:rPr>
        <w:t>21.4.3 发包人供应材料设备的结算：材料按照总价的</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u w:val="single"/>
          <w:lang w:val="en-US" w:eastAsia="zh-CN"/>
        </w:rPr>
        <w:t>/</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u w:val="single" w:color="FFFFFF"/>
        </w:rPr>
        <w:t xml:space="preserve"> %计取保管费（材料数量最多不超过设计文件的用量（可以计算定额损耗））；设备按照总价的 </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u w:val="single"/>
          <w:lang w:val="en-US" w:eastAsia="zh-CN"/>
        </w:rPr>
        <w:t>/</w:t>
      </w:r>
      <w:r>
        <w:rPr>
          <w:rFonts w:hint="eastAsia" w:ascii="宋体" w:hAnsi="宋体" w:cs="宋体"/>
          <w:color w:val="auto"/>
          <w:kern w:val="0"/>
          <w:highlight w:val="none"/>
          <w:u w:val="single" w:color="FFFFFF"/>
        </w:rPr>
        <w:t xml:space="preserve"> %计取保管费；此费用仅计取税金。</w:t>
      </w:r>
    </w:p>
    <w:p w14:paraId="48F0E9E1">
      <w:pPr>
        <w:adjustRightInd w:val="0"/>
        <w:snapToGrid w:val="0"/>
        <w:spacing w:line="384" w:lineRule="auto"/>
        <w:ind w:firstLine="422" w:firstLineChars="200"/>
        <w:rPr>
          <w:rFonts w:hint="eastAsia" w:ascii="宋体" w:hAnsi="宋体" w:cs="宋体"/>
          <w:b/>
          <w:bCs/>
          <w:color w:val="auto"/>
          <w:kern w:val="0"/>
          <w:highlight w:val="none"/>
        </w:rPr>
      </w:pPr>
      <w:r>
        <w:rPr>
          <w:rFonts w:hint="eastAsia" w:ascii="宋体" w:hAnsi="宋体" w:cs="宋体"/>
          <w:b/>
          <w:bCs/>
          <w:color w:val="auto"/>
          <w:kern w:val="0"/>
          <w:highlight w:val="none"/>
        </w:rPr>
        <w:t>21.4.4 分包工程的总承包配合费和配合工程的配合费：分包工程的总承包配合费按照分包工程价格确定，一次包死，不随分包工程结算价款的调整而调整；配合工程的配合费也一次包死；该两项费用仅计取税金</w:t>
      </w:r>
      <w:r>
        <w:rPr>
          <w:rFonts w:hint="eastAsia" w:ascii="宋体" w:hAnsi="宋体" w:cs="宋体"/>
          <w:b/>
          <w:bCs/>
          <w:color w:val="auto"/>
          <w:kern w:val="0"/>
          <w:highlight w:val="none"/>
          <w:lang w:eastAsia="zh-CN"/>
        </w:rPr>
        <w:t>。</w:t>
      </w:r>
    </w:p>
    <w:p w14:paraId="196440F7">
      <w:pPr>
        <w:adjustRightInd w:val="0"/>
        <w:snapToGrid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21.4.5对于发包人提供的工程量清单中的单项子目，承包人没有报价的，发包人认为视同该项价格已经包括在其他项目中。</w:t>
      </w:r>
    </w:p>
    <w:p w14:paraId="30144915">
      <w:pPr>
        <w:adjustRightInd w:val="0"/>
        <w:snapToGrid w:val="0"/>
        <w:spacing w:line="360" w:lineRule="auto"/>
        <w:rPr>
          <w:rFonts w:hint="eastAsia" w:ascii="宋体" w:hAnsi="宋体" w:cs="宋体"/>
          <w:b/>
          <w:color w:val="auto"/>
          <w:highlight w:val="none"/>
        </w:rPr>
      </w:pPr>
    </w:p>
    <w:p w14:paraId="4F3804CC">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发包人：  (公章)                           承包人：  (公章)</w:t>
      </w:r>
    </w:p>
    <w:p w14:paraId="66F09F93">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法定代表人或其委托代理人：                 法定代表人或其委托代理人：</w:t>
      </w:r>
    </w:p>
    <w:p w14:paraId="307594FC">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（签字）                                  （签字）</w:t>
      </w:r>
    </w:p>
    <w:p w14:paraId="6832CF98">
      <w:pPr>
        <w:adjustRightInd w:val="0"/>
        <w:snapToGrid w:val="0"/>
        <w:spacing w:line="360" w:lineRule="auto"/>
        <w:rPr>
          <w:rFonts w:hint="eastAsia" w:ascii="宋体" w:hAnsi="宋体" w:cs="宋体"/>
          <w:color w:val="auto"/>
          <w:highlight w:val="none"/>
          <w:u w:val="single"/>
        </w:rPr>
      </w:pPr>
      <w:r>
        <w:rPr>
          <w:rFonts w:hint="eastAsia" w:ascii="宋体" w:hAnsi="宋体" w:cs="宋体"/>
          <w:color w:val="auto"/>
          <w:highlight w:val="none"/>
        </w:rPr>
        <w:t>组织机构代码：</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组织机构代码：</w:t>
      </w:r>
      <w:r>
        <w:rPr>
          <w:rFonts w:hint="eastAsia" w:ascii="宋体" w:hAnsi="宋体" w:cs="宋体"/>
          <w:color w:val="auto"/>
          <w:highlight w:val="none"/>
          <w:u w:val="single"/>
        </w:rPr>
        <w:t xml:space="preserve">          </w:t>
      </w:r>
    </w:p>
    <w:p w14:paraId="4069DA80">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地  址：</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地  址：</w:t>
      </w:r>
      <w:r>
        <w:rPr>
          <w:rFonts w:hint="eastAsia" w:ascii="宋体" w:hAnsi="宋体" w:cs="宋体"/>
          <w:color w:val="auto"/>
          <w:highlight w:val="none"/>
          <w:u w:val="single"/>
        </w:rPr>
        <w:t xml:space="preserve">                  </w:t>
      </w:r>
    </w:p>
    <w:p w14:paraId="418AEB41">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邮政编码：</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邮政编码：</w:t>
      </w:r>
      <w:r>
        <w:rPr>
          <w:rFonts w:hint="eastAsia" w:ascii="宋体" w:hAnsi="宋体" w:cs="宋体"/>
          <w:color w:val="auto"/>
          <w:highlight w:val="none"/>
          <w:u w:val="single"/>
        </w:rPr>
        <w:t xml:space="preserve">                   </w:t>
      </w:r>
    </w:p>
    <w:p w14:paraId="188C8E75">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法定代表人：</w:t>
      </w:r>
      <w:r>
        <w:rPr>
          <w:rFonts w:hint="eastAsia" w:ascii="宋体" w:hAnsi="宋体" w:cs="宋体"/>
          <w:color w:val="auto"/>
          <w:highlight w:val="none"/>
          <w:u w:val="single"/>
        </w:rPr>
        <w:t xml:space="preserve">            </w:t>
      </w:r>
      <w:r>
        <w:rPr>
          <w:rFonts w:hint="eastAsia" w:ascii="宋体" w:hAnsi="宋体" w:cs="宋体"/>
          <w:color w:val="auto"/>
          <w:highlight w:val="none"/>
        </w:rPr>
        <w:t xml:space="preserve">                法定代表人：</w:t>
      </w:r>
      <w:r>
        <w:rPr>
          <w:rFonts w:hint="eastAsia" w:ascii="宋体" w:hAnsi="宋体" w:cs="宋体"/>
          <w:color w:val="auto"/>
          <w:highlight w:val="none"/>
          <w:u w:val="single"/>
        </w:rPr>
        <w:t xml:space="preserve">            </w:t>
      </w:r>
    </w:p>
    <w:p w14:paraId="5EA6B655">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委托代理人：</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委托代理人：</w:t>
      </w:r>
      <w:r>
        <w:rPr>
          <w:rFonts w:hint="eastAsia" w:ascii="宋体" w:hAnsi="宋体" w:cs="宋体"/>
          <w:color w:val="auto"/>
          <w:highlight w:val="none"/>
          <w:u w:val="single"/>
        </w:rPr>
        <w:t xml:space="preserve">                </w:t>
      </w:r>
    </w:p>
    <w:p w14:paraId="61B450E0">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电  话：</w:t>
      </w:r>
      <w:r>
        <w:rPr>
          <w:rFonts w:hint="eastAsia" w:ascii="宋体" w:hAnsi="宋体" w:cs="宋体"/>
          <w:color w:val="auto"/>
          <w:highlight w:val="none"/>
          <w:u w:val="single"/>
        </w:rPr>
        <w:t xml:space="preserve">                     </w:t>
      </w:r>
    </w:p>
    <w:p w14:paraId="0632FDCC">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传  真：</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传  真：</w:t>
      </w:r>
      <w:r>
        <w:rPr>
          <w:rFonts w:hint="eastAsia" w:ascii="宋体" w:hAnsi="宋体" w:cs="宋体"/>
          <w:color w:val="auto"/>
          <w:highlight w:val="none"/>
          <w:u w:val="single"/>
        </w:rPr>
        <w:t xml:space="preserve">                   </w:t>
      </w:r>
    </w:p>
    <w:p w14:paraId="4A3B2E5C">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电子信箱：</w:t>
      </w:r>
      <w:r>
        <w:rPr>
          <w:rFonts w:hint="eastAsia" w:ascii="宋体" w:hAnsi="宋体" w:cs="宋体"/>
          <w:color w:val="auto"/>
          <w:highlight w:val="none"/>
          <w:u w:val="single"/>
        </w:rPr>
        <w:t xml:space="preserve">                   </w:t>
      </w:r>
    </w:p>
    <w:p w14:paraId="2CD304EF">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开户银行：</w:t>
      </w:r>
      <w:r>
        <w:rPr>
          <w:rFonts w:hint="eastAsia" w:ascii="宋体" w:hAnsi="宋体" w:cs="宋体"/>
          <w:color w:val="auto"/>
          <w:highlight w:val="none"/>
          <w:u w:val="single"/>
        </w:rPr>
        <w:t xml:space="preserve">                   </w:t>
      </w:r>
    </w:p>
    <w:p w14:paraId="065B8D49">
      <w:pPr>
        <w:adjustRightInd w:val="0"/>
        <w:snapToGrid w:val="0"/>
        <w:spacing w:line="360" w:lineRule="auto"/>
        <w:rPr>
          <w:rFonts w:hint="eastAsia" w:ascii="宋体" w:hAnsi="宋体" w:cs="宋体"/>
          <w:b/>
          <w:color w:val="auto"/>
          <w:highlight w:val="none"/>
        </w:rPr>
      </w:pPr>
      <w:r>
        <w:rPr>
          <w:rFonts w:hint="eastAsia" w:ascii="宋体" w:hAnsi="宋体" w:cs="宋体"/>
          <w:color w:val="auto"/>
          <w:highlight w:val="none"/>
        </w:rPr>
        <w:t>账  号：</w:t>
      </w:r>
      <w:r>
        <w:rPr>
          <w:rFonts w:hint="eastAsia" w:ascii="宋体" w:hAnsi="宋体" w:cs="宋体"/>
          <w:color w:val="auto"/>
          <w:highlight w:val="none"/>
          <w:u w:val="single"/>
        </w:rPr>
        <w:t xml:space="preserve">                 </w:t>
      </w:r>
      <w:r>
        <w:rPr>
          <w:rFonts w:hint="eastAsia" w:ascii="宋体" w:hAnsi="宋体" w:cs="宋体"/>
          <w:color w:val="auto"/>
          <w:highlight w:val="none"/>
        </w:rPr>
        <w:t xml:space="preserve">                账  号：</w:t>
      </w:r>
      <w:r>
        <w:rPr>
          <w:rFonts w:hint="eastAsia" w:ascii="宋体" w:hAnsi="宋体" w:cs="宋体"/>
          <w:color w:val="auto"/>
          <w:highlight w:val="none"/>
          <w:u w:val="single"/>
        </w:rPr>
        <w:t xml:space="preserve">                     </w:t>
      </w:r>
    </w:p>
    <w:p w14:paraId="57B57BAD">
      <w:pPr>
        <w:spacing w:line="360" w:lineRule="auto"/>
        <w:outlineLvl w:val="1"/>
        <w:rPr>
          <w:rFonts w:ascii="宋体" w:hAnsi="宋体" w:cs="宋体"/>
          <w:b/>
          <w:color w:val="auto"/>
          <w:highlight w:val="none"/>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p>
    <w:p w14:paraId="5482BF16">
      <w:pPr>
        <w:spacing w:line="360" w:lineRule="auto"/>
        <w:outlineLvl w:val="1"/>
        <w:rPr>
          <w:rFonts w:hint="eastAsia" w:ascii="宋体" w:hAnsi="宋体" w:cs="宋体"/>
          <w:b/>
          <w:color w:val="auto"/>
          <w:highlight w:val="none"/>
        </w:rPr>
      </w:pPr>
      <w:r>
        <w:rPr>
          <w:rFonts w:hint="eastAsia" w:ascii="宋体" w:hAnsi="宋体" w:cs="宋体"/>
          <w:b/>
          <w:color w:val="auto"/>
          <w:highlight w:val="none"/>
        </w:rPr>
        <w:t>附件</w:t>
      </w:r>
    </w:p>
    <w:p w14:paraId="21EDE6BA">
      <w:pPr>
        <w:spacing w:line="360" w:lineRule="auto"/>
        <w:rPr>
          <w:rFonts w:hint="eastAsia" w:ascii="宋体" w:hAnsi="宋体" w:cs="宋体"/>
          <w:color w:val="auto"/>
          <w:highlight w:val="none"/>
        </w:rPr>
      </w:pPr>
      <w:r>
        <w:rPr>
          <w:rFonts w:hint="eastAsia" w:ascii="宋体" w:hAnsi="宋体" w:cs="宋体"/>
          <w:color w:val="auto"/>
          <w:highlight w:val="none"/>
        </w:rPr>
        <w:t>协议书附件：</w:t>
      </w:r>
    </w:p>
    <w:p w14:paraId="2E8AA3E5">
      <w:pPr>
        <w:spacing w:line="360" w:lineRule="auto"/>
        <w:rPr>
          <w:rFonts w:hint="eastAsia" w:ascii="宋体" w:hAnsi="宋体" w:cs="宋体"/>
          <w:color w:val="auto"/>
          <w:highlight w:val="none"/>
        </w:rPr>
      </w:pPr>
      <w:r>
        <w:rPr>
          <w:rFonts w:hint="eastAsia" w:ascii="宋体" w:hAnsi="宋体" w:cs="宋体"/>
          <w:color w:val="auto"/>
          <w:highlight w:val="none"/>
        </w:rPr>
        <w:t>附件1：承包人承揽工程项目一览表</w:t>
      </w:r>
    </w:p>
    <w:p w14:paraId="7EF4CB0F">
      <w:pPr>
        <w:spacing w:line="360" w:lineRule="auto"/>
        <w:rPr>
          <w:rFonts w:hint="eastAsia" w:ascii="宋体" w:hAnsi="宋体" w:cs="宋体"/>
          <w:color w:val="auto"/>
          <w:highlight w:val="none"/>
        </w:rPr>
      </w:pPr>
      <w:r>
        <w:rPr>
          <w:rFonts w:hint="eastAsia" w:ascii="宋体" w:hAnsi="宋体" w:cs="宋体"/>
          <w:color w:val="auto"/>
          <w:highlight w:val="none"/>
        </w:rPr>
        <w:t>专用合同条款附件：</w:t>
      </w:r>
    </w:p>
    <w:p w14:paraId="4B0790C9">
      <w:pPr>
        <w:spacing w:line="360" w:lineRule="auto"/>
        <w:rPr>
          <w:rFonts w:hint="eastAsia" w:ascii="宋体" w:hAnsi="宋体" w:cs="宋体"/>
          <w:color w:val="auto"/>
          <w:highlight w:val="none"/>
        </w:rPr>
      </w:pPr>
      <w:r>
        <w:rPr>
          <w:rFonts w:hint="eastAsia" w:ascii="宋体" w:hAnsi="宋体" w:cs="宋体"/>
          <w:color w:val="auto"/>
          <w:highlight w:val="none"/>
        </w:rPr>
        <w:t>附件2：发包人供应材料设备一览表</w:t>
      </w:r>
    </w:p>
    <w:p w14:paraId="611430B1">
      <w:pPr>
        <w:spacing w:line="360" w:lineRule="auto"/>
        <w:rPr>
          <w:rFonts w:hint="eastAsia" w:ascii="宋体" w:hAnsi="宋体" w:cs="宋体"/>
          <w:color w:val="auto"/>
          <w:highlight w:val="none"/>
        </w:rPr>
      </w:pPr>
      <w:r>
        <w:rPr>
          <w:rFonts w:hint="eastAsia" w:ascii="宋体" w:hAnsi="宋体" w:cs="宋体"/>
          <w:color w:val="auto"/>
          <w:highlight w:val="none"/>
        </w:rPr>
        <w:t>附件3：工程质量保修书</w:t>
      </w:r>
    </w:p>
    <w:p w14:paraId="1C7DE6CB">
      <w:pPr>
        <w:spacing w:line="360" w:lineRule="auto"/>
        <w:rPr>
          <w:rFonts w:hint="eastAsia" w:ascii="宋体" w:hAnsi="宋体" w:cs="宋体"/>
          <w:color w:val="auto"/>
          <w:highlight w:val="none"/>
        </w:rPr>
      </w:pPr>
      <w:r>
        <w:rPr>
          <w:rFonts w:hint="eastAsia" w:ascii="宋体" w:hAnsi="宋体" w:cs="宋体"/>
          <w:color w:val="auto"/>
          <w:highlight w:val="none"/>
        </w:rPr>
        <w:t>附件4：主要建设工程文件目录</w:t>
      </w:r>
    </w:p>
    <w:p w14:paraId="272E6138">
      <w:pPr>
        <w:spacing w:line="360" w:lineRule="auto"/>
        <w:rPr>
          <w:rFonts w:hint="eastAsia" w:ascii="宋体" w:hAnsi="宋体" w:cs="宋体"/>
          <w:color w:val="auto"/>
          <w:highlight w:val="none"/>
        </w:rPr>
      </w:pPr>
      <w:r>
        <w:rPr>
          <w:rFonts w:hint="eastAsia" w:ascii="宋体" w:hAnsi="宋体" w:cs="宋体"/>
          <w:color w:val="auto"/>
          <w:highlight w:val="none"/>
        </w:rPr>
        <w:t>附件5：承包人用于本工程施工的机械设备表</w:t>
      </w:r>
    </w:p>
    <w:p w14:paraId="1F947958">
      <w:pPr>
        <w:spacing w:line="360" w:lineRule="auto"/>
        <w:rPr>
          <w:rFonts w:hint="eastAsia" w:ascii="宋体" w:hAnsi="宋体" w:cs="宋体"/>
          <w:color w:val="auto"/>
          <w:highlight w:val="none"/>
        </w:rPr>
      </w:pPr>
      <w:r>
        <w:rPr>
          <w:rFonts w:hint="eastAsia" w:ascii="宋体" w:hAnsi="宋体" w:cs="宋体"/>
          <w:color w:val="auto"/>
          <w:highlight w:val="none"/>
        </w:rPr>
        <w:t>附件6：承包人主要施工管理人员表</w:t>
      </w:r>
    </w:p>
    <w:p w14:paraId="15E5B8A7">
      <w:pPr>
        <w:spacing w:line="360" w:lineRule="auto"/>
        <w:rPr>
          <w:rFonts w:hint="eastAsia" w:ascii="宋体" w:hAnsi="宋体" w:cs="宋体"/>
          <w:color w:val="auto"/>
          <w:highlight w:val="none"/>
        </w:rPr>
      </w:pPr>
      <w:r>
        <w:rPr>
          <w:rFonts w:hint="eastAsia" w:ascii="宋体" w:hAnsi="宋体" w:cs="宋体"/>
          <w:color w:val="auto"/>
          <w:highlight w:val="none"/>
        </w:rPr>
        <w:t>附件7：分包人主要施工管理人员表</w:t>
      </w:r>
    </w:p>
    <w:p w14:paraId="10C59272">
      <w:pPr>
        <w:spacing w:line="360" w:lineRule="auto"/>
        <w:rPr>
          <w:rFonts w:hint="eastAsia" w:ascii="宋体" w:hAnsi="宋体" w:cs="宋体"/>
          <w:color w:val="auto"/>
          <w:highlight w:val="none"/>
        </w:rPr>
      </w:pPr>
      <w:r>
        <w:rPr>
          <w:rFonts w:hint="eastAsia" w:ascii="宋体" w:hAnsi="宋体" w:cs="宋体"/>
          <w:color w:val="auto"/>
          <w:highlight w:val="none"/>
        </w:rPr>
        <w:t>附件8：廉政协议</w:t>
      </w:r>
    </w:p>
    <w:p w14:paraId="4307B9FA">
      <w:pPr>
        <w:spacing w:line="360" w:lineRule="auto"/>
        <w:rPr>
          <w:rFonts w:hint="eastAsia" w:ascii="宋体" w:hAnsi="宋体" w:cs="宋体"/>
          <w:color w:val="auto"/>
          <w:highlight w:val="none"/>
        </w:rPr>
      </w:pPr>
      <w:r>
        <w:rPr>
          <w:rFonts w:hint="eastAsia" w:ascii="宋体" w:hAnsi="宋体" w:cs="宋体"/>
          <w:color w:val="auto"/>
          <w:highlight w:val="none"/>
        </w:rPr>
        <w:t>附件9：履约保证金格式</w:t>
      </w:r>
    </w:p>
    <w:p w14:paraId="29E54BC6">
      <w:pPr>
        <w:spacing w:line="360" w:lineRule="auto"/>
        <w:rPr>
          <w:rFonts w:hint="eastAsia" w:ascii="宋体" w:hAnsi="宋体" w:cs="宋体"/>
          <w:color w:val="auto"/>
          <w:highlight w:val="none"/>
        </w:rPr>
      </w:pPr>
      <w:r>
        <w:rPr>
          <w:rFonts w:hint="eastAsia" w:ascii="宋体" w:hAnsi="宋体" w:cs="宋体"/>
          <w:color w:val="auto"/>
          <w:highlight w:val="none"/>
        </w:rPr>
        <w:t>附件10：支付担保格式</w:t>
      </w:r>
    </w:p>
    <w:p w14:paraId="1C0E5B8B">
      <w:pPr>
        <w:spacing w:line="360" w:lineRule="auto"/>
        <w:rPr>
          <w:rFonts w:hint="eastAsia" w:ascii="宋体" w:hAnsi="宋体" w:cs="宋体"/>
          <w:color w:val="auto"/>
          <w:highlight w:val="none"/>
        </w:rPr>
      </w:pPr>
      <w:r>
        <w:rPr>
          <w:rFonts w:hint="eastAsia" w:ascii="宋体" w:hAnsi="宋体" w:cs="宋体"/>
          <w:color w:val="auto"/>
          <w:highlight w:val="none"/>
        </w:rPr>
        <w:t>附件11：暂估价一览表</w:t>
      </w:r>
    </w:p>
    <w:p w14:paraId="19D9BA78">
      <w:pPr>
        <w:spacing w:line="360" w:lineRule="auto"/>
        <w:rPr>
          <w:rFonts w:hint="eastAsia" w:ascii="宋体" w:hAnsi="宋体" w:cs="宋体"/>
          <w:color w:val="auto"/>
          <w:highlight w:val="none"/>
        </w:rPr>
      </w:pPr>
      <w:r>
        <w:rPr>
          <w:rFonts w:hint="eastAsia" w:ascii="宋体" w:hAnsi="宋体" w:cs="宋体"/>
          <w:color w:val="auto"/>
          <w:highlight w:val="none"/>
        </w:rPr>
        <w:t>附件12：安全生产合同</w:t>
      </w:r>
    </w:p>
    <w:p w14:paraId="54746E01">
      <w:pPr>
        <w:spacing w:line="360" w:lineRule="auto"/>
        <w:rPr>
          <w:rFonts w:hint="eastAsia" w:ascii="宋体" w:hAnsi="宋体" w:cs="宋体"/>
          <w:color w:val="auto"/>
          <w:highlight w:val="none"/>
        </w:rPr>
      </w:pPr>
      <w:r>
        <w:rPr>
          <w:rFonts w:hint="eastAsia" w:ascii="宋体" w:hAnsi="宋体" w:cs="宋体"/>
          <w:color w:val="auto"/>
          <w:highlight w:val="none"/>
        </w:rPr>
        <w:t>附件13：项目经理质量终身责任制承诺</w:t>
      </w:r>
    </w:p>
    <w:p w14:paraId="31021736">
      <w:pPr>
        <w:pStyle w:val="19"/>
        <w:ind w:left="0" w:leftChars="0" w:firstLine="0" w:firstLineChars="0"/>
        <w:rPr>
          <w:rFonts w:hint="eastAsia"/>
          <w:color w:val="auto"/>
          <w:highlight w:val="none"/>
        </w:rPr>
      </w:pPr>
      <w:r>
        <w:rPr>
          <w:rFonts w:hint="eastAsia"/>
          <w:color w:val="auto"/>
          <w:highlight w:val="none"/>
        </w:rPr>
        <w:t>附件14：联合体协议书（如有）</w:t>
      </w:r>
    </w:p>
    <w:p w14:paraId="77C6FEB5">
      <w:pPr>
        <w:rPr>
          <w:rFonts w:hint="eastAsia"/>
          <w:color w:val="auto"/>
          <w:highlight w:val="none"/>
          <w:lang w:val="en-US" w:eastAsia="zh-CN"/>
        </w:rPr>
      </w:pPr>
      <w:r>
        <w:rPr>
          <w:rFonts w:hint="eastAsia"/>
          <w:color w:val="auto"/>
          <w:highlight w:val="none"/>
          <w:lang w:val="en-US" w:eastAsia="zh-CN"/>
        </w:rPr>
        <w:t xml:space="preserve">   </w:t>
      </w:r>
    </w:p>
    <w:p w14:paraId="4A655624">
      <w:pP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br w:type="page"/>
      </w:r>
    </w:p>
    <w:p w14:paraId="42AB89D8">
      <w:pPr>
        <w:snapToGrid w:val="0"/>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其他补充条款：</w:t>
      </w:r>
    </w:p>
    <w:p w14:paraId="1152D482">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1、本工程实行跟踪审计制度，审计师的职权：1）对工程量调整及变更、签证部分的造价提出意见，并确定该部分的工程量、材料、价格等。2）对进度款的支付提出审核意见。3）参与对隐蔽工程的验收，并做好相关台帐。4）对完工的单项工程及时开展资料整理和结算，对结算价格提出审计意见。5）对监理出具的有关单据进行再监督。  </w:t>
      </w:r>
    </w:p>
    <w:p w14:paraId="7000BD87">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2、合同签订：中标通知书发出之日起，3个日历天内应委派代表与招标人联系办理履约担保并商讨书面合同签订等事宜；30个日历天内足额交纳履约保证金（投标保证金不能转为履约保证金）并根据招标文件和中标人的投标文件订立书面合同。中标人无正当理由拒签合同的，招标人将依据招投标相关法律法规进行处理；给招标人造成的损失，中标人还应当予以赔偿。 </w:t>
      </w:r>
    </w:p>
    <w:p w14:paraId="5523BADF">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3、合同签订后 30 日内配合发包人完成施工许可证办理，否则，每延期一天承包人须承担 5000 元/天的违约金（因发包人原因除外），提前不奖励。中标单位中标后，配合发包人办理前期手续时，根据实际需要增设配备符合要求的注册建造师。 </w:t>
      </w:r>
    </w:p>
    <w:p w14:paraId="5E7E9E12">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4、进场考核考勤： </w:t>
      </w:r>
    </w:p>
    <w:p w14:paraId="2D420458">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4.1人员考核：工程开工进场后，承包人必须按招标文件要求和投标承诺配备项目经理、技术负责人等施工项目部关键岗位人员。未经发包人同意，不得更换上述人员并满足《关于进一步加强建筑施工现场项目负责人变更行为管理的通知》及滁州市其他相关规定要求。发包人将组织对上述人员进行业务能力考核，对未按投标文件配备或经考核不合格要求更换人员的，承包人 7 日 内必须整改调整到位。对项目经理（建造师）和技术负责人处以</w:t>
      </w:r>
      <w:r>
        <w:rPr>
          <w:rFonts w:hint="eastAsia" w:ascii="宋体" w:hAnsi="宋体" w:cs="宋体"/>
          <w:color w:val="auto"/>
          <w:highlight w:val="none"/>
          <w:lang w:val="en-US" w:eastAsia="zh-CN"/>
        </w:rPr>
        <w:t>5000</w:t>
      </w:r>
      <w:r>
        <w:rPr>
          <w:rFonts w:hint="eastAsia" w:ascii="宋体" w:hAnsi="宋体" w:eastAsia="宋体" w:cs="宋体"/>
          <w:color w:val="auto"/>
          <w:highlight w:val="none"/>
        </w:rPr>
        <w:t>元/人·天的违约金，对项目经理（建造师）和技术负责外以外的其他管理人员处以</w:t>
      </w:r>
      <w:r>
        <w:rPr>
          <w:rFonts w:hint="eastAsia" w:ascii="宋体" w:hAnsi="宋体" w:cs="宋体"/>
          <w:color w:val="auto"/>
          <w:highlight w:val="none"/>
          <w:lang w:val="en-US" w:eastAsia="zh-CN"/>
        </w:rPr>
        <w:t>3000</w:t>
      </w:r>
      <w:r>
        <w:rPr>
          <w:rFonts w:hint="eastAsia" w:ascii="宋体" w:hAnsi="宋体" w:eastAsia="宋体" w:cs="宋体"/>
          <w:color w:val="auto"/>
          <w:highlight w:val="none"/>
        </w:rPr>
        <w:t xml:space="preserve">元/人·天的违约金。28 日内未整改调整到位的，发包人有权终止合同，并提请相关行政主管部门对企业和人员进行“黑名单”处罚。发包人在施工进场第一个月或施工过程中发现承包人转包、挂靠等行为的，发包人立即解除合同，清退出场，承包人已完合格工程量按合同价款 60%进行结算。 </w:t>
      </w:r>
    </w:p>
    <w:p w14:paraId="0DAE9FE6">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4.2人员考勤：①项目部所有管理人员上下班实行人脸识别电子考勤，人脸识别电子考勤系统设备必须与招标人现行使用的监管平台无缝对接。②监管平台设备及人脸识别电子考勤系统设备，承包人可以租赁或购买，但租赁或购买费用由承包人在投标报价时自行考虑，含在投标报价中，招标人将不再支付任何费用。③监管平台考勤范围为本项目监理部和项目部所有管理人员，监管平台信息及数据录入（包括质量、进度、安全、施工许可办理等）均由监理单位负责。④项目经理（建造师）每月在岗时间不得少于22天，每天不少于8小时，其他管理人员每月在岗时间不得少于25天，每天不少于8小时。未按规定在岗履责的，对项目经理（建造师）和技术负责人处以2000元/人·天的违约金，对项目经理（建造师）和技术负责外以外的其他管理人员处以1000元/人·天的违约金。 </w:t>
      </w:r>
    </w:p>
    <w:p w14:paraId="05A918C5">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4.3在经开区及各级相关部门现场检查过程中发现项目经理（建造师）、技术负责人、安全员、质检员等主要管理人员未按合同约定在岗三次及以上的，将上报建设行政主管部门依法依规处理，并在相关信用信息平台披露。 </w:t>
      </w:r>
    </w:p>
    <w:p w14:paraId="59C61CD2">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4.4中标人未能按照承诺到岗尽职的，招标人将视情况严重程度对其作出相应处理，给予警告并发出整改通知。如仍未及时整改，招标人有权责令其停工整改、直至终止合同，招标人还将停止支付工程款项，扣留任何未付的工程进度款项补偿建设单位的有关损失或工期延误的损失，并就此向承包单位索赔。</w:t>
      </w:r>
    </w:p>
    <w:p w14:paraId="1EABDE3E">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5、工程进度管理</w:t>
      </w:r>
    </w:p>
    <w:p w14:paraId="4651E351">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5.1工程有下列原因影响合同工期的，由承包人提出，经发包人批准可顺延合同工期：（1）土地和房屋征收进度不符合施工要求，涉铁路、涉部队、涉供电等影响施工；（2）因地震、洪涝灾害、突发重大事件等不可抗力影响施工；（3）因规划设计调整或重大变更，对工期造成影响的；（4）其它非承包人原因影响工期的。承包人未提出工期顺延的申请或申请未经批准的，工期不予顺延。</w:t>
      </w:r>
    </w:p>
    <w:p w14:paraId="7E3C0AA8">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5.2因承包人原因造成合同工期延误，每延误一天，处以</w:t>
      </w:r>
      <w:r>
        <w:rPr>
          <w:rFonts w:hint="eastAsia" w:ascii="宋体" w:hAnsi="宋体" w:cs="宋体"/>
          <w:color w:val="auto"/>
          <w:highlight w:val="none"/>
          <w:lang w:val="en-US" w:eastAsia="zh-CN"/>
        </w:rPr>
        <w:t>10000</w:t>
      </w:r>
      <w:r>
        <w:rPr>
          <w:rFonts w:hint="eastAsia" w:ascii="宋体" w:hAnsi="宋体" w:eastAsia="宋体" w:cs="宋体"/>
          <w:color w:val="auto"/>
          <w:highlight w:val="none"/>
        </w:rPr>
        <w:t xml:space="preserve">元违约金。月工程量未完成的当期不得请款，当月未完成的工程量纳入下月一并完成，完不成的仍不予请款，依次类推。5.3对严重拖延工期，经发包人多次督促，承包人拒不整改或整改不到位的，招标人可终止施工合同，同时处以合同金额×2%×50%的金额作为违约金，另选施工队伍，承包人须无条件配合，不得以任何借口阻挠另选的施工队伍施工，不得向发包人提出任何索赔要求。 </w:t>
      </w:r>
    </w:p>
    <w:p w14:paraId="6CF65D9B">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6、工程质量管理</w:t>
      </w:r>
    </w:p>
    <w:p w14:paraId="09BFBEDE">
      <w:pPr>
        <w:spacing w:line="500" w:lineRule="exact"/>
        <w:jc w:val="left"/>
        <w:rPr>
          <w:rFonts w:hint="eastAsia" w:ascii="宋体" w:hAnsi="宋体" w:eastAsia="宋体" w:cs="宋体"/>
          <w:color w:val="auto"/>
          <w:highlight w:val="none"/>
          <w:lang w:val="zh-CN"/>
        </w:rPr>
      </w:pPr>
      <w:r>
        <w:rPr>
          <w:rFonts w:hint="eastAsia" w:ascii="宋体" w:hAnsi="宋体" w:eastAsia="宋体" w:cs="宋体"/>
          <w:color w:val="auto"/>
          <w:highlight w:val="none"/>
        </w:rPr>
        <w:t>6.1</w:t>
      </w:r>
      <w:r>
        <w:rPr>
          <w:rFonts w:hint="eastAsia" w:ascii="宋体" w:hAnsi="宋体" w:eastAsia="宋体" w:cs="宋体"/>
          <w:color w:val="auto"/>
          <w:highlight w:val="none"/>
          <w:lang w:val="zh-CN"/>
        </w:rPr>
        <w:t>承包人被发包人项目组日常检查、专项检查或第三方巡查等检查出未按设计文件和相关规范施工，存在质量</w:t>
      </w:r>
      <w:r>
        <w:rPr>
          <w:rFonts w:hint="eastAsia" w:ascii="宋体" w:hAnsi="宋体" w:eastAsia="宋体" w:cs="宋体"/>
          <w:color w:val="auto"/>
          <w:highlight w:val="none"/>
        </w:rPr>
        <w:t>问题</w:t>
      </w:r>
      <w:r>
        <w:rPr>
          <w:rFonts w:hint="eastAsia" w:ascii="宋体" w:hAnsi="宋体" w:eastAsia="宋体" w:cs="宋体"/>
          <w:color w:val="auto"/>
          <w:highlight w:val="none"/>
          <w:lang w:val="zh-CN"/>
        </w:rPr>
        <w:t>的，</w:t>
      </w:r>
      <w:r>
        <w:rPr>
          <w:rFonts w:hint="eastAsia" w:ascii="宋体" w:hAnsi="宋体" w:eastAsia="宋体" w:cs="宋体"/>
          <w:color w:val="auto"/>
          <w:highlight w:val="none"/>
        </w:rPr>
        <w:t>由监理单位记录错误细节，每次处以2000元罚款，直接纳入近期付款申请兑现。</w:t>
      </w:r>
    </w:p>
    <w:p w14:paraId="74926B8A">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6.2质量缺陷责任期内出现质量问题，发包人书面通知承包人，在规定时间内不及时处理的，发包人有权直接委托其他单位进行维修，相关费用直接从工程质保金中支付。 </w:t>
      </w:r>
    </w:p>
    <w:p w14:paraId="626EFE35">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7、安全文明管理</w:t>
      </w:r>
    </w:p>
    <w:p w14:paraId="2B13B893">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7.1承包人必须确保安全文明施工，严格执行国家、安徽省、滁州市的相关规定，同时遵守建设单位对安全文明施工的相关要求。经检查，达不到相关规定和要求的，由项目组及时下发整改通知书，拒不整改或限期整改不到位的，处以承包人2000元/项/次的违约金。施工现场卫生保洁自开工之日起至工程竣工移交结束，切实做好项目管理人员和工人宿舍安全、卫生工作。 </w:t>
      </w:r>
    </w:p>
    <w:p w14:paraId="12AA89DF">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7.2按关于印发《滁州市建筑工地围挡提档升级标准》的通知（建质﹝2022﹞34 号文）执行。 </w:t>
      </w:r>
    </w:p>
    <w:p w14:paraId="7CA9C030">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8、扬尘治理</w:t>
      </w:r>
    </w:p>
    <w:p w14:paraId="2085C947">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8.1严格执行《安徽省建筑工程施工扬尘污染防治规定》、《滁州市城市扬尘管理办法》和《滁州市建筑工程施工扬尘污染防治实施细则》等相关规定。对违反规定或经检查达不到规定和要求，被相关部门批评、曝光、通报的，处以承包人 10000 元/次的违约金。 </w:t>
      </w:r>
    </w:p>
    <w:p w14:paraId="01ED41DC">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9、农民工工资支付</w:t>
      </w:r>
    </w:p>
    <w:p w14:paraId="46786DF0">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9.1承包人在工程实施过程中的用工行为，必须严格按照《保障农民工工资支付条例》（国务院令 第 724 号）、《安徽省人民政府办公厅关于全面治理拖欠农民工工资问题的实施意见》（皖政办〔2016〕22 号）以及《贯彻落实&lt;工程建设领域农民工工资专用账户管理暂行办法&gt;的通知》（皖人社发〔2022〕5 号）、《安徽省工程建设领域农民工工资保证金实施办法》（皖人社发 〔2022〕8号）等文件精神的有关规定，依法与招用的农民工签订劳动合同，并按规定及时足额支付工资。 </w:t>
      </w:r>
    </w:p>
    <w:p w14:paraId="2C232CFD">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9.2执行《关于进一步完善工程建设领域农民工工资保证金和农民工工资（劳务费）专户管理制度的实施意见》滁人社发【2019】21号，其中工资保证金和工资专户按照工程项目所在地实行属地化管理，由工程建设项目的施工总承包企业（包括直接承包建设单位发包工程的专业承包企业）缴存和开设。若为联合体中标， 由联合体中牵头人缴存和开设专户。承包人应严格遵守《政府投资工程农民工工资信访管理办法（试行）》的相关规定。 </w:t>
      </w:r>
    </w:p>
    <w:p w14:paraId="6825FEA3">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（1）凡到市经开区上访，滞留时间半个工作日（不足半个工作日以半个工作日计算），工程款支付比例在 30%-40%（含）的，按每人每半个工作日 200 元的标准给予处罚，每增加工程款支付比例 10%，每人每半个工作日处罚标准增加 100 元，依此类推。</w:t>
      </w:r>
    </w:p>
    <w:p w14:paraId="10FD54B0">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（2）凡赴市政府或市根治办上访，滞留时间半个工作日（不足半个工作日以半个工作日计算），工程款支付比例在30%-40%（含）的，按每人每半个工作日 400 元的标准给予处罚，每增加工程款支付比例 10%，每人每半个工作日处罚标准增加 200 元，依此类推。</w:t>
      </w:r>
    </w:p>
    <w:p w14:paraId="0683A206">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（3）凡赴省政府上访，滞留时间半个工作日（不足半个工作日以半个工作日计算），工程款支付比例在 30%-40%（含）的，按每人每半个工作日 600 元的标准给予处罚，每增加工程款支付比例 10%，每人每半个工作日处罚标准增加 300 元，依此类推。</w:t>
      </w:r>
    </w:p>
    <w:p w14:paraId="544AAFFC">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10、现场管理</w:t>
      </w:r>
    </w:p>
    <w:p w14:paraId="65A7BA85">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10.1</w:t>
      </w:r>
      <w:r>
        <w:rPr>
          <w:rFonts w:hint="eastAsia" w:ascii="宋体" w:hAnsi="宋体" w:eastAsia="宋体" w:cs="宋体"/>
          <w:color w:val="auto"/>
          <w:highlight w:val="none"/>
          <w:lang w:val="zh-CN"/>
        </w:rPr>
        <w:t>施工过程中，除临时办公、管理用房（施工进场前建设单位有权指定其具体位置）外，其他人员一律不得住施工现场；若发现上述问题，项目经理（建造师）负责组织、管理及清理出场。</w:t>
      </w:r>
      <w:r>
        <w:rPr>
          <w:rFonts w:hint="eastAsia" w:ascii="宋体" w:hAnsi="宋体" w:eastAsia="宋体" w:cs="宋体"/>
          <w:color w:val="auto"/>
          <w:highlight w:val="none"/>
        </w:rPr>
        <w:t xml:space="preserve"> </w:t>
      </w:r>
    </w:p>
    <w:p w14:paraId="211D0BF7">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10.2</w:t>
      </w:r>
      <w:r>
        <w:rPr>
          <w:rFonts w:hint="eastAsia" w:ascii="宋体" w:hAnsi="宋体" w:eastAsia="宋体" w:cs="宋体"/>
          <w:color w:val="auto"/>
          <w:highlight w:val="none"/>
          <w:lang w:val="zh-CN"/>
        </w:rPr>
        <w:t xml:space="preserve">投标人自行勘察施工现场情况，因投标人未踏勘现场而造成的损失由投标人承担。 </w:t>
      </w:r>
      <w:r>
        <w:rPr>
          <w:rFonts w:hint="eastAsia" w:ascii="宋体" w:hAnsi="宋体" w:eastAsia="宋体" w:cs="宋体"/>
          <w:color w:val="auto"/>
          <w:highlight w:val="none"/>
        </w:rPr>
        <w:t xml:space="preserve"> </w:t>
      </w:r>
    </w:p>
    <w:p w14:paraId="3BCAB133">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10.3</w:t>
      </w:r>
      <w:r>
        <w:rPr>
          <w:rFonts w:hint="eastAsia" w:ascii="宋体" w:hAnsi="宋体" w:eastAsia="宋体" w:cs="宋体"/>
          <w:color w:val="auto"/>
          <w:highlight w:val="none"/>
          <w:lang w:val="zh-CN"/>
        </w:rPr>
        <w:t>投标人在标前应自行踏勘现场，充分考虑难度系数和不可预见因素。施工期间的协调工作由承包人自行解决，此部分费用包含在投标报价中。</w:t>
      </w:r>
      <w:r>
        <w:rPr>
          <w:rFonts w:hint="eastAsia" w:ascii="宋体" w:hAnsi="宋体" w:eastAsia="宋体" w:cs="宋体"/>
          <w:color w:val="auto"/>
          <w:highlight w:val="none"/>
        </w:rPr>
        <w:t xml:space="preserve"> </w:t>
      </w:r>
    </w:p>
    <w:p w14:paraId="0CACE293">
      <w:pPr>
        <w:spacing w:line="500" w:lineRule="exact"/>
        <w:jc w:val="left"/>
        <w:rPr>
          <w:rFonts w:hint="eastAsia" w:ascii="宋体" w:hAnsi="宋体" w:eastAsia="宋体" w:cs="宋体"/>
          <w:color w:val="auto"/>
          <w:highlight w:val="none"/>
          <w:lang w:val="zh-CN"/>
        </w:rPr>
      </w:pPr>
      <w:r>
        <w:rPr>
          <w:rFonts w:hint="eastAsia" w:ascii="宋体" w:hAnsi="宋体" w:eastAsia="宋体" w:cs="宋体"/>
          <w:color w:val="auto"/>
          <w:highlight w:val="none"/>
        </w:rPr>
        <w:t>10.4</w:t>
      </w:r>
      <w:r>
        <w:rPr>
          <w:rFonts w:hint="eastAsia" w:ascii="宋体" w:hAnsi="宋体" w:eastAsia="宋体" w:cs="宋体"/>
          <w:color w:val="auto"/>
          <w:highlight w:val="none"/>
          <w:lang w:val="zh-CN"/>
        </w:rPr>
        <w:t>施工现场和取、弃土场内的施工便道、机械整平以及协调渣土、环保等相关部门办理相关手续、缴纳保证金及费用等由投标</w:t>
      </w:r>
      <w:r>
        <w:rPr>
          <w:rFonts w:hint="eastAsia" w:ascii="宋体" w:hAnsi="宋体" w:eastAsia="宋体" w:cs="宋体"/>
          <w:color w:val="auto"/>
          <w:highlight w:val="none"/>
        </w:rPr>
        <w:t>人</w:t>
      </w:r>
      <w:r>
        <w:rPr>
          <w:rFonts w:hint="eastAsia" w:ascii="宋体" w:hAnsi="宋体" w:eastAsia="宋体" w:cs="宋体"/>
          <w:color w:val="auto"/>
          <w:highlight w:val="none"/>
          <w:lang w:val="zh-CN"/>
        </w:rPr>
        <w:t>自行承担，此部分费用包含在投标报价中。施工渣土、淤泥、建筑垃圾等弃置点需经相关部门批准并报发包人备案后，方可施工，</w:t>
      </w:r>
      <w:r>
        <w:rPr>
          <w:rFonts w:hint="eastAsia" w:ascii="宋体" w:hAnsi="宋体" w:eastAsia="宋体" w:cs="宋体"/>
          <w:color w:val="auto"/>
          <w:highlight w:val="none"/>
          <w:lang w:val="zh-CN" w:eastAsia="zh-CN"/>
        </w:rPr>
        <w:t>不得弃在施工区域500M范围内。</w:t>
      </w:r>
      <w:r>
        <w:rPr>
          <w:rFonts w:hint="eastAsia" w:ascii="宋体" w:hAnsi="宋体" w:eastAsia="宋体" w:cs="宋体"/>
          <w:color w:val="auto"/>
          <w:highlight w:val="none"/>
          <w:lang w:val="zh-CN"/>
        </w:rPr>
        <w:t>严禁违规倾倒堆存。否则，责任自负。</w:t>
      </w:r>
    </w:p>
    <w:p w14:paraId="0AF53CAF">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10.5</w:t>
      </w:r>
      <w:r>
        <w:rPr>
          <w:rFonts w:hint="eastAsia" w:ascii="宋体" w:hAnsi="宋体" w:eastAsia="宋体" w:cs="宋体"/>
          <w:color w:val="auto"/>
          <w:highlight w:val="none"/>
          <w:lang w:val="zh-CN"/>
        </w:rPr>
        <w:t>施工过程中，严格执行国家及地方针对环保、禁噪、防尘、防护等措施，必须满足当地行政主管部门相关规定及要求。</w:t>
      </w:r>
      <w:r>
        <w:rPr>
          <w:rFonts w:hint="eastAsia" w:ascii="宋体" w:hAnsi="宋体" w:eastAsia="宋体" w:cs="宋体"/>
          <w:color w:val="auto"/>
          <w:highlight w:val="none"/>
        </w:rPr>
        <w:t xml:space="preserve"> </w:t>
      </w:r>
    </w:p>
    <w:p w14:paraId="5249FA76">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10.6</w:t>
      </w:r>
      <w:r>
        <w:rPr>
          <w:rFonts w:hint="eastAsia" w:ascii="宋体" w:hAnsi="宋体" w:eastAsia="宋体" w:cs="宋体"/>
          <w:color w:val="auto"/>
          <w:highlight w:val="none"/>
          <w:lang w:val="zh-CN"/>
        </w:rPr>
        <w:t>施工场地及周边场地、道路、绿化、管线、设施设备等，若被施工方（中标人）损坏，施工方（中标人）必须无偿按照原貌恢复。</w:t>
      </w:r>
    </w:p>
    <w:p w14:paraId="31890BB0">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10.7本项目必须按规定设置封闭围挡，费用含在投标总价中，投标人自行考虑。围挡设置必须符合相关部门要求，对于围挡的宣传标语（图案）等设置，必须按照建设单位要求进行布置，并且及时更新、更换。</w:t>
      </w:r>
    </w:p>
    <w:p w14:paraId="73A0529B">
      <w:pPr>
        <w:spacing w:line="50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10.8投标人自行勘察施工现场情况，因投标人未勘察现场而造成的损失由投标人承担。在工程建设过程中，出现质量、安全、进度、文明施工、扬尘污染、人员不在岗履职等违约行为的，招标人将给予违约处罚；如中标人拒不缴纳违约金的，招标人有权从履约保证金中直接扣除。</w:t>
      </w:r>
    </w:p>
    <w:p w14:paraId="4F16CB7B">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10.9道路、房屋等防护费用、临时设施、施工便道、场地内外的高低压线路保护、建筑物及道路等安全防护等费用由投标人自行勘察现场考虑，综合考虑在报价中，招标人不另行支付其他任何费用。 </w:t>
      </w:r>
    </w:p>
    <w:p w14:paraId="03F312ED">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10.10招标人负责提供水、电接入点，具体手续及费用由中标人负责办理，由施工单位自行解决，费用自理且投标报价时需含在投标报价中，工程量清单已考虑的除外。工程未完全交付甲方前，所有水电费用由乙方承担并管理。</w:t>
      </w:r>
    </w:p>
    <w:p w14:paraId="2865C8E3">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10.11施工现场必须采用门禁管理系统，施工现场必须采用刷脸进入，费用由中标人自行承担。 </w:t>
      </w:r>
    </w:p>
    <w:p w14:paraId="4096D37A">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10.12施工现场需专门配备定点摄像设备，采用建筑施工现场视频监控系统，便于实时监控，要求设备稳定，图像清晰，分辨率高，配备专用储存设备，15天以内的现场摄像资料必须完整保存，含在投标总报价中。 </w:t>
      </w:r>
    </w:p>
    <w:p w14:paraId="6AFD3E84">
      <w:pPr>
        <w:spacing w:line="500" w:lineRule="exact"/>
        <w:jc w:val="left"/>
        <w:rPr>
          <w:rFonts w:hint="eastAsia" w:ascii="宋体" w:hAnsi="宋体" w:eastAsia="宋体" w:cs="宋体"/>
          <w:color w:val="auto"/>
          <w:highlight w:val="none"/>
          <w:lang w:val="zh-CN"/>
        </w:rPr>
      </w:pPr>
      <w:r>
        <w:rPr>
          <w:rFonts w:hint="eastAsia" w:ascii="宋体" w:hAnsi="宋体" w:eastAsia="宋体" w:cs="宋体"/>
          <w:color w:val="auto"/>
          <w:highlight w:val="none"/>
        </w:rPr>
        <w:t>10.13中标人</w:t>
      </w:r>
      <w:r>
        <w:rPr>
          <w:rFonts w:hint="eastAsia" w:ascii="宋体" w:hAnsi="宋体" w:eastAsia="宋体" w:cs="宋体"/>
          <w:color w:val="auto"/>
          <w:highlight w:val="none"/>
          <w:lang w:val="zh-CN"/>
        </w:rPr>
        <w:t>须</w:t>
      </w:r>
      <w:r>
        <w:rPr>
          <w:rFonts w:hint="eastAsia" w:ascii="宋体" w:hAnsi="宋体" w:eastAsia="宋体" w:cs="宋体"/>
          <w:color w:val="auto"/>
          <w:highlight w:val="none"/>
        </w:rPr>
        <w:t>提供</w:t>
      </w:r>
      <w:r>
        <w:rPr>
          <w:rFonts w:hint="eastAsia" w:ascii="宋体" w:hAnsi="宋体" w:eastAsia="宋体" w:cs="宋体"/>
          <w:color w:val="auto"/>
          <w:highlight w:val="none"/>
          <w:lang w:val="zh-CN"/>
        </w:rPr>
        <w:t>室外雨污水管道全部影像检测试验合格报告。</w:t>
      </w:r>
    </w:p>
    <w:p w14:paraId="0933731A">
      <w:pPr>
        <w:spacing w:line="500" w:lineRule="exact"/>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10.14中标后，在项目建设期间，中标人向发包人指定专人配合办理相关手续。</w:t>
      </w:r>
    </w:p>
    <w:p w14:paraId="5F694F20">
      <w:pPr>
        <w:spacing w:line="500" w:lineRule="exact"/>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10.15在项目实施过程中，对园区企业既有排水支管造成损坏的，由中标单位报送修复，改线方案，报建设单位批准后实施。</w:t>
      </w:r>
    </w:p>
    <w:p w14:paraId="561CE068">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11、文明施工要求</w:t>
      </w:r>
    </w:p>
    <w:p w14:paraId="15037C37">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 11.1公共环境 </w:t>
      </w:r>
    </w:p>
    <w:p w14:paraId="74061C22">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①建筑工地采用砌体、钢结构或彩钢夹芯板等封闭管理，高度不低于 3 米；储备用地、路面施工应一律设置建筑围墙进行遮挡。环境卫生干净整洁，围墙内外无乱堆放现象，无生活垃圾；施工现场标识明显，四周设置围墙、围挡，并符合标准；施工车辆有硬化的进出通道和冲洗设备，无抛洒和污染路面现象。 </w:t>
      </w:r>
    </w:p>
    <w:p w14:paraId="7A64C0D0">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②场内设有不少于 15 米硬化面，车辆进出工地实行密闭运输，有车辆冲洗平台和冲洗设备、临时厕所、垃圾收集容器、污水处理排放系统、降尘设备等设施；场内干净整洁，机械设备、物料等摆放有序，安全施工措施到位，文明施工氛围浓厚。能够开展文明工地创建，施工噪音、粉尘等达到国家环保要求。 </w:t>
      </w:r>
    </w:p>
    <w:p w14:paraId="3638BEEB">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11.2公益宣传 </w:t>
      </w:r>
    </w:p>
    <w:p w14:paraId="3E3AD1A7">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①运用建筑围挡宣传展示社会主义核心价值观 12 个主题词、市民文明行为规范，及时更新中宣部、中央文明办发布的“讲文明树新风”、“图说我们的价值观”通稿作品以及本市自创的公益广告（建筑围挡无破墙开洞现象，公益广告无污染、破旧现象）。 </w:t>
      </w:r>
    </w:p>
    <w:p w14:paraId="56A1A86A">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②公益广告展示面积占围挡总面积的比例不少于 50%，且公益广告要与商业广告穿插展示（每3块广告中必须要有1块公益广告），且单面围挡墙体均能看到公益宣传。步行30米，达到50%面积比例</w:t>
      </w:r>
    </w:p>
    <w:p w14:paraId="14103CDC">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rPr>
        <w:t>滁州市建筑工地围挡要求</w:t>
      </w:r>
    </w:p>
    <w:p w14:paraId="227288F7">
      <w:pPr>
        <w:spacing w:line="500" w:lineRule="exact"/>
        <w:jc w:val="left"/>
        <w:rPr>
          <w:rFonts w:ascii="宋体" w:hAnsi="宋体" w:eastAsia="宋体" w:cs="宋体"/>
          <w:color w:val="auto"/>
          <w:highlight w:val="none"/>
        </w:rPr>
      </w:pPr>
      <w:r>
        <w:rPr>
          <w:rFonts w:hint="eastAsia" w:ascii="宋体" w:hAnsi="宋体" w:eastAsia="宋体" w:cs="宋体"/>
          <w:color w:val="auto"/>
          <w:highlight w:val="none"/>
        </w:rPr>
        <w:t xml:space="preserve">12.1按关于印发《滁州市建筑工地围挡提档升级标准》的通知（建质﹝2022﹞34 号文）执行。 </w:t>
      </w:r>
    </w:p>
    <w:p w14:paraId="63BD3396">
      <w:pPr>
        <w:rPr>
          <w:rFonts w:hint="eastAsia"/>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本合同文本未尽事宜，由合同签定双方在发生时具体商定</w:t>
      </w:r>
      <w:r>
        <w:rPr>
          <w:rFonts w:hint="eastAsia" w:ascii="宋体" w:hAnsi="宋体" w:eastAsia="宋体" w:cs="宋体"/>
          <w:color w:val="auto"/>
          <w:highlight w:val="none"/>
          <w:lang w:eastAsia="zh-CN"/>
        </w:rPr>
        <w:t>。</w:t>
      </w:r>
      <w:r>
        <w:rPr>
          <w:rFonts w:hint="eastAsia" w:ascii="宋体" w:hAnsi="宋体" w:eastAsia="宋体" w:cs="宋体"/>
          <w:b w:val="0"/>
          <w:color w:val="auto"/>
          <w:sz w:val="21"/>
          <w:szCs w:val="21"/>
          <w:highlight w:val="none"/>
          <w:lang w:val="en-US" w:eastAsia="zh-CN"/>
        </w:rPr>
        <w:br w:type="page"/>
      </w:r>
    </w:p>
    <w:p w14:paraId="02879CEC">
      <w:pPr>
        <w:keepNext/>
        <w:keepLines/>
        <w:spacing w:before="120" w:after="120" w:line="360" w:lineRule="auto"/>
        <w:jc w:val="left"/>
        <w:outlineLvl w:val="2"/>
        <w:rPr>
          <w:rFonts w:hint="eastAsia" w:ascii="宋体" w:hAnsi="宋体" w:cs="宋体"/>
          <w:bCs/>
          <w:color w:val="auto"/>
          <w:sz w:val="24"/>
          <w:highlight w:val="none"/>
        </w:rPr>
      </w:pPr>
      <w:bookmarkStart w:id="1305" w:name="_Toc95223486"/>
      <w:r>
        <w:rPr>
          <w:rFonts w:hint="eastAsia" w:ascii="宋体" w:hAnsi="宋体" w:cs="宋体"/>
          <w:bCs/>
          <w:color w:val="auto"/>
          <w:sz w:val="24"/>
          <w:highlight w:val="none"/>
        </w:rPr>
        <w:t>附件1：承包人承揽工程项目一览表</w:t>
      </w:r>
      <w:bookmarkEnd w:id="1305"/>
    </w:p>
    <w:p w14:paraId="0B583D90">
      <w:pPr>
        <w:spacing w:line="360" w:lineRule="auto"/>
        <w:jc w:val="center"/>
        <w:rPr>
          <w:rFonts w:hint="eastAsia" w:ascii="宋体" w:hAnsi="宋体" w:cs="宋体"/>
          <w:color w:val="auto"/>
          <w:sz w:val="22"/>
          <w:szCs w:val="21"/>
          <w:highlight w:val="none"/>
        </w:rPr>
      </w:pPr>
      <w:r>
        <w:rPr>
          <w:rFonts w:hint="eastAsia" w:ascii="宋体" w:hAnsi="宋体" w:cs="宋体"/>
          <w:color w:val="auto"/>
          <w:sz w:val="22"/>
          <w:szCs w:val="21"/>
          <w:highlight w:val="none"/>
        </w:rPr>
        <w:t>承包人承揽工程项目一览表</w:t>
      </w:r>
    </w:p>
    <w:tbl>
      <w:tblPr>
        <w:tblStyle w:val="20"/>
        <w:tblW w:w="949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134"/>
        <w:gridCol w:w="1134"/>
        <w:gridCol w:w="993"/>
        <w:gridCol w:w="708"/>
        <w:gridCol w:w="1134"/>
        <w:gridCol w:w="1134"/>
        <w:gridCol w:w="993"/>
        <w:gridCol w:w="708"/>
        <w:gridCol w:w="567"/>
      </w:tblGrid>
      <w:tr w14:paraId="61498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center"/>
          </w:tcPr>
          <w:p w14:paraId="51866035">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单位工程名称</w:t>
            </w:r>
          </w:p>
        </w:tc>
        <w:tc>
          <w:tcPr>
            <w:tcW w:w="1134" w:type="dxa"/>
            <w:tcBorders>
              <w:top w:val="single" w:color="auto" w:sz="12" w:space="0"/>
              <w:bottom w:val="double" w:color="auto" w:sz="6" w:space="0"/>
            </w:tcBorders>
            <w:noWrap w:val="0"/>
            <w:vAlign w:val="center"/>
          </w:tcPr>
          <w:p w14:paraId="5A74A8D3">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建设规模</w:t>
            </w:r>
          </w:p>
        </w:tc>
        <w:tc>
          <w:tcPr>
            <w:tcW w:w="1134" w:type="dxa"/>
            <w:tcBorders>
              <w:top w:val="single" w:color="auto" w:sz="12" w:space="0"/>
              <w:bottom w:val="double" w:color="auto" w:sz="6" w:space="0"/>
            </w:tcBorders>
            <w:noWrap w:val="0"/>
            <w:vAlign w:val="center"/>
          </w:tcPr>
          <w:p w14:paraId="0DE4B8B6">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建筑面积(平方米)</w:t>
            </w:r>
          </w:p>
        </w:tc>
        <w:tc>
          <w:tcPr>
            <w:tcW w:w="993" w:type="dxa"/>
            <w:tcBorders>
              <w:top w:val="single" w:color="auto" w:sz="12" w:space="0"/>
              <w:bottom w:val="double" w:color="auto" w:sz="6" w:space="0"/>
            </w:tcBorders>
            <w:noWrap w:val="0"/>
            <w:vAlign w:val="center"/>
          </w:tcPr>
          <w:p w14:paraId="439A81CE">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结构形式</w:t>
            </w:r>
          </w:p>
        </w:tc>
        <w:tc>
          <w:tcPr>
            <w:tcW w:w="708" w:type="dxa"/>
            <w:tcBorders>
              <w:top w:val="single" w:color="auto" w:sz="12" w:space="0"/>
              <w:bottom w:val="double" w:color="auto" w:sz="6" w:space="0"/>
            </w:tcBorders>
            <w:noWrap w:val="0"/>
            <w:vAlign w:val="center"/>
          </w:tcPr>
          <w:p w14:paraId="4AC56B00">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层数</w:t>
            </w:r>
          </w:p>
        </w:tc>
        <w:tc>
          <w:tcPr>
            <w:tcW w:w="1134" w:type="dxa"/>
            <w:tcBorders>
              <w:top w:val="single" w:color="auto" w:sz="12" w:space="0"/>
              <w:bottom w:val="double" w:color="auto" w:sz="6" w:space="0"/>
            </w:tcBorders>
            <w:noWrap w:val="0"/>
            <w:vAlign w:val="center"/>
          </w:tcPr>
          <w:p w14:paraId="6908D105">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生产能力</w:t>
            </w:r>
          </w:p>
        </w:tc>
        <w:tc>
          <w:tcPr>
            <w:tcW w:w="1134" w:type="dxa"/>
            <w:tcBorders>
              <w:top w:val="single" w:color="auto" w:sz="12" w:space="0"/>
              <w:bottom w:val="double" w:color="auto" w:sz="6" w:space="0"/>
            </w:tcBorders>
            <w:noWrap w:val="0"/>
            <w:vAlign w:val="center"/>
          </w:tcPr>
          <w:p w14:paraId="251D6BB0">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设备安装内容</w:t>
            </w:r>
          </w:p>
        </w:tc>
        <w:tc>
          <w:tcPr>
            <w:tcW w:w="993" w:type="dxa"/>
            <w:tcBorders>
              <w:top w:val="single" w:color="auto" w:sz="12" w:space="0"/>
              <w:bottom w:val="double" w:color="auto" w:sz="6" w:space="0"/>
            </w:tcBorders>
            <w:noWrap w:val="0"/>
            <w:vAlign w:val="center"/>
          </w:tcPr>
          <w:p w14:paraId="62DC7DCF">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合同价格（元）</w:t>
            </w:r>
          </w:p>
        </w:tc>
        <w:tc>
          <w:tcPr>
            <w:tcW w:w="708" w:type="dxa"/>
            <w:tcBorders>
              <w:top w:val="single" w:color="auto" w:sz="12" w:space="0"/>
              <w:bottom w:val="double" w:color="auto" w:sz="6" w:space="0"/>
            </w:tcBorders>
            <w:noWrap w:val="0"/>
            <w:vAlign w:val="center"/>
          </w:tcPr>
          <w:p w14:paraId="0D66E25D">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开工日期</w:t>
            </w:r>
          </w:p>
        </w:tc>
        <w:tc>
          <w:tcPr>
            <w:tcW w:w="567" w:type="dxa"/>
            <w:tcBorders>
              <w:top w:val="single" w:color="auto" w:sz="12" w:space="0"/>
              <w:bottom w:val="double" w:color="auto" w:sz="6" w:space="0"/>
            </w:tcBorders>
            <w:noWrap w:val="0"/>
            <w:vAlign w:val="center"/>
          </w:tcPr>
          <w:p w14:paraId="7B56B500">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竣工日期</w:t>
            </w:r>
          </w:p>
        </w:tc>
      </w:tr>
      <w:tr w14:paraId="313713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double" w:color="auto" w:sz="6" w:space="0"/>
            </w:tcBorders>
            <w:noWrap w:val="0"/>
            <w:vAlign w:val="center"/>
          </w:tcPr>
          <w:p w14:paraId="0AE8DB56">
            <w:pPr>
              <w:keepNext/>
              <w:snapToGrid w:val="0"/>
              <w:spacing w:line="360" w:lineRule="auto"/>
              <w:rPr>
                <w:rFonts w:hint="eastAsia" w:ascii="宋体" w:hAnsi="宋体" w:cs="宋体"/>
                <w:color w:val="auto"/>
                <w:sz w:val="22"/>
                <w:szCs w:val="21"/>
                <w:highlight w:val="none"/>
              </w:rPr>
            </w:pPr>
          </w:p>
        </w:tc>
        <w:tc>
          <w:tcPr>
            <w:tcW w:w="1134" w:type="dxa"/>
            <w:tcBorders>
              <w:top w:val="double" w:color="auto" w:sz="6" w:space="0"/>
            </w:tcBorders>
            <w:noWrap w:val="0"/>
            <w:vAlign w:val="center"/>
          </w:tcPr>
          <w:p w14:paraId="1DE4F1C1">
            <w:pPr>
              <w:keepNext/>
              <w:snapToGrid w:val="0"/>
              <w:spacing w:line="360" w:lineRule="auto"/>
              <w:rPr>
                <w:rFonts w:hint="eastAsia" w:ascii="宋体" w:hAnsi="宋体" w:cs="宋体"/>
                <w:color w:val="auto"/>
                <w:sz w:val="22"/>
                <w:szCs w:val="21"/>
                <w:highlight w:val="none"/>
              </w:rPr>
            </w:pPr>
          </w:p>
        </w:tc>
        <w:tc>
          <w:tcPr>
            <w:tcW w:w="1134" w:type="dxa"/>
            <w:tcBorders>
              <w:top w:val="double" w:color="auto" w:sz="6" w:space="0"/>
            </w:tcBorders>
            <w:noWrap w:val="0"/>
            <w:vAlign w:val="center"/>
          </w:tcPr>
          <w:p w14:paraId="4F0F8FB8">
            <w:pPr>
              <w:keepNext/>
              <w:snapToGrid w:val="0"/>
              <w:spacing w:line="360" w:lineRule="auto"/>
              <w:rPr>
                <w:rFonts w:hint="eastAsia" w:ascii="宋体" w:hAnsi="宋体" w:cs="宋体"/>
                <w:color w:val="auto"/>
                <w:sz w:val="22"/>
                <w:szCs w:val="21"/>
                <w:highlight w:val="none"/>
              </w:rPr>
            </w:pPr>
          </w:p>
        </w:tc>
        <w:tc>
          <w:tcPr>
            <w:tcW w:w="993" w:type="dxa"/>
            <w:tcBorders>
              <w:top w:val="double" w:color="auto" w:sz="6" w:space="0"/>
            </w:tcBorders>
            <w:noWrap w:val="0"/>
            <w:vAlign w:val="center"/>
          </w:tcPr>
          <w:p w14:paraId="0C177B7F">
            <w:pPr>
              <w:keepNext/>
              <w:snapToGrid w:val="0"/>
              <w:spacing w:line="360" w:lineRule="auto"/>
              <w:rPr>
                <w:rFonts w:hint="eastAsia" w:ascii="宋体" w:hAnsi="宋体" w:cs="宋体"/>
                <w:color w:val="auto"/>
                <w:sz w:val="22"/>
                <w:szCs w:val="21"/>
                <w:highlight w:val="none"/>
              </w:rPr>
            </w:pPr>
          </w:p>
        </w:tc>
        <w:tc>
          <w:tcPr>
            <w:tcW w:w="708" w:type="dxa"/>
            <w:tcBorders>
              <w:top w:val="double" w:color="auto" w:sz="6" w:space="0"/>
            </w:tcBorders>
            <w:noWrap w:val="0"/>
            <w:vAlign w:val="center"/>
          </w:tcPr>
          <w:p w14:paraId="45D4CFCA">
            <w:pPr>
              <w:keepNext/>
              <w:snapToGrid w:val="0"/>
              <w:spacing w:line="360" w:lineRule="auto"/>
              <w:rPr>
                <w:rFonts w:hint="eastAsia" w:ascii="宋体" w:hAnsi="宋体" w:cs="宋体"/>
                <w:color w:val="auto"/>
                <w:sz w:val="22"/>
                <w:szCs w:val="21"/>
                <w:highlight w:val="none"/>
              </w:rPr>
            </w:pPr>
          </w:p>
        </w:tc>
        <w:tc>
          <w:tcPr>
            <w:tcW w:w="1134" w:type="dxa"/>
            <w:tcBorders>
              <w:top w:val="double" w:color="auto" w:sz="6" w:space="0"/>
            </w:tcBorders>
            <w:noWrap w:val="0"/>
            <w:vAlign w:val="center"/>
          </w:tcPr>
          <w:p w14:paraId="32F345F7">
            <w:pPr>
              <w:keepNext/>
              <w:snapToGrid w:val="0"/>
              <w:spacing w:line="360" w:lineRule="auto"/>
              <w:rPr>
                <w:rFonts w:hint="eastAsia" w:ascii="宋体" w:hAnsi="宋体" w:cs="宋体"/>
                <w:color w:val="auto"/>
                <w:sz w:val="22"/>
                <w:szCs w:val="21"/>
                <w:highlight w:val="none"/>
              </w:rPr>
            </w:pPr>
          </w:p>
        </w:tc>
        <w:tc>
          <w:tcPr>
            <w:tcW w:w="1134" w:type="dxa"/>
            <w:tcBorders>
              <w:top w:val="double" w:color="auto" w:sz="6" w:space="0"/>
            </w:tcBorders>
            <w:noWrap w:val="0"/>
            <w:vAlign w:val="center"/>
          </w:tcPr>
          <w:p w14:paraId="24D19194">
            <w:pPr>
              <w:keepNext/>
              <w:snapToGrid w:val="0"/>
              <w:spacing w:line="360" w:lineRule="auto"/>
              <w:rPr>
                <w:rFonts w:hint="eastAsia" w:ascii="宋体" w:hAnsi="宋体" w:cs="宋体"/>
                <w:color w:val="auto"/>
                <w:sz w:val="22"/>
                <w:szCs w:val="21"/>
                <w:highlight w:val="none"/>
              </w:rPr>
            </w:pPr>
          </w:p>
        </w:tc>
        <w:tc>
          <w:tcPr>
            <w:tcW w:w="993" w:type="dxa"/>
            <w:tcBorders>
              <w:top w:val="double" w:color="auto" w:sz="6" w:space="0"/>
            </w:tcBorders>
            <w:noWrap w:val="0"/>
            <w:vAlign w:val="center"/>
          </w:tcPr>
          <w:p w14:paraId="2758F4C2">
            <w:pPr>
              <w:keepNext/>
              <w:snapToGrid w:val="0"/>
              <w:spacing w:line="360" w:lineRule="auto"/>
              <w:rPr>
                <w:rFonts w:hint="eastAsia" w:ascii="宋体" w:hAnsi="宋体" w:cs="宋体"/>
                <w:color w:val="auto"/>
                <w:sz w:val="22"/>
                <w:szCs w:val="21"/>
                <w:highlight w:val="none"/>
              </w:rPr>
            </w:pPr>
          </w:p>
        </w:tc>
        <w:tc>
          <w:tcPr>
            <w:tcW w:w="708" w:type="dxa"/>
            <w:tcBorders>
              <w:top w:val="double" w:color="auto" w:sz="6" w:space="0"/>
            </w:tcBorders>
            <w:noWrap w:val="0"/>
            <w:vAlign w:val="center"/>
          </w:tcPr>
          <w:p w14:paraId="2491B992">
            <w:pPr>
              <w:keepNext/>
              <w:snapToGrid w:val="0"/>
              <w:spacing w:line="360" w:lineRule="auto"/>
              <w:rPr>
                <w:rFonts w:hint="eastAsia" w:ascii="宋体" w:hAnsi="宋体" w:cs="宋体"/>
                <w:color w:val="auto"/>
                <w:sz w:val="22"/>
                <w:szCs w:val="21"/>
                <w:highlight w:val="none"/>
              </w:rPr>
            </w:pPr>
          </w:p>
        </w:tc>
        <w:tc>
          <w:tcPr>
            <w:tcW w:w="567" w:type="dxa"/>
            <w:tcBorders>
              <w:top w:val="double" w:color="auto" w:sz="6" w:space="0"/>
            </w:tcBorders>
            <w:noWrap w:val="0"/>
            <w:vAlign w:val="center"/>
          </w:tcPr>
          <w:p w14:paraId="59A26F4A">
            <w:pPr>
              <w:keepNext/>
              <w:snapToGrid w:val="0"/>
              <w:spacing w:line="360" w:lineRule="auto"/>
              <w:rPr>
                <w:rFonts w:hint="eastAsia" w:ascii="宋体" w:hAnsi="宋体" w:cs="宋体"/>
                <w:color w:val="auto"/>
                <w:sz w:val="22"/>
                <w:szCs w:val="21"/>
                <w:highlight w:val="none"/>
              </w:rPr>
            </w:pPr>
          </w:p>
        </w:tc>
      </w:tr>
      <w:tr w14:paraId="37643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nil"/>
            </w:tcBorders>
            <w:noWrap w:val="0"/>
            <w:vAlign w:val="center"/>
          </w:tcPr>
          <w:p w14:paraId="7B9706FF">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56B9BAC1">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3B2A6878">
            <w:pPr>
              <w:keepNext/>
              <w:snapToGrid w:val="0"/>
              <w:spacing w:line="360" w:lineRule="auto"/>
              <w:rPr>
                <w:rFonts w:hint="eastAsia" w:ascii="宋体" w:hAnsi="宋体" w:cs="宋体"/>
                <w:color w:val="auto"/>
                <w:sz w:val="22"/>
                <w:szCs w:val="21"/>
                <w:highlight w:val="none"/>
              </w:rPr>
            </w:pPr>
          </w:p>
        </w:tc>
        <w:tc>
          <w:tcPr>
            <w:tcW w:w="993" w:type="dxa"/>
            <w:tcBorders>
              <w:top w:val="nil"/>
            </w:tcBorders>
            <w:noWrap w:val="0"/>
            <w:vAlign w:val="center"/>
          </w:tcPr>
          <w:p w14:paraId="60D7AD5A">
            <w:pPr>
              <w:keepNext/>
              <w:snapToGrid w:val="0"/>
              <w:spacing w:line="360" w:lineRule="auto"/>
              <w:rPr>
                <w:rFonts w:hint="eastAsia" w:ascii="宋体" w:hAnsi="宋体" w:cs="宋体"/>
                <w:color w:val="auto"/>
                <w:sz w:val="22"/>
                <w:szCs w:val="21"/>
                <w:highlight w:val="none"/>
              </w:rPr>
            </w:pPr>
          </w:p>
        </w:tc>
        <w:tc>
          <w:tcPr>
            <w:tcW w:w="708" w:type="dxa"/>
            <w:tcBorders>
              <w:top w:val="nil"/>
            </w:tcBorders>
            <w:noWrap w:val="0"/>
            <w:vAlign w:val="center"/>
          </w:tcPr>
          <w:p w14:paraId="615E66FF">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7A9BBBE3">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7075F040">
            <w:pPr>
              <w:keepNext/>
              <w:snapToGrid w:val="0"/>
              <w:spacing w:line="360" w:lineRule="auto"/>
              <w:rPr>
                <w:rFonts w:hint="eastAsia" w:ascii="宋体" w:hAnsi="宋体" w:cs="宋体"/>
                <w:color w:val="auto"/>
                <w:sz w:val="22"/>
                <w:szCs w:val="21"/>
                <w:highlight w:val="none"/>
              </w:rPr>
            </w:pPr>
          </w:p>
        </w:tc>
        <w:tc>
          <w:tcPr>
            <w:tcW w:w="993" w:type="dxa"/>
            <w:tcBorders>
              <w:top w:val="nil"/>
            </w:tcBorders>
            <w:noWrap w:val="0"/>
            <w:vAlign w:val="center"/>
          </w:tcPr>
          <w:p w14:paraId="3C07996B">
            <w:pPr>
              <w:keepNext/>
              <w:snapToGrid w:val="0"/>
              <w:spacing w:line="360" w:lineRule="auto"/>
              <w:rPr>
                <w:rFonts w:hint="eastAsia" w:ascii="宋体" w:hAnsi="宋体" w:cs="宋体"/>
                <w:color w:val="auto"/>
                <w:sz w:val="22"/>
                <w:szCs w:val="21"/>
                <w:highlight w:val="none"/>
              </w:rPr>
            </w:pPr>
          </w:p>
        </w:tc>
        <w:tc>
          <w:tcPr>
            <w:tcW w:w="708" w:type="dxa"/>
            <w:tcBorders>
              <w:top w:val="nil"/>
            </w:tcBorders>
            <w:noWrap w:val="0"/>
            <w:vAlign w:val="center"/>
          </w:tcPr>
          <w:p w14:paraId="4FC3B831">
            <w:pPr>
              <w:keepNext/>
              <w:snapToGrid w:val="0"/>
              <w:spacing w:line="360" w:lineRule="auto"/>
              <w:rPr>
                <w:rFonts w:hint="eastAsia" w:ascii="宋体" w:hAnsi="宋体" w:cs="宋体"/>
                <w:color w:val="auto"/>
                <w:sz w:val="22"/>
                <w:szCs w:val="21"/>
                <w:highlight w:val="none"/>
              </w:rPr>
            </w:pPr>
          </w:p>
        </w:tc>
        <w:tc>
          <w:tcPr>
            <w:tcW w:w="567" w:type="dxa"/>
            <w:tcBorders>
              <w:top w:val="nil"/>
            </w:tcBorders>
            <w:noWrap w:val="0"/>
            <w:vAlign w:val="center"/>
          </w:tcPr>
          <w:p w14:paraId="6824DB61">
            <w:pPr>
              <w:keepNext/>
              <w:snapToGrid w:val="0"/>
              <w:spacing w:line="360" w:lineRule="auto"/>
              <w:rPr>
                <w:rFonts w:hint="eastAsia" w:ascii="宋体" w:hAnsi="宋体" w:cs="宋体"/>
                <w:color w:val="auto"/>
                <w:sz w:val="22"/>
                <w:szCs w:val="21"/>
                <w:highlight w:val="none"/>
              </w:rPr>
            </w:pPr>
          </w:p>
        </w:tc>
      </w:tr>
      <w:tr w14:paraId="55F22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nil"/>
            </w:tcBorders>
            <w:noWrap w:val="0"/>
            <w:vAlign w:val="center"/>
          </w:tcPr>
          <w:p w14:paraId="2FA52199">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32C95274">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632C16BE">
            <w:pPr>
              <w:keepNext/>
              <w:snapToGrid w:val="0"/>
              <w:spacing w:line="360" w:lineRule="auto"/>
              <w:rPr>
                <w:rFonts w:hint="eastAsia" w:ascii="宋体" w:hAnsi="宋体" w:cs="宋体"/>
                <w:color w:val="auto"/>
                <w:sz w:val="22"/>
                <w:szCs w:val="21"/>
                <w:highlight w:val="none"/>
              </w:rPr>
            </w:pPr>
          </w:p>
        </w:tc>
        <w:tc>
          <w:tcPr>
            <w:tcW w:w="993" w:type="dxa"/>
            <w:tcBorders>
              <w:top w:val="nil"/>
            </w:tcBorders>
            <w:noWrap w:val="0"/>
            <w:vAlign w:val="center"/>
          </w:tcPr>
          <w:p w14:paraId="194294A2">
            <w:pPr>
              <w:keepNext/>
              <w:snapToGrid w:val="0"/>
              <w:spacing w:line="360" w:lineRule="auto"/>
              <w:rPr>
                <w:rFonts w:hint="eastAsia" w:ascii="宋体" w:hAnsi="宋体" w:cs="宋体"/>
                <w:color w:val="auto"/>
                <w:sz w:val="22"/>
                <w:szCs w:val="21"/>
                <w:highlight w:val="none"/>
              </w:rPr>
            </w:pPr>
          </w:p>
        </w:tc>
        <w:tc>
          <w:tcPr>
            <w:tcW w:w="708" w:type="dxa"/>
            <w:tcBorders>
              <w:top w:val="nil"/>
            </w:tcBorders>
            <w:noWrap w:val="0"/>
            <w:vAlign w:val="center"/>
          </w:tcPr>
          <w:p w14:paraId="1B1B5CD3">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6D028D10">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4B5663F4">
            <w:pPr>
              <w:keepNext/>
              <w:snapToGrid w:val="0"/>
              <w:spacing w:line="360" w:lineRule="auto"/>
              <w:rPr>
                <w:rFonts w:hint="eastAsia" w:ascii="宋体" w:hAnsi="宋体" w:cs="宋体"/>
                <w:color w:val="auto"/>
                <w:sz w:val="22"/>
                <w:szCs w:val="21"/>
                <w:highlight w:val="none"/>
              </w:rPr>
            </w:pPr>
          </w:p>
        </w:tc>
        <w:tc>
          <w:tcPr>
            <w:tcW w:w="993" w:type="dxa"/>
            <w:tcBorders>
              <w:top w:val="nil"/>
            </w:tcBorders>
            <w:noWrap w:val="0"/>
            <w:vAlign w:val="center"/>
          </w:tcPr>
          <w:p w14:paraId="70B56AFD">
            <w:pPr>
              <w:keepNext/>
              <w:snapToGrid w:val="0"/>
              <w:spacing w:line="360" w:lineRule="auto"/>
              <w:rPr>
                <w:rFonts w:hint="eastAsia" w:ascii="宋体" w:hAnsi="宋体" w:cs="宋体"/>
                <w:color w:val="auto"/>
                <w:sz w:val="22"/>
                <w:szCs w:val="21"/>
                <w:highlight w:val="none"/>
              </w:rPr>
            </w:pPr>
          </w:p>
        </w:tc>
        <w:tc>
          <w:tcPr>
            <w:tcW w:w="708" w:type="dxa"/>
            <w:tcBorders>
              <w:top w:val="nil"/>
            </w:tcBorders>
            <w:noWrap w:val="0"/>
            <w:vAlign w:val="center"/>
          </w:tcPr>
          <w:p w14:paraId="38EF50C9">
            <w:pPr>
              <w:keepNext/>
              <w:snapToGrid w:val="0"/>
              <w:spacing w:line="360" w:lineRule="auto"/>
              <w:rPr>
                <w:rFonts w:hint="eastAsia" w:ascii="宋体" w:hAnsi="宋体" w:cs="宋体"/>
                <w:color w:val="auto"/>
                <w:sz w:val="22"/>
                <w:szCs w:val="21"/>
                <w:highlight w:val="none"/>
              </w:rPr>
            </w:pPr>
          </w:p>
        </w:tc>
        <w:tc>
          <w:tcPr>
            <w:tcW w:w="567" w:type="dxa"/>
            <w:tcBorders>
              <w:top w:val="nil"/>
            </w:tcBorders>
            <w:noWrap w:val="0"/>
            <w:vAlign w:val="center"/>
          </w:tcPr>
          <w:p w14:paraId="69443B71">
            <w:pPr>
              <w:keepNext/>
              <w:snapToGrid w:val="0"/>
              <w:spacing w:line="360" w:lineRule="auto"/>
              <w:rPr>
                <w:rFonts w:hint="eastAsia" w:ascii="宋体" w:hAnsi="宋体" w:cs="宋体"/>
                <w:color w:val="auto"/>
                <w:sz w:val="22"/>
                <w:szCs w:val="21"/>
                <w:highlight w:val="none"/>
              </w:rPr>
            </w:pPr>
          </w:p>
        </w:tc>
      </w:tr>
      <w:tr w14:paraId="4228D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bottom w:val="single" w:color="auto" w:sz="12" w:space="0"/>
            </w:tcBorders>
            <w:noWrap w:val="0"/>
            <w:vAlign w:val="center"/>
          </w:tcPr>
          <w:p w14:paraId="1FC187D0">
            <w:pPr>
              <w:keepNext/>
              <w:snapToGrid w:val="0"/>
              <w:spacing w:line="360" w:lineRule="auto"/>
              <w:rPr>
                <w:rFonts w:hint="eastAsia" w:ascii="宋体" w:hAnsi="宋体" w:cs="宋体"/>
                <w:color w:val="auto"/>
                <w:sz w:val="22"/>
                <w:szCs w:val="21"/>
                <w:highlight w:val="none"/>
              </w:rPr>
            </w:pPr>
          </w:p>
        </w:tc>
        <w:tc>
          <w:tcPr>
            <w:tcW w:w="1134" w:type="dxa"/>
            <w:tcBorders>
              <w:bottom w:val="single" w:color="auto" w:sz="12" w:space="0"/>
            </w:tcBorders>
            <w:noWrap w:val="0"/>
            <w:vAlign w:val="center"/>
          </w:tcPr>
          <w:p w14:paraId="5A071CA9">
            <w:pPr>
              <w:keepNext/>
              <w:snapToGrid w:val="0"/>
              <w:spacing w:line="360" w:lineRule="auto"/>
              <w:rPr>
                <w:rFonts w:hint="eastAsia" w:ascii="宋体" w:hAnsi="宋体" w:cs="宋体"/>
                <w:color w:val="auto"/>
                <w:sz w:val="22"/>
                <w:szCs w:val="21"/>
                <w:highlight w:val="none"/>
              </w:rPr>
            </w:pPr>
          </w:p>
        </w:tc>
        <w:tc>
          <w:tcPr>
            <w:tcW w:w="1134" w:type="dxa"/>
            <w:tcBorders>
              <w:bottom w:val="single" w:color="auto" w:sz="12" w:space="0"/>
            </w:tcBorders>
            <w:noWrap w:val="0"/>
            <w:vAlign w:val="center"/>
          </w:tcPr>
          <w:p w14:paraId="16F6E2A8">
            <w:pPr>
              <w:keepNext/>
              <w:snapToGrid w:val="0"/>
              <w:spacing w:line="360" w:lineRule="auto"/>
              <w:rPr>
                <w:rFonts w:hint="eastAsia" w:ascii="宋体" w:hAnsi="宋体" w:cs="宋体"/>
                <w:color w:val="auto"/>
                <w:sz w:val="22"/>
                <w:szCs w:val="21"/>
                <w:highlight w:val="none"/>
              </w:rPr>
            </w:pPr>
          </w:p>
        </w:tc>
        <w:tc>
          <w:tcPr>
            <w:tcW w:w="993" w:type="dxa"/>
            <w:tcBorders>
              <w:bottom w:val="single" w:color="auto" w:sz="12" w:space="0"/>
            </w:tcBorders>
            <w:noWrap w:val="0"/>
            <w:vAlign w:val="center"/>
          </w:tcPr>
          <w:p w14:paraId="062F4305">
            <w:pPr>
              <w:keepNext/>
              <w:snapToGrid w:val="0"/>
              <w:spacing w:line="360" w:lineRule="auto"/>
              <w:rPr>
                <w:rFonts w:hint="eastAsia" w:ascii="宋体" w:hAnsi="宋体" w:cs="宋体"/>
                <w:color w:val="auto"/>
                <w:sz w:val="22"/>
                <w:szCs w:val="21"/>
                <w:highlight w:val="none"/>
              </w:rPr>
            </w:pPr>
          </w:p>
        </w:tc>
        <w:tc>
          <w:tcPr>
            <w:tcW w:w="708" w:type="dxa"/>
            <w:tcBorders>
              <w:bottom w:val="single" w:color="auto" w:sz="12" w:space="0"/>
            </w:tcBorders>
            <w:noWrap w:val="0"/>
            <w:vAlign w:val="center"/>
          </w:tcPr>
          <w:p w14:paraId="498C42CC">
            <w:pPr>
              <w:keepNext/>
              <w:snapToGrid w:val="0"/>
              <w:spacing w:line="360" w:lineRule="auto"/>
              <w:rPr>
                <w:rFonts w:hint="eastAsia" w:ascii="宋体" w:hAnsi="宋体" w:cs="宋体"/>
                <w:color w:val="auto"/>
                <w:sz w:val="22"/>
                <w:szCs w:val="21"/>
                <w:highlight w:val="none"/>
              </w:rPr>
            </w:pPr>
          </w:p>
        </w:tc>
        <w:tc>
          <w:tcPr>
            <w:tcW w:w="1134" w:type="dxa"/>
            <w:tcBorders>
              <w:bottom w:val="single" w:color="auto" w:sz="12" w:space="0"/>
            </w:tcBorders>
            <w:noWrap w:val="0"/>
            <w:vAlign w:val="center"/>
          </w:tcPr>
          <w:p w14:paraId="34EC949F">
            <w:pPr>
              <w:keepNext/>
              <w:snapToGrid w:val="0"/>
              <w:spacing w:line="360" w:lineRule="auto"/>
              <w:rPr>
                <w:rFonts w:hint="eastAsia" w:ascii="宋体" w:hAnsi="宋体" w:cs="宋体"/>
                <w:color w:val="auto"/>
                <w:sz w:val="22"/>
                <w:szCs w:val="21"/>
                <w:highlight w:val="none"/>
              </w:rPr>
            </w:pPr>
          </w:p>
        </w:tc>
        <w:tc>
          <w:tcPr>
            <w:tcW w:w="1134" w:type="dxa"/>
            <w:tcBorders>
              <w:bottom w:val="single" w:color="auto" w:sz="12" w:space="0"/>
            </w:tcBorders>
            <w:noWrap w:val="0"/>
            <w:vAlign w:val="center"/>
          </w:tcPr>
          <w:p w14:paraId="7E542E26">
            <w:pPr>
              <w:keepNext/>
              <w:snapToGrid w:val="0"/>
              <w:spacing w:line="360" w:lineRule="auto"/>
              <w:rPr>
                <w:rFonts w:hint="eastAsia" w:ascii="宋体" w:hAnsi="宋体" w:cs="宋体"/>
                <w:color w:val="auto"/>
                <w:sz w:val="22"/>
                <w:szCs w:val="21"/>
                <w:highlight w:val="none"/>
              </w:rPr>
            </w:pPr>
          </w:p>
        </w:tc>
        <w:tc>
          <w:tcPr>
            <w:tcW w:w="993" w:type="dxa"/>
            <w:tcBorders>
              <w:bottom w:val="single" w:color="auto" w:sz="12" w:space="0"/>
            </w:tcBorders>
            <w:noWrap w:val="0"/>
            <w:vAlign w:val="center"/>
          </w:tcPr>
          <w:p w14:paraId="551487C3">
            <w:pPr>
              <w:keepNext/>
              <w:snapToGrid w:val="0"/>
              <w:spacing w:line="360" w:lineRule="auto"/>
              <w:rPr>
                <w:rFonts w:hint="eastAsia" w:ascii="宋体" w:hAnsi="宋体" w:cs="宋体"/>
                <w:color w:val="auto"/>
                <w:sz w:val="22"/>
                <w:szCs w:val="21"/>
                <w:highlight w:val="none"/>
              </w:rPr>
            </w:pPr>
          </w:p>
        </w:tc>
        <w:tc>
          <w:tcPr>
            <w:tcW w:w="708" w:type="dxa"/>
            <w:tcBorders>
              <w:bottom w:val="single" w:color="auto" w:sz="12" w:space="0"/>
            </w:tcBorders>
            <w:noWrap w:val="0"/>
            <w:vAlign w:val="center"/>
          </w:tcPr>
          <w:p w14:paraId="790200BC">
            <w:pPr>
              <w:keepNext/>
              <w:snapToGrid w:val="0"/>
              <w:spacing w:line="360" w:lineRule="auto"/>
              <w:rPr>
                <w:rFonts w:hint="eastAsia" w:ascii="宋体" w:hAnsi="宋体" w:cs="宋体"/>
                <w:color w:val="auto"/>
                <w:sz w:val="22"/>
                <w:szCs w:val="21"/>
                <w:highlight w:val="none"/>
              </w:rPr>
            </w:pPr>
          </w:p>
        </w:tc>
        <w:tc>
          <w:tcPr>
            <w:tcW w:w="567" w:type="dxa"/>
            <w:tcBorders>
              <w:bottom w:val="single" w:color="auto" w:sz="12" w:space="0"/>
            </w:tcBorders>
            <w:noWrap w:val="0"/>
            <w:vAlign w:val="center"/>
          </w:tcPr>
          <w:p w14:paraId="25C70CBC">
            <w:pPr>
              <w:keepNext/>
              <w:snapToGrid w:val="0"/>
              <w:spacing w:line="360" w:lineRule="auto"/>
              <w:rPr>
                <w:rFonts w:hint="eastAsia" w:ascii="宋体" w:hAnsi="宋体" w:cs="宋体"/>
                <w:color w:val="auto"/>
                <w:sz w:val="22"/>
                <w:szCs w:val="21"/>
                <w:highlight w:val="none"/>
              </w:rPr>
            </w:pPr>
          </w:p>
        </w:tc>
      </w:tr>
    </w:tbl>
    <w:p w14:paraId="7013C260">
      <w:pPr>
        <w:spacing w:line="360" w:lineRule="auto"/>
        <w:rPr>
          <w:rFonts w:hint="eastAsia" w:ascii="宋体" w:hAnsi="宋体" w:cs="宋体"/>
          <w:color w:val="auto"/>
          <w:sz w:val="22"/>
          <w:szCs w:val="21"/>
          <w:highlight w:val="none"/>
        </w:rPr>
      </w:pPr>
    </w:p>
    <w:p w14:paraId="35FC7330">
      <w:pPr>
        <w:spacing w:line="360" w:lineRule="auto"/>
        <w:rPr>
          <w:rFonts w:hint="eastAsia" w:ascii="宋体" w:hAnsi="宋体" w:cs="宋体"/>
          <w:color w:val="auto"/>
          <w:sz w:val="22"/>
          <w:szCs w:val="21"/>
          <w:highlight w:val="none"/>
        </w:rPr>
      </w:pPr>
    </w:p>
    <w:p w14:paraId="237BC306">
      <w:pPr>
        <w:keepNext/>
        <w:keepLines/>
        <w:spacing w:before="120" w:after="120" w:line="360" w:lineRule="auto"/>
        <w:jc w:val="left"/>
        <w:outlineLvl w:val="2"/>
        <w:rPr>
          <w:rFonts w:hint="eastAsia" w:ascii="宋体" w:hAnsi="宋体" w:cs="宋体"/>
          <w:bCs/>
          <w:color w:val="auto"/>
          <w:sz w:val="24"/>
          <w:highlight w:val="none"/>
        </w:rPr>
      </w:pPr>
      <w:bookmarkStart w:id="1306" w:name="_Toc95223487"/>
      <w:r>
        <w:rPr>
          <w:rFonts w:hint="eastAsia" w:ascii="宋体" w:hAnsi="宋体" w:cs="宋体"/>
          <w:bCs/>
          <w:color w:val="auto"/>
          <w:sz w:val="24"/>
          <w:highlight w:val="none"/>
        </w:rPr>
        <w:t>附</w:t>
      </w:r>
      <w:bookmarkStart w:id="1307" w:name="_Toc296346726"/>
      <w:bookmarkStart w:id="1308" w:name="_Toc296891265"/>
      <w:bookmarkStart w:id="1309" w:name="_Toc296503225"/>
      <w:bookmarkStart w:id="1310" w:name="_Toc296347224"/>
      <w:bookmarkStart w:id="1311" w:name="_Toc296944564"/>
      <w:bookmarkStart w:id="1312" w:name="_Toc267261692"/>
      <w:bookmarkStart w:id="1313" w:name="_Toc296891053"/>
      <w:r>
        <w:rPr>
          <w:rFonts w:hint="eastAsia" w:ascii="宋体" w:hAnsi="宋体" w:cs="宋体"/>
          <w:bCs/>
          <w:color w:val="auto"/>
          <w:sz w:val="24"/>
          <w:highlight w:val="none"/>
        </w:rPr>
        <w:t>件2：发包人供应材料设备一览表</w:t>
      </w:r>
      <w:bookmarkEnd w:id="1306"/>
    </w:p>
    <w:bookmarkEnd w:id="1307"/>
    <w:bookmarkEnd w:id="1308"/>
    <w:bookmarkEnd w:id="1309"/>
    <w:bookmarkEnd w:id="1310"/>
    <w:bookmarkEnd w:id="1311"/>
    <w:bookmarkEnd w:id="1312"/>
    <w:bookmarkEnd w:id="1313"/>
    <w:p w14:paraId="7FB24185">
      <w:pPr>
        <w:spacing w:line="360" w:lineRule="auto"/>
        <w:jc w:val="center"/>
        <w:rPr>
          <w:rFonts w:hint="eastAsia" w:ascii="宋体" w:hAnsi="宋体" w:cs="宋体"/>
          <w:color w:val="auto"/>
          <w:sz w:val="22"/>
          <w:szCs w:val="21"/>
          <w:highlight w:val="none"/>
        </w:rPr>
      </w:pPr>
      <w:r>
        <w:rPr>
          <w:rFonts w:hint="eastAsia" w:ascii="宋体" w:hAnsi="宋体" w:cs="宋体"/>
          <w:color w:val="auto"/>
          <w:sz w:val="22"/>
          <w:szCs w:val="21"/>
          <w:highlight w:val="none"/>
        </w:rPr>
        <w:t>发包人供应材料设备一览表</w:t>
      </w:r>
    </w:p>
    <w:tbl>
      <w:tblPr>
        <w:tblStyle w:val="20"/>
        <w:tblW w:w="965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082"/>
        <w:gridCol w:w="940"/>
        <w:gridCol w:w="851"/>
        <w:gridCol w:w="1044"/>
        <w:gridCol w:w="992"/>
        <w:gridCol w:w="851"/>
        <w:gridCol w:w="966"/>
        <w:gridCol w:w="803"/>
      </w:tblGrid>
      <w:tr w14:paraId="3843E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51" w:type="dxa"/>
            <w:tcBorders>
              <w:top w:val="single" w:color="auto" w:sz="12" w:space="0"/>
              <w:bottom w:val="double" w:color="auto" w:sz="6" w:space="0"/>
            </w:tcBorders>
            <w:noWrap w:val="0"/>
            <w:vAlign w:val="center"/>
          </w:tcPr>
          <w:p w14:paraId="3275F6A0">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序号</w:t>
            </w:r>
          </w:p>
        </w:tc>
        <w:tc>
          <w:tcPr>
            <w:tcW w:w="1276" w:type="dxa"/>
            <w:tcBorders>
              <w:top w:val="single" w:color="auto" w:sz="12" w:space="0"/>
              <w:bottom w:val="double" w:color="auto" w:sz="6" w:space="0"/>
            </w:tcBorders>
            <w:noWrap w:val="0"/>
            <w:vAlign w:val="center"/>
          </w:tcPr>
          <w:p w14:paraId="62EE32D2">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材料、设备品种</w:t>
            </w:r>
          </w:p>
        </w:tc>
        <w:tc>
          <w:tcPr>
            <w:tcW w:w="1082" w:type="dxa"/>
            <w:tcBorders>
              <w:top w:val="single" w:color="auto" w:sz="12" w:space="0"/>
              <w:bottom w:val="double" w:color="auto" w:sz="6" w:space="0"/>
            </w:tcBorders>
            <w:noWrap w:val="0"/>
            <w:vAlign w:val="center"/>
          </w:tcPr>
          <w:p w14:paraId="6B1BAC96">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规格型号</w:t>
            </w:r>
          </w:p>
        </w:tc>
        <w:tc>
          <w:tcPr>
            <w:tcW w:w="940" w:type="dxa"/>
            <w:tcBorders>
              <w:top w:val="single" w:color="auto" w:sz="12" w:space="0"/>
              <w:bottom w:val="double" w:color="auto" w:sz="6" w:space="0"/>
            </w:tcBorders>
            <w:noWrap w:val="0"/>
            <w:vAlign w:val="center"/>
          </w:tcPr>
          <w:p w14:paraId="51D7FA45">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单位</w:t>
            </w:r>
          </w:p>
        </w:tc>
        <w:tc>
          <w:tcPr>
            <w:tcW w:w="851" w:type="dxa"/>
            <w:tcBorders>
              <w:top w:val="single" w:color="auto" w:sz="12" w:space="0"/>
              <w:bottom w:val="double" w:color="auto" w:sz="6" w:space="0"/>
            </w:tcBorders>
            <w:noWrap w:val="0"/>
            <w:vAlign w:val="center"/>
          </w:tcPr>
          <w:p w14:paraId="22DE139C">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数量</w:t>
            </w:r>
          </w:p>
        </w:tc>
        <w:tc>
          <w:tcPr>
            <w:tcW w:w="1044" w:type="dxa"/>
            <w:tcBorders>
              <w:top w:val="single" w:color="auto" w:sz="12" w:space="0"/>
              <w:bottom w:val="double" w:color="auto" w:sz="6" w:space="0"/>
            </w:tcBorders>
            <w:noWrap w:val="0"/>
            <w:vAlign w:val="center"/>
          </w:tcPr>
          <w:p w14:paraId="1A75A8E1">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单价（元）</w:t>
            </w:r>
          </w:p>
        </w:tc>
        <w:tc>
          <w:tcPr>
            <w:tcW w:w="992" w:type="dxa"/>
            <w:tcBorders>
              <w:top w:val="single" w:color="auto" w:sz="12" w:space="0"/>
              <w:bottom w:val="double" w:color="auto" w:sz="6" w:space="0"/>
            </w:tcBorders>
            <w:noWrap w:val="0"/>
            <w:vAlign w:val="center"/>
          </w:tcPr>
          <w:p w14:paraId="0B9A1F88">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质量等级</w:t>
            </w:r>
          </w:p>
        </w:tc>
        <w:tc>
          <w:tcPr>
            <w:tcW w:w="851" w:type="dxa"/>
            <w:tcBorders>
              <w:top w:val="single" w:color="auto" w:sz="12" w:space="0"/>
              <w:bottom w:val="double" w:color="auto" w:sz="6" w:space="0"/>
            </w:tcBorders>
            <w:noWrap w:val="0"/>
            <w:vAlign w:val="center"/>
          </w:tcPr>
          <w:p w14:paraId="081D7150">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供应时间</w:t>
            </w:r>
          </w:p>
        </w:tc>
        <w:tc>
          <w:tcPr>
            <w:tcW w:w="966" w:type="dxa"/>
            <w:tcBorders>
              <w:top w:val="single" w:color="auto" w:sz="12" w:space="0"/>
              <w:bottom w:val="double" w:color="auto" w:sz="6" w:space="0"/>
            </w:tcBorders>
            <w:noWrap w:val="0"/>
            <w:vAlign w:val="center"/>
          </w:tcPr>
          <w:p w14:paraId="64E61E9F">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送达地点</w:t>
            </w:r>
          </w:p>
        </w:tc>
        <w:tc>
          <w:tcPr>
            <w:tcW w:w="803" w:type="dxa"/>
            <w:tcBorders>
              <w:top w:val="single" w:color="auto" w:sz="12" w:space="0"/>
              <w:bottom w:val="double" w:color="auto" w:sz="6" w:space="0"/>
            </w:tcBorders>
            <w:noWrap w:val="0"/>
            <w:vAlign w:val="center"/>
          </w:tcPr>
          <w:p w14:paraId="56D386EF">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备注</w:t>
            </w:r>
          </w:p>
        </w:tc>
      </w:tr>
      <w:tr w14:paraId="2AD716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tcBorders>
              <w:top w:val="double" w:color="auto" w:sz="6" w:space="0"/>
            </w:tcBorders>
            <w:noWrap w:val="0"/>
            <w:vAlign w:val="center"/>
          </w:tcPr>
          <w:p w14:paraId="4A91F042">
            <w:pPr>
              <w:keepNext/>
              <w:snapToGrid w:val="0"/>
              <w:spacing w:line="360" w:lineRule="auto"/>
              <w:rPr>
                <w:rFonts w:hint="eastAsia" w:ascii="宋体" w:hAnsi="宋体" w:cs="宋体"/>
                <w:color w:val="auto"/>
                <w:sz w:val="22"/>
                <w:szCs w:val="21"/>
                <w:highlight w:val="none"/>
              </w:rPr>
            </w:pPr>
          </w:p>
        </w:tc>
        <w:tc>
          <w:tcPr>
            <w:tcW w:w="1276" w:type="dxa"/>
            <w:tcBorders>
              <w:top w:val="double" w:color="auto" w:sz="6" w:space="0"/>
            </w:tcBorders>
            <w:noWrap w:val="0"/>
            <w:vAlign w:val="center"/>
          </w:tcPr>
          <w:p w14:paraId="03825FB7">
            <w:pPr>
              <w:keepNext/>
              <w:snapToGrid w:val="0"/>
              <w:spacing w:line="360" w:lineRule="auto"/>
              <w:rPr>
                <w:rFonts w:hint="eastAsia" w:ascii="宋体" w:hAnsi="宋体" w:cs="宋体"/>
                <w:color w:val="auto"/>
                <w:sz w:val="22"/>
                <w:szCs w:val="21"/>
                <w:highlight w:val="none"/>
              </w:rPr>
            </w:pPr>
          </w:p>
        </w:tc>
        <w:tc>
          <w:tcPr>
            <w:tcW w:w="1082" w:type="dxa"/>
            <w:tcBorders>
              <w:top w:val="double" w:color="auto" w:sz="6" w:space="0"/>
            </w:tcBorders>
            <w:noWrap w:val="0"/>
            <w:vAlign w:val="center"/>
          </w:tcPr>
          <w:p w14:paraId="09F528A3">
            <w:pPr>
              <w:keepNext/>
              <w:snapToGrid w:val="0"/>
              <w:spacing w:line="360" w:lineRule="auto"/>
              <w:rPr>
                <w:rFonts w:hint="eastAsia" w:ascii="宋体" w:hAnsi="宋体" w:cs="宋体"/>
                <w:color w:val="auto"/>
                <w:sz w:val="22"/>
                <w:szCs w:val="21"/>
                <w:highlight w:val="none"/>
              </w:rPr>
            </w:pPr>
          </w:p>
        </w:tc>
        <w:tc>
          <w:tcPr>
            <w:tcW w:w="940" w:type="dxa"/>
            <w:tcBorders>
              <w:top w:val="double" w:color="auto" w:sz="6" w:space="0"/>
            </w:tcBorders>
            <w:noWrap w:val="0"/>
            <w:vAlign w:val="center"/>
          </w:tcPr>
          <w:p w14:paraId="7F3FFDEB">
            <w:pPr>
              <w:keepNext/>
              <w:snapToGrid w:val="0"/>
              <w:spacing w:line="360" w:lineRule="auto"/>
              <w:rPr>
                <w:rFonts w:hint="eastAsia" w:ascii="宋体" w:hAnsi="宋体" w:cs="宋体"/>
                <w:color w:val="auto"/>
                <w:sz w:val="22"/>
                <w:szCs w:val="21"/>
                <w:highlight w:val="none"/>
              </w:rPr>
            </w:pPr>
          </w:p>
        </w:tc>
        <w:tc>
          <w:tcPr>
            <w:tcW w:w="851" w:type="dxa"/>
            <w:tcBorders>
              <w:top w:val="double" w:color="auto" w:sz="6" w:space="0"/>
            </w:tcBorders>
            <w:noWrap w:val="0"/>
            <w:vAlign w:val="center"/>
          </w:tcPr>
          <w:p w14:paraId="4B36CDA9">
            <w:pPr>
              <w:keepNext/>
              <w:snapToGrid w:val="0"/>
              <w:spacing w:line="360" w:lineRule="auto"/>
              <w:rPr>
                <w:rFonts w:hint="eastAsia" w:ascii="宋体" w:hAnsi="宋体" w:cs="宋体"/>
                <w:color w:val="auto"/>
                <w:sz w:val="22"/>
                <w:szCs w:val="21"/>
                <w:highlight w:val="none"/>
              </w:rPr>
            </w:pPr>
          </w:p>
        </w:tc>
        <w:tc>
          <w:tcPr>
            <w:tcW w:w="1044" w:type="dxa"/>
            <w:tcBorders>
              <w:top w:val="double" w:color="auto" w:sz="6" w:space="0"/>
            </w:tcBorders>
            <w:noWrap w:val="0"/>
            <w:vAlign w:val="center"/>
          </w:tcPr>
          <w:p w14:paraId="4C117B39">
            <w:pPr>
              <w:keepNext/>
              <w:snapToGrid w:val="0"/>
              <w:spacing w:line="360" w:lineRule="auto"/>
              <w:rPr>
                <w:rFonts w:hint="eastAsia" w:ascii="宋体" w:hAnsi="宋体" w:cs="宋体"/>
                <w:color w:val="auto"/>
                <w:sz w:val="22"/>
                <w:szCs w:val="21"/>
                <w:highlight w:val="none"/>
              </w:rPr>
            </w:pPr>
          </w:p>
        </w:tc>
        <w:tc>
          <w:tcPr>
            <w:tcW w:w="992" w:type="dxa"/>
            <w:tcBorders>
              <w:top w:val="double" w:color="auto" w:sz="6" w:space="0"/>
            </w:tcBorders>
            <w:noWrap w:val="0"/>
            <w:vAlign w:val="center"/>
          </w:tcPr>
          <w:p w14:paraId="2A77DA0A">
            <w:pPr>
              <w:keepNext/>
              <w:snapToGrid w:val="0"/>
              <w:spacing w:line="360" w:lineRule="auto"/>
              <w:rPr>
                <w:rFonts w:hint="eastAsia" w:ascii="宋体" w:hAnsi="宋体" w:cs="宋体"/>
                <w:color w:val="auto"/>
                <w:sz w:val="22"/>
                <w:szCs w:val="21"/>
                <w:highlight w:val="none"/>
              </w:rPr>
            </w:pPr>
          </w:p>
        </w:tc>
        <w:tc>
          <w:tcPr>
            <w:tcW w:w="851" w:type="dxa"/>
            <w:tcBorders>
              <w:top w:val="double" w:color="auto" w:sz="6" w:space="0"/>
            </w:tcBorders>
            <w:noWrap w:val="0"/>
            <w:vAlign w:val="center"/>
          </w:tcPr>
          <w:p w14:paraId="181B6BF5">
            <w:pPr>
              <w:keepNext/>
              <w:snapToGrid w:val="0"/>
              <w:spacing w:line="360" w:lineRule="auto"/>
              <w:rPr>
                <w:rFonts w:hint="eastAsia" w:ascii="宋体" w:hAnsi="宋体" w:cs="宋体"/>
                <w:color w:val="auto"/>
                <w:sz w:val="22"/>
                <w:szCs w:val="21"/>
                <w:highlight w:val="none"/>
              </w:rPr>
            </w:pPr>
          </w:p>
        </w:tc>
        <w:tc>
          <w:tcPr>
            <w:tcW w:w="966" w:type="dxa"/>
            <w:tcBorders>
              <w:top w:val="double" w:color="auto" w:sz="6" w:space="0"/>
            </w:tcBorders>
            <w:noWrap w:val="0"/>
            <w:vAlign w:val="center"/>
          </w:tcPr>
          <w:p w14:paraId="7A8E923E">
            <w:pPr>
              <w:keepNext/>
              <w:snapToGrid w:val="0"/>
              <w:spacing w:line="360" w:lineRule="auto"/>
              <w:rPr>
                <w:rFonts w:hint="eastAsia" w:ascii="宋体" w:hAnsi="宋体" w:cs="宋体"/>
                <w:color w:val="auto"/>
                <w:sz w:val="22"/>
                <w:szCs w:val="21"/>
                <w:highlight w:val="none"/>
              </w:rPr>
            </w:pPr>
          </w:p>
        </w:tc>
        <w:tc>
          <w:tcPr>
            <w:tcW w:w="803" w:type="dxa"/>
            <w:tcBorders>
              <w:top w:val="double" w:color="auto" w:sz="6" w:space="0"/>
            </w:tcBorders>
            <w:noWrap w:val="0"/>
            <w:vAlign w:val="center"/>
          </w:tcPr>
          <w:p w14:paraId="663119C1">
            <w:pPr>
              <w:keepNext/>
              <w:snapToGrid w:val="0"/>
              <w:spacing w:line="360" w:lineRule="auto"/>
              <w:rPr>
                <w:rFonts w:hint="eastAsia" w:ascii="宋体" w:hAnsi="宋体" w:cs="宋体"/>
                <w:color w:val="auto"/>
                <w:sz w:val="22"/>
                <w:szCs w:val="21"/>
                <w:highlight w:val="none"/>
              </w:rPr>
            </w:pPr>
          </w:p>
        </w:tc>
      </w:tr>
      <w:tr w14:paraId="08185B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noWrap w:val="0"/>
            <w:vAlign w:val="center"/>
          </w:tcPr>
          <w:p w14:paraId="626FF8D9">
            <w:pPr>
              <w:snapToGrid w:val="0"/>
              <w:spacing w:line="360" w:lineRule="auto"/>
              <w:rPr>
                <w:rFonts w:hint="eastAsia" w:ascii="宋体" w:hAnsi="宋体" w:cs="宋体"/>
                <w:color w:val="auto"/>
                <w:sz w:val="22"/>
                <w:szCs w:val="21"/>
                <w:highlight w:val="none"/>
              </w:rPr>
            </w:pPr>
          </w:p>
        </w:tc>
        <w:tc>
          <w:tcPr>
            <w:tcW w:w="1276" w:type="dxa"/>
            <w:noWrap w:val="0"/>
            <w:vAlign w:val="center"/>
          </w:tcPr>
          <w:p w14:paraId="02A1EB66">
            <w:pPr>
              <w:snapToGrid w:val="0"/>
              <w:spacing w:line="360" w:lineRule="auto"/>
              <w:rPr>
                <w:rFonts w:hint="eastAsia" w:ascii="宋体" w:hAnsi="宋体" w:cs="宋体"/>
                <w:color w:val="auto"/>
                <w:sz w:val="22"/>
                <w:szCs w:val="21"/>
                <w:highlight w:val="none"/>
              </w:rPr>
            </w:pPr>
          </w:p>
        </w:tc>
        <w:tc>
          <w:tcPr>
            <w:tcW w:w="1082" w:type="dxa"/>
            <w:noWrap w:val="0"/>
            <w:vAlign w:val="center"/>
          </w:tcPr>
          <w:p w14:paraId="3F0CB039">
            <w:pPr>
              <w:snapToGrid w:val="0"/>
              <w:spacing w:line="360" w:lineRule="auto"/>
              <w:rPr>
                <w:rFonts w:hint="eastAsia" w:ascii="宋体" w:hAnsi="宋体" w:cs="宋体"/>
                <w:color w:val="auto"/>
                <w:sz w:val="22"/>
                <w:szCs w:val="21"/>
                <w:highlight w:val="none"/>
              </w:rPr>
            </w:pPr>
          </w:p>
        </w:tc>
        <w:tc>
          <w:tcPr>
            <w:tcW w:w="940" w:type="dxa"/>
            <w:noWrap w:val="0"/>
            <w:vAlign w:val="center"/>
          </w:tcPr>
          <w:p w14:paraId="3E6DE495">
            <w:pPr>
              <w:snapToGrid w:val="0"/>
              <w:spacing w:line="360" w:lineRule="auto"/>
              <w:rPr>
                <w:rFonts w:hint="eastAsia" w:ascii="宋体" w:hAnsi="宋体" w:cs="宋体"/>
                <w:color w:val="auto"/>
                <w:sz w:val="22"/>
                <w:szCs w:val="21"/>
                <w:highlight w:val="none"/>
              </w:rPr>
            </w:pPr>
          </w:p>
        </w:tc>
        <w:tc>
          <w:tcPr>
            <w:tcW w:w="851" w:type="dxa"/>
            <w:noWrap w:val="0"/>
            <w:vAlign w:val="center"/>
          </w:tcPr>
          <w:p w14:paraId="479B4BF2">
            <w:pPr>
              <w:snapToGrid w:val="0"/>
              <w:spacing w:line="360" w:lineRule="auto"/>
              <w:rPr>
                <w:rFonts w:hint="eastAsia" w:ascii="宋体" w:hAnsi="宋体" w:cs="宋体"/>
                <w:color w:val="auto"/>
                <w:sz w:val="22"/>
                <w:szCs w:val="21"/>
                <w:highlight w:val="none"/>
              </w:rPr>
            </w:pPr>
          </w:p>
        </w:tc>
        <w:tc>
          <w:tcPr>
            <w:tcW w:w="1044" w:type="dxa"/>
            <w:noWrap w:val="0"/>
            <w:vAlign w:val="center"/>
          </w:tcPr>
          <w:p w14:paraId="4209517B">
            <w:pPr>
              <w:snapToGrid w:val="0"/>
              <w:spacing w:line="360" w:lineRule="auto"/>
              <w:rPr>
                <w:rFonts w:hint="eastAsia" w:ascii="宋体" w:hAnsi="宋体" w:cs="宋体"/>
                <w:color w:val="auto"/>
                <w:sz w:val="22"/>
                <w:szCs w:val="21"/>
                <w:highlight w:val="none"/>
              </w:rPr>
            </w:pPr>
          </w:p>
        </w:tc>
        <w:tc>
          <w:tcPr>
            <w:tcW w:w="992" w:type="dxa"/>
            <w:noWrap w:val="0"/>
            <w:vAlign w:val="center"/>
          </w:tcPr>
          <w:p w14:paraId="1974D1E3">
            <w:pPr>
              <w:snapToGrid w:val="0"/>
              <w:spacing w:line="360" w:lineRule="auto"/>
              <w:rPr>
                <w:rFonts w:hint="eastAsia" w:ascii="宋体" w:hAnsi="宋体" w:cs="宋体"/>
                <w:color w:val="auto"/>
                <w:sz w:val="22"/>
                <w:szCs w:val="21"/>
                <w:highlight w:val="none"/>
              </w:rPr>
            </w:pPr>
          </w:p>
        </w:tc>
        <w:tc>
          <w:tcPr>
            <w:tcW w:w="851" w:type="dxa"/>
            <w:noWrap w:val="0"/>
            <w:vAlign w:val="center"/>
          </w:tcPr>
          <w:p w14:paraId="0FFE0199">
            <w:pPr>
              <w:snapToGrid w:val="0"/>
              <w:spacing w:line="360" w:lineRule="auto"/>
              <w:rPr>
                <w:rFonts w:hint="eastAsia" w:ascii="宋体" w:hAnsi="宋体" w:cs="宋体"/>
                <w:color w:val="auto"/>
                <w:sz w:val="22"/>
                <w:szCs w:val="21"/>
                <w:highlight w:val="none"/>
              </w:rPr>
            </w:pPr>
          </w:p>
        </w:tc>
        <w:tc>
          <w:tcPr>
            <w:tcW w:w="966" w:type="dxa"/>
            <w:noWrap w:val="0"/>
            <w:vAlign w:val="center"/>
          </w:tcPr>
          <w:p w14:paraId="1A347118">
            <w:pPr>
              <w:snapToGrid w:val="0"/>
              <w:spacing w:line="360" w:lineRule="auto"/>
              <w:rPr>
                <w:rFonts w:hint="eastAsia" w:ascii="宋体" w:hAnsi="宋体" w:cs="宋体"/>
                <w:color w:val="auto"/>
                <w:sz w:val="22"/>
                <w:szCs w:val="21"/>
                <w:highlight w:val="none"/>
              </w:rPr>
            </w:pPr>
          </w:p>
        </w:tc>
        <w:tc>
          <w:tcPr>
            <w:tcW w:w="803" w:type="dxa"/>
            <w:noWrap w:val="0"/>
            <w:vAlign w:val="center"/>
          </w:tcPr>
          <w:p w14:paraId="68472DB8">
            <w:pPr>
              <w:snapToGrid w:val="0"/>
              <w:spacing w:line="360" w:lineRule="auto"/>
              <w:rPr>
                <w:rFonts w:hint="eastAsia" w:ascii="宋体" w:hAnsi="宋体" w:cs="宋体"/>
                <w:color w:val="auto"/>
                <w:sz w:val="22"/>
                <w:szCs w:val="21"/>
                <w:highlight w:val="none"/>
              </w:rPr>
            </w:pPr>
          </w:p>
        </w:tc>
      </w:tr>
      <w:tr w14:paraId="030583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tcBorders>
              <w:bottom w:val="single" w:color="auto" w:sz="12" w:space="0"/>
            </w:tcBorders>
            <w:noWrap w:val="0"/>
            <w:vAlign w:val="center"/>
          </w:tcPr>
          <w:p w14:paraId="49591FD4">
            <w:pPr>
              <w:snapToGrid w:val="0"/>
              <w:spacing w:line="360" w:lineRule="auto"/>
              <w:rPr>
                <w:rFonts w:hint="eastAsia" w:ascii="宋体" w:hAnsi="宋体" w:cs="宋体"/>
                <w:color w:val="auto"/>
                <w:sz w:val="22"/>
                <w:szCs w:val="21"/>
                <w:highlight w:val="none"/>
              </w:rPr>
            </w:pPr>
          </w:p>
        </w:tc>
        <w:tc>
          <w:tcPr>
            <w:tcW w:w="1276" w:type="dxa"/>
            <w:tcBorders>
              <w:bottom w:val="single" w:color="auto" w:sz="12" w:space="0"/>
            </w:tcBorders>
            <w:noWrap w:val="0"/>
            <w:vAlign w:val="center"/>
          </w:tcPr>
          <w:p w14:paraId="2DC0217F">
            <w:pPr>
              <w:snapToGrid w:val="0"/>
              <w:spacing w:line="360" w:lineRule="auto"/>
              <w:rPr>
                <w:rFonts w:hint="eastAsia" w:ascii="宋体" w:hAnsi="宋体" w:cs="宋体"/>
                <w:color w:val="auto"/>
                <w:sz w:val="22"/>
                <w:szCs w:val="21"/>
                <w:highlight w:val="none"/>
              </w:rPr>
            </w:pPr>
          </w:p>
        </w:tc>
        <w:tc>
          <w:tcPr>
            <w:tcW w:w="1082" w:type="dxa"/>
            <w:tcBorders>
              <w:bottom w:val="single" w:color="auto" w:sz="12" w:space="0"/>
            </w:tcBorders>
            <w:noWrap w:val="0"/>
            <w:vAlign w:val="center"/>
          </w:tcPr>
          <w:p w14:paraId="3D243E1D">
            <w:pPr>
              <w:snapToGrid w:val="0"/>
              <w:spacing w:line="360" w:lineRule="auto"/>
              <w:rPr>
                <w:rFonts w:hint="eastAsia" w:ascii="宋体" w:hAnsi="宋体" w:cs="宋体"/>
                <w:color w:val="auto"/>
                <w:sz w:val="22"/>
                <w:szCs w:val="21"/>
                <w:highlight w:val="none"/>
              </w:rPr>
            </w:pPr>
          </w:p>
        </w:tc>
        <w:tc>
          <w:tcPr>
            <w:tcW w:w="940" w:type="dxa"/>
            <w:tcBorders>
              <w:bottom w:val="single" w:color="auto" w:sz="12" w:space="0"/>
            </w:tcBorders>
            <w:noWrap w:val="0"/>
            <w:vAlign w:val="center"/>
          </w:tcPr>
          <w:p w14:paraId="1D04896D">
            <w:pPr>
              <w:snapToGrid w:val="0"/>
              <w:spacing w:line="360" w:lineRule="auto"/>
              <w:rPr>
                <w:rFonts w:hint="eastAsia" w:ascii="宋体" w:hAnsi="宋体" w:cs="宋体"/>
                <w:color w:val="auto"/>
                <w:sz w:val="22"/>
                <w:szCs w:val="21"/>
                <w:highlight w:val="none"/>
              </w:rPr>
            </w:pPr>
          </w:p>
        </w:tc>
        <w:tc>
          <w:tcPr>
            <w:tcW w:w="851" w:type="dxa"/>
            <w:tcBorders>
              <w:bottom w:val="single" w:color="auto" w:sz="12" w:space="0"/>
            </w:tcBorders>
            <w:noWrap w:val="0"/>
            <w:vAlign w:val="center"/>
          </w:tcPr>
          <w:p w14:paraId="25AE53D6">
            <w:pPr>
              <w:snapToGrid w:val="0"/>
              <w:spacing w:line="360" w:lineRule="auto"/>
              <w:rPr>
                <w:rFonts w:hint="eastAsia" w:ascii="宋体" w:hAnsi="宋体" w:cs="宋体"/>
                <w:color w:val="auto"/>
                <w:sz w:val="22"/>
                <w:szCs w:val="21"/>
                <w:highlight w:val="none"/>
              </w:rPr>
            </w:pPr>
          </w:p>
        </w:tc>
        <w:tc>
          <w:tcPr>
            <w:tcW w:w="1044" w:type="dxa"/>
            <w:tcBorders>
              <w:bottom w:val="single" w:color="auto" w:sz="12" w:space="0"/>
            </w:tcBorders>
            <w:noWrap w:val="0"/>
            <w:vAlign w:val="center"/>
          </w:tcPr>
          <w:p w14:paraId="0AC8F777">
            <w:pPr>
              <w:snapToGrid w:val="0"/>
              <w:spacing w:line="360" w:lineRule="auto"/>
              <w:rPr>
                <w:rFonts w:hint="eastAsia" w:ascii="宋体" w:hAnsi="宋体" w:cs="宋体"/>
                <w:color w:val="auto"/>
                <w:sz w:val="22"/>
                <w:szCs w:val="21"/>
                <w:highlight w:val="none"/>
              </w:rPr>
            </w:pPr>
          </w:p>
        </w:tc>
        <w:tc>
          <w:tcPr>
            <w:tcW w:w="992" w:type="dxa"/>
            <w:tcBorders>
              <w:bottom w:val="single" w:color="auto" w:sz="12" w:space="0"/>
            </w:tcBorders>
            <w:noWrap w:val="0"/>
            <w:vAlign w:val="center"/>
          </w:tcPr>
          <w:p w14:paraId="1ACBDD18">
            <w:pPr>
              <w:snapToGrid w:val="0"/>
              <w:spacing w:line="360" w:lineRule="auto"/>
              <w:rPr>
                <w:rFonts w:hint="eastAsia" w:ascii="宋体" w:hAnsi="宋体" w:cs="宋体"/>
                <w:color w:val="auto"/>
                <w:sz w:val="22"/>
                <w:szCs w:val="21"/>
                <w:highlight w:val="none"/>
              </w:rPr>
            </w:pPr>
          </w:p>
        </w:tc>
        <w:tc>
          <w:tcPr>
            <w:tcW w:w="851" w:type="dxa"/>
            <w:tcBorders>
              <w:bottom w:val="single" w:color="auto" w:sz="12" w:space="0"/>
            </w:tcBorders>
            <w:noWrap w:val="0"/>
            <w:vAlign w:val="center"/>
          </w:tcPr>
          <w:p w14:paraId="649C75F2">
            <w:pPr>
              <w:snapToGrid w:val="0"/>
              <w:spacing w:line="360" w:lineRule="auto"/>
              <w:rPr>
                <w:rFonts w:hint="eastAsia" w:ascii="宋体" w:hAnsi="宋体" w:cs="宋体"/>
                <w:color w:val="auto"/>
                <w:sz w:val="22"/>
                <w:szCs w:val="21"/>
                <w:highlight w:val="none"/>
              </w:rPr>
            </w:pPr>
          </w:p>
        </w:tc>
        <w:tc>
          <w:tcPr>
            <w:tcW w:w="966" w:type="dxa"/>
            <w:tcBorders>
              <w:bottom w:val="single" w:color="auto" w:sz="12" w:space="0"/>
            </w:tcBorders>
            <w:noWrap w:val="0"/>
            <w:vAlign w:val="center"/>
          </w:tcPr>
          <w:p w14:paraId="5741BCC9">
            <w:pPr>
              <w:snapToGrid w:val="0"/>
              <w:spacing w:line="360" w:lineRule="auto"/>
              <w:rPr>
                <w:rFonts w:hint="eastAsia" w:ascii="宋体" w:hAnsi="宋体" w:cs="宋体"/>
                <w:color w:val="auto"/>
                <w:sz w:val="22"/>
                <w:szCs w:val="21"/>
                <w:highlight w:val="none"/>
              </w:rPr>
            </w:pPr>
          </w:p>
        </w:tc>
        <w:tc>
          <w:tcPr>
            <w:tcW w:w="803" w:type="dxa"/>
            <w:tcBorders>
              <w:bottom w:val="single" w:color="auto" w:sz="12" w:space="0"/>
            </w:tcBorders>
            <w:noWrap w:val="0"/>
            <w:vAlign w:val="center"/>
          </w:tcPr>
          <w:p w14:paraId="639C3B53">
            <w:pPr>
              <w:snapToGrid w:val="0"/>
              <w:spacing w:line="360" w:lineRule="auto"/>
              <w:rPr>
                <w:rFonts w:hint="eastAsia" w:ascii="宋体" w:hAnsi="宋体" w:cs="宋体"/>
                <w:color w:val="auto"/>
                <w:sz w:val="22"/>
                <w:szCs w:val="21"/>
                <w:highlight w:val="none"/>
              </w:rPr>
            </w:pPr>
          </w:p>
        </w:tc>
      </w:tr>
    </w:tbl>
    <w:p w14:paraId="7A2DC54D">
      <w:pPr>
        <w:pStyle w:val="19"/>
        <w:rPr>
          <w:rFonts w:hint="eastAsia"/>
          <w:color w:val="auto"/>
          <w:highlight w:val="none"/>
        </w:rPr>
      </w:pPr>
    </w:p>
    <w:p w14:paraId="2D2D4DEA">
      <w:pPr>
        <w:rPr>
          <w:rFonts w:hint="eastAsia"/>
          <w:color w:val="auto"/>
          <w:highlight w:val="none"/>
        </w:rPr>
      </w:pPr>
    </w:p>
    <w:p w14:paraId="772DBD13">
      <w:pPr>
        <w:pStyle w:val="19"/>
        <w:rPr>
          <w:rFonts w:hint="eastAsia"/>
          <w:color w:val="auto"/>
          <w:highlight w:val="none"/>
        </w:rPr>
      </w:pPr>
    </w:p>
    <w:p w14:paraId="4C684BCE">
      <w:pPr>
        <w:rPr>
          <w:rFonts w:hint="eastAsia"/>
          <w:color w:val="auto"/>
          <w:highlight w:val="none"/>
        </w:rPr>
      </w:pPr>
    </w:p>
    <w:p w14:paraId="139D6CD0">
      <w:pPr>
        <w:pStyle w:val="19"/>
        <w:rPr>
          <w:rFonts w:hint="eastAsia"/>
          <w:color w:val="auto"/>
          <w:highlight w:val="none"/>
        </w:rPr>
      </w:pPr>
    </w:p>
    <w:p w14:paraId="6EC91A52">
      <w:pPr>
        <w:rPr>
          <w:rFonts w:hint="eastAsia"/>
          <w:color w:val="auto"/>
          <w:highlight w:val="none"/>
        </w:rPr>
      </w:pPr>
    </w:p>
    <w:p w14:paraId="02EF7BED">
      <w:pPr>
        <w:pStyle w:val="19"/>
        <w:rPr>
          <w:rFonts w:hint="eastAsia"/>
          <w:color w:val="auto"/>
          <w:highlight w:val="none"/>
        </w:rPr>
      </w:pPr>
    </w:p>
    <w:p w14:paraId="610AACAE">
      <w:pPr>
        <w:rPr>
          <w:rFonts w:hint="eastAsia"/>
          <w:color w:val="auto"/>
          <w:highlight w:val="none"/>
        </w:rPr>
      </w:pPr>
    </w:p>
    <w:p w14:paraId="23F6BF19">
      <w:pPr>
        <w:pStyle w:val="19"/>
        <w:rPr>
          <w:rFonts w:hint="eastAsia"/>
          <w:color w:val="auto"/>
          <w:highlight w:val="none"/>
        </w:rPr>
      </w:pPr>
    </w:p>
    <w:p w14:paraId="08C89D0C">
      <w:pPr>
        <w:rPr>
          <w:rFonts w:hint="eastAsia"/>
          <w:color w:val="auto"/>
          <w:highlight w:val="none"/>
        </w:rPr>
      </w:pPr>
    </w:p>
    <w:p w14:paraId="61D20E9E">
      <w:pPr>
        <w:pStyle w:val="19"/>
        <w:rPr>
          <w:rFonts w:hint="eastAsia"/>
          <w:color w:val="auto"/>
          <w:highlight w:val="none"/>
        </w:rPr>
      </w:pPr>
    </w:p>
    <w:p w14:paraId="4C8A89C0">
      <w:pPr>
        <w:rPr>
          <w:rFonts w:hint="eastAsia"/>
          <w:color w:val="auto"/>
          <w:highlight w:val="none"/>
        </w:rPr>
      </w:pPr>
    </w:p>
    <w:p w14:paraId="0DF5B4E8">
      <w:pPr>
        <w:pStyle w:val="19"/>
        <w:rPr>
          <w:rFonts w:hint="eastAsia"/>
          <w:color w:val="auto"/>
          <w:highlight w:val="none"/>
        </w:rPr>
      </w:pPr>
    </w:p>
    <w:p w14:paraId="5688C739">
      <w:pPr>
        <w:pStyle w:val="19"/>
        <w:rPr>
          <w:rFonts w:hint="eastAsia"/>
          <w:color w:val="auto"/>
          <w:highlight w:val="none"/>
        </w:rPr>
      </w:pPr>
    </w:p>
    <w:p w14:paraId="2C9E0E24">
      <w:pPr>
        <w:rPr>
          <w:rFonts w:hint="eastAsia"/>
          <w:color w:val="auto"/>
          <w:highlight w:val="none"/>
        </w:rPr>
      </w:pPr>
    </w:p>
    <w:p w14:paraId="56B7B891">
      <w:pPr>
        <w:pStyle w:val="19"/>
        <w:rPr>
          <w:rFonts w:hint="eastAsia"/>
          <w:color w:val="auto"/>
          <w:highlight w:val="none"/>
        </w:rPr>
      </w:pPr>
    </w:p>
    <w:p w14:paraId="787394BB">
      <w:pPr>
        <w:keepNext/>
        <w:keepLines/>
        <w:spacing w:before="120" w:after="120" w:line="360" w:lineRule="auto"/>
        <w:jc w:val="left"/>
        <w:outlineLvl w:val="2"/>
        <w:rPr>
          <w:rFonts w:ascii="宋体" w:hAnsi="宋体" w:cs="宋体"/>
          <w:bCs/>
          <w:color w:val="auto"/>
          <w:sz w:val="24"/>
          <w:highlight w:val="none"/>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bookmarkStart w:id="1314" w:name="_Toc95223488"/>
    </w:p>
    <w:p w14:paraId="37CFA98A">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t xml:space="preserve">附件3：工程质量保修书 </w:t>
      </w:r>
      <w:bookmarkEnd w:id="1314"/>
    </w:p>
    <w:p w14:paraId="0851FCA5">
      <w:pPr>
        <w:adjustRightInd w:val="0"/>
        <w:snapToGrid w:val="0"/>
        <w:spacing w:before="120" w:beforeLines="50" w:after="120" w:afterLines="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工程质量保修书</w:t>
      </w:r>
    </w:p>
    <w:p w14:paraId="14AF720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C91164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0F0A9B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发包人和承包人根据《中华人民共和国建筑法》和《建设工程质量管理条例》，经协商一致就_______________（工程全称）签订工程质量保修书。</w:t>
      </w:r>
    </w:p>
    <w:p w14:paraId="30595346">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一、工程质量保修范围和内容</w:t>
      </w:r>
    </w:p>
    <w:p w14:paraId="0D4C418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承包人在质量保修期内，按照有关法律规定和合同约定，承担工程质量保修责任。</w:t>
      </w:r>
    </w:p>
    <w:p w14:paraId="1991915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36254C9">
      <w:pPr>
        <w:adjustRightInd w:val="0"/>
        <w:snapToGrid w:val="0"/>
        <w:spacing w:line="360" w:lineRule="auto"/>
        <w:ind w:firstLine="413" w:firstLineChars="196"/>
        <w:rPr>
          <w:rFonts w:hint="eastAsia" w:ascii="宋体" w:hAnsi="宋体" w:cs="宋体"/>
          <w:b/>
          <w:color w:val="auto"/>
          <w:szCs w:val="21"/>
          <w:highlight w:val="none"/>
        </w:rPr>
      </w:pPr>
      <w:r>
        <w:rPr>
          <w:rFonts w:hint="eastAsia" w:ascii="宋体" w:hAnsi="宋体" w:cs="宋体"/>
          <w:b/>
          <w:color w:val="auto"/>
          <w:szCs w:val="21"/>
          <w:highlight w:val="none"/>
        </w:rPr>
        <w:t>二、质量保修期</w:t>
      </w:r>
    </w:p>
    <w:p w14:paraId="3E4BC82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根据《建设工程质量管理条例》及有关规定，工程的质量保修期如下：</w:t>
      </w:r>
    </w:p>
    <w:p w14:paraId="140CA27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地基基础工程和主体结构工程为设计文件规定的工程合理使用年限；</w:t>
      </w:r>
    </w:p>
    <w:p w14:paraId="6C1CB68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 屋面防水工程、有防水要求的卫生间、房间和外墙面的防渗为</w:t>
      </w:r>
      <w:r>
        <w:rPr>
          <w:rFonts w:hint="eastAsia" w:ascii="宋体" w:hAnsi="宋体" w:cs="宋体"/>
          <w:color w:val="auto"/>
          <w:szCs w:val="21"/>
          <w:highlight w:val="none"/>
          <w:u w:val="single"/>
        </w:rPr>
        <w:t>5</w:t>
      </w:r>
      <w:r>
        <w:rPr>
          <w:rFonts w:hint="eastAsia" w:ascii="宋体" w:hAnsi="宋体" w:cs="宋体"/>
          <w:color w:val="auto"/>
          <w:szCs w:val="21"/>
          <w:highlight w:val="none"/>
        </w:rPr>
        <w:t>年；</w:t>
      </w:r>
    </w:p>
    <w:p w14:paraId="5E1C678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装修工程为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74ED667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 电气管线、给排水管道、设备安装工程为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69D86E9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 供热与供冷系统为</w:t>
      </w:r>
      <w:r>
        <w:rPr>
          <w:rFonts w:hint="eastAsia" w:ascii="宋体" w:hAnsi="宋体" w:cs="宋体"/>
          <w:color w:val="auto"/>
          <w:szCs w:val="21"/>
          <w:highlight w:val="none"/>
          <w:u w:val="single"/>
        </w:rPr>
        <w:t>2</w:t>
      </w:r>
      <w:r>
        <w:rPr>
          <w:rFonts w:hint="eastAsia" w:ascii="宋体" w:hAnsi="宋体" w:cs="宋体"/>
          <w:color w:val="auto"/>
          <w:szCs w:val="21"/>
          <w:highlight w:val="none"/>
        </w:rPr>
        <w:t>个采暖期、供冷期；</w:t>
      </w:r>
    </w:p>
    <w:p w14:paraId="081241C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 住宅小区内的给排水设施、道路等配套工程为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1F74B21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 其他项目保修期限约定如下：</w:t>
      </w:r>
      <w:r>
        <w:rPr>
          <w:rFonts w:hint="eastAsia" w:ascii="宋体" w:hAnsi="宋体" w:cs="宋体"/>
          <w:color w:val="auto"/>
          <w:szCs w:val="21"/>
          <w:highlight w:val="none"/>
          <w:u w:val="single"/>
        </w:rPr>
        <w:t>保温工程5年</w:t>
      </w:r>
      <w:r>
        <w:rPr>
          <w:rFonts w:hint="eastAsia" w:ascii="宋体" w:hAnsi="宋体" w:cs="宋体"/>
          <w:color w:val="auto"/>
          <w:szCs w:val="21"/>
          <w:highlight w:val="none"/>
        </w:rPr>
        <w:t>。</w:t>
      </w:r>
    </w:p>
    <w:p w14:paraId="52FF7A8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质量保修期自工程竣工验收合格之日起计算。</w:t>
      </w:r>
    </w:p>
    <w:p w14:paraId="5BDF7EC5">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三、缺陷责任期</w:t>
      </w:r>
    </w:p>
    <w:p w14:paraId="4C97003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24个月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，缺陷责任期自工程竣工验收合格之日起计算。单位工程先于全部工程进行验收，单位工程缺陷责任期自单位工程验收合格之日起算。</w:t>
      </w:r>
    </w:p>
    <w:p w14:paraId="5D35660F">
      <w:pPr>
        <w:adjustRightInd w:val="0"/>
        <w:snapToGrid w:val="0"/>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缺陷责任期终止后，发包人应退还剩余的质量保证金。</w:t>
      </w:r>
    </w:p>
    <w:p w14:paraId="66EB4757">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四、质量保修责任</w:t>
      </w:r>
    </w:p>
    <w:p w14:paraId="2B764680">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1. 属于保修范围、内容的项目，承包人应当在接到保修通知之日起7天内派人保修。承包人不在约定期限内派人保修的，发包人可以委托他人修理。</w:t>
      </w:r>
    </w:p>
    <w:p w14:paraId="7210ADE8">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2. 发生紧急事故需抢修的，承包人在接到事故通知后，应当立即到达事故现场抢修。</w:t>
      </w:r>
    </w:p>
    <w:p w14:paraId="474478CA">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F20E91C">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4. 质量保修完成后，由发包人组织验收。</w:t>
      </w:r>
    </w:p>
    <w:p w14:paraId="2BB3C8E9">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五、保修费用</w:t>
      </w:r>
    </w:p>
    <w:p w14:paraId="04AD950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保修费用由造成质量缺陷的责任方承担。</w:t>
      </w:r>
    </w:p>
    <w:p w14:paraId="421C5CD8">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六、双方约定的其他工程质量保修事项：</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w:t>
      </w:r>
    </w:p>
    <w:p w14:paraId="70CDB0FE">
      <w:pPr>
        <w:adjustRightInd w:val="0"/>
        <w:snapToGrid w:val="0"/>
        <w:spacing w:line="360" w:lineRule="auto"/>
        <w:ind w:firstLine="399" w:firstLineChars="190"/>
        <w:rPr>
          <w:rFonts w:hint="eastAsia"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14:paraId="1C415F61">
      <w:pPr>
        <w:adjustRightInd w:val="0"/>
        <w:snapToGrid w:val="0"/>
        <w:spacing w:line="360" w:lineRule="auto"/>
        <w:ind w:firstLine="420"/>
        <w:rPr>
          <w:rFonts w:hint="eastAsia" w:ascii="宋体" w:hAnsi="宋体" w:cs="宋体"/>
          <w:color w:val="auto"/>
          <w:szCs w:val="21"/>
          <w:highlight w:val="none"/>
        </w:rPr>
      </w:pPr>
    </w:p>
    <w:p w14:paraId="70C319C5">
      <w:pPr>
        <w:adjustRightInd w:val="0"/>
        <w:snapToGrid w:val="0"/>
        <w:spacing w:line="360" w:lineRule="auto"/>
        <w:ind w:firstLine="420"/>
        <w:rPr>
          <w:rFonts w:hint="eastAsia" w:ascii="宋体" w:hAnsi="宋体" w:cs="宋体"/>
          <w:color w:val="auto"/>
          <w:szCs w:val="21"/>
          <w:highlight w:val="none"/>
        </w:rPr>
      </w:pPr>
    </w:p>
    <w:p w14:paraId="6BDA0674">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 </w:t>
      </w:r>
    </w:p>
    <w:p w14:paraId="43191AD1">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p>
    <w:p w14:paraId="2BAB6E85">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法定代表人(签字)：</w:t>
      </w:r>
      <w:r>
        <w:rPr>
          <w:rFonts w:hint="eastAsia" w:ascii="宋体" w:hAnsi="宋体" w:cs="宋体"/>
          <w:color w:val="auto"/>
          <w:szCs w:val="21"/>
          <w:highlight w:val="none"/>
          <w:u w:val="single"/>
        </w:rPr>
        <w:t xml:space="preserve">           </w:t>
      </w:r>
    </w:p>
    <w:p w14:paraId="5740AE83">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委托代理人(签字)：</w:t>
      </w:r>
      <w:r>
        <w:rPr>
          <w:rFonts w:hint="eastAsia" w:ascii="宋体" w:hAnsi="宋体" w:cs="宋体"/>
          <w:color w:val="auto"/>
          <w:szCs w:val="21"/>
          <w:highlight w:val="none"/>
          <w:u w:val="single"/>
        </w:rPr>
        <w:t xml:space="preserve">            </w:t>
      </w:r>
    </w:p>
    <w:p w14:paraId="6426C898">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14:paraId="578B8E75">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   </w:t>
      </w:r>
    </w:p>
    <w:p w14:paraId="5CEFE390">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0EC3F580">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14:paraId="547E4003">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14:paraId="6E8197EE">
      <w:pPr>
        <w:widowControl/>
        <w:jc w:val="left"/>
        <w:rPr>
          <w:rFonts w:hint="eastAsia" w:ascii="宋体" w:hAnsi="宋体" w:cs="宋体"/>
          <w:b/>
          <w:color w:val="auto"/>
          <w:sz w:val="24"/>
          <w:highlight w:val="none"/>
        </w:rPr>
      </w:pPr>
    </w:p>
    <w:p w14:paraId="3F0D786A">
      <w:pPr>
        <w:pStyle w:val="19"/>
        <w:rPr>
          <w:rFonts w:hint="eastAsia"/>
          <w:color w:val="auto"/>
          <w:highlight w:val="none"/>
        </w:rPr>
      </w:pPr>
    </w:p>
    <w:p w14:paraId="06254084">
      <w:pPr>
        <w:rPr>
          <w:rFonts w:hint="eastAsia"/>
          <w:color w:val="auto"/>
          <w:highlight w:val="none"/>
        </w:rPr>
      </w:pPr>
    </w:p>
    <w:p w14:paraId="5A3A02F1">
      <w:pPr>
        <w:pStyle w:val="19"/>
        <w:rPr>
          <w:rFonts w:hint="eastAsia"/>
          <w:color w:val="auto"/>
          <w:highlight w:val="none"/>
        </w:rPr>
      </w:pPr>
    </w:p>
    <w:p w14:paraId="48FA330D">
      <w:pPr>
        <w:rPr>
          <w:rFonts w:hint="eastAsia"/>
          <w:color w:val="auto"/>
          <w:highlight w:val="none"/>
        </w:rPr>
      </w:pPr>
    </w:p>
    <w:p w14:paraId="1BC31D80">
      <w:pPr>
        <w:pStyle w:val="19"/>
        <w:rPr>
          <w:rFonts w:hint="eastAsia"/>
          <w:color w:val="auto"/>
          <w:highlight w:val="none"/>
        </w:rPr>
      </w:pPr>
    </w:p>
    <w:p w14:paraId="51775396">
      <w:pPr>
        <w:rPr>
          <w:rFonts w:hint="eastAsia"/>
          <w:color w:val="auto"/>
          <w:highlight w:val="none"/>
        </w:rPr>
      </w:pPr>
    </w:p>
    <w:p w14:paraId="1B3EADBA">
      <w:pPr>
        <w:pStyle w:val="19"/>
        <w:rPr>
          <w:rFonts w:hint="eastAsia"/>
          <w:color w:val="auto"/>
          <w:highlight w:val="none"/>
        </w:rPr>
      </w:pPr>
    </w:p>
    <w:p w14:paraId="1C88F66C">
      <w:pPr>
        <w:rPr>
          <w:rFonts w:hint="eastAsia"/>
          <w:color w:val="auto"/>
          <w:highlight w:val="none"/>
        </w:rPr>
      </w:pPr>
    </w:p>
    <w:p w14:paraId="65DECA00">
      <w:pPr>
        <w:pStyle w:val="19"/>
        <w:rPr>
          <w:rFonts w:hint="eastAsia"/>
          <w:color w:val="auto"/>
          <w:highlight w:val="none"/>
        </w:rPr>
      </w:pPr>
    </w:p>
    <w:p w14:paraId="2411C71D">
      <w:pPr>
        <w:rPr>
          <w:rFonts w:hint="eastAsia"/>
          <w:color w:val="auto"/>
          <w:highlight w:val="none"/>
        </w:rPr>
      </w:pPr>
    </w:p>
    <w:p w14:paraId="3525E272">
      <w:pPr>
        <w:pStyle w:val="19"/>
        <w:rPr>
          <w:rFonts w:hint="eastAsia"/>
          <w:color w:val="auto"/>
          <w:highlight w:val="none"/>
        </w:rPr>
      </w:pPr>
    </w:p>
    <w:p w14:paraId="44EFDB37">
      <w:pPr>
        <w:rPr>
          <w:rFonts w:hint="eastAsia"/>
          <w:color w:val="auto"/>
          <w:highlight w:val="none"/>
        </w:rPr>
      </w:pPr>
    </w:p>
    <w:p w14:paraId="6EFB2D65">
      <w:pPr>
        <w:pStyle w:val="19"/>
        <w:rPr>
          <w:rFonts w:hint="eastAsia"/>
          <w:color w:val="auto"/>
          <w:highlight w:val="none"/>
        </w:rPr>
      </w:pPr>
    </w:p>
    <w:p w14:paraId="17F87395">
      <w:pPr>
        <w:rPr>
          <w:rFonts w:hint="eastAsia"/>
          <w:color w:val="auto"/>
          <w:highlight w:val="none"/>
        </w:rPr>
      </w:pPr>
    </w:p>
    <w:p w14:paraId="6BCB259C">
      <w:pPr>
        <w:pStyle w:val="19"/>
        <w:rPr>
          <w:rFonts w:hint="eastAsia"/>
          <w:color w:val="auto"/>
          <w:highlight w:val="none"/>
        </w:rPr>
      </w:pPr>
    </w:p>
    <w:p w14:paraId="3AB36425">
      <w:pPr>
        <w:rPr>
          <w:rFonts w:hint="eastAsia"/>
          <w:color w:val="auto"/>
          <w:highlight w:val="none"/>
        </w:rPr>
      </w:pPr>
    </w:p>
    <w:p w14:paraId="6D1DE0FC">
      <w:pPr>
        <w:pStyle w:val="19"/>
        <w:rPr>
          <w:rFonts w:hint="eastAsia"/>
          <w:color w:val="auto"/>
          <w:highlight w:val="none"/>
        </w:rPr>
      </w:pPr>
    </w:p>
    <w:p w14:paraId="30DA6F93">
      <w:pPr>
        <w:rPr>
          <w:rFonts w:hint="eastAsia"/>
          <w:color w:val="auto"/>
          <w:highlight w:val="none"/>
        </w:rPr>
      </w:pPr>
    </w:p>
    <w:p w14:paraId="7C9C2577">
      <w:pPr>
        <w:pStyle w:val="19"/>
        <w:rPr>
          <w:rFonts w:hint="eastAsia"/>
          <w:color w:val="auto"/>
          <w:highlight w:val="none"/>
        </w:rPr>
      </w:pPr>
    </w:p>
    <w:p w14:paraId="759CC15C">
      <w:pPr>
        <w:rPr>
          <w:rFonts w:hint="eastAsia"/>
          <w:color w:val="auto"/>
          <w:highlight w:val="none"/>
        </w:rPr>
      </w:pPr>
    </w:p>
    <w:p w14:paraId="349C7C8B">
      <w:pPr>
        <w:pStyle w:val="19"/>
        <w:rPr>
          <w:rFonts w:hint="eastAsia"/>
          <w:color w:val="auto"/>
          <w:highlight w:val="none"/>
        </w:rPr>
      </w:pPr>
    </w:p>
    <w:p w14:paraId="2D7EE93D">
      <w:pPr>
        <w:keepNext/>
        <w:keepLines/>
        <w:spacing w:before="120" w:after="120" w:line="360" w:lineRule="auto"/>
        <w:jc w:val="left"/>
        <w:outlineLvl w:val="2"/>
        <w:rPr>
          <w:rFonts w:ascii="宋体" w:hAnsi="宋体" w:cs="宋体"/>
          <w:bCs/>
          <w:color w:val="auto"/>
          <w:sz w:val="24"/>
          <w:highlight w:val="none"/>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bookmarkStart w:id="1315" w:name="_Toc95223489"/>
    </w:p>
    <w:bookmarkEnd w:id="1315"/>
    <w:p w14:paraId="3E756BFB">
      <w:pPr>
        <w:keepNext/>
        <w:keepLines/>
        <w:spacing w:before="120" w:after="120" w:line="360" w:lineRule="auto"/>
        <w:jc w:val="left"/>
        <w:outlineLvl w:val="2"/>
        <w:rPr>
          <w:rFonts w:hint="eastAsia" w:ascii="宋体" w:hAnsi="宋体" w:cs="宋体"/>
          <w:bCs/>
          <w:color w:val="auto"/>
          <w:sz w:val="24"/>
          <w:highlight w:val="none"/>
        </w:rPr>
      </w:pPr>
      <w:bookmarkStart w:id="1316" w:name="_Toc95223490"/>
      <w:r>
        <w:rPr>
          <w:rFonts w:hint="eastAsia" w:ascii="宋体" w:hAnsi="宋体" w:cs="宋体"/>
          <w:bCs/>
          <w:color w:val="auto"/>
          <w:sz w:val="24"/>
          <w:highlight w:val="none"/>
        </w:rPr>
        <w:t>附件4：主要建设工程文件目录</w:t>
      </w:r>
      <w:bookmarkEnd w:id="1316"/>
    </w:p>
    <w:p w14:paraId="31702C5C">
      <w:pPr>
        <w:spacing w:before="120" w:beforeLines="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主要建设工程文件目录</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363367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953" w:type="dxa"/>
            <w:tcBorders>
              <w:top w:val="single" w:color="auto" w:sz="12" w:space="0"/>
              <w:bottom w:val="double" w:color="auto" w:sz="6" w:space="0"/>
            </w:tcBorders>
            <w:noWrap w:val="0"/>
            <w:vAlign w:val="center"/>
          </w:tcPr>
          <w:p w14:paraId="0D0DFD33">
            <w:pPr>
              <w:keepNext/>
              <w:rPr>
                <w:rFonts w:hint="eastAsia" w:ascii="宋体" w:hAnsi="宋体" w:cs="宋体"/>
                <w:color w:val="auto"/>
                <w:szCs w:val="21"/>
                <w:highlight w:val="none"/>
              </w:rPr>
            </w:pPr>
            <w:r>
              <w:rPr>
                <w:rFonts w:hint="eastAsia" w:ascii="宋体" w:hAnsi="宋体" w:cs="宋体"/>
                <w:color w:val="auto"/>
                <w:szCs w:val="21"/>
                <w:highlight w:val="none"/>
              </w:rPr>
              <w:t>文件名称</w:t>
            </w:r>
          </w:p>
        </w:tc>
        <w:tc>
          <w:tcPr>
            <w:tcW w:w="1276" w:type="dxa"/>
            <w:tcBorders>
              <w:top w:val="single" w:color="auto" w:sz="12" w:space="0"/>
              <w:bottom w:val="double" w:color="auto" w:sz="6" w:space="0"/>
            </w:tcBorders>
            <w:noWrap w:val="0"/>
            <w:vAlign w:val="center"/>
          </w:tcPr>
          <w:p w14:paraId="0A43F1A7">
            <w:pPr>
              <w:keepNext/>
              <w:rPr>
                <w:rFonts w:hint="eastAsia" w:ascii="宋体" w:hAnsi="宋体" w:cs="宋体"/>
                <w:color w:val="auto"/>
                <w:szCs w:val="21"/>
                <w:highlight w:val="none"/>
              </w:rPr>
            </w:pPr>
            <w:r>
              <w:rPr>
                <w:rFonts w:hint="eastAsia" w:ascii="宋体" w:hAnsi="宋体" w:cs="宋体"/>
                <w:color w:val="auto"/>
                <w:szCs w:val="21"/>
                <w:highlight w:val="none"/>
              </w:rPr>
              <w:t>套数</w:t>
            </w:r>
          </w:p>
        </w:tc>
        <w:tc>
          <w:tcPr>
            <w:tcW w:w="1450" w:type="dxa"/>
            <w:tcBorders>
              <w:top w:val="single" w:color="auto" w:sz="12" w:space="0"/>
              <w:bottom w:val="double" w:color="auto" w:sz="6" w:space="0"/>
            </w:tcBorders>
            <w:noWrap w:val="0"/>
            <w:vAlign w:val="center"/>
          </w:tcPr>
          <w:p w14:paraId="6A176563">
            <w:pPr>
              <w:keepNext/>
              <w:rPr>
                <w:rFonts w:hint="eastAsia" w:ascii="宋体" w:hAnsi="宋体" w:cs="宋体"/>
                <w:color w:val="auto"/>
                <w:szCs w:val="21"/>
                <w:highlight w:val="none"/>
              </w:rPr>
            </w:pPr>
            <w:r>
              <w:rPr>
                <w:rFonts w:hint="eastAsia" w:ascii="宋体" w:hAnsi="宋体" w:cs="宋体"/>
                <w:color w:val="auto"/>
                <w:szCs w:val="21"/>
                <w:highlight w:val="none"/>
              </w:rPr>
              <w:t>费用（元）</w:t>
            </w:r>
          </w:p>
        </w:tc>
        <w:tc>
          <w:tcPr>
            <w:tcW w:w="1243" w:type="dxa"/>
            <w:tcBorders>
              <w:top w:val="single" w:color="auto" w:sz="12" w:space="0"/>
              <w:bottom w:val="double" w:color="auto" w:sz="6" w:space="0"/>
            </w:tcBorders>
            <w:noWrap w:val="0"/>
            <w:vAlign w:val="center"/>
          </w:tcPr>
          <w:p w14:paraId="18A5FA8C">
            <w:pPr>
              <w:keepNext/>
              <w:rPr>
                <w:rFonts w:hint="eastAsia" w:ascii="宋体" w:hAnsi="宋体" w:cs="宋体"/>
                <w:color w:val="auto"/>
                <w:szCs w:val="21"/>
                <w:highlight w:val="none"/>
              </w:rPr>
            </w:pPr>
            <w:r>
              <w:rPr>
                <w:rFonts w:hint="eastAsia" w:ascii="宋体" w:hAnsi="宋体" w:cs="宋体"/>
                <w:color w:val="auto"/>
                <w:szCs w:val="21"/>
                <w:highlight w:val="none"/>
              </w:rPr>
              <w:t>质量</w:t>
            </w:r>
          </w:p>
        </w:tc>
        <w:tc>
          <w:tcPr>
            <w:tcW w:w="1450" w:type="dxa"/>
            <w:tcBorders>
              <w:top w:val="single" w:color="auto" w:sz="12" w:space="0"/>
              <w:bottom w:val="double" w:color="auto" w:sz="6" w:space="0"/>
            </w:tcBorders>
            <w:noWrap w:val="0"/>
            <w:vAlign w:val="top"/>
          </w:tcPr>
          <w:p w14:paraId="41377AD7">
            <w:pPr>
              <w:rPr>
                <w:rFonts w:hint="eastAsia" w:ascii="宋体" w:hAnsi="宋体" w:cs="宋体"/>
                <w:color w:val="auto"/>
                <w:szCs w:val="21"/>
                <w:highlight w:val="none"/>
              </w:rPr>
            </w:pPr>
            <w:r>
              <w:rPr>
                <w:rFonts w:hint="eastAsia" w:ascii="宋体" w:hAnsi="宋体" w:cs="宋体"/>
                <w:color w:val="auto"/>
                <w:szCs w:val="21"/>
                <w:highlight w:val="none"/>
              </w:rPr>
              <w:t>移交时间</w:t>
            </w:r>
          </w:p>
        </w:tc>
        <w:tc>
          <w:tcPr>
            <w:tcW w:w="1667" w:type="dxa"/>
            <w:tcBorders>
              <w:top w:val="single" w:color="auto" w:sz="12" w:space="0"/>
              <w:bottom w:val="double" w:color="auto" w:sz="6" w:space="0"/>
            </w:tcBorders>
            <w:noWrap w:val="0"/>
            <w:vAlign w:val="top"/>
          </w:tcPr>
          <w:p w14:paraId="1FC636E7">
            <w:pPr>
              <w:rPr>
                <w:rFonts w:hint="eastAsia" w:ascii="宋体" w:hAnsi="宋体" w:cs="宋体"/>
                <w:color w:val="auto"/>
                <w:szCs w:val="21"/>
                <w:highlight w:val="none"/>
              </w:rPr>
            </w:pPr>
            <w:r>
              <w:rPr>
                <w:rFonts w:hint="eastAsia" w:ascii="宋体" w:hAnsi="宋体" w:cs="宋体"/>
                <w:color w:val="auto"/>
                <w:szCs w:val="21"/>
                <w:highlight w:val="none"/>
              </w:rPr>
              <w:t>责任人</w:t>
            </w:r>
          </w:p>
        </w:tc>
      </w:tr>
      <w:tr w14:paraId="07874E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double" w:color="auto" w:sz="6" w:space="0"/>
            </w:tcBorders>
            <w:noWrap w:val="0"/>
            <w:vAlign w:val="center"/>
          </w:tcPr>
          <w:p w14:paraId="2979160B">
            <w:pPr>
              <w:keepNext/>
              <w:rPr>
                <w:rFonts w:hint="eastAsia" w:ascii="宋体" w:hAnsi="宋体" w:cs="宋体"/>
                <w:color w:val="auto"/>
                <w:szCs w:val="21"/>
                <w:highlight w:val="none"/>
              </w:rPr>
            </w:pPr>
          </w:p>
        </w:tc>
        <w:tc>
          <w:tcPr>
            <w:tcW w:w="1276" w:type="dxa"/>
            <w:tcBorders>
              <w:top w:val="double" w:color="auto" w:sz="6" w:space="0"/>
            </w:tcBorders>
            <w:noWrap w:val="0"/>
            <w:vAlign w:val="center"/>
          </w:tcPr>
          <w:p w14:paraId="056E4DE2">
            <w:pPr>
              <w:keepNext/>
              <w:rPr>
                <w:rFonts w:hint="eastAsia" w:ascii="宋体" w:hAnsi="宋体" w:cs="宋体"/>
                <w:color w:val="auto"/>
                <w:szCs w:val="21"/>
                <w:highlight w:val="none"/>
              </w:rPr>
            </w:pPr>
          </w:p>
        </w:tc>
        <w:tc>
          <w:tcPr>
            <w:tcW w:w="1450" w:type="dxa"/>
            <w:tcBorders>
              <w:top w:val="double" w:color="auto" w:sz="6" w:space="0"/>
            </w:tcBorders>
            <w:noWrap w:val="0"/>
            <w:vAlign w:val="center"/>
          </w:tcPr>
          <w:p w14:paraId="7181C1E2">
            <w:pPr>
              <w:keepNext/>
              <w:rPr>
                <w:rFonts w:hint="eastAsia" w:ascii="宋体" w:hAnsi="宋体" w:cs="宋体"/>
                <w:color w:val="auto"/>
                <w:szCs w:val="21"/>
                <w:highlight w:val="none"/>
              </w:rPr>
            </w:pPr>
          </w:p>
        </w:tc>
        <w:tc>
          <w:tcPr>
            <w:tcW w:w="1243" w:type="dxa"/>
            <w:tcBorders>
              <w:top w:val="double" w:color="auto" w:sz="6" w:space="0"/>
            </w:tcBorders>
            <w:noWrap w:val="0"/>
            <w:vAlign w:val="center"/>
          </w:tcPr>
          <w:p w14:paraId="15360AFC">
            <w:pPr>
              <w:keepNext/>
              <w:rPr>
                <w:rFonts w:hint="eastAsia" w:ascii="宋体" w:hAnsi="宋体" w:cs="宋体"/>
                <w:color w:val="auto"/>
                <w:szCs w:val="21"/>
                <w:highlight w:val="none"/>
              </w:rPr>
            </w:pPr>
          </w:p>
        </w:tc>
        <w:tc>
          <w:tcPr>
            <w:tcW w:w="1450" w:type="dxa"/>
            <w:tcBorders>
              <w:top w:val="double" w:color="auto" w:sz="6" w:space="0"/>
            </w:tcBorders>
            <w:noWrap w:val="0"/>
            <w:vAlign w:val="center"/>
          </w:tcPr>
          <w:p w14:paraId="4B58E8FD">
            <w:pPr>
              <w:keepNext/>
              <w:rPr>
                <w:rFonts w:hint="eastAsia" w:ascii="宋体" w:hAnsi="宋体" w:cs="宋体"/>
                <w:color w:val="auto"/>
                <w:szCs w:val="21"/>
                <w:highlight w:val="none"/>
              </w:rPr>
            </w:pPr>
          </w:p>
        </w:tc>
        <w:tc>
          <w:tcPr>
            <w:tcW w:w="1667" w:type="dxa"/>
            <w:tcBorders>
              <w:top w:val="double" w:color="auto" w:sz="6" w:space="0"/>
            </w:tcBorders>
            <w:noWrap w:val="0"/>
            <w:vAlign w:val="center"/>
          </w:tcPr>
          <w:p w14:paraId="6057C33E">
            <w:pPr>
              <w:keepNext/>
              <w:rPr>
                <w:rFonts w:hint="eastAsia" w:ascii="宋体" w:hAnsi="宋体" w:cs="宋体"/>
                <w:color w:val="auto"/>
                <w:szCs w:val="21"/>
                <w:highlight w:val="none"/>
              </w:rPr>
            </w:pPr>
          </w:p>
        </w:tc>
      </w:tr>
      <w:tr w14:paraId="176526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nil"/>
            </w:tcBorders>
            <w:noWrap w:val="0"/>
            <w:vAlign w:val="center"/>
          </w:tcPr>
          <w:p w14:paraId="2CB03CB4">
            <w:pPr>
              <w:keepNext/>
              <w:rPr>
                <w:rFonts w:hint="eastAsia" w:ascii="宋体" w:hAnsi="宋体" w:cs="宋体"/>
                <w:color w:val="auto"/>
                <w:szCs w:val="21"/>
                <w:highlight w:val="none"/>
              </w:rPr>
            </w:pPr>
          </w:p>
        </w:tc>
        <w:tc>
          <w:tcPr>
            <w:tcW w:w="1276" w:type="dxa"/>
            <w:tcBorders>
              <w:top w:val="nil"/>
            </w:tcBorders>
            <w:noWrap w:val="0"/>
            <w:vAlign w:val="center"/>
          </w:tcPr>
          <w:p w14:paraId="5A561891">
            <w:pPr>
              <w:keepNext/>
              <w:rPr>
                <w:rFonts w:hint="eastAsia" w:ascii="宋体" w:hAnsi="宋体" w:cs="宋体"/>
                <w:color w:val="auto"/>
                <w:szCs w:val="21"/>
                <w:highlight w:val="none"/>
              </w:rPr>
            </w:pPr>
          </w:p>
        </w:tc>
        <w:tc>
          <w:tcPr>
            <w:tcW w:w="1450" w:type="dxa"/>
            <w:tcBorders>
              <w:top w:val="nil"/>
            </w:tcBorders>
            <w:noWrap w:val="0"/>
            <w:vAlign w:val="center"/>
          </w:tcPr>
          <w:p w14:paraId="79D20F01">
            <w:pPr>
              <w:keepNext/>
              <w:rPr>
                <w:rFonts w:hint="eastAsia" w:ascii="宋体" w:hAnsi="宋体" w:cs="宋体"/>
                <w:color w:val="auto"/>
                <w:szCs w:val="21"/>
                <w:highlight w:val="none"/>
              </w:rPr>
            </w:pPr>
          </w:p>
        </w:tc>
        <w:tc>
          <w:tcPr>
            <w:tcW w:w="1243" w:type="dxa"/>
            <w:tcBorders>
              <w:top w:val="nil"/>
            </w:tcBorders>
            <w:noWrap w:val="0"/>
            <w:vAlign w:val="center"/>
          </w:tcPr>
          <w:p w14:paraId="3E2372CB">
            <w:pPr>
              <w:keepNext/>
              <w:rPr>
                <w:rFonts w:hint="eastAsia" w:ascii="宋体" w:hAnsi="宋体" w:cs="宋体"/>
                <w:color w:val="auto"/>
                <w:szCs w:val="21"/>
                <w:highlight w:val="none"/>
              </w:rPr>
            </w:pPr>
          </w:p>
        </w:tc>
        <w:tc>
          <w:tcPr>
            <w:tcW w:w="1450" w:type="dxa"/>
            <w:tcBorders>
              <w:top w:val="nil"/>
            </w:tcBorders>
            <w:noWrap w:val="0"/>
            <w:vAlign w:val="center"/>
          </w:tcPr>
          <w:p w14:paraId="627A37B4">
            <w:pPr>
              <w:keepNext/>
              <w:rPr>
                <w:rFonts w:hint="eastAsia" w:ascii="宋体" w:hAnsi="宋体" w:cs="宋体"/>
                <w:color w:val="auto"/>
                <w:szCs w:val="21"/>
                <w:highlight w:val="none"/>
              </w:rPr>
            </w:pPr>
          </w:p>
        </w:tc>
        <w:tc>
          <w:tcPr>
            <w:tcW w:w="1667" w:type="dxa"/>
            <w:tcBorders>
              <w:top w:val="nil"/>
            </w:tcBorders>
            <w:noWrap w:val="0"/>
            <w:vAlign w:val="center"/>
          </w:tcPr>
          <w:p w14:paraId="1BE2CEBB">
            <w:pPr>
              <w:keepNext/>
              <w:rPr>
                <w:rFonts w:hint="eastAsia" w:ascii="宋体" w:hAnsi="宋体" w:cs="宋体"/>
                <w:color w:val="auto"/>
                <w:szCs w:val="21"/>
                <w:highlight w:val="none"/>
              </w:rPr>
            </w:pPr>
          </w:p>
        </w:tc>
      </w:tr>
      <w:tr w14:paraId="5818FB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7EB02023">
            <w:pPr>
              <w:rPr>
                <w:rFonts w:hint="eastAsia" w:ascii="宋体" w:hAnsi="宋体" w:cs="宋体"/>
                <w:color w:val="auto"/>
                <w:szCs w:val="21"/>
                <w:highlight w:val="none"/>
              </w:rPr>
            </w:pPr>
          </w:p>
        </w:tc>
        <w:tc>
          <w:tcPr>
            <w:tcW w:w="1276" w:type="dxa"/>
            <w:noWrap w:val="0"/>
            <w:vAlign w:val="top"/>
          </w:tcPr>
          <w:p w14:paraId="1942460C">
            <w:pPr>
              <w:rPr>
                <w:rFonts w:hint="eastAsia" w:ascii="宋体" w:hAnsi="宋体" w:cs="宋体"/>
                <w:color w:val="auto"/>
                <w:szCs w:val="21"/>
                <w:highlight w:val="none"/>
              </w:rPr>
            </w:pPr>
          </w:p>
        </w:tc>
        <w:tc>
          <w:tcPr>
            <w:tcW w:w="1450" w:type="dxa"/>
            <w:noWrap w:val="0"/>
            <w:vAlign w:val="top"/>
          </w:tcPr>
          <w:p w14:paraId="02EC20FA">
            <w:pPr>
              <w:rPr>
                <w:rFonts w:hint="eastAsia" w:ascii="宋体" w:hAnsi="宋体" w:cs="宋体"/>
                <w:color w:val="auto"/>
                <w:szCs w:val="21"/>
                <w:highlight w:val="none"/>
              </w:rPr>
            </w:pPr>
          </w:p>
        </w:tc>
        <w:tc>
          <w:tcPr>
            <w:tcW w:w="1243" w:type="dxa"/>
            <w:noWrap w:val="0"/>
            <w:vAlign w:val="top"/>
          </w:tcPr>
          <w:p w14:paraId="24CD6A3B">
            <w:pPr>
              <w:rPr>
                <w:rFonts w:hint="eastAsia" w:ascii="宋体" w:hAnsi="宋体" w:cs="宋体"/>
                <w:color w:val="auto"/>
                <w:szCs w:val="21"/>
                <w:highlight w:val="none"/>
              </w:rPr>
            </w:pPr>
          </w:p>
        </w:tc>
        <w:tc>
          <w:tcPr>
            <w:tcW w:w="1450" w:type="dxa"/>
            <w:noWrap w:val="0"/>
            <w:vAlign w:val="top"/>
          </w:tcPr>
          <w:p w14:paraId="16056CE3">
            <w:pPr>
              <w:rPr>
                <w:rFonts w:hint="eastAsia" w:ascii="宋体" w:hAnsi="宋体" w:cs="宋体"/>
                <w:color w:val="auto"/>
                <w:szCs w:val="21"/>
                <w:highlight w:val="none"/>
              </w:rPr>
            </w:pPr>
          </w:p>
        </w:tc>
        <w:tc>
          <w:tcPr>
            <w:tcW w:w="1667" w:type="dxa"/>
            <w:noWrap w:val="0"/>
            <w:vAlign w:val="top"/>
          </w:tcPr>
          <w:p w14:paraId="58F762B0">
            <w:pPr>
              <w:rPr>
                <w:rFonts w:hint="eastAsia" w:ascii="宋体" w:hAnsi="宋体" w:cs="宋体"/>
                <w:color w:val="auto"/>
                <w:szCs w:val="21"/>
                <w:highlight w:val="none"/>
              </w:rPr>
            </w:pPr>
          </w:p>
        </w:tc>
      </w:tr>
      <w:tr w14:paraId="60D31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7A11F490">
            <w:pPr>
              <w:rPr>
                <w:rFonts w:hint="eastAsia" w:ascii="宋体" w:hAnsi="宋体" w:cs="宋体"/>
                <w:color w:val="auto"/>
                <w:szCs w:val="21"/>
                <w:highlight w:val="none"/>
              </w:rPr>
            </w:pPr>
          </w:p>
        </w:tc>
        <w:tc>
          <w:tcPr>
            <w:tcW w:w="1276" w:type="dxa"/>
            <w:noWrap w:val="0"/>
            <w:vAlign w:val="top"/>
          </w:tcPr>
          <w:p w14:paraId="4E5D8ECD">
            <w:pPr>
              <w:rPr>
                <w:rFonts w:hint="eastAsia" w:ascii="宋体" w:hAnsi="宋体" w:cs="宋体"/>
                <w:color w:val="auto"/>
                <w:szCs w:val="21"/>
                <w:highlight w:val="none"/>
              </w:rPr>
            </w:pPr>
          </w:p>
        </w:tc>
        <w:tc>
          <w:tcPr>
            <w:tcW w:w="1450" w:type="dxa"/>
            <w:noWrap w:val="0"/>
            <w:vAlign w:val="top"/>
          </w:tcPr>
          <w:p w14:paraId="3CBFEA3D">
            <w:pPr>
              <w:rPr>
                <w:rFonts w:hint="eastAsia" w:ascii="宋体" w:hAnsi="宋体" w:cs="宋体"/>
                <w:color w:val="auto"/>
                <w:szCs w:val="21"/>
                <w:highlight w:val="none"/>
              </w:rPr>
            </w:pPr>
          </w:p>
        </w:tc>
        <w:tc>
          <w:tcPr>
            <w:tcW w:w="1243" w:type="dxa"/>
            <w:noWrap w:val="0"/>
            <w:vAlign w:val="top"/>
          </w:tcPr>
          <w:p w14:paraId="320F3311">
            <w:pPr>
              <w:rPr>
                <w:rFonts w:hint="eastAsia" w:ascii="宋体" w:hAnsi="宋体" w:cs="宋体"/>
                <w:color w:val="auto"/>
                <w:szCs w:val="21"/>
                <w:highlight w:val="none"/>
              </w:rPr>
            </w:pPr>
          </w:p>
        </w:tc>
        <w:tc>
          <w:tcPr>
            <w:tcW w:w="1450" w:type="dxa"/>
            <w:noWrap w:val="0"/>
            <w:vAlign w:val="top"/>
          </w:tcPr>
          <w:p w14:paraId="20163F79">
            <w:pPr>
              <w:rPr>
                <w:rFonts w:hint="eastAsia" w:ascii="宋体" w:hAnsi="宋体" w:cs="宋体"/>
                <w:color w:val="auto"/>
                <w:szCs w:val="21"/>
                <w:highlight w:val="none"/>
              </w:rPr>
            </w:pPr>
          </w:p>
        </w:tc>
        <w:tc>
          <w:tcPr>
            <w:tcW w:w="1667" w:type="dxa"/>
            <w:noWrap w:val="0"/>
            <w:vAlign w:val="top"/>
          </w:tcPr>
          <w:p w14:paraId="618A0F33">
            <w:pPr>
              <w:rPr>
                <w:rFonts w:hint="eastAsia" w:ascii="宋体" w:hAnsi="宋体" w:cs="宋体"/>
                <w:color w:val="auto"/>
                <w:szCs w:val="21"/>
                <w:highlight w:val="none"/>
              </w:rPr>
            </w:pPr>
          </w:p>
        </w:tc>
      </w:tr>
      <w:tr w14:paraId="7B5A83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bottom w:val="single" w:color="auto" w:sz="12" w:space="0"/>
            </w:tcBorders>
            <w:noWrap w:val="0"/>
            <w:vAlign w:val="top"/>
          </w:tcPr>
          <w:p w14:paraId="00825BE8">
            <w:pPr>
              <w:rPr>
                <w:rFonts w:hint="eastAsia" w:ascii="宋体" w:hAnsi="宋体" w:cs="宋体"/>
                <w:color w:val="auto"/>
                <w:szCs w:val="21"/>
                <w:highlight w:val="none"/>
              </w:rPr>
            </w:pPr>
          </w:p>
        </w:tc>
        <w:tc>
          <w:tcPr>
            <w:tcW w:w="1276" w:type="dxa"/>
            <w:tcBorders>
              <w:bottom w:val="single" w:color="auto" w:sz="12" w:space="0"/>
            </w:tcBorders>
            <w:noWrap w:val="0"/>
            <w:vAlign w:val="top"/>
          </w:tcPr>
          <w:p w14:paraId="391755F5">
            <w:pPr>
              <w:rPr>
                <w:rFonts w:hint="eastAsia" w:ascii="宋体" w:hAnsi="宋体" w:cs="宋体"/>
                <w:color w:val="auto"/>
                <w:szCs w:val="21"/>
                <w:highlight w:val="none"/>
              </w:rPr>
            </w:pPr>
          </w:p>
        </w:tc>
        <w:tc>
          <w:tcPr>
            <w:tcW w:w="1450" w:type="dxa"/>
            <w:tcBorders>
              <w:bottom w:val="single" w:color="auto" w:sz="12" w:space="0"/>
            </w:tcBorders>
            <w:noWrap w:val="0"/>
            <w:vAlign w:val="top"/>
          </w:tcPr>
          <w:p w14:paraId="277E1590">
            <w:pPr>
              <w:rPr>
                <w:rFonts w:hint="eastAsia" w:ascii="宋体" w:hAnsi="宋体" w:cs="宋体"/>
                <w:color w:val="auto"/>
                <w:szCs w:val="21"/>
                <w:highlight w:val="none"/>
              </w:rPr>
            </w:pPr>
          </w:p>
        </w:tc>
        <w:tc>
          <w:tcPr>
            <w:tcW w:w="1243" w:type="dxa"/>
            <w:tcBorders>
              <w:bottom w:val="single" w:color="auto" w:sz="12" w:space="0"/>
            </w:tcBorders>
            <w:noWrap w:val="0"/>
            <w:vAlign w:val="top"/>
          </w:tcPr>
          <w:p w14:paraId="2648D5CC">
            <w:pPr>
              <w:rPr>
                <w:rFonts w:hint="eastAsia" w:ascii="宋体" w:hAnsi="宋体" w:cs="宋体"/>
                <w:color w:val="auto"/>
                <w:szCs w:val="21"/>
                <w:highlight w:val="none"/>
              </w:rPr>
            </w:pPr>
          </w:p>
        </w:tc>
        <w:tc>
          <w:tcPr>
            <w:tcW w:w="1450" w:type="dxa"/>
            <w:tcBorders>
              <w:bottom w:val="single" w:color="auto" w:sz="12" w:space="0"/>
            </w:tcBorders>
            <w:noWrap w:val="0"/>
            <w:vAlign w:val="top"/>
          </w:tcPr>
          <w:p w14:paraId="44830843">
            <w:pPr>
              <w:rPr>
                <w:rFonts w:hint="eastAsia" w:ascii="宋体" w:hAnsi="宋体" w:cs="宋体"/>
                <w:color w:val="auto"/>
                <w:szCs w:val="21"/>
                <w:highlight w:val="none"/>
              </w:rPr>
            </w:pPr>
          </w:p>
        </w:tc>
        <w:tc>
          <w:tcPr>
            <w:tcW w:w="1667" w:type="dxa"/>
            <w:tcBorders>
              <w:bottom w:val="single" w:color="auto" w:sz="12" w:space="0"/>
            </w:tcBorders>
            <w:noWrap w:val="0"/>
            <w:vAlign w:val="top"/>
          </w:tcPr>
          <w:p w14:paraId="74071B82">
            <w:pPr>
              <w:rPr>
                <w:rFonts w:hint="eastAsia" w:ascii="宋体" w:hAnsi="宋体" w:cs="宋体"/>
                <w:color w:val="auto"/>
                <w:szCs w:val="21"/>
                <w:highlight w:val="none"/>
              </w:rPr>
            </w:pPr>
          </w:p>
        </w:tc>
      </w:tr>
    </w:tbl>
    <w:p w14:paraId="5C50A6CF">
      <w:pPr>
        <w:rPr>
          <w:rFonts w:hint="eastAsia" w:ascii="宋体" w:hAnsi="宋体" w:cs="宋体"/>
          <w:color w:val="auto"/>
          <w:szCs w:val="21"/>
          <w:highlight w:val="none"/>
        </w:rPr>
      </w:pPr>
    </w:p>
    <w:p w14:paraId="49465EC5">
      <w:pPr>
        <w:keepNext/>
        <w:keepLines/>
        <w:spacing w:before="120" w:after="120" w:line="360" w:lineRule="auto"/>
        <w:jc w:val="left"/>
        <w:outlineLvl w:val="2"/>
        <w:rPr>
          <w:rFonts w:hint="eastAsia" w:ascii="宋体" w:hAnsi="宋体" w:cs="宋体"/>
          <w:bCs/>
          <w:color w:val="auto"/>
          <w:sz w:val="24"/>
          <w:highlight w:val="none"/>
        </w:rPr>
      </w:pPr>
      <w:bookmarkStart w:id="1317" w:name="_Toc95223491"/>
      <w:r>
        <w:rPr>
          <w:rFonts w:hint="eastAsia" w:ascii="宋体" w:hAnsi="宋体" w:cs="宋体"/>
          <w:bCs/>
          <w:color w:val="auto"/>
          <w:sz w:val="24"/>
          <w:highlight w:val="none"/>
        </w:rPr>
        <w:t>附</w:t>
      </w:r>
      <w:bookmarkStart w:id="1318" w:name="_Toc296891055"/>
      <w:bookmarkStart w:id="1319" w:name="_Toc296944566"/>
      <w:bookmarkStart w:id="1320" w:name="_Toc296347226"/>
      <w:bookmarkStart w:id="1321" w:name="_Toc296503227"/>
      <w:bookmarkStart w:id="1322" w:name="_Toc296346728"/>
      <w:bookmarkStart w:id="1323" w:name="_Toc267261698"/>
      <w:bookmarkStart w:id="1324" w:name="_Toc296891267"/>
      <w:r>
        <w:rPr>
          <w:rFonts w:hint="eastAsia" w:ascii="宋体" w:hAnsi="宋体" w:cs="宋体"/>
          <w:bCs/>
          <w:color w:val="auto"/>
          <w:sz w:val="24"/>
          <w:highlight w:val="none"/>
        </w:rPr>
        <w:t>件5：承包人用于本工程施工的机械设备表</w:t>
      </w:r>
      <w:bookmarkEnd w:id="1317"/>
    </w:p>
    <w:bookmarkEnd w:id="1318"/>
    <w:bookmarkEnd w:id="1319"/>
    <w:bookmarkEnd w:id="1320"/>
    <w:bookmarkEnd w:id="1321"/>
    <w:bookmarkEnd w:id="1322"/>
    <w:bookmarkEnd w:id="1323"/>
    <w:bookmarkEnd w:id="1324"/>
    <w:p w14:paraId="2961BAB4">
      <w:pPr>
        <w:spacing w:before="120" w:beforeLines="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承包人用于本工程施工的机械设备表</w:t>
      </w:r>
    </w:p>
    <w:tbl>
      <w:tblPr>
        <w:tblStyle w:val="20"/>
        <w:tblW w:w="895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7"/>
        <w:gridCol w:w="1418"/>
        <w:gridCol w:w="850"/>
        <w:gridCol w:w="709"/>
        <w:gridCol w:w="850"/>
        <w:gridCol w:w="963"/>
        <w:gridCol w:w="1480"/>
        <w:gridCol w:w="1020"/>
        <w:gridCol w:w="932"/>
      </w:tblGrid>
      <w:tr w14:paraId="174F0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737" w:type="dxa"/>
            <w:tcBorders>
              <w:top w:val="single" w:color="auto" w:sz="12" w:space="0"/>
              <w:bottom w:val="double" w:color="auto" w:sz="6" w:space="0"/>
            </w:tcBorders>
            <w:noWrap w:val="0"/>
            <w:vAlign w:val="center"/>
          </w:tcPr>
          <w:p w14:paraId="03E5C5D5">
            <w:pPr>
              <w:keepNext/>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418" w:type="dxa"/>
            <w:tcBorders>
              <w:top w:val="single" w:color="auto" w:sz="12" w:space="0"/>
              <w:bottom w:val="double" w:color="auto" w:sz="6" w:space="0"/>
            </w:tcBorders>
            <w:noWrap w:val="0"/>
            <w:vAlign w:val="center"/>
          </w:tcPr>
          <w:p w14:paraId="74BFA566">
            <w:pPr>
              <w:keepNext/>
              <w:rPr>
                <w:rFonts w:hint="eastAsia" w:ascii="宋体" w:hAnsi="宋体" w:cs="宋体"/>
                <w:color w:val="auto"/>
                <w:szCs w:val="21"/>
                <w:highlight w:val="none"/>
              </w:rPr>
            </w:pPr>
            <w:r>
              <w:rPr>
                <w:rFonts w:hint="eastAsia" w:ascii="宋体" w:hAnsi="宋体" w:cs="宋体"/>
                <w:color w:val="auto"/>
                <w:szCs w:val="21"/>
                <w:highlight w:val="none"/>
              </w:rPr>
              <w:t>机械或设备名称</w:t>
            </w:r>
          </w:p>
        </w:tc>
        <w:tc>
          <w:tcPr>
            <w:tcW w:w="850" w:type="dxa"/>
            <w:tcBorders>
              <w:top w:val="single" w:color="auto" w:sz="12" w:space="0"/>
              <w:bottom w:val="double" w:color="auto" w:sz="6" w:space="0"/>
            </w:tcBorders>
            <w:noWrap w:val="0"/>
            <w:vAlign w:val="center"/>
          </w:tcPr>
          <w:p w14:paraId="2B3103DB">
            <w:pPr>
              <w:keepNext/>
              <w:rPr>
                <w:rFonts w:hint="eastAsia" w:ascii="宋体" w:hAnsi="宋体" w:cs="宋体"/>
                <w:color w:val="auto"/>
                <w:szCs w:val="21"/>
                <w:highlight w:val="none"/>
              </w:rPr>
            </w:pPr>
            <w:r>
              <w:rPr>
                <w:rFonts w:hint="eastAsia" w:ascii="宋体" w:hAnsi="宋体" w:cs="宋体"/>
                <w:color w:val="auto"/>
                <w:szCs w:val="21"/>
                <w:highlight w:val="none"/>
              </w:rPr>
              <w:t>规格型号</w:t>
            </w:r>
          </w:p>
        </w:tc>
        <w:tc>
          <w:tcPr>
            <w:tcW w:w="709" w:type="dxa"/>
            <w:tcBorders>
              <w:top w:val="single" w:color="auto" w:sz="12" w:space="0"/>
              <w:bottom w:val="double" w:color="auto" w:sz="6" w:space="0"/>
            </w:tcBorders>
            <w:noWrap w:val="0"/>
            <w:vAlign w:val="center"/>
          </w:tcPr>
          <w:p w14:paraId="7D117FAF">
            <w:pPr>
              <w:keepNext/>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850" w:type="dxa"/>
            <w:tcBorders>
              <w:top w:val="single" w:color="auto" w:sz="12" w:space="0"/>
              <w:bottom w:val="double" w:color="auto" w:sz="6" w:space="0"/>
            </w:tcBorders>
            <w:noWrap w:val="0"/>
            <w:vAlign w:val="center"/>
          </w:tcPr>
          <w:p w14:paraId="3C2E16C6">
            <w:pPr>
              <w:keepNext/>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963" w:type="dxa"/>
            <w:tcBorders>
              <w:top w:val="single" w:color="auto" w:sz="12" w:space="0"/>
              <w:bottom w:val="double" w:color="auto" w:sz="6" w:space="0"/>
            </w:tcBorders>
            <w:noWrap w:val="0"/>
            <w:vAlign w:val="center"/>
          </w:tcPr>
          <w:p w14:paraId="62C75B29">
            <w:pPr>
              <w:keepNext/>
              <w:rPr>
                <w:rFonts w:hint="eastAsia" w:ascii="宋体" w:hAnsi="宋体" w:cs="宋体"/>
                <w:color w:val="auto"/>
                <w:szCs w:val="21"/>
                <w:highlight w:val="none"/>
              </w:rPr>
            </w:pPr>
            <w:r>
              <w:rPr>
                <w:rFonts w:hint="eastAsia" w:ascii="宋体" w:hAnsi="宋体" w:cs="宋体"/>
                <w:color w:val="auto"/>
                <w:szCs w:val="21"/>
                <w:highlight w:val="none"/>
              </w:rPr>
              <w:t>制造年份</w:t>
            </w:r>
          </w:p>
        </w:tc>
        <w:tc>
          <w:tcPr>
            <w:tcW w:w="1480" w:type="dxa"/>
            <w:tcBorders>
              <w:top w:val="single" w:color="auto" w:sz="12" w:space="0"/>
              <w:bottom w:val="double" w:color="auto" w:sz="6" w:space="0"/>
            </w:tcBorders>
            <w:noWrap w:val="0"/>
            <w:vAlign w:val="center"/>
          </w:tcPr>
          <w:p w14:paraId="33F33FC2">
            <w:pPr>
              <w:keepNext/>
              <w:rPr>
                <w:rFonts w:hint="eastAsia" w:ascii="宋体" w:hAnsi="宋体" w:cs="宋体"/>
                <w:color w:val="auto"/>
                <w:szCs w:val="21"/>
                <w:highlight w:val="none"/>
              </w:rPr>
            </w:pPr>
            <w:r>
              <w:rPr>
                <w:rFonts w:hint="eastAsia" w:ascii="宋体" w:hAnsi="宋体" w:cs="宋体"/>
                <w:color w:val="auto"/>
                <w:szCs w:val="21"/>
                <w:highlight w:val="none"/>
              </w:rPr>
              <w:t>额定功率(kW)</w:t>
            </w:r>
          </w:p>
        </w:tc>
        <w:tc>
          <w:tcPr>
            <w:tcW w:w="1020" w:type="dxa"/>
            <w:tcBorders>
              <w:top w:val="single" w:color="auto" w:sz="12" w:space="0"/>
              <w:bottom w:val="double" w:color="auto" w:sz="6" w:space="0"/>
            </w:tcBorders>
            <w:noWrap w:val="0"/>
            <w:vAlign w:val="center"/>
          </w:tcPr>
          <w:p w14:paraId="4E7430C0">
            <w:pPr>
              <w:keepNext/>
              <w:rPr>
                <w:rFonts w:hint="eastAsia" w:ascii="宋体" w:hAnsi="宋体" w:cs="宋体"/>
                <w:color w:val="auto"/>
                <w:szCs w:val="21"/>
                <w:highlight w:val="none"/>
              </w:rPr>
            </w:pPr>
            <w:r>
              <w:rPr>
                <w:rFonts w:hint="eastAsia" w:ascii="宋体" w:hAnsi="宋体" w:cs="宋体"/>
                <w:color w:val="auto"/>
                <w:szCs w:val="21"/>
                <w:highlight w:val="none"/>
              </w:rPr>
              <w:t>生产能力</w:t>
            </w:r>
          </w:p>
        </w:tc>
        <w:tc>
          <w:tcPr>
            <w:tcW w:w="932" w:type="dxa"/>
            <w:tcBorders>
              <w:top w:val="single" w:color="auto" w:sz="12" w:space="0"/>
              <w:bottom w:val="double" w:color="auto" w:sz="6" w:space="0"/>
            </w:tcBorders>
            <w:noWrap w:val="0"/>
            <w:vAlign w:val="center"/>
          </w:tcPr>
          <w:p w14:paraId="2657C243">
            <w:pPr>
              <w:keepNext/>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262BDF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top w:val="double" w:color="auto" w:sz="6" w:space="0"/>
            </w:tcBorders>
            <w:noWrap w:val="0"/>
            <w:vAlign w:val="center"/>
          </w:tcPr>
          <w:p w14:paraId="02673310">
            <w:pPr>
              <w:keepNext/>
              <w:rPr>
                <w:rFonts w:hint="eastAsia" w:ascii="宋体" w:hAnsi="宋体" w:cs="宋体"/>
                <w:color w:val="auto"/>
                <w:szCs w:val="21"/>
                <w:highlight w:val="none"/>
              </w:rPr>
            </w:pPr>
          </w:p>
        </w:tc>
        <w:tc>
          <w:tcPr>
            <w:tcW w:w="1418" w:type="dxa"/>
            <w:tcBorders>
              <w:top w:val="double" w:color="auto" w:sz="6" w:space="0"/>
            </w:tcBorders>
            <w:noWrap w:val="0"/>
            <w:vAlign w:val="center"/>
          </w:tcPr>
          <w:p w14:paraId="07E42290">
            <w:pPr>
              <w:keepNext/>
              <w:rPr>
                <w:rFonts w:hint="eastAsia" w:ascii="宋体" w:hAnsi="宋体" w:cs="宋体"/>
                <w:color w:val="auto"/>
                <w:szCs w:val="21"/>
                <w:highlight w:val="none"/>
              </w:rPr>
            </w:pPr>
          </w:p>
        </w:tc>
        <w:tc>
          <w:tcPr>
            <w:tcW w:w="850" w:type="dxa"/>
            <w:tcBorders>
              <w:top w:val="double" w:color="auto" w:sz="6" w:space="0"/>
            </w:tcBorders>
            <w:noWrap w:val="0"/>
            <w:vAlign w:val="center"/>
          </w:tcPr>
          <w:p w14:paraId="1166BB7C">
            <w:pPr>
              <w:keepNext/>
              <w:rPr>
                <w:rFonts w:hint="eastAsia" w:ascii="宋体" w:hAnsi="宋体" w:cs="宋体"/>
                <w:color w:val="auto"/>
                <w:szCs w:val="21"/>
                <w:highlight w:val="none"/>
              </w:rPr>
            </w:pPr>
          </w:p>
        </w:tc>
        <w:tc>
          <w:tcPr>
            <w:tcW w:w="709" w:type="dxa"/>
            <w:tcBorders>
              <w:top w:val="double" w:color="auto" w:sz="6" w:space="0"/>
            </w:tcBorders>
            <w:noWrap w:val="0"/>
            <w:vAlign w:val="center"/>
          </w:tcPr>
          <w:p w14:paraId="77E06897">
            <w:pPr>
              <w:keepNext/>
              <w:rPr>
                <w:rFonts w:hint="eastAsia" w:ascii="宋体" w:hAnsi="宋体" w:cs="宋体"/>
                <w:color w:val="auto"/>
                <w:szCs w:val="21"/>
                <w:highlight w:val="none"/>
              </w:rPr>
            </w:pPr>
          </w:p>
        </w:tc>
        <w:tc>
          <w:tcPr>
            <w:tcW w:w="850" w:type="dxa"/>
            <w:tcBorders>
              <w:top w:val="double" w:color="auto" w:sz="6" w:space="0"/>
            </w:tcBorders>
            <w:noWrap w:val="0"/>
            <w:vAlign w:val="center"/>
          </w:tcPr>
          <w:p w14:paraId="24AC51DC">
            <w:pPr>
              <w:keepNext/>
              <w:rPr>
                <w:rFonts w:hint="eastAsia" w:ascii="宋体" w:hAnsi="宋体" w:cs="宋体"/>
                <w:color w:val="auto"/>
                <w:szCs w:val="21"/>
                <w:highlight w:val="none"/>
              </w:rPr>
            </w:pPr>
          </w:p>
        </w:tc>
        <w:tc>
          <w:tcPr>
            <w:tcW w:w="963" w:type="dxa"/>
            <w:tcBorders>
              <w:top w:val="double" w:color="auto" w:sz="6" w:space="0"/>
            </w:tcBorders>
            <w:noWrap w:val="0"/>
            <w:vAlign w:val="center"/>
          </w:tcPr>
          <w:p w14:paraId="13BDF9D9">
            <w:pPr>
              <w:keepNext/>
              <w:rPr>
                <w:rFonts w:hint="eastAsia" w:ascii="宋体" w:hAnsi="宋体" w:cs="宋体"/>
                <w:color w:val="auto"/>
                <w:szCs w:val="21"/>
                <w:highlight w:val="none"/>
              </w:rPr>
            </w:pPr>
          </w:p>
        </w:tc>
        <w:tc>
          <w:tcPr>
            <w:tcW w:w="1480" w:type="dxa"/>
            <w:tcBorders>
              <w:top w:val="double" w:color="auto" w:sz="6" w:space="0"/>
            </w:tcBorders>
            <w:noWrap w:val="0"/>
            <w:vAlign w:val="center"/>
          </w:tcPr>
          <w:p w14:paraId="534371AE">
            <w:pPr>
              <w:keepNext/>
              <w:rPr>
                <w:rFonts w:hint="eastAsia" w:ascii="宋体" w:hAnsi="宋体" w:cs="宋体"/>
                <w:color w:val="auto"/>
                <w:szCs w:val="21"/>
                <w:highlight w:val="none"/>
              </w:rPr>
            </w:pPr>
          </w:p>
        </w:tc>
        <w:tc>
          <w:tcPr>
            <w:tcW w:w="1020" w:type="dxa"/>
            <w:tcBorders>
              <w:top w:val="double" w:color="auto" w:sz="6" w:space="0"/>
            </w:tcBorders>
            <w:noWrap w:val="0"/>
            <w:vAlign w:val="center"/>
          </w:tcPr>
          <w:p w14:paraId="39E6F71E">
            <w:pPr>
              <w:keepNext/>
              <w:rPr>
                <w:rFonts w:hint="eastAsia" w:ascii="宋体" w:hAnsi="宋体" w:cs="宋体"/>
                <w:color w:val="auto"/>
                <w:szCs w:val="21"/>
                <w:highlight w:val="none"/>
              </w:rPr>
            </w:pPr>
          </w:p>
        </w:tc>
        <w:tc>
          <w:tcPr>
            <w:tcW w:w="932" w:type="dxa"/>
            <w:tcBorders>
              <w:top w:val="double" w:color="auto" w:sz="6" w:space="0"/>
            </w:tcBorders>
            <w:noWrap w:val="0"/>
            <w:vAlign w:val="center"/>
          </w:tcPr>
          <w:p w14:paraId="558E7864">
            <w:pPr>
              <w:keepNext/>
              <w:rPr>
                <w:rFonts w:hint="eastAsia" w:ascii="宋体" w:hAnsi="宋体" w:cs="宋体"/>
                <w:color w:val="auto"/>
                <w:szCs w:val="21"/>
                <w:highlight w:val="none"/>
              </w:rPr>
            </w:pPr>
          </w:p>
        </w:tc>
      </w:tr>
      <w:tr w14:paraId="4E0AC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top w:val="nil"/>
            </w:tcBorders>
            <w:noWrap w:val="0"/>
            <w:vAlign w:val="center"/>
          </w:tcPr>
          <w:p w14:paraId="4D406736">
            <w:pPr>
              <w:keepNext/>
              <w:rPr>
                <w:rFonts w:hint="eastAsia" w:ascii="宋体" w:hAnsi="宋体" w:cs="宋体"/>
                <w:color w:val="auto"/>
                <w:szCs w:val="21"/>
                <w:highlight w:val="none"/>
              </w:rPr>
            </w:pPr>
          </w:p>
        </w:tc>
        <w:tc>
          <w:tcPr>
            <w:tcW w:w="1418" w:type="dxa"/>
            <w:tcBorders>
              <w:top w:val="nil"/>
            </w:tcBorders>
            <w:noWrap w:val="0"/>
            <w:vAlign w:val="center"/>
          </w:tcPr>
          <w:p w14:paraId="508CE587">
            <w:pPr>
              <w:keepNext/>
              <w:rPr>
                <w:rFonts w:hint="eastAsia" w:ascii="宋体" w:hAnsi="宋体" w:cs="宋体"/>
                <w:color w:val="auto"/>
                <w:szCs w:val="21"/>
                <w:highlight w:val="none"/>
              </w:rPr>
            </w:pPr>
          </w:p>
        </w:tc>
        <w:tc>
          <w:tcPr>
            <w:tcW w:w="850" w:type="dxa"/>
            <w:tcBorders>
              <w:top w:val="nil"/>
            </w:tcBorders>
            <w:noWrap w:val="0"/>
            <w:vAlign w:val="center"/>
          </w:tcPr>
          <w:p w14:paraId="779B197C">
            <w:pPr>
              <w:keepNext/>
              <w:rPr>
                <w:rFonts w:hint="eastAsia" w:ascii="宋体" w:hAnsi="宋体" w:cs="宋体"/>
                <w:color w:val="auto"/>
                <w:szCs w:val="21"/>
                <w:highlight w:val="none"/>
              </w:rPr>
            </w:pPr>
          </w:p>
        </w:tc>
        <w:tc>
          <w:tcPr>
            <w:tcW w:w="709" w:type="dxa"/>
            <w:tcBorders>
              <w:top w:val="nil"/>
            </w:tcBorders>
            <w:noWrap w:val="0"/>
            <w:vAlign w:val="center"/>
          </w:tcPr>
          <w:p w14:paraId="0A937A2D">
            <w:pPr>
              <w:keepNext/>
              <w:rPr>
                <w:rFonts w:hint="eastAsia" w:ascii="宋体" w:hAnsi="宋体" w:cs="宋体"/>
                <w:color w:val="auto"/>
                <w:szCs w:val="21"/>
                <w:highlight w:val="none"/>
              </w:rPr>
            </w:pPr>
          </w:p>
        </w:tc>
        <w:tc>
          <w:tcPr>
            <w:tcW w:w="850" w:type="dxa"/>
            <w:tcBorders>
              <w:top w:val="nil"/>
            </w:tcBorders>
            <w:noWrap w:val="0"/>
            <w:vAlign w:val="center"/>
          </w:tcPr>
          <w:p w14:paraId="3A9897E6">
            <w:pPr>
              <w:keepNext/>
              <w:rPr>
                <w:rFonts w:hint="eastAsia" w:ascii="宋体" w:hAnsi="宋体" w:cs="宋体"/>
                <w:color w:val="auto"/>
                <w:szCs w:val="21"/>
                <w:highlight w:val="none"/>
              </w:rPr>
            </w:pPr>
          </w:p>
        </w:tc>
        <w:tc>
          <w:tcPr>
            <w:tcW w:w="963" w:type="dxa"/>
            <w:tcBorders>
              <w:top w:val="nil"/>
            </w:tcBorders>
            <w:noWrap w:val="0"/>
            <w:vAlign w:val="center"/>
          </w:tcPr>
          <w:p w14:paraId="3100DED8">
            <w:pPr>
              <w:keepNext/>
              <w:rPr>
                <w:rFonts w:hint="eastAsia" w:ascii="宋体" w:hAnsi="宋体" w:cs="宋体"/>
                <w:color w:val="auto"/>
                <w:szCs w:val="21"/>
                <w:highlight w:val="none"/>
              </w:rPr>
            </w:pPr>
          </w:p>
        </w:tc>
        <w:tc>
          <w:tcPr>
            <w:tcW w:w="1480" w:type="dxa"/>
            <w:tcBorders>
              <w:top w:val="nil"/>
            </w:tcBorders>
            <w:noWrap w:val="0"/>
            <w:vAlign w:val="center"/>
          </w:tcPr>
          <w:p w14:paraId="1EF162D6">
            <w:pPr>
              <w:keepNext/>
              <w:rPr>
                <w:rFonts w:hint="eastAsia" w:ascii="宋体" w:hAnsi="宋体" w:cs="宋体"/>
                <w:color w:val="auto"/>
                <w:szCs w:val="21"/>
                <w:highlight w:val="none"/>
              </w:rPr>
            </w:pPr>
          </w:p>
        </w:tc>
        <w:tc>
          <w:tcPr>
            <w:tcW w:w="1020" w:type="dxa"/>
            <w:tcBorders>
              <w:top w:val="nil"/>
            </w:tcBorders>
            <w:noWrap w:val="0"/>
            <w:vAlign w:val="center"/>
          </w:tcPr>
          <w:p w14:paraId="0856CDCF">
            <w:pPr>
              <w:keepNext/>
              <w:rPr>
                <w:rFonts w:hint="eastAsia" w:ascii="宋体" w:hAnsi="宋体" w:cs="宋体"/>
                <w:color w:val="auto"/>
                <w:szCs w:val="21"/>
                <w:highlight w:val="none"/>
              </w:rPr>
            </w:pPr>
          </w:p>
        </w:tc>
        <w:tc>
          <w:tcPr>
            <w:tcW w:w="932" w:type="dxa"/>
            <w:tcBorders>
              <w:top w:val="nil"/>
            </w:tcBorders>
            <w:noWrap w:val="0"/>
            <w:vAlign w:val="center"/>
          </w:tcPr>
          <w:p w14:paraId="4C6FB437">
            <w:pPr>
              <w:keepNext/>
              <w:rPr>
                <w:rFonts w:hint="eastAsia" w:ascii="宋体" w:hAnsi="宋体" w:cs="宋体"/>
                <w:color w:val="auto"/>
                <w:szCs w:val="21"/>
                <w:highlight w:val="none"/>
              </w:rPr>
            </w:pPr>
          </w:p>
        </w:tc>
      </w:tr>
      <w:tr w14:paraId="2A8936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noWrap w:val="0"/>
            <w:vAlign w:val="top"/>
          </w:tcPr>
          <w:p w14:paraId="5C9815E7">
            <w:pPr>
              <w:rPr>
                <w:rFonts w:hint="eastAsia" w:ascii="宋体" w:hAnsi="宋体" w:cs="宋体"/>
                <w:color w:val="auto"/>
                <w:szCs w:val="21"/>
                <w:highlight w:val="none"/>
              </w:rPr>
            </w:pPr>
          </w:p>
        </w:tc>
        <w:tc>
          <w:tcPr>
            <w:tcW w:w="1418" w:type="dxa"/>
            <w:noWrap w:val="0"/>
            <w:vAlign w:val="top"/>
          </w:tcPr>
          <w:p w14:paraId="649416BC">
            <w:pPr>
              <w:rPr>
                <w:rFonts w:hint="eastAsia" w:ascii="宋体" w:hAnsi="宋体" w:cs="宋体"/>
                <w:color w:val="auto"/>
                <w:szCs w:val="21"/>
                <w:highlight w:val="none"/>
              </w:rPr>
            </w:pPr>
          </w:p>
        </w:tc>
        <w:tc>
          <w:tcPr>
            <w:tcW w:w="850" w:type="dxa"/>
            <w:noWrap w:val="0"/>
            <w:vAlign w:val="top"/>
          </w:tcPr>
          <w:p w14:paraId="1A771D4D">
            <w:pPr>
              <w:rPr>
                <w:rFonts w:hint="eastAsia" w:ascii="宋体" w:hAnsi="宋体" w:cs="宋体"/>
                <w:color w:val="auto"/>
                <w:szCs w:val="21"/>
                <w:highlight w:val="none"/>
              </w:rPr>
            </w:pPr>
          </w:p>
        </w:tc>
        <w:tc>
          <w:tcPr>
            <w:tcW w:w="709" w:type="dxa"/>
            <w:noWrap w:val="0"/>
            <w:vAlign w:val="top"/>
          </w:tcPr>
          <w:p w14:paraId="5D043038">
            <w:pPr>
              <w:rPr>
                <w:rFonts w:hint="eastAsia" w:ascii="宋体" w:hAnsi="宋体" w:cs="宋体"/>
                <w:color w:val="auto"/>
                <w:szCs w:val="21"/>
                <w:highlight w:val="none"/>
              </w:rPr>
            </w:pPr>
          </w:p>
        </w:tc>
        <w:tc>
          <w:tcPr>
            <w:tcW w:w="850" w:type="dxa"/>
            <w:noWrap w:val="0"/>
            <w:vAlign w:val="top"/>
          </w:tcPr>
          <w:p w14:paraId="137D481A">
            <w:pPr>
              <w:rPr>
                <w:rFonts w:hint="eastAsia" w:ascii="宋体" w:hAnsi="宋体" w:cs="宋体"/>
                <w:color w:val="auto"/>
                <w:szCs w:val="21"/>
                <w:highlight w:val="none"/>
              </w:rPr>
            </w:pPr>
          </w:p>
        </w:tc>
        <w:tc>
          <w:tcPr>
            <w:tcW w:w="963" w:type="dxa"/>
            <w:noWrap w:val="0"/>
            <w:vAlign w:val="top"/>
          </w:tcPr>
          <w:p w14:paraId="6B2A9120">
            <w:pPr>
              <w:rPr>
                <w:rFonts w:hint="eastAsia" w:ascii="宋体" w:hAnsi="宋体" w:cs="宋体"/>
                <w:color w:val="auto"/>
                <w:szCs w:val="21"/>
                <w:highlight w:val="none"/>
              </w:rPr>
            </w:pPr>
          </w:p>
        </w:tc>
        <w:tc>
          <w:tcPr>
            <w:tcW w:w="1480" w:type="dxa"/>
            <w:noWrap w:val="0"/>
            <w:vAlign w:val="top"/>
          </w:tcPr>
          <w:p w14:paraId="7B0ACE7E">
            <w:pPr>
              <w:rPr>
                <w:rFonts w:hint="eastAsia" w:ascii="宋体" w:hAnsi="宋体" w:cs="宋体"/>
                <w:color w:val="auto"/>
                <w:szCs w:val="21"/>
                <w:highlight w:val="none"/>
              </w:rPr>
            </w:pPr>
          </w:p>
        </w:tc>
        <w:tc>
          <w:tcPr>
            <w:tcW w:w="1020" w:type="dxa"/>
            <w:noWrap w:val="0"/>
            <w:vAlign w:val="top"/>
          </w:tcPr>
          <w:p w14:paraId="0D83CB55">
            <w:pPr>
              <w:rPr>
                <w:rFonts w:hint="eastAsia" w:ascii="宋体" w:hAnsi="宋体" w:cs="宋体"/>
                <w:color w:val="auto"/>
                <w:szCs w:val="21"/>
                <w:highlight w:val="none"/>
              </w:rPr>
            </w:pPr>
          </w:p>
        </w:tc>
        <w:tc>
          <w:tcPr>
            <w:tcW w:w="932" w:type="dxa"/>
            <w:noWrap w:val="0"/>
            <w:vAlign w:val="top"/>
          </w:tcPr>
          <w:p w14:paraId="3E2C1370">
            <w:pPr>
              <w:rPr>
                <w:rFonts w:hint="eastAsia" w:ascii="宋体" w:hAnsi="宋体" w:cs="宋体"/>
                <w:color w:val="auto"/>
                <w:szCs w:val="21"/>
                <w:highlight w:val="none"/>
              </w:rPr>
            </w:pPr>
          </w:p>
        </w:tc>
      </w:tr>
      <w:tr w14:paraId="1DD66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noWrap w:val="0"/>
            <w:vAlign w:val="top"/>
          </w:tcPr>
          <w:p w14:paraId="4D109815">
            <w:pPr>
              <w:rPr>
                <w:rFonts w:hint="eastAsia" w:ascii="宋体" w:hAnsi="宋体" w:cs="宋体"/>
                <w:color w:val="auto"/>
                <w:szCs w:val="21"/>
                <w:highlight w:val="none"/>
              </w:rPr>
            </w:pPr>
          </w:p>
        </w:tc>
        <w:tc>
          <w:tcPr>
            <w:tcW w:w="1418" w:type="dxa"/>
            <w:noWrap w:val="0"/>
            <w:vAlign w:val="top"/>
          </w:tcPr>
          <w:p w14:paraId="7A71E3BC">
            <w:pPr>
              <w:rPr>
                <w:rFonts w:hint="eastAsia" w:ascii="宋体" w:hAnsi="宋体" w:cs="宋体"/>
                <w:color w:val="auto"/>
                <w:szCs w:val="21"/>
                <w:highlight w:val="none"/>
              </w:rPr>
            </w:pPr>
          </w:p>
        </w:tc>
        <w:tc>
          <w:tcPr>
            <w:tcW w:w="850" w:type="dxa"/>
            <w:noWrap w:val="0"/>
            <w:vAlign w:val="top"/>
          </w:tcPr>
          <w:p w14:paraId="2E7CFCC4">
            <w:pPr>
              <w:rPr>
                <w:rFonts w:hint="eastAsia" w:ascii="宋体" w:hAnsi="宋体" w:cs="宋体"/>
                <w:color w:val="auto"/>
                <w:szCs w:val="21"/>
                <w:highlight w:val="none"/>
              </w:rPr>
            </w:pPr>
          </w:p>
        </w:tc>
        <w:tc>
          <w:tcPr>
            <w:tcW w:w="709" w:type="dxa"/>
            <w:noWrap w:val="0"/>
            <w:vAlign w:val="top"/>
          </w:tcPr>
          <w:p w14:paraId="24693CC0">
            <w:pPr>
              <w:rPr>
                <w:rFonts w:hint="eastAsia" w:ascii="宋体" w:hAnsi="宋体" w:cs="宋体"/>
                <w:color w:val="auto"/>
                <w:szCs w:val="21"/>
                <w:highlight w:val="none"/>
              </w:rPr>
            </w:pPr>
          </w:p>
        </w:tc>
        <w:tc>
          <w:tcPr>
            <w:tcW w:w="850" w:type="dxa"/>
            <w:noWrap w:val="0"/>
            <w:vAlign w:val="top"/>
          </w:tcPr>
          <w:p w14:paraId="191071D1">
            <w:pPr>
              <w:rPr>
                <w:rFonts w:hint="eastAsia" w:ascii="宋体" w:hAnsi="宋体" w:cs="宋体"/>
                <w:color w:val="auto"/>
                <w:szCs w:val="21"/>
                <w:highlight w:val="none"/>
              </w:rPr>
            </w:pPr>
          </w:p>
        </w:tc>
        <w:tc>
          <w:tcPr>
            <w:tcW w:w="963" w:type="dxa"/>
            <w:noWrap w:val="0"/>
            <w:vAlign w:val="top"/>
          </w:tcPr>
          <w:p w14:paraId="07D82D7A">
            <w:pPr>
              <w:rPr>
                <w:rFonts w:hint="eastAsia" w:ascii="宋体" w:hAnsi="宋体" w:cs="宋体"/>
                <w:color w:val="auto"/>
                <w:szCs w:val="21"/>
                <w:highlight w:val="none"/>
              </w:rPr>
            </w:pPr>
          </w:p>
        </w:tc>
        <w:tc>
          <w:tcPr>
            <w:tcW w:w="1480" w:type="dxa"/>
            <w:noWrap w:val="0"/>
            <w:vAlign w:val="top"/>
          </w:tcPr>
          <w:p w14:paraId="200A184F">
            <w:pPr>
              <w:rPr>
                <w:rFonts w:hint="eastAsia" w:ascii="宋体" w:hAnsi="宋体" w:cs="宋体"/>
                <w:color w:val="auto"/>
                <w:szCs w:val="21"/>
                <w:highlight w:val="none"/>
              </w:rPr>
            </w:pPr>
          </w:p>
        </w:tc>
        <w:tc>
          <w:tcPr>
            <w:tcW w:w="1020" w:type="dxa"/>
            <w:noWrap w:val="0"/>
            <w:vAlign w:val="top"/>
          </w:tcPr>
          <w:p w14:paraId="085E7DCC">
            <w:pPr>
              <w:rPr>
                <w:rFonts w:hint="eastAsia" w:ascii="宋体" w:hAnsi="宋体" w:cs="宋体"/>
                <w:color w:val="auto"/>
                <w:szCs w:val="21"/>
                <w:highlight w:val="none"/>
              </w:rPr>
            </w:pPr>
          </w:p>
        </w:tc>
        <w:tc>
          <w:tcPr>
            <w:tcW w:w="932" w:type="dxa"/>
            <w:noWrap w:val="0"/>
            <w:vAlign w:val="top"/>
          </w:tcPr>
          <w:p w14:paraId="14E73D99">
            <w:pPr>
              <w:rPr>
                <w:rFonts w:hint="eastAsia" w:ascii="宋体" w:hAnsi="宋体" w:cs="宋体"/>
                <w:color w:val="auto"/>
                <w:szCs w:val="21"/>
                <w:highlight w:val="none"/>
              </w:rPr>
            </w:pPr>
          </w:p>
        </w:tc>
      </w:tr>
      <w:tr w14:paraId="617DC5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bottom w:val="single" w:color="auto" w:sz="12" w:space="0"/>
            </w:tcBorders>
            <w:noWrap w:val="0"/>
            <w:vAlign w:val="top"/>
          </w:tcPr>
          <w:p w14:paraId="02C5DBF7">
            <w:pPr>
              <w:rPr>
                <w:rFonts w:hint="eastAsia" w:ascii="宋体" w:hAnsi="宋体" w:cs="宋体"/>
                <w:color w:val="auto"/>
                <w:szCs w:val="21"/>
                <w:highlight w:val="none"/>
              </w:rPr>
            </w:pPr>
          </w:p>
        </w:tc>
        <w:tc>
          <w:tcPr>
            <w:tcW w:w="1418" w:type="dxa"/>
            <w:tcBorders>
              <w:bottom w:val="single" w:color="auto" w:sz="12" w:space="0"/>
            </w:tcBorders>
            <w:noWrap w:val="0"/>
            <w:vAlign w:val="top"/>
          </w:tcPr>
          <w:p w14:paraId="28B4E449">
            <w:pPr>
              <w:rPr>
                <w:rFonts w:hint="eastAsia" w:ascii="宋体" w:hAnsi="宋体" w:cs="宋体"/>
                <w:color w:val="auto"/>
                <w:szCs w:val="21"/>
                <w:highlight w:val="none"/>
              </w:rPr>
            </w:pPr>
          </w:p>
        </w:tc>
        <w:tc>
          <w:tcPr>
            <w:tcW w:w="850" w:type="dxa"/>
            <w:tcBorders>
              <w:bottom w:val="single" w:color="auto" w:sz="12" w:space="0"/>
            </w:tcBorders>
            <w:noWrap w:val="0"/>
            <w:vAlign w:val="top"/>
          </w:tcPr>
          <w:p w14:paraId="08863A68">
            <w:pPr>
              <w:rPr>
                <w:rFonts w:hint="eastAsia" w:ascii="宋体" w:hAnsi="宋体" w:cs="宋体"/>
                <w:color w:val="auto"/>
                <w:szCs w:val="21"/>
                <w:highlight w:val="none"/>
              </w:rPr>
            </w:pPr>
          </w:p>
        </w:tc>
        <w:tc>
          <w:tcPr>
            <w:tcW w:w="709" w:type="dxa"/>
            <w:tcBorders>
              <w:bottom w:val="single" w:color="auto" w:sz="12" w:space="0"/>
            </w:tcBorders>
            <w:noWrap w:val="0"/>
            <w:vAlign w:val="top"/>
          </w:tcPr>
          <w:p w14:paraId="6F33A206">
            <w:pPr>
              <w:rPr>
                <w:rFonts w:hint="eastAsia" w:ascii="宋体" w:hAnsi="宋体" w:cs="宋体"/>
                <w:color w:val="auto"/>
                <w:szCs w:val="21"/>
                <w:highlight w:val="none"/>
              </w:rPr>
            </w:pPr>
          </w:p>
        </w:tc>
        <w:tc>
          <w:tcPr>
            <w:tcW w:w="850" w:type="dxa"/>
            <w:tcBorders>
              <w:bottom w:val="single" w:color="auto" w:sz="12" w:space="0"/>
            </w:tcBorders>
            <w:noWrap w:val="0"/>
            <w:vAlign w:val="top"/>
          </w:tcPr>
          <w:p w14:paraId="7D874C72">
            <w:pPr>
              <w:rPr>
                <w:rFonts w:hint="eastAsia" w:ascii="宋体" w:hAnsi="宋体" w:cs="宋体"/>
                <w:color w:val="auto"/>
                <w:szCs w:val="21"/>
                <w:highlight w:val="none"/>
              </w:rPr>
            </w:pPr>
          </w:p>
        </w:tc>
        <w:tc>
          <w:tcPr>
            <w:tcW w:w="963" w:type="dxa"/>
            <w:tcBorders>
              <w:bottom w:val="single" w:color="auto" w:sz="12" w:space="0"/>
            </w:tcBorders>
            <w:noWrap w:val="0"/>
            <w:vAlign w:val="top"/>
          </w:tcPr>
          <w:p w14:paraId="0F8399C6">
            <w:pPr>
              <w:rPr>
                <w:rFonts w:hint="eastAsia" w:ascii="宋体" w:hAnsi="宋体" w:cs="宋体"/>
                <w:color w:val="auto"/>
                <w:szCs w:val="21"/>
                <w:highlight w:val="none"/>
              </w:rPr>
            </w:pPr>
          </w:p>
        </w:tc>
        <w:tc>
          <w:tcPr>
            <w:tcW w:w="1480" w:type="dxa"/>
            <w:tcBorders>
              <w:bottom w:val="single" w:color="auto" w:sz="12" w:space="0"/>
            </w:tcBorders>
            <w:noWrap w:val="0"/>
            <w:vAlign w:val="top"/>
          </w:tcPr>
          <w:p w14:paraId="336AD196">
            <w:pPr>
              <w:rPr>
                <w:rFonts w:hint="eastAsia" w:ascii="宋体" w:hAnsi="宋体" w:cs="宋体"/>
                <w:color w:val="auto"/>
                <w:szCs w:val="21"/>
                <w:highlight w:val="none"/>
              </w:rPr>
            </w:pPr>
          </w:p>
        </w:tc>
        <w:tc>
          <w:tcPr>
            <w:tcW w:w="1020" w:type="dxa"/>
            <w:tcBorders>
              <w:bottom w:val="single" w:color="auto" w:sz="12" w:space="0"/>
            </w:tcBorders>
            <w:noWrap w:val="0"/>
            <w:vAlign w:val="top"/>
          </w:tcPr>
          <w:p w14:paraId="61F098DA">
            <w:pPr>
              <w:rPr>
                <w:rFonts w:hint="eastAsia" w:ascii="宋体" w:hAnsi="宋体" w:cs="宋体"/>
                <w:color w:val="auto"/>
                <w:szCs w:val="21"/>
                <w:highlight w:val="none"/>
              </w:rPr>
            </w:pPr>
          </w:p>
        </w:tc>
        <w:tc>
          <w:tcPr>
            <w:tcW w:w="932" w:type="dxa"/>
            <w:tcBorders>
              <w:bottom w:val="single" w:color="auto" w:sz="12" w:space="0"/>
            </w:tcBorders>
            <w:noWrap w:val="0"/>
            <w:vAlign w:val="top"/>
          </w:tcPr>
          <w:p w14:paraId="616F428F">
            <w:pPr>
              <w:rPr>
                <w:rFonts w:hint="eastAsia" w:ascii="宋体" w:hAnsi="宋体" w:cs="宋体"/>
                <w:color w:val="auto"/>
                <w:szCs w:val="21"/>
                <w:highlight w:val="none"/>
              </w:rPr>
            </w:pPr>
          </w:p>
        </w:tc>
      </w:tr>
    </w:tbl>
    <w:p w14:paraId="2A4412A7">
      <w:pPr>
        <w:rPr>
          <w:rFonts w:hint="eastAsia" w:ascii="宋体" w:hAnsi="宋体" w:cs="宋体"/>
          <w:color w:val="auto"/>
          <w:szCs w:val="21"/>
          <w:highlight w:val="none"/>
        </w:rPr>
      </w:pPr>
    </w:p>
    <w:p w14:paraId="4E3E9687">
      <w:pPr>
        <w:widowControl/>
        <w:spacing w:line="360" w:lineRule="auto"/>
        <w:rPr>
          <w:rFonts w:hint="eastAsia" w:ascii="宋体" w:hAnsi="宋体" w:cs="宋体"/>
          <w:color w:val="auto"/>
          <w:szCs w:val="21"/>
          <w:highlight w:val="none"/>
        </w:rPr>
      </w:pPr>
    </w:p>
    <w:p w14:paraId="4C2F13E4">
      <w:pPr>
        <w:widowControl/>
        <w:spacing w:line="360" w:lineRule="auto"/>
        <w:rPr>
          <w:rFonts w:hint="eastAsia" w:ascii="宋体" w:hAnsi="宋体" w:cs="宋体"/>
          <w:color w:val="auto"/>
          <w:szCs w:val="21"/>
          <w:highlight w:val="none"/>
        </w:rPr>
      </w:pPr>
    </w:p>
    <w:p w14:paraId="6807330A">
      <w:pPr>
        <w:widowControl/>
        <w:spacing w:line="360" w:lineRule="auto"/>
        <w:rPr>
          <w:rFonts w:hint="eastAsia" w:ascii="宋体" w:hAnsi="宋体" w:cs="宋体"/>
          <w:color w:val="auto"/>
          <w:szCs w:val="21"/>
          <w:highlight w:val="none"/>
        </w:rPr>
      </w:pPr>
    </w:p>
    <w:p w14:paraId="05D44E55">
      <w:pPr>
        <w:widowControl/>
        <w:spacing w:line="360" w:lineRule="auto"/>
        <w:rPr>
          <w:rFonts w:hint="eastAsia" w:ascii="宋体" w:hAnsi="宋体" w:cs="宋体"/>
          <w:color w:val="auto"/>
          <w:szCs w:val="21"/>
          <w:highlight w:val="none"/>
        </w:rPr>
      </w:pPr>
    </w:p>
    <w:p w14:paraId="5B879984">
      <w:pPr>
        <w:widowControl/>
        <w:spacing w:line="360" w:lineRule="auto"/>
        <w:rPr>
          <w:rFonts w:hint="eastAsia" w:ascii="宋体" w:hAnsi="宋体" w:cs="宋体"/>
          <w:color w:val="auto"/>
          <w:szCs w:val="21"/>
          <w:highlight w:val="none"/>
        </w:rPr>
      </w:pPr>
    </w:p>
    <w:p w14:paraId="595BCFD4">
      <w:pPr>
        <w:widowControl/>
        <w:spacing w:line="360" w:lineRule="auto"/>
        <w:rPr>
          <w:rFonts w:hint="eastAsia" w:ascii="宋体" w:hAnsi="宋体" w:cs="宋体"/>
          <w:color w:val="auto"/>
          <w:szCs w:val="21"/>
          <w:highlight w:val="none"/>
        </w:rPr>
      </w:pPr>
    </w:p>
    <w:p w14:paraId="37D7AC24">
      <w:pPr>
        <w:widowControl/>
        <w:spacing w:line="360" w:lineRule="auto"/>
        <w:rPr>
          <w:rFonts w:hint="eastAsia" w:ascii="宋体" w:hAnsi="宋体" w:cs="宋体"/>
          <w:color w:val="auto"/>
          <w:szCs w:val="21"/>
          <w:highlight w:val="none"/>
        </w:rPr>
      </w:pPr>
    </w:p>
    <w:p w14:paraId="2B22FAD5">
      <w:pPr>
        <w:widowControl/>
        <w:spacing w:line="360" w:lineRule="auto"/>
        <w:rPr>
          <w:rFonts w:hint="eastAsia" w:ascii="宋体" w:hAnsi="宋体" w:cs="宋体"/>
          <w:color w:val="auto"/>
          <w:sz w:val="24"/>
          <w:highlight w:val="none"/>
        </w:rPr>
      </w:pPr>
    </w:p>
    <w:p w14:paraId="7DDCDC81">
      <w:pPr>
        <w:rPr>
          <w:rFonts w:hint="eastAsia" w:ascii="宋体" w:hAnsi="宋体" w:cs="宋体"/>
          <w:bCs/>
          <w:color w:val="auto"/>
          <w:sz w:val="24"/>
          <w:highlight w:val="none"/>
        </w:rPr>
      </w:pPr>
      <w:bookmarkStart w:id="1325" w:name="_Toc95223492"/>
      <w:r>
        <w:rPr>
          <w:rFonts w:hint="eastAsia" w:ascii="宋体" w:hAnsi="宋体" w:cs="宋体"/>
          <w:bCs/>
          <w:color w:val="auto"/>
          <w:sz w:val="24"/>
          <w:highlight w:val="none"/>
        </w:rPr>
        <w:br w:type="page"/>
      </w:r>
    </w:p>
    <w:p w14:paraId="17851A79">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t>附</w:t>
      </w:r>
      <w:bookmarkStart w:id="1326" w:name="_Toc296503228"/>
      <w:bookmarkStart w:id="1327" w:name="_Toc296891268"/>
      <w:bookmarkStart w:id="1328" w:name="_Toc296944567"/>
      <w:bookmarkStart w:id="1329" w:name="_Toc267261699"/>
      <w:bookmarkStart w:id="1330" w:name="_Toc296346729"/>
      <w:bookmarkStart w:id="1331" w:name="_Toc296347227"/>
      <w:bookmarkStart w:id="1332" w:name="_Toc296891056"/>
      <w:r>
        <w:rPr>
          <w:rFonts w:hint="eastAsia" w:ascii="宋体" w:hAnsi="宋体" w:cs="宋体"/>
          <w:bCs/>
          <w:color w:val="auto"/>
          <w:sz w:val="24"/>
          <w:highlight w:val="none"/>
        </w:rPr>
        <w:t>件</w:t>
      </w:r>
      <w:bookmarkEnd w:id="1326"/>
      <w:bookmarkEnd w:id="1327"/>
      <w:bookmarkEnd w:id="1328"/>
      <w:bookmarkEnd w:id="1329"/>
      <w:bookmarkEnd w:id="1330"/>
      <w:bookmarkEnd w:id="1331"/>
      <w:bookmarkEnd w:id="1332"/>
      <w:r>
        <w:rPr>
          <w:rFonts w:hint="eastAsia" w:ascii="宋体" w:hAnsi="宋体" w:cs="宋体"/>
          <w:bCs/>
          <w:color w:val="auto"/>
          <w:sz w:val="24"/>
          <w:highlight w:val="none"/>
        </w:rPr>
        <w:t>6：承包人主要施工管理人员表</w:t>
      </w:r>
      <w:bookmarkEnd w:id="1325"/>
    </w:p>
    <w:p w14:paraId="72CDFFF5">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承包人主要施工管理人员表</w:t>
      </w:r>
    </w:p>
    <w:tbl>
      <w:tblPr>
        <w:tblStyle w:val="20"/>
        <w:tblW w:w="511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729"/>
        <w:gridCol w:w="1156"/>
        <w:gridCol w:w="926"/>
        <w:gridCol w:w="926"/>
        <w:gridCol w:w="2358"/>
        <w:gridCol w:w="2124"/>
      </w:tblGrid>
      <w:tr w14:paraId="3E5F5A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single" w:color="auto" w:sz="12" w:space="0"/>
              <w:bottom w:val="double" w:color="auto" w:sz="6" w:space="0"/>
            </w:tcBorders>
            <w:noWrap w:val="0"/>
            <w:vAlign w:val="center"/>
          </w:tcPr>
          <w:p w14:paraId="0441C50B">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名    称</w:t>
            </w:r>
          </w:p>
        </w:tc>
        <w:tc>
          <w:tcPr>
            <w:tcW w:w="627" w:type="pct"/>
            <w:tcBorders>
              <w:top w:val="single" w:color="auto" w:sz="12" w:space="0"/>
              <w:bottom w:val="double" w:color="auto" w:sz="6" w:space="0"/>
            </w:tcBorders>
            <w:noWrap w:val="0"/>
            <w:vAlign w:val="center"/>
          </w:tcPr>
          <w:p w14:paraId="09EB9137">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502" w:type="pct"/>
            <w:tcBorders>
              <w:top w:val="single" w:color="auto" w:sz="12" w:space="0"/>
              <w:bottom w:val="double" w:color="auto" w:sz="6" w:space="0"/>
            </w:tcBorders>
            <w:noWrap w:val="0"/>
            <w:vAlign w:val="center"/>
          </w:tcPr>
          <w:p w14:paraId="036CB93B">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502" w:type="pct"/>
            <w:tcBorders>
              <w:top w:val="single" w:color="auto" w:sz="12" w:space="0"/>
              <w:bottom w:val="double" w:color="auto" w:sz="6" w:space="0"/>
            </w:tcBorders>
            <w:noWrap w:val="0"/>
            <w:vAlign w:val="center"/>
          </w:tcPr>
          <w:p w14:paraId="3C172D1E">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职称</w:t>
            </w:r>
          </w:p>
        </w:tc>
        <w:tc>
          <w:tcPr>
            <w:tcW w:w="1279" w:type="pct"/>
            <w:tcBorders>
              <w:top w:val="single" w:color="auto" w:sz="12" w:space="0"/>
              <w:bottom w:val="double" w:color="auto" w:sz="6" w:space="0"/>
            </w:tcBorders>
            <w:noWrap w:val="0"/>
            <w:vAlign w:val="center"/>
          </w:tcPr>
          <w:p w14:paraId="4EE6D116">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主要资历、经验及承担过的项目</w:t>
            </w:r>
          </w:p>
        </w:tc>
        <w:tc>
          <w:tcPr>
            <w:tcW w:w="1153" w:type="pct"/>
            <w:tcBorders>
              <w:top w:val="single" w:color="auto" w:sz="12" w:space="0"/>
              <w:bottom w:val="double" w:color="auto" w:sz="6" w:space="0"/>
            </w:tcBorders>
            <w:noWrap w:val="0"/>
            <w:vAlign w:val="top"/>
          </w:tcPr>
          <w:p w14:paraId="79E7A4E3">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r>
      <w:tr w14:paraId="706BE8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7" w:type="pct"/>
            <w:gridSpan w:val="5"/>
            <w:tcBorders>
              <w:top w:val="double" w:color="auto" w:sz="6" w:space="0"/>
            </w:tcBorders>
            <w:noWrap w:val="0"/>
            <w:vAlign w:val="center"/>
          </w:tcPr>
          <w:p w14:paraId="6AA87D3F">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一、总部人员</w:t>
            </w:r>
          </w:p>
        </w:tc>
        <w:tc>
          <w:tcPr>
            <w:tcW w:w="1153" w:type="pct"/>
            <w:tcBorders>
              <w:top w:val="double" w:color="auto" w:sz="6" w:space="0"/>
            </w:tcBorders>
            <w:noWrap w:val="0"/>
            <w:vAlign w:val="top"/>
          </w:tcPr>
          <w:p w14:paraId="51480D2A">
            <w:pPr>
              <w:keepNext/>
              <w:spacing w:line="360" w:lineRule="auto"/>
              <w:jc w:val="center"/>
              <w:rPr>
                <w:rFonts w:hint="eastAsia" w:ascii="宋体" w:hAnsi="宋体" w:cs="宋体"/>
                <w:color w:val="auto"/>
                <w:szCs w:val="21"/>
                <w:highlight w:val="none"/>
              </w:rPr>
            </w:pPr>
          </w:p>
        </w:tc>
      </w:tr>
      <w:tr w14:paraId="7EC33F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nil"/>
              <w:bottom w:val="nil"/>
            </w:tcBorders>
            <w:noWrap w:val="0"/>
            <w:vAlign w:val="center"/>
          </w:tcPr>
          <w:p w14:paraId="598EFE2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项目主管</w:t>
            </w:r>
          </w:p>
        </w:tc>
        <w:tc>
          <w:tcPr>
            <w:tcW w:w="627" w:type="pct"/>
            <w:tcBorders>
              <w:top w:val="nil"/>
            </w:tcBorders>
            <w:noWrap w:val="0"/>
            <w:vAlign w:val="center"/>
          </w:tcPr>
          <w:p w14:paraId="101654A9">
            <w:pPr>
              <w:keepNext/>
              <w:spacing w:line="360" w:lineRule="auto"/>
              <w:jc w:val="center"/>
              <w:rPr>
                <w:rFonts w:hint="eastAsia" w:ascii="宋体" w:hAnsi="宋体" w:cs="宋体"/>
                <w:color w:val="auto"/>
                <w:szCs w:val="21"/>
                <w:highlight w:val="none"/>
              </w:rPr>
            </w:pPr>
          </w:p>
        </w:tc>
        <w:tc>
          <w:tcPr>
            <w:tcW w:w="502" w:type="pct"/>
            <w:tcBorders>
              <w:top w:val="nil"/>
            </w:tcBorders>
            <w:noWrap w:val="0"/>
            <w:vAlign w:val="center"/>
          </w:tcPr>
          <w:p w14:paraId="708C60C6">
            <w:pPr>
              <w:keepNext/>
              <w:spacing w:line="360" w:lineRule="auto"/>
              <w:jc w:val="center"/>
              <w:rPr>
                <w:rFonts w:hint="eastAsia" w:ascii="宋体" w:hAnsi="宋体" w:cs="宋体"/>
                <w:color w:val="auto"/>
                <w:szCs w:val="21"/>
                <w:highlight w:val="none"/>
              </w:rPr>
            </w:pPr>
          </w:p>
        </w:tc>
        <w:tc>
          <w:tcPr>
            <w:tcW w:w="502" w:type="pct"/>
            <w:tcBorders>
              <w:top w:val="nil"/>
            </w:tcBorders>
            <w:noWrap w:val="0"/>
            <w:vAlign w:val="center"/>
          </w:tcPr>
          <w:p w14:paraId="181D1003">
            <w:pPr>
              <w:keepNext/>
              <w:spacing w:line="360" w:lineRule="auto"/>
              <w:jc w:val="center"/>
              <w:rPr>
                <w:rFonts w:hint="eastAsia" w:ascii="宋体" w:hAnsi="宋体" w:cs="宋体"/>
                <w:color w:val="auto"/>
                <w:szCs w:val="21"/>
                <w:highlight w:val="none"/>
              </w:rPr>
            </w:pPr>
          </w:p>
        </w:tc>
        <w:tc>
          <w:tcPr>
            <w:tcW w:w="1279" w:type="pct"/>
            <w:tcBorders>
              <w:top w:val="nil"/>
            </w:tcBorders>
            <w:noWrap w:val="0"/>
            <w:vAlign w:val="center"/>
          </w:tcPr>
          <w:p w14:paraId="0E54E01D">
            <w:pPr>
              <w:keepNext/>
              <w:spacing w:line="360" w:lineRule="auto"/>
              <w:jc w:val="center"/>
              <w:rPr>
                <w:rFonts w:hint="eastAsia" w:ascii="宋体" w:hAnsi="宋体" w:cs="宋体"/>
                <w:color w:val="auto"/>
                <w:szCs w:val="21"/>
                <w:highlight w:val="none"/>
              </w:rPr>
            </w:pPr>
          </w:p>
        </w:tc>
        <w:tc>
          <w:tcPr>
            <w:tcW w:w="1153" w:type="pct"/>
            <w:tcBorders>
              <w:top w:val="nil"/>
            </w:tcBorders>
            <w:noWrap w:val="0"/>
            <w:vAlign w:val="top"/>
          </w:tcPr>
          <w:p w14:paraId="30A8A2B0">
            <w:pPr>
              <w:keepNext/>
              <w:spacing w:line="360" w:lineRule="auto"/>
              <w:jc w:val="center"/>
              <w:rPr>
                <w:rFonts w:hint="eastAsia" w:ascii="宋体" w:hAnsi="宋体" w:cs="宋体"/>
                <w:color w:val="auto"/>
                <w:szCs w:val="21"/>
                <w:highlight w:val="none"/>
              </w:rPr>
            </w:pPr>
          </w:p>
        </w:tc>
      </w:tr>
      <w:tr w14:paraId="25B3F2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bottom w:val="nil"/>
            </w:tcBorders>
            <w:noWrap w:val="0"/>
            <w:vAlign w:val="center"/>
          </w:tcPr>
          <w:p w14:paraId="1B43B7F6">
            <w:pPr>
              <w:spacing w:line="360" w:lineRule="auto"/>
              <w:jc w:val="center"/>
              <w:rPr>
                <w:rFonts w:hint="eastAsia" w:ascii="宋体" w:hAnsi="宋体" w:cs="宋体"/>
                <w:color w:val="auto"/>
                <w:szCs w:val="21"/>
                <w:highlight w:val="none"/>
              </w:rPr>
            </w:pPr>
          </w:p>
        </w:tc>
        <w:tc>
          <w:tcPr>
            <w:tcW w:w="627" w:type="pct"/>
            <w:noWrap w:val="0"/>
            <w:vAlign w:val="center"/>
          </w:tcPr>
          <w:p w14:paraId="097FA0BC">
            <w:pPr>
              <w:keepNext/>
              <w:spacing w:line="360" w:lineRule="auto"/>
              <w:jc w:val="center"/>
              <w:rPr>
                <w:rFonts w:hint="eastAsia" w:ascii="宋体" w:hAnsi="宋体" w:cs="宋体"/>
                <w:color w:val="auto"/>
                <w:szCs w:val="21"/>
                <w:highlight w:val="none"/>
              </w:rPr>
            </w:pPr>
          </w:p>
        </w:tc>
        <w:tc>
          <w:tcPr>
            <w:tcW w:w="502" w:type="pct"/>
            <w:noWrap w:val="0"/>
            <w:vAlign w:val="center"/>
          </w:tcPr>
          <w:p w14:paraId="66FBF3F0">
            <w:pPr>
              <w:keepNext/>
              <w:spacing w:line="360" w:lineRule="auto"/>
              <w:jc w:val="center"/>
              <w:rPr>
                <w:rFonts w:hint="eastAsia" w:ascii="宋体" w:hAnsi="宋体" w:cs="宋体"/>
                <w:color w:val="auto"/>
                <w:szCs w:val="21"/>
                <w:highlight w:val="none"/>
              </w:rPr>
            </w:pPr>
          </w:p>
        </w:tc>
        <w:tc>
          <w:tcPr>
            <w:tcW w:w="502" w:type="pct"/>
            <w:noWrap w:val="0"/>
            <w:vAlign w:val="center"/>
          </w:tcPr>
          <w:p w14:paraId="0D353195">
            <w:pPr>
              <w:keepNext/>
              <w:spacing w:line="360" w:lineRule="auto"/>
              <w:jc w:val="center"/>
              <w:rPr>
                <w:rFonts w:hint="eastAsia" w:ascii="宋体" w:hAnsi="宋体" w:cs="宋体"/>
                <w:color w:val="auto"/>
                <w:szCs w:val="21"/>
                <w:highlight w:val="none"/>
              </w:rPr>
            </w:pPr>
          </w:p>
        </w:tc>
        <w:tc>
          <w:tcPr>
            <w:tcW w:w="1279" w:type="pct"/>
            <w:noWrap w:val="0"/>
            <w:vAlign w:val="center"/>
          </w:tcPr>
          <w:p w14:paraId="238ABC49">
            <w:pPr>
              <w:keepNext/>
              <w:spacing w:line="360" w:lineRule="auto"/>
              <w:jc w:val="center"/>
              <w:rPr>
                <w:rFonts w:hint="eastAsia" w:ascii="宋体" w:hAnsi="宋体" w:cs="宋体"/>
                <w:color w:val="auto"/>
                <w:szCs w:val="21"/>
                <w:highlight w:val="none"/>
              </w:rPr>
            </w:pPr>
          </w:p>
        </w:tc>
        <w:tc>
          <w:tcPr>
            <w:tcW w:w="1153" w:type="pct"/>
            <w:noWrap w:val="0"/>
            <w:vAlign w:val="top"/>
          </w:tcPr>
          <w:p w14:paraId="42D02C0B">
            <w:pPr>
              <w:keepNext/>
              <w:spacing w:line="360" w:lineRule="auto"/>
              <w:jc w:val="center"/>
              <w:rPr>
                <w:rFonts w:hint="eastAsia" w:ascii="宋体" w:hAnsi="宋体" w:cs="宋体"/>
                <w:color w:val="auto"/>
                <w:szCs w:val="21"/>
                <w:highlight w:val="none"/>
              </w:rPr>
            </w:pPr>
          </w:p>
        </w:tc>
      </w:tr>
      <w:tr w14:paraId="3F9584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nil"/>
              <w:bottom w:val="nil"/>
            </w:tcBorders>
            <w:noWrap w:val="0"/>
            <w:vAlign w:val="center"/>
          </w:tcPr>
          <w:p w14:paraId="71CF0FF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其他人员</w:t>
            </w:r>
          </w:p>
        </w:tc>
        <w:tc>
          <w:tcPr>
            <w:tcW w:w="627" w:type="pct"/>
            <w:noWrap w:val="0"/>
            <w:vAlign w:val="center"/>
          </w:tcPr>
          <w:p w14:paraId="42B2EA76">
            <w:pPr>
              <w:keepNext/>
              <w:spacing w:line="360" w:lineRule="auto"/>
              <w:jc w:val="center"/>
              <w:rPr>
                <w:rFonts w:hint="eastAsia" w:ascii="宋体" w:hAnsi="宋体" w:cs="宋体"/>
                <w:color w:val="auto"/>
                <w:szCs w:val="21"/>
                <w:highlight w:val="none"/>
              </w:rPr>
            </w:pPr>
          </w:p>
        </w:tc>
        <w:tc>
          <w:tcPr>
            <w:tcW w:w="502" w:type="pct"/>
            <w:noWrap w:val="0"/>
            <w:vAlign w:val="center"/>
          </w:tcPr>
          <w:p w14:paraId="6B5B9328">
            <w:pPr>
              <w:keepNext/>
              <w:spacing w:line="360" w:lineRule="auto"/>
              <w:jc w:val="center"/>
              <w:rPr>
                <w:rFonts w:hint="eastAsia" w:ascii="宋体" w:hAnsi="宋体" w:cs="宋体"/>
                <w:color w:val="auto"/>
                <w:szCs w:val="21"/>
                <w:highlight w:val="none"/>
              </w:rPr>
            </w:pPr>
          </w:p>
        </w:tc>
        <w:tc>
          <w:tcPr>
            <w:tcW w:w="502" w:type="pct"/>
            <w:noWrap w:val="0"/>
            <w:vAlign w:val="center"/>
          </w:tcPr>
          <w:p w14:paraId="0FC7C047">
            <w:pPr>
              <w:keepNext/>
              <w:spacing w:line="360" w:lineRule="auto"/>
              <w:jc w:val="center"/>
              <w:rPr>
                <w:rFonts w:hint="eastAsia" w:ascii="宋体" w:hAnsi="宋体" w:cs="宋体"/>
                <w:color w:val="auto"/>
                <w:szCs w:val="21"/>
                <w:highlight w:val="none"/>
              </w:rPr>
            </w:pPr>
          </w:p>
        </w:tc>
        <w:tc>
          <w:tcPr>
            <w:tcW w:w="1279" w:type="pct"/>
            <w:noWrap w:val="0"/>
            <w:vAlign w:val="center"/>
          </w:tcPr>
          <w:p w14:paraId="491A17AA">
            <w:pPr>
              <w:keepNext/>
              <w:spacing w:line="360" w:lineRule="auto"/>
              <w:jc w:val="center"/>
              <w:rPr>
                <w:rFonts w:hint="eastAsia" w:ascii="宋体" w:hAnsi="宋体" w:cs="宋体"/>
                <w:color w:val="auto"/>
                <w:szCs w:val="21"/>
                <w:highlight w:val="none"/>
              </w:rPr>
            </w:pPr>
          </w:p>
        </w:tc>
        <w:tc>
          <w:tcPr>
            <w:tcW w:w="1153" w:type="pct"/>
            <w:noWrap w:val="0"/>
            <w:vAlign w:val="top"/>
          </w:tcPr>
          <w:p w14:paraId="2686F1C1">
            <w:pPr>
              <w:keepNext/>
              <w:spacing w:line="360" w:lineRule="auto"/>
              <w:jc w:val="center"/>
              <w:rPr>
                <w:rFonts w:hint="eastAsia" w:ascii="宋体" w:hAnsi="宋体" w:cs="宋体"/>
                <w:color w:val="auto"/>
                <w:szCs w:val="21"/>
                <w:highlight w:val="none"/>
              </w:rPr>
            </w:pPr>
          </w:p>
        </w:tc>
      </w:tr>
      <w:tr w14:paraId="05165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nil"/>
              <w:bottom w:val="nil"/>
            </w:tcBorders>
            <w:noWrap w:val="0"/>
            <w:vAlign w:val="center"/>
          </w:tcPr>
          <w:p w14:paraId="1AC4264C">
            <w:pPr>
              <w:spacing w:line="360" w:lineRule="auto"/>
              <w:jc w:val="center"/>
              <w:rPr>
                <w:rFonts w:hint="eastAsia" w:ascii="宋体" w:hAnsi="宋体" w:cs="宋体"/>
                <w:color w:val="auto"/>
                <w:szCs w:val="21"/>
                <w:highlight w:val="none"/>
              </w:rPr>
            </w:pPr>
          </w:p>
        </w:tc>
        <w:tc>
          <w:tcPr>
            <w:tcW w:w="627" w:type="pct"/>
            <w:noWrap w:val="0"/>
            <w:vAlign w:val="center"/>
          </w:tcPr>
          <w:p w14:paraId="75908F9F">
            <w:pPr>
              <w:keepNext/>
              <w:spacing w:line="360" w:lineRule="auto"/>
              <w:jc w:val="center"/>
              <w:rPr>
                <w:rFonts w:hint="eastAsia" w:ascii="宋体" w:hAnsi="宋体" w:cs="宋体"/>
                <w:color w:val="auto"/>
                <w:szCs w:val="21"/>
                <w:highlight w:val="none"/>
              </w:rPr>
            </w:pPr>
          </w:p>
        </w:tc>
        <w:tc>
          <w:tcPr>
            <w:tcW w:w="502" w:type="pct"/>
            <w:noWrap w:val="0"/>
            <w:vAlign w:val="center"/>
          </w:tcPr>
          <w:p w14:paraId="564CA3AE">
            <w:pPr>
              <w:keepNext/>
              <w:spacing w:line="360" w:lineRule="auto"/>
              <w:jc w:val="center"/>
              <w:rPr>
                <w:rFonts w:hint="eastAsia" w:ascii="宋体" w:hAnsi="宋体" w:cs="宋体"/>
                <w:color w:val="auto"/>
                <w:szCs w:val="21"/>
                <w:highlight w:val="none"/>
              </w:rPr>
            </w:pPr>
          </w:p>
        </w:tc>
        <w:tc>
          <w:tcPr>
            <w:tcW w:w="502" w:type="pct"/>
            <w:noWrap w:val="0"/>
            <w:vAlign w:val="center"/>
          </w:tcPr>
          <w:p w14:paraId="4D6E469B">
            <w:pPr>
              <w:keepNext/>
              <w:spacing w:line="360" w:lineRule="auto"/>
              <w:jc w:val="center"/>
              <w:rPr>
                <w:rFonts w:hint="eastAsia" w:ascii="宋体" w:hAnsi="宋体" w:cs="宋体"/>
                <w:color w:val="auto"/>
                <w:szCs w:val="21"/>
                <w:highlight w:val="none"/>
              </w:rPr>
            </w:pPr>
          </w:p>
        </w:tc>
        <w:tc>
          <w:tcPr>
            <w:tcW w:w="1279" w:type="pct"/>
            <w:noWrap w:val="0"/>
            <w:vAlign w:val="center"/>
          </w:tcPr>
          <w:p w14:paraId="48DEDBBA">
            <w:pPr>
              <w:keepNext/>
              <w:spacing w:line="360" w:lineRule="auto"/>
              <w:jc w:val="center"/>
              <w:rPr>
                <w:rFonts w:hint="eastAsia" w:ascii="宋体" w:hAnsi="宋体" w:cs="宋体"/>
                <w:color w:val="auto"/>
                <w:szCs w:val="21"/>
                <w:highlight w:val="none"/>
              </w:rPr>
            </w:pPr>
          </w:p>
        </w:tc>
        <w:tc>
          <w:tcPr>
            <w:tcW w:w="1153" w:type="pct"/>
            <w:noWrap w:val="0"/>
            <w:vAlign w:val="top"/>
          </w:tcPr>
          <w:p w14:paraId="5C6406A2">
            <w:pPr>
              <w:keepNext/>
              <w:spacing w:line="360" w:lineRule="auto"/>
              <w:jc w:val="center"/>
              <w:rPr>
                <w:rFonts w:hint="eastAsia" w:ascii="宋体" w:hAnsi="宋体" w:cs="宋体"/>
                <w:color w:val="auto"/>
                <w:szCs w:val="21"/>
                <w:highlight w:val="none"/>
              </w:rPr>
            </w:pPr>
          </w:p>
        </w:tc>
      </w:tr>
      <w:tr w14:paraId="7D0D0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7" w:type="pct"/>
            <w:gridSpan w:val="5"/>
            <w:noWrap w:val="0"/>
            <w:vAlign w:val="center"/>
          </w:tcPr>
          <w:p w14:paraId="0548F51C">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二、现场人员</w:t>
            </w:r>
          </w:p>
        </w:tc>
        <w:tc>
          <w:tcPr>
            <w:tcW w:w="1153" w:type="pct"/>
            <w:noWrap w:val="0"/>
            <w:vAlign w:val="top"/>
          </w:tcPr>
          <w:p w14:paraId="119F6A2E">
            <w:pPr>
              <w:keepNext/>
              <w:spacing w:line="360" w:lineRule="auto"/>
              <w:jc w:val="center"/>
              <w:rPr>
                <w:rFonts w:hint="eastAsia" w:ascii="宋体" w:hAnsi="宋体" w:cs="宋体"/>
                <w:color w:val="auto"/>
                <w:szCs w:val="21"/>
                <w:highlight w:val="none"/>
              </w:rPr>
            </w:pPr>
          </w:p>
        </w:tc>
      </w:tr>
      <w:tr w14:paraId="3BB954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46E7D00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627" w:type="pct"/>
            <w:noWrap w:val="0"/>
            <w:vAlign w:val="center"/>
          </w:tcPr>
          <w:p w14:paraId="2869FA08">
            <w:pPr>
              <w:keepNext/>
              <w:spacing w:line="360" w:lineRule="auto"/>
              <w:jc w:val="center"/>
              <w:rPr>
                <w:rFonts w:hint="eastAsia" w:ascii="宋体" w:hAnsi="宋体" w:cs="宋体"/>
                <w:color w:val="auto"/>
                <w:szCs w:val="21"/>
                <w:highlight w:val="none"/>
              </w:rPr>
            </w:pPr>
          </w:p>
        </w:tc>
        <w:tc>
          <w:tcPr>
            <w:tcW w:w="502" w:type="pct"/>
            <w:noWrap w:val="0"/>
            <w:vAlign w:val="center"/>
          </w:tcPr>
          <w:p w14:paraId="0720B97C">
            <w:pPr>
              <w:keepNext/>
              <w:spacing w:line="360" w:lineRule="auto"/>
              <w:jc w:val="center"/>
              <w:rPr>
                <w:rFonts w:hint="eastAsia" w:ascii="宋体" w:hAnsi="宋体" w:cs="宋体"/>
                <w:color w:val="auto"/>
                <w:szCs w:val="21"/>
                <w:highlight w:val="none"/>
              </w:rPr>
            </w:pPr>
          </w:p>
        </w:tc>
        <w:tc>
          <w:tcPr>
            <w:tcW w:w="502" w:type="pct"/>
            <w:noWrap w:val="0"/>
            <w:vAlign w:val="center"/>
          </w:tcPr>
          <w:p w14:paraId="780DF9A4">
            <w:pPr>
              <w:keepNext/>
              <w:spacing w:line="360" w:lineRule="auto"/>
              <w:jc w:val="center"/>
              <w:rPr>
                <w:rFonts w:hint="eastAsia" w:ascii="宋体" w:hAnsi="宋体" w:cs="宋体"/>
                <w:color w:val="auto"/>
                <w:szCs w:val="21"/>
                <w:highlight w:val="none"/>
              </w:rPr>
            </w:pPr>
          </w:p>
        </w:tc>
        <w:tc>
          <w:tcPr>
            <w:tcW w:w="1279" w:type="pct"/>
            <w:noWrap w:val="0"/>
            <w:vAlign w:val="center"/>
          </w:tcPr>
          <w:p w14:paraId="12A84E7D">
            <w:pPr>
              <w:keepNext/>
              <w:spacing w:line="360" w:lineRule="auto"/>
              <w:jc w:val="center"/>
              <w:rPr>
                <w:rFonts w:hint="eastAsia" w:ascii="宋体" w:hAnsi="宋体" w:cs="宋体"/>
                <w:color w:val="auto"/>
                <w:szCs w:val="21"/>
                <w:highlight w:val="none"/>
              </w:rPr>
            </w:pPr>
          </w:p>
        </w:tc>
        <w:tc>
          <w:tcPr>
            <w:tcW w:w="1153" w:type="pct"/>
            <w:noWrap w:val="0"/>
            <w:vAlign w:val="top"/>
          </w:tcPr>
          <w:p w14:paraId="32B185D5">
            <w:pPr>
              <w:keepNext/>
              <w:spacing w:line="360" w:lineRule="auto"/>
              <w:jc w:val="center"/>
              <w:rPr>
                <w:rFonts w:hint="eastAsia" w:ascii="宋体" w:hAnsi="宋体" w:cs="宋体"/>
                <w:color w:val="auto"/>
                <w:szCs w:val="21"/>
                <w:highlight w:val="none"/>
              </w:rPr>
            </w:pPr>
          </w:p>
        </w:tc>
      </w:tr>
      <w:tr w14:paraId="5C420D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51FA4AC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项目副经理</w:t>
            </w:r>
          </w:p>
        </w:tc>
        <w:tc>
          <w:tcPr>
            <w:tcW w:w="627" w:type="pct"/>
            <w:noWrap w:val="0"/>
            <w:vAlign w:val="center"/>
          </w:tcPr>
          <w:p w14:paraId="53F14D50">
            <w:pPr>
              <w:keepNext/>
              <w:spacing w:line="360" w:lineRule="auto"/>
              <w:jc w:val="center"/>
              <w:rPr>
                <w:rFonts w:hint="eastAsia" w:ascii="宋体" w:hAnsi="宋体" w:cs="宋体"/>
                <w:color w:val="auto"/>
                <w:szCs w:val="21"/>
                <w:highlight w:val="none"/>
              </w:rPr>
            </w:pPr>
          </w:p>
        </w:tc>
        <w:tc>
          <w:tcPr>
            <w:tcW w:w="502" w:type="pct"/>
            <w:noWrap w:val="0"/>
            <w:vAlign w:val="center"/>
          </w:tcPr>
          <w:p w14:paraId="2AD0EB3A">
            <w:pPr>
              <w:keepNext/>
              <w:spacing w:line="360" w:lineRule="auto"/>
              <w:jc w:val="center"/>
              <w:rPr>
                <w:rFonts w:hint="eastAsia" w:ascii="宋体" w:hAnsi="宋体" w:cs="宋体"/>
                <w:color w:val="auto"/>
                <w:szCs w:val="21"/>
                <w:highlight w:val="none"/>
              </w:rPr>
            </w:pPr>
          </w:p>
        </w:tc>
        <w:tc>
          <w:tcPr>
            <w:tcW w:w="502" w:type="pct"/>
            <w:noWrap w:val="0"/>
            <w:vAlign w:val="center"/>
          </w:tcPr>
          <w:p w14:paraId="546BD468">
            <w:pPr>
              <w:keepNext/>
              <w:spacing w:line="360" w:lineRule="auto"/>
              <w:jc w:val="center"/>
              <w:rPr>
                <w:rFonts w:hint="eastAsia" w:ascii="宋体" w:hAnsi="宋体" w:cs="宋体"/>
                <w:color w:val="auto"/>
                <w:szCs w:val="21"/>
                <w:highlight w:val="none"/>
              </w:rPr>
            </w:pPr>
          </w:p>
        </w:tc>
        <w:tc>
          <w:tcPr>
            <w:tcW w:w="1279" w:type="pct"/>
            <w:noWrap w:val="0"/>
            <w:vAlign w:val="center"/>
          </w:tcPr>
          <w:p w14:paraId="7C1404A5">
            <w:pPr>
              <w:keepNext/>
              <w:spacing w:line="360" w:lineRule="auto"/>
              <w:jc w:val="center"/>
              <w:rPr>
                <w:rFonts w:hint="eastAsia" w:ascii="宋体" w:hAnsi="宋体" w:cs="宋体"/>
                <w:color w:val="auto"/>
                <w:szCs w:val="21"/>
                <w:highlight w:val="none"/>
              </w:rPr>
            </w:pPr>
          </w:p>
        </w:tc>
        <w:tc>
          <w:tcPr>
            <w:tcW w:w="1153" w:type="pct"/>
            <w:noWrap w:val="0"/>
            <w:vAlign w:val="top"/>
          </w:tcPr>
          <w:p w14:paraId="203890FC">
            <w:pPr>
              <w:keepNext/>
              <w:spacing w:line="360" w:lineRule="auto"/>
              <w:jc w:val="center"/>
              <w:rPr>
                <w:rFonts w:hint="eastAsia" w:ascii="宋体" w:hAnsi="宋体" w:cs="宋体"/>
                <w:color w:val="auto"/>
                <w:szCs w:val="21"/>
                <w:highlight w:val="none"/>
              </w:rPr>
            </w:pPr>
          </w:p>
        </w:tc>
      </w:tr>
      <w:tr w14:paraId="3E03FA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6C339C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项目技术负责人</w:t>
            </w:r>
          </w:p>
        </w:tc>
        <w:tc>
          <w:tcPr>
            <w:tcW w:w="627" w:type="pct"/>
            <w:noWrap w:val="0"/>
            <w:vAlign w:val="center"/>
          </w:tcPr>
          <w:p w14:paraId="37ED4363">
            <w:pPr>
              <w:keepNext/>
              <w:spacing w:line="360" w:lineRule="auto"/>
              <w:jc w:val="center"/>
              <w:rPr>
                <w:rFonts w:hint="eastAsia" w:ascii="宋体" w:hAnsi="宋体" w:cs="宋体"/>
                <w:color w:val="auto"/>
                <w:szCs w:val="21"/>
                <w:highlight w:val="none"/>
              </w:rPr>
            </w:pPr>
          </w:p>
        </w:tc>
        <w:tc>
          <w:tcPr>
            <w:tcW w:w="502" w:type="pct"/>
            <w:noWrap w:val="0"/>
            <w:vAlign w:val="center"/>
          </w:tcPr>
          <w:p w14:paraId="0A2CB121">
            <w:pPr>
              <w:keepNext/>
              <w:spacing w:line="360" w:lineRule="auto"/>
              <w:jc w:val="center"/>
              <w:rPr>
                <w:rFonts w:hint="eastAsia" w:ascii="宋体" w:hAnsi="宋体" w:cs="宋体"/>
                <w:color w:val="auto"/>
                <w:szCs w:val="21"/>
                <w:highlight w:val="none"/>
              </w:rPr>
            </w:pPr>
          </w:p>
        </w:tc>
        <w:tc>
          <w:tcPr>
            <w:tcW w:w="502" w:type="pct"/>
            <w:noWrap w:val="0"/>
            <w:vAlign w:val="center"/>
          </w:tcPr>
          <w:p w14:paraId="549F2850">
            <w:pPr>
              <w:keepNext/>
              <w:spacing w:line="360" w:lineRule="auto"/>
              <w:jc w:val="center"/>
              <w:rPr>
                <w:rFonts w:hint="eastAsia" w:ascii="宋体" w:hAnsi="宋体" w:cs="宋体"/>
                <w:color w:val="auto"/>
                <w:szCs w:val="21"/>
                <w:highlight w:val="none"/>
              </w:rPr>
            </w:pPr>
          </w:p>
        </w:tc>
        <w:tc>
          <w:tcPr>
            <w:tcW w:w="1279" w:type="pct"/>
            <w:noWrap w:val="0"/>
            <w:vAlign w:val="center"/>
          </w:tcPr>
          <w:p w14:paraId="414039E5">
            <w:pPr>
              <w:keepNext/>
              <w:spacing w:line="360" w:lineRule="auto"/>
              <w:jc w:val="center"/>
              <w:rPr>
                <w:rFonts w:hint="eastAsia" w:ascii="宋体" w:hAnsi="宋体" w:cs="宋体"/>
                <w:color w:val="auto"/>
                <w:szCs w:val="21"/>
                <w:highlight w:val="none"/>
              </w:rPr>
            </w:pPr>
          </w:p>
        </w:tc>
        <w:tc>
          <w:tcPr>
            <w:tcW w:w="1153" w:type="pct"/>
            <w:noWrap w:val="0"/>
            <w:vAlign w:val="top"/>
          </w:tcPr>
          <w:p w14:paraId="20599C17">
            <w:pPr>
              <w:keepNext/>
              <w:spacing w:line="360" w:lineRule="auto"/>
              <w:jc w:val="center"/>
              <w:rPr>
                <w:rFonts w:hint="eastAsia" w:ascii="宋体" w:hAnsi="宋体" w:cs="宋体"/>
                <w:color w:val="auto"/>
                <w:szCs w:val="21"/>
                <w:highlight w:val="none"/>
              </w:rPr>
            </w:pPr>
          </w:p>
        </w:tc>
      </w:tr>
      <w:tr w14:paraId="61CE7A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6065F60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施工员</w:t>
            </w:r>
          </w:p>
        </w:tc>
        <w:tc>
          <w:tcPr>
            <w:tcW w:w="627" w:type="pct"/>
            <w:noWrap w:val="0"/>
            <w:vAlign w:val="center"/>
          </w:tcPr>
          <w:p w14:paraId="53B31E4A">
            <w:pPr>
              <w:keepNext/>
              <w:spacing w:line="360" w:lineRule="auto"/>
              <w:jc w:val="center"/>
              <w:rPr>
                <w:rFonts w:hint="eastAsia" w:ascii="宋体" w:hAnsi="宋体" w:cs="宋体"/>
                <w:color w:val="auto"/>
                <w:szCs w:val="21"/>
                <w:highlight w:val="none"/>
              </w:rPr>
            </w:pPr>
          </w:p>
        </w:tc>
        <w:tc>
          <w:tcPr>
            <w:tcW w:w="502" w:type="pct"/>
            <w:noWrap w:val="0"/>
            <w:vAlign w:val="center"/>
          </w:tcPr>
          <w:p w14:paraId="523A2B72">
            <w:pPr>
              <w:keepNext/>
              <w:spacing w:line="360" w:lineRule="auto"/>
              <w:jc w:val="center"/>
              <w:rPr>
                <w:rFonts w:hint="eastAsia" w:ascii="宋体" w:hAnsi="宋体" w:cs="宋体"/>
                <w:color w:val="auto"/>
                <w:szCs w:val="21"/>
                <w:highlight w:val="none"/>
              </w:rPr>
            </w:pPr>
          </w:p>
        </w:tc>
        <w:tc>
          <w:tcPr>
            <w:tcW w:w="502" w:type="pct"/>
            <w:noWrap w:val="0"/>
            <w:vAlign w:val="center"/>
          </w:tcPr>
          <w:p w14:paraId="3777FB96">
            <w:pPr>
              <w:keepNext/>
              <w:spacing w:line="360" w:lineRule="auto"/>
              <w:jc w:val="center"/>
              <w:rPr>
                <w:rFonts w:hint="eastAsia" w:ascii="宋体" w:hAnsi="宋体" w:cs="宋体"/>
                <w:color w:val="auto"/>
                <w:szCs w:val="21"/>
                <w:highlight w:val="none"/>
              </w:rPr>
            </w:pPr>
          </w:p>
        </w:tc>
        <w:tc>
          <w:tcPr>
            <w:tcW w:w="1279" w:type="pct"/>
            <w:noWrap w:val="0"/>
            <w:vAlign w:val="center"/>
          </w:tcPr>
          <w:p w14:paraId="443DD697">
            <w:pPr>
              <w:keepNext/>
              <w:spacing w:line="360" w:lineRule="auto"/>
              <w:jc w:val="center"/>
              <w:rPr>
                <w:rFonts w:hint="eastAsia" w:ascii="宋体" w:hAnsi="宋体" w:cs="宋体"/>
                <w:color w:val="auto"/>
                <w:szCs w:val="21"/>
                <w:highlight w:val="none"/>
              </w:rPr>
            </w:pPr>
          </w:p>
        </w:tc>
        <w:tc>
          <w:tcPr>
            <w:tcW w:w="1153" w:type="pct"/>
            <w:noWrap w:val="0"/>
            <w:vAlign w:val="top"/>
          </w:tcPr>
          <w:p w14:paraId="54FAFDA6">
            <w:pPr>
              <w:keepNext/>
              <w:spacing w:line="360" w:lineRule="auto"/>
              <w:jc w:val="center"/>
              <w:rPr>
                <w:rFonts w:hint="eastAsia" w:ascii="宋体" w:hAnsi="宋体" w:cs="宋体"/>
                <w:color w:val="auto"/>
                <w:szCs w:val="21"/>
                <w:highlight w:val="none"/>
              </w:rPr>
            </w:pPr>
          </w:p>
        </w:tc>
      </w:tr>
      <w:tr w14:paraId="3A1D8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302ED65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质检员（质量员）</w:t>
            </w:r>
          </w:p>
        </w:tc>
        <w:tc>
          <w:tcPr>
            <w:tcW w:w="627" w:type="pct"/>
            <w:noWrap w:val="0"/>
            <w:vAlign w:val="center"/>
          </w:tcPr>
          <w:p w14:paraId="0E438FB4">
            <w:pPr>
              <w:keepNext/>
              <w:spacing w:line="360" w:lineRule="auto"/>
              <w:jc w:val="center"/>
              <w:rPr>
                <w:rFonts w:hint="eastAsia" w:ascii="宋体" w:hAnsi="宋体" w:cs="宋体"/>
                <w:color w:val="auto"/>
                <w:szCs w:val="21"/>
                <w:highlight w:val="none"/>
              </w:rPr>
            </w:pPr>
          </w:p>
        </w:tc>
        <w:tc>
          <w:tcPr>
            <w:tcW w:w="502" w:type="pct"/>
            <w:noWrap w:val="0"/>
            <w:vAlign w:val="center"/>
          </w:tcPr>
          <w:p w14:paraId="2FA9B733">
            <w:pPr>
              <w:keepNext/>
              <w:spacing w:line="360" w:lineRule="auto"/>
              <w:jc w:val="center"/>
              <w:rPr>
                <w:rFonts w:hint="eastAsia" w:ascii="宋体" w:hAnsi="宋体" w:cs="宋体"/>
                <w:color w:val="auto"/>
                <w:szCs w:val="21"/>
                <w:highlight w:val="none"/>
              </w:rPr>
            </w:pPr>
          </w:p>
        </w:tc>
        <w:tc>
          <w:tcPr>
            <w:tcW w:w="502" w:type="pct"/>
            <w:noWrap w:val="0"/>
            <w:vAlign w:val="center"/>
          </w:tcPr>
          <w:p w14:paraId="2DBBE355">
            <w:pPr>
              <w:keepNext/>
              <w:spacing w:line="360" w:lineRule="auto"/>
              <w:jc w:val="center"/>
              <w:rPr>
                <w:rFonts w:hint="eastAsia" w:ascii="宋体" w:hAnsi="宋体" w:cs="宋体"/>
                <w:color w:val="auto"/>
                <w:szCs w:val="21"/>
                <w:highlight w:val="none"/>
              </w:rPr>
            </w:pPr>
          </w:p>
        </w:tc>
        <w:tc>
          <w:tcPr>
            <w:tcW w:w="1279" w:type="pct"/>
            <w:noWrap w:val="0"/>
            <w:vAlign w:val="center"/>
          </w:tcPr>
          <w:p w14:paraId="3AAA8EFD">
            <w:pPr>
              <w:keepNext/>
              <w:spacing w:line="360" w:lineRule="auto"/>
              <w:jc w:val="center"/>
              <w:rPr>
                <w:rFonts w:hint="eastAsia" w:ascii="宋体" w:hAnsi="宋体" w:cs="宋体"/>
                <w:color w:val="auto"/>
                <w:szCs w:val="21"/>
                <w:highlight w:val="none"/>
              </w:rPr>
            </w:pPr>
          </w:p>
        </w:tc>
        <w:tc>
          <w:tcPr>
            <w:tcW w:w="1153" w:type="pct"/>
            <w:noWrap w:val="0"/>
            <w:vAlign w:val="top"/>
          </w:tcPr>
          <w:p w14:paraId="35ED78C1">
            <w:pPr>
              <w:keepNext/>
              <w:spacing w:line="360" w:lineRule="auto"/>
              <w:jc w:val="center"/>
              <w:rPr>
                <w:rFonts w:hint="eastAsia" w:ascii="宋体" w:hAnsi="宋体" w:cs="宋体"/>
                <w:color w:val="auto"/>
                <w:szCs w:val="21"/>
                <w:highlight w:val="none"/>
              </w:rPr>
            </w:pPr>
          </w:p>
        </w:tc>
      </w:tr>
      <w:tr w14:paraId="58C850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20D9D92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安全员</w:t>
            </w:r>
          </w:p>
        </w:tc>
        <w:tc>
          <w:tcPr>
            <w:tcW w:w="627" w:type="pct"/>
            <w:noWrap w:val="0"/>
            <w:vAlign w:val="center"/>
          </w:tcPr>
          <w:p w14:paraId="1A9A0069">
            <w:pPr>
              <w:keepNext/>
              <w:spacing w:line="360" w:lineRule="auto"/>
              <w:jc w:val="center"/>
              <w:rPr>
                <w:rFonts w:hint="eastAsia" w:ascii="宋体" w:hAnsi="宋体" w:cs="宋体"/>
                <w:color w:val="auto"/>
                <w:szCs w:val="21"/>
                <w:highlight w:val="none"/>
              </w:rPr>
            </w:pPr>
          </w:p>
        </w:tc>
        <w:tc>
          <w:tcPr>
            <w:tcW w:w="502" w:type="pct"/>
            <w:noWrap w:val="0"/>
            <w:vAlign w:val="center"/>
          </w:tcPr>
          <w:p w14:paraId="378800FF">
            <w:pPr>
              <w:keepNext/>
              <w:spacing w:line="360" w:lineRule="auto"/>
              <w:jc w:val="center"/>
              <w:rPr>
                <w:rFonts w:hint="eastAsia" w:ascii="宋体" w:hAnsi="宋体" w:cs="宋体"/>
                <w:color w:val="auto"/>
                <w:szCs w:val="21"/>
                <w:highlight w:val="none"/>
              </w:rPr>
            </w:pPr>
          </w:p>
        </w:tc>
        <w:tc>
          <w:tcPr>
            <w:tcW w:w="502" w:type="pct"/>
            <w:noWrap w:val="0"/>
            <w:vAlign w:val="center"/>
          </w:tcPr>
          <w:p w14:paraId="2AF57565">
            <w:pPr>
              <w:keepNext/>
              <w:spacing w:line="360" w:lineRule="auto"/>
              <w:jc w:val="center"/>
              <w:rPr>
                <w:rFonts w:hint="eastAsia" w:ascii="宋体" w:hAnsi="宋体" w:cs="宋体"/>
                <w:color w:val="auto"/>
                <w:szCs w:val="21"/>
                <w:highlight w:val="none"/>
              </w:rPr>
            </w:pPr>
          </w:p>
        </w:tc>
        <w:tc>
          <w:tcPr>
            <w:tcW w:w="1279" w:type="pct"/>
            <w:noWrap w:val="0"/>
            <w:vAlign w:val="center"/>
          </w:tcPr>
          <w:p w14:paraId="5FCEECEE">
            <w:pPr>
              <w:keepNext/>
              <w:spacing w:line="360" w:lineRule="auto"/>
              <w:jc w:val="center"/>
              <w:rPr>
                <w:rFonts w:hint="eastAsia" w:ascii="宋体" w:hAnsi="宋体" w:cs="宋体"/>
                <w:color w:val="auto"/>
                <w:szCs w:val="21"/>
                <w:highlight w:val="none"/>
              </w:rPr>
            </w:pPr>
          </w:p>
        </w:tc>
        <w:tc>
          <w:tcPr>
            <w:tcW w:w="1153" w:type="pct"/>
            <w:noWrap w:val="0"/>
            <w:vAlign w:val="top"/>
          </w:tcPr>
          <w:p w14:paraId="1A06FC93">
            <w:pPr>
              <w:keepNext/>
              <w:spacing w:line="360" w:lineRule="auto"/>
              <w:jc w:val="center"/>
              <w:rPr>
                <w:rFonts w:hint="eastAsia" w:ascii="宋体" w:hAnsi="宋体" w:cs="宋体"/>
                <w:color w:val="auto"/>
                <w:szCs w:val="21"/>
                <w:highlight w:val="none"/>
              </w:rPr>
            </w:pPr>
          </w:p>
        </w:tc>
      </w:tr>
      <w:tr w14:paraId="3DF4F7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7A2AC4C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资料员</w:t>
            </w:r>
          </w:p>
        </w:tc>
        <w:tc>
          <w:tcPr>
            <w:tcW w:w="627" w:type="pct"/>
            <w:noWrap w:val="0"/>
            <w:vAlign w:val="center"/>
          </w:tcPr>
          <w:p w14:paraId="4F2C325A">
            <w:pPr>
              <w:keepNext/>
              <w:spacing w:line="360" w:lineRule="auto"/>
              <w:jc w:val="center"/>
              <w:rPr>
                <w:rFonts w:hint="eastAsia" w:ascii="宋体" w:hAnsi="宋体" w:cs="宋体"/>
                <w:color w:val="auto"/>
                <w:szCs w:val="21"/>
                <w:highlight w:val="none"/>
              </w:rPr>
            </w:pPr>
          </w:p>
        </w:tc>
        <w:tc>
          <w:tcPr>
            <w:tcW w:w="502" w:type="pct"/>
            <w:noWrap w:val="0"/>
            <w:vAlign w:val="center"/>
          </w:tcPr>
          <w:p w14:paraId="23A420BF">
            <w:pPr>
              <w:keepNext/>
              <w:spacing w:line="360" w:lineRule="auto"/>
              <w:jc w:val="center"/>
              <w:rPr>
                <w:rFonts w:hint="eastAsia" w:ascii="宋体" w:hAnsi="宋体" w:cs="宋体"/>
                <w:color w:val="auto"/>
                <w:szCs w:val="21"/>
                <w:highlight w:val="none"/>
              </w:rPr>
            </w:pPr>
          </w:p>
        </w:tc>
        <w:tc>
          <w:tcPr>
            <w:tcW w:w="502" w:type="pct"/>
            <w:noWrap w:val="0"/>
            <w:vAlign w:val="center"/>
          </w:tcPr>
          <w:p w14:paraId="5FDC3A12">
            <w:pPr>
              <w:keepNext/>
              <w:spacing w:line="360" w:lineRule="auto"/>
              <w:jc w:val="center"/>
              <w:rPr>
                <w:rFonts w:hint="eastAsia" w:ascii="宋体" w:hAnsi="宋体" w:cs="宋体"/>
                <w:color w:val="auto"/>
                <w:szCs w:val="21"/>
                <w:highlight w:val="none"/>
              </w:rPr>
            </w:pPr>
          </w:p>
        </w:tc>
        <w:tc>
          <w:tcPr>
            <w:tcW w:w="1279" w:type="pct"/>
            <w:noWrap w:val="0"/>
            <w:vAlign w:val="center"/>
          </w:tcPr>
          <w:p w14:paraId="73ECA994">
            <w:pPr>
              <w:keepNext/>
              <w:spacing w:line="360" w:lineRule="auto"/>
              <w:jc w:val="center"/>
              <w:rPr>
                <w:rFonts w:hint="eastAsia" w:ascii="宋体" w:hAnsi="宋体" w:cs="宋体"/>
                <w:color w:val="auto"/>
                <w:szCs w:val="21"/>
                <w:highlight w:val="none"/>
              </w:rPr>
            </w:pPr>
          </w:p>
        </w:tc>
        <w:tc>
          <w:tcPr>
            <w:tcW w:w="1153" w:type="pct"/>
            <w:noWrap w:val="0"/>
            <w:vAlign w:val="top"/>
          </w:tcPr>
          <w:p w14:paraId="4D404BCA">
            <w:pPr>
              <w:keepNext/>
              <w:spacing w:line="360" w:lineRule="auto"/>
              <w:jc w:val="center"/>
              <w:rPr>
                <w:rFonts w:hint="eastAsia" w:ascii="宋体" w:hAnsi="宋体" w:cs="宋体"/>
                <w:color w:val="auto"/>
                <w:szCs w:val="21"/>
                <w:highlight w:val="none"/>
              </w:rPr>
            </w:pPr>
          </w:p>
        </w:tc>
      </w:tr>
      <w:tr w14:paraId="5AF04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restart"/>
            <w:noWrap w:val="0"/>
            <w:vAlign w:val="center"/>
          </w:tcPr>
          <w:p w14:paraId="562CD1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其他人员</w:t>
            </w:r>
          </w:p>
        </w:tc>
        <w:tc>
          <w:tcPr>
            <w:tcW w:w="627" w:type="pct"/>
            <w:noWrap w:val="0"/>
            <w:vAlign w:val="center"/>
          </w:tcPr>
          <w:p w14:paraId="32D83E89">
            <w:pPr>
              <w:keepNext/>
              <w:spacing w:line="360" w:lineRule="auto"/>
              <w:jc w:val="center"/>
              <w:rPr>
                <w:rFonts w:hint="eastAsia" w:ascii="宋体" w:hAnsi="宋体" w:cs="宋体"/>
                <w:color w:val="auto"/>
                <w:szCs w:val="21"/>
                <w:highlight w:val="none"/>
              </w:rPr>
            </w:pPr>
          </w:p>
        </w:tc>
        <w:tc>
          <w:tcPr>
            <w:tcW w:w="502" w:type="pct"/>
            <w:noWrap w:val="0"/>
            <w:vAlign w:val="center"/>
          </w:tcPr>
          <w:p w14:paraId="3459E21F">
            <w:pPr>
              <w:keepNext/>
              <w:spacing w:line="360" w:lineRule="auto"/>
              <w:jc w:val="center"/>
              <w:rPr>
                <w:rFonts w:hint="eastAsia" w:ascii="宋体" w:hAnsi="宋体" w:cs="宋体"/>
                <w:color w:val="auto"/>
                <w:szCs w:val="21"/>
                <w:highlight w:val="none"/>
              </w:rPr>
            </w:pPr>
          </w:p>
        </w:tc>
        <w:tc>
          <w:tcPr>
            <w:tcW w:w="502" w:type="pct"/>
            <w:noWrap w:val="0"/>
            <w:vAlign w:val="center"/>
          </w:tcPr>
          <w:p w14:paraId="4906B729">
            <w:pPr>
              <w:keepNext/>
              <w:spacing w:line="360" w:lineRule="auto"/>
              <w:jc w:val="center"/>
              <w:rPr>
                <w:rFonts w:hint="eastAsia" w:ascii="宋体" w:hAnsi="宋体" w:cs="宋体"/>
                <w:color w:val="auto"/>
                <w:szCs w:val="21"/>
                <w:highlight w:val="none"/>
              </w:rPr>
            </w:pPr>
          </w:p>
        </w:tc>
        <w:tc>
          <w:tcPr>
            <w:tcW w:w="1279" w:type="pct"/>
            <w:noWrap w:val="0"/>
            <w:vAlign w:val="center"/>
          </w:tcPr>
          <w:p w14:paraId="04008C32">
            <w:pPr>
              <w:keepNext/>
              <w:spacing w:line="360" w:lineRule="auto"/>
              <w:jc w:val="center"/>
              <w:rPr>
                <w:rFonts w:hint="eastAsia" w:ascii="宋体" w:hAnsi="宋体" w:cs="宋体"/>
                <w:color w:val="auto"/>
                <w:szCs w:val="21"/>
                <w:highlight w:val="none"/>
              </w:rPr>
            </w:pPr>
          </w:p>
        </w:tc>
        <w:tc>
          <w:tcPr>
            <w:tcW w:w="1153" w:type="pct"/>
            <w:noWrap w:val="0"/>
            <w:vAlign w:val="top"/>
          </w:tcPr>
          <w:p w14:paraId="4070AA60">
            <w:pPr>
              <w:keepNext/>
              <w:spacing w:line="360" w:lineRule="auto"/>
              <w:jc w:val="center"/>
              <w:rPr>
                <w:rFonts w:hint="eastAsia" w:ascii="宋体" w:hAnsi="宋体" w:cs="宋体"/>
                <w:color w:val="auto"/>
                <w:szCs w:val="21"/>
                <w:highlight w:val="none"/>
              </w:rPr>
            </w:pPr>
          </w:p>
        </w:tc>
      </w:tr>
      <w:tr w14:paraId="60B283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1425CD94">
            <w:pPr>
              <w:keepNext/>
              <w:spacing w:line="360" w:lineRule="auto"/>
              <w:jc w:val="center"/>
              <w:rPr>
                <w:rFonts w:hint="eastAsia" w:ascii="宋体" w:hAnsi="宋体" w:cs="宋体"/>
                <w:color w:val="auto"/>
                <w:szCs w:val="21"/>
                <w:highlight w:val="none"/>
              </w:rPr>
            </w:pPr>
          </w:p>
        </w:tc>
        <w:tc>
          <w:tcPr>
            <w:tcW w:w="627" w:type="pct"/>
            <w:tcBorders>
              <w:bottom w:val="nil"/>
            </w:tcBorders>
            <w:noWrap w:val="0"/>
            <w:vAlign w:val="center"/>
          </w:tcPr>
          <w:p w14:paraId="29061126">
            <w:pPr>
              <w:keepNext/>
              <w:spacing w:line="360" w:lineRule="auto"/>
              <w:jc w:val="center"/>
              <w:rPr>
                <w:rFonts w:hint="eastAsia" w:ascii="宋体" w:hAnsi="宋体" w:cs="宋体"/>
                <w:color w:val="auto"/>
                <w:szCs w:val="21"/>
                <w:highlight w:val="none"/>
              </w:rPr>
            </w:pPr>
          </w:p>
        </w:tc>
        <w:tc>
          <w:tcPr>
            <w:tcW w:w="502" w:type="pct"/>
            <w:tcBorders>
              <w:bottom w:val="nil"/>
            </w:tcBorders>
            <w:noWrap w:val="0"/>
            <w:vAlign w:val="center"/>
          </w:tcPr>
          <w:p w14:paraId="14497F5D">
            <w:pPr>
              <w:keepNext/>
              <w:spacing w:line="360" w:lineRule="auto"/>
              <w:jc w:val="center"/>
              <w:rPr>
                <w:rFonts w:hint="eastAsia" w:ascii="宋体" w:hAnsi="宋体" w:cs="宋体"/>
                <w:color w:val="auto"/>
                <w:szCs w:val="21"/>
                <w:highlight w:val="none"/>
              </w:rPr>
            </w:pPr>
          </w:p>
        </w:tc>
        <w:tc>
          <w:tcPr>
            <w:tcW w:w="502" w:type="pct"/>
            <w:tcBorders>
              <w:bottom w:val="nil"/>
            </w:tcBorders>
            <w:noWrap w:val="0"/>
            <w:vAlign w:val="center"/>
          </w:tcPr>
          <w:p w14:paraId="280BB2E3">
            <w:pPr>
              <w:keepNext/>
              <w:spacing w:line="360" w:lineRule="auto"/>
              <w:jc w:val="center"/>
              <w:rPr>
                <w:rFonts w:hint="eastAsia" w:ascii="宋体" w:hAnsi="宋体" w:cs="宋体"/>
                <w:color w:val="auto"/>
                <w:szCs w:val="21"/>
                <w:highlight w:val="none"/>
              </w:rPr>
            </w:pPr>
          </w:p>
        </w:tc>
        <w:tc>
          <w:tcPr>
            <w:tcW w:w="1279" w:type="pct"/>
            <w:tcBorders>
              <w:bottom w:val="nil"/>
            </w:tcBorders>
            <w:noWrap w:val="0"/>
            <w:vAlign w:val="center"/>
          </w:tcPr>
          <w:p w14:paraId="64DF2E06">
            <w:pPr>
              <w:keepNext/>
              <w:spacing w:line="360" w:lineRule="auto"/>
              <w:jc w:val="center"/>
              <w:rPr>
                <w:rFonts w:hint="eastAsia" w:ascii="宋体" w:hAnsi="宋体" w:cs="宋体"/>
                <w:color w:val="auto"/>
                <w:szCs w:val="21"/>
                <w:highlight w:val="none"/>
              </w:rPr>
            </w:pPr>
          </w:p>
        </w:tc>
        <w:tc>
          <w:tcPr>
            <w:tcW w:w="1153" w:type="pct"/>
            <w:tcBorders>
              <w:bottom w:val="nil"/>
            </w:tcBorders>
            <w:noWrap w:val="0"/>
            <w:vAlign w:val="top"/>
          </w:tcPr>
          <w:p w14:paraId="66DE54E1">
            <w:pPr>
              <w:keepNext/>
              <w:spacing w:line="360" w:lineRule="auto"/>
              <w:jc w:val="center"/>
              <w:rPr>
                <w:rFonts w:hint="eastAsia" w:ascii="宋体" w:hAnsi="宋体" w:cs="宋体"/>
                <w:color w:val="auto"/>
                <w:szCs w:val="21"/>
                <w:highlight w:val="none"/>
              </w:rPr>
            </w:pPr>
          </w:p>
        </w:tc>
      </w:tr>
      <w:tr w14:paraId="625014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2F5A9330">
            <w:pPr>
              <w:keepNext/>
              <w:spacing w:line="360" w:lineRule="auto"/>
              <w:jc w:val="center"/>
              <w:rPr>
                <w:rFonts w:hint="eastAsia" w:ascii="宋体" w:hAnsi="宋体" w:cs="宋体"/>
                <w:color w:val="auto"/>
                <w:szCs w:val="21"/>
                <w:highlight w:val="none"/>
              </w:rPr>
            </w:pPr>
          </w:p>
        </w:tc>
        <w:tc>
          <w:tcPr>
            <w:tcW w:w="627" w:type="pct"/>
            <w:noWrap w:val="0"/>
            <w:vAlign w:val="center"/>
          </w:tcPr>
          <w:p w14:paraId="5CDC4771">
            <w:pPr>
              <w:keepNext/>
              <w:spacing w:line="360" w:lineRule="auto"/>
              <w:jc w:val="center"/>
              <w:rPr>
                <w:rFonts w:hint="eastAsia" w:ascii="宋体" w:hAnsi="宋体" w:cs="宋体"/>
                <w:color w:val="auto"/>
                <w:szCs w:val="21"/>
                <w:highlight w:val="none"/>
              </w:rPr>
            </w:pPr>
          </w:p>
        </w:tc>
        <w:tc>
          <w:tcPr>
            <w:tcW w:w="502" w:type="pct"/>
            <w:noWrap w:val="0"/>
            <w:vAlign w:val="center"/>
          </w:tcPr>
          <w:p w14:paraId="08653FA6">
            <w:pPr>
              <w:keepNext/>
              <w:spacing w:line="360" w:lineRule="auto"/>
              <w:jc w:val="center"/>
              <w:rPr>
                <w:rFonts w:hint="eastAsia" w:ascii="宋体" w:hAnsi="宋体" w:cs="宋体"/>
                <w:color w:val="auto"/>
                <w:szCs w:val="21"/>
                <w:highlight w:val="none"/>
              </w:rPr>
            </w:pPr>
          </w:p>
        </w:tc>
        <w:tc>
          <w:tcPr>
            <w:tcW w:w="502" w:type="pct"/>
            <w:noWrap w:val="0"/>
            <w:vAlign w:val="center"/>
          </w:tcPr>
          <w:p w14:paraId="33758A76">
            <w:pPr>
              <w:keepNext/>
              <w:spacing w:line="360" w:lineRule="auto"/>
              <w:jc w:val="center"/>
              <w:rPr>
                <w:rFonts w:hint="eastAsia" w:ascii="宋体" w:hAnsi="宋体" w:cs="宋体"/>
                <w:color w:val="auto"/>
                <w:szCs w:val="21"/>
                <w:highlight w:val="none"/>
              </w:rPr>
            </w:pPr>
          </w:p>
        </w:tc>
        <w:tc>
          <w:tcPr>
            <w:tcW w:w="1279" w:type="pct"/>
            <w:noWrap w:val="0"/>
            <w:vAlign w:val="center"/>
          </w:tcPr>
          <w:p w14:paraId="4EAA05CE">
            <w:pPr>
              <w:keepNext/>
              <w:spacing w:line="360" w:lineRule="auto"/>
              <w:jc w:val="center"/>
              <w:rPr>
                <w:rFonts w:hint="eastAsia" w:ascii="宋体" w:hAnsi="宋体" w:cs="宋体"/>
                <w:color w:val="auto"/>
                <w:szCs w:val="21"/>
                <w:highlight w:val="none"/>
              </w:rPr>
            </w:pPr>
          </w:p>
        </w:tc>
        <w:tc>
          <w:tcPr>
            <w:tcW w:w="1153" w:type="pct"/>
            <w:noWrap w:val="0"/>
            <w:vAlign w:val="top"/>
          </w:tcPr>
          <w:p w14:paraId="0641718E">
            <w:pPr>
              <w:keepNext/>
              <w:spacing w:line="360" w:lineRule="auto"/>
              <w:jc w:val="center"/>
              <w:rPr>
                <w:rFonts w:hint="eastAsia" w:ascii="宋体" w:hAnsi="宋体" w:cs="宋体"/>
                <w:color w:val="auto"/>
                <w:szCs w:val="21"/>
                <w:highlight w:val="none"/>
              </w:rPr>
            </w:pPr>
          </w:p>
        </w:tc>
      </w:tr>
      <w:tr w14:paraId="639BC2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7B58D5E7">
            <w:pPr>
              <w:keepNext/>
              <w:spacing w:line="360" w:lineRule="auto"/>
              <w:jc w:val="center"/>
              <w:rPr>
                <w:rFonts w:hint="eastAsia" w:ascii="宋体" w:hAnsi="宋体" w:cs="宋体"/>
                <w:color w:val="auto"/>
                <w:szCs w:val="21"/>
                <w:highlight w:val="none"/>
              </w:rPr>
            </w:pPr>
          </w:p>
        </w:tc>
        <w:tc>
          <w:tcPr>
            <w:tcW w:w="627" w:type="pct"/>
            <w:noWrap w:val="0"/>
            <w:vAlign w:val="center"/>
          </w:tcPr>
          <w:p w14:paraId="10F6543E">
            <w:pPr>
              <w:keepNext/>
              <w:spacing w:line="360" w:lineRule="auto"/>
              <w:jc w:val="center"/>
              <w:rPr>
                <w:rFonts w:hint="eastAsia" w:ascii="宋体" w:hAnsi="宋体" w:cs="宋体"/>
                <w:color w:val="auto"/>
                <w:szCs w:val="21"/>
                <w:highlight w:val="none"/>
              </w:rPr>
            </w:pPr>
          </w:p>
        </w:tc>
        <w:tc>
          <w:tcPr>
            <w:tcW w:w="502" w:type="pct"/>
            <w:noWrap w:val="0"/>
            <w:vAlign w:val="center"/>
          </w:tcPr>
          <w:p w14:paraId="28FD127C">
            <w:pPr>
              <w:keepNext/>
              <w:spacing w:line="360" w:lineRule="auto"/>
              <w:jc w:val="center"/>
              <w:rPr>
                <w:rFonts w:hint="eastAsia" w:ascii="宋体" w:hAnsi="宋体" w:cs="宋体"/>
                <w:color w:val="auto"/>
                <w:szCs w:val="21"/>
                <w:highlight w:val="none"/>
              </w:rPr>
            </w:pPr>
          </w:p>
        </w:tc>
        <w:tc>
          <w:tcPr>
            <w:tcW w:w="502" w:type="pct"/>
            <w:noWrap w:val="0"/>
            <w:vAlign w:val="center"/>
          </w:tcPr>
          <w:p w14:paraId="6DB370A4">
            <w:pPr>
              <w:keepNext/>
              <w:spacing w:line="360" w:lineRule="auto"/>
              <w:jc w:val="center"/>
              <w:rPr>
                <w:rFonts w:hint="eastAsia" w:ascii="宋体" w:hAnsi="宋体" w:cs="宋体"/>
                <w:color w:val="auto"/>
                <w:szCs w:val="21"/>
                <w:highlight w:val="none"/>
              </w:rPr>
            </w:pPr>
          </w:p>
        </w:tc>
        <w:tc>
          <w:tcPr>
            <w:tcW w:w="1279" w:type="pct"/>
            <w:noWrap w:val="0"/>
            <w:vAlign w:val="center"/>
          </w:tcPr>
          <w:p w14:paraId="2D9B4E09">
            <w:pPr>
              <w:keepNext/>
              <w:spacing w:line="360" w:lineRule="auto"/>
              <w:jc w:val="center"/>
              <w:rPr>
                <w:rFonts w:hint="eastAsia" w:ascii="宋体" w:hAnsi="宋体" w:cs="宋体"/>
                <w:color w:val="auto"/>
                <w:szCs w:val="21"/>
                <w:highlight w:val="none"/>
              </w:rPr>
            </w:pPr>
          </w:p>
        </w:tc>
        <w:tc>
          <w:tcPr>
            <w:tcW w:w="1153" w:type="pct"/>
            <w:noWrap w:val="0"/>
            <w:vAlign w:val="top"/>
          </w:tcPr>
          <w:p w14:paraId="7EEE62B0">
            <w:pPr>
              <w:keepNext/>
              <w:spacing w:line="360" w:lineRule="auto"/>
              <w:jc w:val="center"/>
              <w:rPr>
                <w:rFonts w:hint="eastAsia" w:ascii="宋体" w:hAnsi="宋体" w:cs="宋体"/>
                <w:color w:val="auto"/>
                <w:szCs w:val="21"/>
                <w:highlight w:val="none"/>
              </w:rPr>
            </w:pPr>
          </w:p>
        </w:tc>
      </w:tr>
      <w:tr w14:paraId="2BFCD9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604EB080">
            <w:pPr>
              <w:keepNext/>
              <w:spacing w:line="360" w:lineRule="auto"/>
              <w:jc w:val="center"/>
              <w:rPr>
                <w:rFonts w:hint="eastAsia" w:ascii="宋体" w:hAnsi="宋体" w:cs="宋体"/>
                <w:color w:val="auto"/>
                <w:szCs w:val="21"/>
                <w:highlight w:val="none"/>
              </w:rPr>
            </w:pPr>
          </w:p>
        </w:tc>
        <w:tc>
          <w:tcPr>
            <w:tcW w:w="627" w:type="pct"/>
            <w:noWrap w:val="0"/>
            <w:vAlign w:val="center"/>
          </w:tcPr>
          <w:p w14:paraId="77737EFE">
            <w:pPr>
              <w:keepNext/>
              <w:spacing w:line="360" w:lineRule="auto"/>
              <w:jc w:val="center"/>
              <w:rPr>
                <w:rFonts w:hint="eastAsia" w:ascii="宋体" w:hAnsi="宋体" w:cs="宋体"/>
                <w:color w:val="auto"/>
                <w:szCs w:val="21"/>
                <w:highlight w:val="none"/>
              </w:rPr>
            </w:pPr>
          </w:p>
        </w:tc>
        <w:tc>
          <w:tcPr>
            <w:tcW w:w="502" w:type="pct"/>
            <w:noWrap w:val="0"/>
            <w:vAlign w:val="center"/>
          </w:tcPr>
          <w:p w14:paraId="759A48B3">
            <w:pPr>
              <w:keepNext/>
              <w:spacing w:line="360" w:lineRule="auto"/>
              <w:jc w:val="center"/>
              <w:rPr>
                <w:rFonts w:hint="eastAsia" w:ascii="宋体" w:hAnsi="宋体" w:cs="宋体"/>
                <w:color w:val="auto"/>
                <w:szCs w:val="21"/>
                <w:highlight w:val="none"/>
              </w:rPr>
            </w:pPr>
          </w:p>
        </w:tc>
        <w:tc>
          <w:tcPr>
            <w:tcW w:w="502" w:type="pct"/>
            <w:noWrap w:val="0"/>
            <w:vAlign w:val="center"/>
          </w:tcPr>
          <w:p w14:paraId="2DC76FB4">
            <w:pPr>
              <w:keepNext/>
              <w:spacing w:line="360" w:lineRule="auto"/>
              <w:jc w:val="center"/>
              <w:rPr>
                <w:rFonts w:hint="eastAsia" w:ascii="宋体" w:hAnsi="宋体" w:cs="宋体"/>
                <w:color w:val="auto"/>
                <w:szCs w:val="21"/>
                <w:highlight w:val="none"/>
              </w:rPr>
            </w:pPr>
          </w:p>
        </w:tc>
        <w:tc>
          <w:tcPr>
            <w:tcW w:w="1279" w:type="pct"/>
            <w:noWrap w:val="0"/>
            <w:vAlign w:val="center"/>
          </w:tcPr>
          <w:p w14:paraId="12C91454">
            <w:pPr>
              <w:keepNext/>
              <w:spacing w:line="360" w:lineRule="auto"/>
              <w:jc w:val="center"/>
              <w:rPr>
                <w:rFonts w:hint="eastAsia" w:ascii="宋体" w:hAnsi="宋体" w:cs="宋体"/>
                <w:color w:val="auto"/>
                <w:szCs w:val="21"/>
                <w:highlight w:val="none"/>
              </w:rPr>
            </w:pPr>
          </w:p>
        </w:tc>
        <w:tc>
          <w:tcPr>
            <w:tcW w:w="1153" w:type="pct"/>
            <w:noWrap w:val="0"/>
            <w:vAlign w:val="top"/>
          </w:tcPr>
          <w:p w14:paraId="5865960A">
            <w:pPr>
              <w:keepNext/>
              <w:spacing w:line="360" w:lineRule="auto"/>
              <w:jc w:val="center"/>
              <w:rPr>
                <w:rFonts w:hint="eastAsia" w:ascii="宋体" w:hAnsi="宋体" w:cs="宋体"/>
                <w:color w:val="auto"/>
                <w:szCs w:val="21"/>
                <w:highlight w:val="none"/>
              </w:rPr>
            </w:pPr>
          </w:p>
        </w:tc>
      </w:tr>
      <w:tr w14:paraId="52E543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tcBorders>
              <w:bottom w:val="single" w:color="auto" w:sz="12" w:space="0"/>
            </w:tcBorders>
            <w:noWrap w:val="0"/>
            <w:vAlign w:val="center"/>
          </w:tcPr>
          <w:p w14:paraId="156CA310">
            <w:pPr>
              <w:keepNext/>
              <w:spacing w:line="360" w:lineRule="auto"/>
              <w:jc w:val="center"/>
              <w:rPr>
                <w:rFonts w:hint="eastAsia" w:ascii="宋体" w:hAnsi="宋体" w:cs="宋体"/>
                <w:color w:val="auto"/>
                <w:szCs w:val="21"/>
                <w:highlight w:val="none"/>
              </w:rPr>
            </w:pPr>
          </w:p>
        </w:tc>
        <w:tc>
          <w:tcPr>
            <w:tcW w:w="627" w:type="pct"/>
            <w:tcBorders>
              <w:bottom w:val="single" w:color="auto" w:sz="12" w:space="0"/>
            </w:tcBorders>
            <w:noWrap w:val="0"/>
            <w:vAlign w:val="center"/>
          </w:tcPr>
          <w:p w14:paraId="1788A713">
            <w:pPr>
              <w:keepNext/>
              <w:spacing w:line="360" w:lineRule="auto"/>
              <w:jc w:val="center"/>
              <w:rPr>
                <w:rFonts w:hint="eastAsia" w:ascii="宋体" w:hAnsi="宋体" w:cs="宋体"/>
                <w:color w:val="auto"/>
                <w:szCs w:val="21"/>
                <w:highlight w:val="none"/>
              </w:rPr>
            </w:pPr>
          </w:p>
        </w:tc>
        <w:tc>
          <w:tcPr>
            <w:tcW w:w="502" w:type="pct"/>
            <w:tcBorders>
              <w:bottom w:val="single" w:color="auto" w:sz="12" w:space="0"/>
            </w:tcBorders>
            <w:noWrap w:val="0"/>
            <w:vAlign w:val="center"/>
          </w:tcPr>
          <w:p w14:paraId="354649AF">
            <w:pPr>
              <w:keepNext/>
              <w:spacing w:line="360" w:lineRule="auto"/>
              <w:jc w:val="center"/>
              <w:rPr>
                <w:rFonts w:hint="eastAsia" w:ascii="宋体" w:hAnsi="宋体" w:cs="宋体"/>
                <w:color w:val="auto"/>
                <w:szCs w:val="21"/>
                <w:highlight w:val="none"/>
              </w:rPr>
            </w:pPr>
          </w:p>
        </w:tc>
        <w:tc>
          <w:tcPr>
            <w:tcW w:w="502" w:type="pct"/>
            <w:tcBorders>
              <w:bottom w:val="single" w:color="auto" w:sz="12" w:space="0"/>
            </w:tcBorders>
            <w:noWrap w:val="0"/>
            <w:vAlign w:val="center"/>
          </w:tcPr>
          <w:p w14:paraId="2BCC4F55">
            <w:pPr>
              <w:keepNext/>
              <w:spacing w:line="360" w:lineRule="auto"/>
              <w:jc w:val="center"/>
              <w:rPr>
                <w:rFonts w:hint="eastAsia" w:ascii="宋体" w:hAnsi="宋体" w:cs="宋体"/>
                <w:color w:val="auto"/>
                <w:szCs w:val="21"/>
                <w:highlight w:val="none"/>
              </w:rPr>
            </w:pPr>
          </w:p>
        </w:tc>
        <w:tc>
          <w:tcPr>
            <w:tcW w:w="1279" w:type="pct"/>
            <w:tcBorders>
              <w:bottom w:val="single" w:color="auto" w:sz="12" w:space="0"/>
            </w:tcBorders>
            <w:noWrap w:val="0"/>
            <w:vAlign w:val="center"/>
          </w:tcPr>
          <w:p w14:paraId="3A9E331F">
            <w:pPr>
              <w:keepNext/>
              <w:spacing w:line="360" w:lineRule="auto"/>
              <w:jc w:val="center"/>
              <w:rPr>
                <w:rFonts w:hint="eastAsia" w:ascii="宋体" w:hAnsi="宋体" w:cs="宋体"/>
                <w:color w:val="auto"/>
                <w:szCs w:val="21"/>
                <w:highlight w:val="none"/>
              </w:rPr>
            </w:pPr>
          </w:p>
        </w:tc>
        <w:tc>
          <w:tcPr>
            <w:tcW w:w="1153" w:type="pct"/>
            <w:tcBorders>
              <w:bottom w:val="single" w:color="auto" w:sz="12" w:space="0"/>
            </w:tcBorders>
            <w:noWrap w:val="0"/>
            <w:vAlign w:val="top"/>
          </w:tcPr>
          <w:p w14:paraId="05B3F663">
            <w:pPr>
              <w:keepNext/>
              <w:spacing w:line="360" w:lineRule="auto"/>
              <w:jc w:val="center"/>
              <w:rPr>
                <w:rFonts w:hint="eastAsia" w:ascii="宋体" w:hAnsi="宋体" w:cs="宋体"/>
                <w:color w:val="auto"/>
                <w:szCs w:val="21"/>
                <w:highlight w:val="none"/>
              </w:rPr>
            </w:pPr>
          </w:p>
        </w:tc>
      </w:tr>
    </w:tbl>
    <w:p w14:paraId="68664847">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br w:type="page"/>
      </w:r>
      <w:bookmarkStart w:id="1333" w:name="_Toc95223493"/>
      <w:r>
        <w:rPr>
          <w:rFonts w:hint="eastAsia" w:ascii="宋体" w:hAnsi="宋体" w:cs="宋体"/>
          <w:bCs/>
          <w:color w:val="auto"/>
          <w:sz w:val="24"/>
          <w:highlight w:val="none"/>
        </w:rPr>
        <w:t>附</w:t>
      </w:r>
      <w:bookmarkStart w:id="1334" w:name="_Toc296944568"/>
      <w:bookmarkStart w:id="1335" w:name="_Toc296891269"/>
      <w:bookmarkStart w:id="1336" w:name="_Toc296346730"/>
      <w:bookmarkStart w:id="1337" w:name="_Toc296503229"/>
      <w:bookmarkStart w:id="1338" w:name="_Toc296891057"/>
      <w:bookmarkStart w:id="1339" w:name="_Toc296347228"/>
      <w:r>
        <w:rPr>
          <w:rFonts w:hint="eastAsia" w:ascii="宋体" w:hAnsi="宋体" w:cs="宋体"/>
          <w:bCs/>
          <w:color w:val="auto"/>
          <w:sz w:val="24"/>
          <w:highlight w:val="none"/>
        </w:rPr>
        <w:t>件7：分包人主要施工管理人员表</w:t>
      </w:r>
      <w:bookmarkEnd w:id="1333"/>
    </w:p>
    <w:bookmarkEnd w:id="1334"/>
    <w:bookmarkEnd w:id="1335"/>
    <w:bookmarkEnd w:id="1336"/>
    <w:bookmarkEnd w:id="1337"/>
    <w:bookmarkEnd w:id="1338"/>
    <w:bookmarkEnd w:id="1339"/>
    <w:p w14:paraId="071272D5">
      <w:pPr>
        <w:spacing w:before="120" w:beforeLines="50" w:after="120" w:afterLines="50" w:line="360" w:lineRule="auto"/>
        <w:jc w:val="center"/>
        <w:rPr>
          <w:rFonts w:hint="eastAsia" w:ascii="宋体" w:hAnsi="宋体" w:cs="宋体"/>
          <w:b/>
          <w:color w:val="auto"/>
          <w:szCs w:val="21"/>
          <w:highlight w:val="none"/>
        </w:rPr>
      </w:pPr>
      <w:bookmarkStart w:id="1340" w:name="_Toc22101"/>
      <w:bookmarkStart w:id="1341" w:name="_Toc179"/>
      <w:bookmarkStart w:id="1342" w:name="_Toc95223494"/>
      <w:r>
        <w:rPr>
          <w:rFonts w:hint="eastAsia" w:ascii="宋体" w:hAnsi="宋体" w:cs="宋体"/>
          <w:b/>
          <w:color w:val="auto"/>
          <w:szCs w:val="21"/>
          <w:highlight w:val="none"/>
        </w:rPr>
        <w:t>分包人主要施工管理人员表</w:t>
      </w:r>
      <w:bookmarkEnd w:id="1340"/>
      <w:bookmarkEnd w:id="1341"/>
      <w:bookmarkEnd w:id="1342"/>
    </w:p>
    <w:tbl>
      <w:tblPr>
        <w:tblStyle w:val="2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25"/>
        <w:gridCol w:w="1156"/>
        <w:gridCol w:w="925"/>
        <w:gridCol w:w="674"/>
        <w:gridCol w:w="3119"/>
        <w:gridCol w:w="1616"/>
      </w:tblGrid>
      <w:tr w14:paraId="51522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single" w:color="auto" w:sz="12" w:space="0"/>
              <w:bottom w:val="double" w:color="auto" w:sz="6" w:space="0"/>
            </w:tcBorders>
            <w:noWrap w:val="0"/>
            <w:vAlign w:val="center"/>
          </w:tcPr>
          <w:p w14:paraId="5A3AF36B">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名    称</w:t>
            </w:r>
          </w:p>
        </w:tc>
        <w:tc>
          <w:tcPr>
            <w:tcW w:w="641" w:type="pct"/>
            <w:tcBorders>
              <w:top w:val="single" w:color="auto" w:sz="12" w:space="0"/>
              <w:bottom w:val="double" w:color="auto" w:sz="6" w:space="0"/>
            </w:tcBorders>
            <w:noWrap w:val="0"/>
            <w:vAlign w:val="center"/>
          </w:tcPr>
          <w:p w14:paraId="50C7C96A">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513" w:type="pct"/>
            <w:tcBorders>
              <w:top w:val="single" w:color="auto" w:sz="12" w:space="0"/>
              <w:bottom w:val="double" w:color="auto" w:sz="6" w:space="0"/>
            </w:tcBorders>
            <w:noWrap w:val="0"/>
            <w:vAlign w:val="center"/>
          </w:tcPr>
          <w:p w14:paraId="21769042">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374" w:type="pct"/>
            <w:tcBorders>
              <w:top w:val="single" w:color="auto" w:sz="12" w:space="0"/>
              <w:bottom w:val="double" w:color="auto" w:sz="6" w:space="0"/>
            </w:tcBorders>
            <w:noWrap w:val="0"/>
            <w:vAlign w:val="center"/>
          </w:tcPr>
          <w:p w14:paraId="05A3E614">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职称</w:t>
            </w:r>
          </w:p>
        </w:tc>
        <w:tc>
          <w:tcPr>
            <w:tcW w:w="1730" w:type="pct"/>
            <w:tcBorders>
              <w:top w:val="single" w:color="auto" w:sz="12" w:space="0"/>
              <w:bottom w:val="double" w:color="auto" w:sz="6" w:space="0"/>
            </w:tcBorders>
            <w:noWrap w:val="0"/>
            <w:vAlign w:val="center"/>
          </w:tcPr>
          <w:p w14:paraId="47889A1D">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主要资历、经验及承担过的项目</w:t>
            </w:r>
          </w:p>
        </w:tc>
        <w:tc>
          <w:tcPr>
            <w:tcW w:w="896" w:type="pct"/>
            <w:tcBorders>
              <w:top w:val="single" w:color="auto" w:sz="12" w:space="0"/>
              <w:bottom w:val="double" w:color="auto" w:sz="6" w:space="0"/>
            </w:tcBorders>
            <w:noWrap w:val="0"/>
            <w:vAlign w:val="center"/>
          </w:tcPr>
          <w:p w14:paraId="3F20FA6F">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r>
      <w:tr w14:paraId="6470A4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104" w:type="pct"/>
            <w:gridSpan w:val="5"/>
            <w:tcBorders>
              <w:top w:val="double" w:color="auto" w:sz="6" w:space="0"/>
            </w:tcBorders>
            <w:noWrap w:val="0"/>
            <w:vAlign w:val="center"/>
          </w:tcPr>
          <w:p w14:paraId="50785EDE">
            <w:pPr>
              <w:keepNext/>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一、总部人员</w:t>
            </w:r>
          </w:p>
        </w:tc>
        <w:tc>
          <w:tcPr>
            <w:tcW w:w="896" w:type="pct"/>
            <w:tcBorders>
              <w:top w:val="double" w:color="auto" w:sz="6" w:space="0"/>
            </w:tcBorders>
            <w:noWrap w:val="0"/>
            <w:vAlign w:val="top"/>
          </w:tcPr>
          <w:p w14:paraId="7ACB4F65">
            <w:pPr>
              <w:keepNext/>
              <w:spacing w:line="360" w:lineRule="auto"/>
              <w:rPr>
                <w:rFonts w:hint="eastAsia" w:ascii="宋体" w:hAnsi="宋体" w:cs="宋体"/>
                <w:color w:val="auto"/>
                <w:szCs w:val="21"/>
                <w:highlight w:val="none"/>
              </w:rPr>
            </w:pPr>
          </w:p>
        </w:tc>
      </w:tr>
      <w:tr w14:paraId="621412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nil"/>
              <w:bottom w:val="nil"/>
            </w:tcBorders>
            <w:noWrap w:val="0"/>
            <w:vAlign w:val="center"/>
          </w:tcPr>
          <w:p w14:paraId="58C416FC">
            <w:pPr>
              <w:keepNext/>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项目主管</w:t>
            </w:r>
          </w:p>
        </w:tc>
        <w:tc>
          <w:tcPr>
            <w:tcW w:w="641" w:type="pct"/>
            <w:tcBorders>
              <w:top w:val="nil"/>
            </w:tcBorders>
            <w:noWrap w:val="0"/>
            <w:vAlign w:val="center"/>
          </w:tcPr>
          <w:p w14:paraId="7CB9C6E6">
            <w:pPr>
              <w:keepNext/>
              <w:spacing w:line="360" w:lineRule="auto"/>
              <w:rPr>
                <w:rFonts w:hint="eastAsia" w:ascii="宋体" w:hAnsi="宋体" w:cs="宋体"/>
                <w:color w:val="auto"/>
                <w:szCs w:val="21"/>
                <w:highlight w:val="none"/>
              </w:rPr>
            </w:pPr>
          </w:p>
        </w:tc>
        <w:tc>
          <w:tcPr>
            <w:tcW w:w="513" w:type="pct"/>
            <w:tcBorders>
              <w:top w:val="nil"/>
            </w:tcBorders>
            <w:noWrap w:val="0"/>
            <w:vAlign w:val="center"/>
          </w:tcPr>
          <w:p w14:paraId="30D7B21E">
            <w:pPr>
              <w:keepNext/>
              <w:spacing w:line="360" w:lineRule="auto"/>
              <w:rPr>
                <w:rFonts w:hint="eastAsia" w:ascii="宋体" w:hAnsi="宋体" w:cs="宋体"/>
                <w:color w:val="auto"/>
                <w:szCs w:val="21"/>
                <w:highlight w:val="none"/>
              </w:rPr>
            </w:pPr>
          </w:p>
        </w:tc>
        <w:tc>
          <w:tcPr>
            <w:tcW w:w="374" w:type="pct"/>
            <w:tcBorders>
              <w:top w:val="nil"/>
            </w:tcBorders>
            <w:noWrap w:val="0"/>
            <w:vAlign w:val="center"/>
          </w:tcPr>
          <w:p w14:paraId="36F9A2F5">
            <w:pPr>
              <w:keepNext/>
              <w:spacing w:line="360" w:lineRule="auto"/>
              <w:rPr>
                <w:rFonts w:hint="eastAsia" w:ascii="宋体" w:hAnsi="宋体" w:cs="宋体"/>
                <w:color w:val="auto"/>
                <w:szCs w:val="21"/>
                <w:highlight w:val="none"/>
              </w:rPr>
            </w:pPr>
          </w:p>
        </w:tc>
        <w:tc>
          <w:tcPr>
            <w:tcW w:w="1730" w:type="pct"/>
            <w:tcBorders>
              <w:top w:val="nil"/>
            </w:tcBorders>
            <w:noWrap w:val="0"/>
            <w:vAlign w:val="center"/>
          </w:tcPr>
          <w:p w14:paraId="3788EEA1">
            <w:pPr>
              <w:keepNext/>
              <w:spacing w:line="360" w:lineRule="auto"/>
              <w:rPr>
                <w:rFonts w:hint="eastAsia" w:ascii="宋体" w:hAnsi="宋体" w:cs="宋体"/>
                <w:color w:val="auto"/>
                <w:szCs w:val="21"/>
                <w:highlight w:val="none"/>
              </w:rPr>
            </w:pPr>
          </w:p>
        </w:tc>
        <w:tc>
          <w:tcPr>
            <w:tcW w:w="896" w:type="pct"/>
            <w:tcBorders>
              <w:top w:val="nil"/>
            </w:tcBorders>
            <w:noWrap w:val="0"/>
            <w:vAlign w:val="top"/>
          </w:tcPr>
          <w:p w14:paraId="690B6AEF">
            <w:pPr>
              <w:keepNext/>
              <w:spacing w:line="360" w:lineRule="auto"/>
              <w:rPr>
                <w:rFonts w:hint="eastAsia" w:ascii="宋体" w:hAnsi="宋体" w:cs="宋体"/>
                <w:color w:val="auto"/>
                <w:szCs w:val="21"/>
                <w:highlight w:val="none"/>
              </w:rPr>
            </w:pPr>
          </w:p>
        </w:tc>
      </w:tr>
      <w:tr w14:paraId="4DE1E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bottom w:val="nil"/>
            </w:tcBorders>
            <w:noWrap w:val="0"/>
            <w:vAlign w:val="center"/>
          </w:tcPr>
          <w:p w14:paraId="1BDDC6AD">
            <w:pPr>
              <w:keepNext/>
              <w:spacing w:line="360" w:lineRule="auto"/>
              <w:rPr>
                <w:rFonts w:hint="eastAsia" w:ascii="宋体" w:hAnsi="宋体" w:cs="宋体"/>
                <w:color w:val="auto"/>
                <w:szCs w:val="21"/>
                <w:highlight w:val="none"/>
              </w:rPr>
            </w:pPr>
          </w:p>
        </w:tc>
        <w:tc>
          <w:tcPr>
            <w:tcW w:w="641" w:type="pct"/>
            <w:noWrap w:val="0"/>
            <w:vAlign w:val="center"/>
          </w:tcPr>
          <w:p w14:paraId="7A096D42">
            <w:pPr>
              <w:keepNext/>
              <w:spacing w:line="360" w:lineRule="auto"/>
              <w:rPr>
                <w:rFonts w:hint="eastAsia" w:ascii="宋体" w:hAnsi="宋体" w:cs="宋体"/>
                <w:color w:val="auto"/>
                <w:szCs w:val="21"/>
                <w:highlight w:val="none"/>
              </w:rPr>
            </w:pPr>
          </w:p>
        </w:tc>
        <w:tc>
          <w:tcPr>
            <w:tcW w:w="513" w:type="pct"/>
            <w:noWrap w:val="0"/>
            <w:vAlign w:val="center"/>
          </w:tcPr>
          <w:p w14:paraId="2A402535">
            <w:pPr>
              <w:keepNext/>
              <w:spacing w:line="360" w:lineRule="auto"/>
              <w:rPr>
                <w:rFonts w:hint="eastAsia" w:ascii="宋体" w:hAnsi="宋体" w:cs="宋体"/>
                <w:color w:val="auto"/>
                <w:szCs w:val="21"/>
                <w:highlight w:val="none"/>
              </w:rPr>
            </w:pPr>
          </w:p>
        </w:tc>
        <w:tc>
          <w:tcPr>
            <w:tcW w:w="374" w:type="pct"/>
            <w:noWrap w:val="0"/>
            <w:vAlign w:val="center"/>
          </w:tcPr>
          <w:p w14:paraId="6F671839">
            <w:pPr>
              <w:keepNext/>
              <w:spacing w:line="360" w:lineRule="auto"/>
              <w:rPr>
                <w:rFonts w:hint="eastAsia" w:ascii="宋体" w:hAnsi="宋体" w:cs="宋体"/>
                <w:color w:val="auto"/>
                <w:szCs w:val="21"/>
                <w:highlight w:val="none"/>
              </w:rPr>
            </w:pPr>
          </w:p>
        </w:tc>
        <w:tc>
          <w:tcPr>
            <w:tcW w:w="1730" w:type="pct"/>
            <w:noWrap w:val="0"/>
            <w:vAlign w:val="center"/>
          </w:tcPr>
          <w:p w14:paraId="74E06EE9">
            <w:pPr>
              <w:keepNext/>
              <w:spacing w:line="360" w:lineRule="auto"/>
              <w:rPr>
                <w:rFonts w:hint="eastAsia" w:ascii="宋体" w:hAnsi="宋体" w:cs="宋体"/>
                <w:color w:val="auto"/>
                <w:szCs w:val="21"/>
                <w:highlight w:val="none"/>
              </w:rPr>
            </w:pPr>
          </w:p>
        </w:tc>
        <w:tc>
          <w:tcPr>
            <w:tcW w:w="896" w:type="pct"/>
            <w:noWrap w:val="0"/>
            <w:vAlign w:val="top"/>
          </w:tcPr>
          <w:p w14:paraId="6EE296FD">
            <w:pPr>
              <w:keepNext/>
              <w:spacing w:line="360" w:lineRule="auto"/>
              <w:rPr>
                <w:rFonts w:hint="eastAsia" w:ascii="宋体" w:hAnsi="宋体" w:cs="宋体"/>
                <w:color w:val="auto"/>
                <w:szCs w:val="21"/>
                <w:highlight w:val="none"/>
              </w:rPr>
            </w:pPr>
          </w:p>
        </w:tc>
      </w:tr>
      <w:tr w14:paraId="43613C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nil"/>
              <w:bottom w:val="nil"/>
            </w:tcBorders>
            <w:noWrap w:val="0"/>
            <w:vAlign w:val="center"/>
          </w:tcPr>
          <w:p w14:paraId="580D1DF5">
            <w:pPr>
              <w:keepNext/>
              <w:spacing w:line="360" w:lineRule="auto"/>
              <w:rPr>
                <w:rFonts w:hint="eastAsia" w:ascii="宋体" w:hAnsi="宋体" w:cs="宋体"/>
                <w:color w:val="auto"/>
                <w:szCs w:val="21"/>
                <w:highlight w:val="none"/>
              </w:rPr>
            </w:pPr>
            <w:r>
              <w:rPr>
                <w:rFonts w:hint="eastAsia" w:ascii="宋体" w:hAnsi="宋体" w:cs="宋体"/>
                <w:color w:val="auto"/>
                <w:szCs w:val="21"/>
                <w:highlight w:val="none"/>
              </w:rPr>
              <w:t>其他人员</w:t>
            </w:r>
          </w:p>
        </w:tc>
        <w:tc>
          <w:tcPr>
            <w:tcW w:w="641" w:type="pct"/>
            <w:noWrap w:val="0"/>
            <w:vAlign w:val="center"/>
          </w:tcPr>
          <w:p w14:paraId="7FDCAFBD">
            <w:pPr>
              <w:keepNext/>
              <w:spacing w:line="360" w:lineRule="auto"/>
              <w:rPr>
                <w:rFonts w:hint="eastAsia" w:ascii="宋体" w:hAnsi="宋体" w:cs="宋体"/>
                <w:color w:val="auto"/>
                <w:szCs w:val="21"/>
                <w:highlight w:val="none"/>
              </w:rPr>
            </w:pPr>
          </w:p>
        </w:tc>
        <w:tc>
          <w:tcPr>
            <w:tcW w:w="513" w:type="pct"/>
            <w:noWrap w:val="0"/>
            <w:vAlign w:val="center"/>
          </w:tcPr>
          <w:p w14:paraId="04E9F06D">
            <w:pPr>
              <w:keepNext/>
              <w:spacing w:line="360" w:lineRule="auto"/>
              <w:rPr>
                <w:rFonts w:hint="eastAsia" w:ascii="宋体" w:hAnsi="宋体" w:cs="宋体"/>
                <w:color w:val="auto"/>
                <w:szCs w:val="21"/>
                <w:highlight w:val="none"/>
              </w:rPr>
            </w:pPr>
          </w:p>
        </w:tc>
        <w:tc>
          <w:tcPr>
            <w:tcW w:w="374" w:type="pct"/>
            <w:noWrap w:val="0"/>
            <w:vAlign w:val="center"/>
          </w:tcPr>
          <w:p w14:paraId="694C7181">
            <w:pPr>
              <w:keepNext/>
              <w:spacing w:line="360" w:lineRule="auto"/>
              <w:rPr>
                <w:rFonts w:hint="eastAsia" w:ascii="宋体" w:hAnsi="宋体" w:cs="宋体"/>
                <w:color w:val="auto"/>
                <w:szCs w:val="21"/>
                <w:highlight w:val="none"/>
              </w:rPr>
            </w:pPr>
          </w:p>
        </w:tc>
        <w:tc>
          <w:tcPr>
            <w:tcW w:w="1730" w:type="pct"/>
            <w:noWrap w:val="0"/>
            <w:vAlign w:val="center"/>
          </w:tcPr>
          <w:p w14:paraId="6F0F6DFE">
            <w:pPr>
              <w:keepNext/>
              <w:spacing w:line="360" w:lineRule="auto"/>
              <w:rPr>
                <w:rFonts w:hint="eastAsia" w:ascii="宋体" w:hAnsi="宋体" w:cs="宋体"/>
                <w:color w:val="auto"/>
                <w:szCs w:val="21"/>
                <w:highlight w:val="none"/>
              </w:rPr>
            </w:pPr>
          </w:p>
        </w:tc>
        <w:tc>
          <w:tcPr>
            <w:tcW w:w="896" w:type="pct"/>
            <w:noWrap w:val="0"/>
            <w:vAlign w:val="top"/>
          </w:tcPr>
          <w:p w14:paraId="7E6BB823">
            <w:pPr>
              <w:keepNext/>
              <w:spacing w:line="360" w:lineRule="auto"/>
              <w:rPr>
                <w:rFonts w:hint="eastAsia" w:ascii="宋体" w:hAnsi="宋体" w:cs="宋体"/>
                <w:color w:val="auto"/>
                <w:szCs w:val="21"/>
                <w:highlight w:val="none"/>
              </w:rPr>
            </w:pPr>
          </w:p>
        </w:tc>
      </w:tr>
      <w:tr w14:paraId="689B5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nil"/>
              <w:bottom w:val="nil"/>
            </w:tcBorders>
            <w:noWrap w:val="0"/>
            <w:vAlign w:val="center"/>
          </w:tcPr>
          <w:p w14:paraId="0ED2BE9A">
            <w:pPr>
              <w:keepNext/>
              <w:spacing w:line="360" w:lineRule="auto"/>
              <w:rPr>
                <w:rFonts w:hint="eastAsia" w:ascii="宋体" w:hAnsi="宋体" w:cs="宋体"/>
                <w:color w:val="auto"/>
                <w:szCs w:val="21"/>
                <w:highlight w:val="none"/>
              </w:rPr>
            </w:pPr>
          </w:p>
        </w:tc>
        <w:tc>
          <w:tcPr>
            <w:tcW w:w="641" w:type="pct"/>
            <w:noWrap w:val="0"/>
            <w:vAlign w:val="center"/>
          </w:tcPr>
          <w:p w14:paraId="3807FC0F">
            <w:pPr>
              <w:keepNext/>
              <w:spacing w:line="360" w:lineRule="auto"/>
              <w:rPr>
                <w:rFonts w:hint="eastAsia" w:ascii="宋体" w:hAnsi="宋体" w:cs="宋体"/>
                <w:color w:val="auto"/>
                <w:szCs w:val="21"/>
                <w:highlight w:val="none"/>
              </w:rPr>
            </w:pPr>
          </w:p>
        </w:tc>
        <w:tc>
          <w:tcPr>
            <w:tcW w:w="513" w:type="pct"/>
            <w:noWrap w:val="0"/>
            <w:vAlign w:val="center"/>
          </w:tcPr>
          <w:p w14:paraId="128EC792">
            <w:pPr>
              <w:keepNext/>
              <w:spacing w:line="360" w:lineRule="auto"/>
              <w:rPr>
                <w:rFonts w:hint="eastAsia" w:ascii="宋体" w:hAnsi="宋体" w:cs="宋体"/>
                <w:color w:val="auto"/>
                <w:szCs w:val="21"/>
                <w:highlight w:val="none"/>
              </w:rPr>
            </w:pPr>
          </w:p>
        </w:tc>
        <w:tc>
          <w:tcPr>
            <w:tcW w:w="374" w:type="pct"/>
            <w:noWrap w:val="0"/>
            <w:vAlign w:val="center"/>
          </w:tcPr>
          <w:p w14:paraId="632FC293">
            <w:pPr>
              <w:keepNext/>
              <w:spacing w:line="360" w:lineRule="auto"/>
              <w:rPr>
                <w:rFonts w:hint="eastAsia" w:ascii="宋体" w:hAnsi="宋体" w:cs="宋体"/>
                <w:color w:val="auto"/>
                <w:szCs w:val="21"/>
                <w:highlight w:val="none"/>
              </w:rPr>
            </w:pPr>
          </w:p>
        </w:tc>
        <w:tc>
          <w:tcPr>
            <w:tcW w:w="1730" w:type="pct"/>
            <w:noWrap w:val="0"/>
            <w:vAlign w:val="center"/>
          </w:tcPr>
          <w:p w14:paraId="3F76AEC2">
            <w:pPr>
              <w:keepNext/>
              <w:spacing w:line="360" w:lineRule="auto"/>
              <w:rPr>
                <w:rFonts w:hint="eastAsia" w:ascii="宋体" w:hAnsi="宋体" w:cs="宋体"/>
                <w:color w:val="auto"/>
                <w:szCs w:val="21"/>
                <w:highlight w:val="none"/>
              </w:rPr>
            </w:pPr>
          </w:p>
        </w:tc>
        <w:tc>
          <w:tcPr>
            <w:tcW w:w="896" w:type="pct"/>
            <w:noWrap w:val="0"/>
            <w:vAlign w:val="top"/>
          </w:tcPr>
          <w:p w14:paraId="4CF41EF4">
            <w:pPr>
              <w:keepNext/>
              <w:spacing w:line="360" w:lineRule="auto"/>
              <w:rPr>
                <w:rFonts w:hint="eastAsia" w:ascii="宋体" w:hAnsi="宋体" w:cs="宋体"/>
                <w:color w:val="auto"/>
                <w:szCs w:val="21"/>
                <w:highlight w:val="none"/>
              </w:rPr>
            </w:pPr>
          </w:p>
        </w:tc>
      </w:tr>
      <w:tr w14:paraId="08088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104" w:type="pct"/>
            <w:gridSpan w:val="5"/>
            <w:noWrap w:val="0"/>
            <w:vAlign w:val="center"/>
          </w:tcPr>
          <w:p w14:paraId="24DE79E9">
            <w:pPr>
              <w:keepNext/>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二、现场人员</w:t>
            </w:r>
          </w:p>
        </w:tc>
        <w:tc>
          <w:tcPr>
            <w:tcW w:w="896" w:type="pct"/>
            <w:noWrap w:val="0"/>
            <w:vAlign w:val="top"/>
          </w:tcPr>
          <w:p w14:paraId="15B46924">
            <w:pPr>
              <w:keepNext/>
              <w:spacing w:line="360" w:lineRule="auto"/>
              <w:rPr>
                <w:rFonts w:hint="eastAsia" w:ascii="宋体" w:hAnsi="宋体" w:cs="宋体"/>
                <w:color w:val="auto"/>
                <w:szCs w:val="21"/>
                <w:highlight w:val="none"/>
              </w:rPr>
            </w:pPr>
          </w:p>
        </w:tc>
      </w:tr>
      <w:tr w14:paraId="2C891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3FD3C45B">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项目经理</w:t>
            </w:r>
          </w:p>
        </w:tc>
        <w:tc>
          <w:tcPr>
            <w:tcW w:w="641" w:type="pct"/>
            <w:noWrap w:val="0"/>
            <w:vAlign w:val="center"/>
          </w:tcPr>
          <w:p w14:paraId="43CD1A3B">
            <w:pPr>
              <w:keepNext/>
              <w:spacing w:line="360" w:lineRule="auto"/>
              <w:rPr>
                <w:rFonts w:hint="eastAsia" w:ascii="宋体" w:hAnsi="宋体" w:cs="宋体"/>
                <w:color w:val="auto"/>
                <w:szCs w:val="21"/>
                <w:highlight w:val="none"/>
              </w:rPr>
            </w:pPr>
          </w:p>
        </w:tc>
        <w:tc>
          <w:tcPr>
            <w:tcW w:w="513" w:type="pct"/>
            <w:noWrap w:val="0"/>
            <w:vAlign w:val="center"/>
          </w:tcPr>
          <w:p w14:paraId="2FD74A79">
            <w:pPr>
              <w:keepNext/>
              <w:spacing w:line="360" w:lineRule="auto"/>
              <w:rPr>
                <w:rFonts w:hint="eastAsia" w:ascii="宋体" w:hAnsi="宋体" w:cs="宋体"/>
                <w:color w:val="auto"/>
                <w:szCs w:val="21"/>
                <w:highlight w:val="none"/>
              </w:rPr>
            </w:pPr>
          </w:p>
        </w:tc>
        <w:tc>
          <w:tcPr>
            <w:tcW w:w="374" w:type="pct"/>
            <w:noWrap w:val="0"/>
            <w:vAlign w:val="center"/>
          </w:tcPr>
          <w:p w14:paraId="6B3BFB5A">
            <w:pPr>
              <w:keepNext/>
              <w:spacing w:line="360" w:lineRule="auto"/>
              <w:rPr>
                <w:rFonts w:hint="eastAsia" w:ascii="宋体" w:hAnsi="宋体" w:cs="宋体"/>
                <w:color w:val="auto"/>
                <w:szCs w:val="21"/>
                <w:highlight w:val="none"/>
              </w:rPr>
            </w:pPr>
          </w:p>
        </w:tc>
        <w:tc>
          <w:tcPr>
            <w:tcW w:w="1730" w:type="pct"/>
            <w:noWrap w:val="0"/>
            <w:vAlign w:val="center"/>
          </w:tcPr>
          <w:p w14:paraId="486DE898">
            <w:pPr>
              <w:keepNext/>
              <w:spacing w:line="360" w:lineRule="auto"/>
              <w:rPr>
                <w:rFonts w:hint="eastAsia" w:ascii="宋体" w:hAnsi="宋体" w:cs="宋体"/>
                <w:color w:val="auto"/>
                <w:szCs w:val="21"/>
                <w:highlight w:val="none"/>
              </w:rPr>
            </w:pPr>
          </w:p>
        </w:tc>
        <w:tc>
          <w:tcPr>
            <w:tcW w:w="896" w:type="pct"/>
            <w:noWrap w:val="0"/>
            <w:vAlign w:val="top"/>
          </w:tcPr>
          <w:p w14:paraId="0D0600AF">
            <w:pPr>
              <w:keepNext/>
              <w:spacing w:line="360" w:lineRule="auto"/>
              <w:rPr>
                <w:rFonts w:hint="eastAsia" w:ascii="宋体" w:hAnsi="宋体" w:cs="宋体"/>
                <w:color w:val="auto"/>
                <w:szCs w:val="21"/>
                <w:highlight w:val="none"/>
              </w:rPr>
            </w:pPr>
          </w:p>
        </w:tc>
      </w:tr>
      <w:tr w14:paraId="00D0F9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3E067181">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项目副经理</w:t>
            </w:r>
          </w:p>
        </w:tc>
        <w:tc>
          <w:tcPr>
            <w:tcW w:w="641" w:type="pct"/>
            <w:noWrap w:val="0"/>
            <w:vAlign w:val="center"/>
          </w:tcPr>
          <w:p w14:paraId="0CD53670">
            <w:pPr>
              <w:keepNext/>
              <w:spacing w:line="360" w:lineRule="auto"/>
              <w:rPr>
                <w:rFonts w:hint="eastAsia" w:ascii="宋体" w:hAnsi="宋体" w:cs="宋体"/>
                <w:color w:val="auto"/>
                <w:szCs w:val="21"/>
                <w:highlight w:val="none"/>
              </w:rPr>
            </w:pPr>
          </w:p>
        </w:tc>
        <w:tc>
          <w:tcPr>
            <w:tcW w:w="513" w:type="pct"/>
            <w:noWrap w:val="0"/>
            <w:vAlign w:val="center"/>
          </w:tcPr>
          <w:p w14:paraId="342AB737">
            <w:pPr>
              <w:keepNext/>
              <w:spacing w:line="360" w:lineRule="auto"/>
              <w:rPr>
                <w:rFonts w:hint="eastAsia" w:ascii="宋体" w:hAnsi="宋体" w:cs="宋体"/>
                <w:color w:val="auto"/>
                <w:szCs w:val="21"/>
                <w:highlight w:val="none"/>
              </w:rPr>
            </w:pPr>
          </w:p>
        </w:tc>
        <w:tc>
          <w:tcPr>
            <w:tcW w:w="374" w:type="pct"/>
            <w:noWrap w:val="0"/>
            <w:vAlign w:val="center"/>
          </w:tcPr>
          <w:p w14:paraId="3FD60324">
            <w:pPr>
              <w:keepNext/>
              <w:spacing w:line="360" w:lineRule="auto"/>
              <w:rPr>
                <w:rFonts w:hint="eastAsia" w:ascii="宋体" w:hAnsi="宋体" w:cs="宋体"/>
                <w:color w:val="auto"/>
                <w:szCs w:val="21"/>
                <w:highlight w:val="none"/>
              </w:rPr>
            </w:pPr>
          </w:p>
        </w:tc>
        <w:tc>
          <w:tcPr>
            <w:tcW w:w="1730" w:type="pct"/>
            <w:noWrap w:val="0"/>
            <w:vAlign w:val="center"/>
          </w:tcPr>
          <w:p w14:paraId="519AEFA5">
            <w:pPr>
              <w:keepNext/>
              <w:spacing w:line="360" w:lineRule="auto"/>
              <w:rPr>
                <w:rFonts w:hint="eastAsia" w:ascii="宋体" w:hAnsi="宋体" w:cs="宋体"/>
                <w:color w:val="auto"/>
                <w:szCs w:val="21"/>
                <w:highlight w:val="none"/>
              </w:rPr>
            </w:pPr>
          </w:p>
        </w:tc>
        <w:tc>
          <w:tcPr>
            <w:tcW w:w="896" w:type="pct"/>
            <w:noWrap w:val="0"/>
            <w:vAlign w:val="top"/>
          </w:tcPr>
          <w:p w14:paraId="1CCCA7F2">
            <w:pPr>
              <w:keepNext/>
              <w:spacing w:line="360" w:lineRule="auto"/>
              <w:rPr>
                <w:rFonts w:hint="eastAsia" w:ascii="宋体" w:hAnsi="宋体" w:cs="宋体"/>
                <w:color w:val="auto"/>
                <w:szCs w:val="21"/>
                <w:highlight w:val="none"/>
              </w:rPr>
            </w:pPr>
          </w:p>
        </w:tc>
      </w:tr>
      <w:tr w14:paraId="6E827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2A5AFF94">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项目技术负责人</w:t>
            </w:r>
          </w:p>
        </w:tc>
        <w:tc>
          <w:tcPr>
            <w:tcW w:w="641" w:type="pct"/>
            <w:noWrap w:val="0"/>
            <w:vAlign w:val="center"/>
          </w:tcPr>
          <w:p w14:paraId="5C6D3527">
            <w:pPr>
              <w:keepNext/>
              <w:spacing w:line="360" w:lineRule="auto"/>
              <w:rPr>
                <w:rFonts w:hint="eastAsia" w:ascii="宋体" w:hAnsi="宋体" w:cs="宋体"/>
                <w:color w:val="auto"/>
                <w:szCs w:val="21"/>
                <w:highlight w:val="none"/>
              </w:rPr>
            </w:pPr>
          </w:p>
        </w:tc>
        <w:tc>
          <w:tcPr>
            <w:tcW w:w="513" w:type="pct"/>
            <w:noWrap w:val="0"/>
            <w:vAlign w:val="center"/>
          </w:tcPr>
          <w:p w14:paraId="633614C5">
            <w:pPr>
              <w:keepNext/>
              <w:spacing w:line="360" w:lineRule="auto"/>
              <w:rPr>
                <w:rFonts w:hint="eastAsia" w:ascii="宋体" w:hAnsi="宋体" w:cs="宋体"/>
                <w:color w:val="auto"/>
                <w:szCs w:val="21"/>
                <w:highlight w:val="none"/>
              </w:rPr>
            </w:pPr>
          </w:p>
        </w:tc>
        <w:tc>
          <w:tcPr>
            <w:tcW w:w="374" w:type="pct"/>
            <w:noWrap w:val="0"/>
            <w:vAlign w:val="center"/>
          </w:tcPr>
          <w:p w14:paraId="2F878A1C">
            <w:pPr>
              <w:keepNext/>
              <w:spacing w:line="360" w:lineRule="auto"/>
              <w:rPr>
                <w:rFonts w:hint="eastAsia" w:ascii="宋体" w:hAnsi="宋体" w:cs="宋体"/>
                <w:color w:val="auto"/>
                <w:szCs w:val="21"/>
                <w:highlight w:val="none"/>
              </w:rPr>
            </w:pPr>
          </w:p>
        </w:tc>
        <w:tc>
          <w:tcPr>
            <w:tcW w:w="1730" w:type="pct"/>
            <w:noWrap w:val="0"/>
            <w:vAlign w:val="center"/>
          </w:tcPr>
          <w:p w14:paraId="7971C801">
            <w:pPr>
              <w:keepNext/>
              <w:spacing w:line="360" w:lineRule="auto"/>
              <w:rPr>
                <w:rFonts w:hint="eastAsia" w:ascii="宋体" w:hAnsi="宋体" w:cs="宋体"/>
                <w:color w:val="auto"/>
                <w:szCs w:val="21"/>
                <w:highlight w:val="none"/>
              </w:rPr>
            </w:pPr>
          </w:p>
        </w:tc>
        <w:tc>
          <w:tcPr>
            <w:tcW w:w="896" w:type="pct"/>
            <w:noWrap w:val="0"/>
            <w:vAlign w:val="top"/>
          </w:tcPr>
          <w:p w14:paraId="42EB8E38">
            <w:pPr>
              <w:keepNext/>
              <w:spacing w:line="360" w:lineRule="auto"/>
              <w:rPr>
                <w:rFonts w:hint="eastAsia" w:ascii="宋体" w:hAnsi="宋体" w:cs="宋体"/>
                <w:color w:val="auto"/>
                <w:szCs w:val="21"/>
                <w:highlight w:val="none"/>
              </w:rPr>
            </w:pPr>
          </w:p>
        </w:tc>
      </w:tr>
      <w:tr w14:paraId="24BE7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360E3ACA">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施工员</w:t>
            </w:r>
          </w:p>
        </w:tc>
        <w:tc>
          <w:tcPr>
            <w:tcW w:w="641" w:type="pct"/>
            <w:noWrap w:val="0"/>
            <w:vAlign w:val="center"/>
          </w:tcPr>
          <w:p w14:paraId="03BD8B7D">
            <w:pPr>
              <w:keepNext/>
              <w:spacing w:line="360" w:lineRule="auto"/>
              <w:rPr>
                <w:rFonts w:hint="eastAsia" w:ascii="宋体" w:hAnsi="宋体" w:cs="宋体"/>
                <w:color w:val="auto"/>
                <w:szCs w:val="21"/>
                <w:highlight w:val="none"/>
              </w:rPr>
            </w:pPr>
          </w:p>
        </w:tc>
        <w:tc>
          <w:tcPr>
            <w:tcW w:w="513" w:type="pct"/>
            <w:noWrap w:val="0"/>
            <w:vAlign w:val="center"/>
          </w:tcPr>
          <w:p w14:paraId="08E2DA80">
            <w:pPr>
              <w:keepNext/>
              <w:spacing w:line="360" w:lineRule="auto"/>
              <w:rPr>
                <w:rFonts w:hint="eastAsia" w:ascii="宋体" w:hAnsi="宋体" w:cs="宋体"/>
                <w:color w:val="auto"/>
                <w:szCs w:val="21"/>
                <w:highlight w:val="none"/>
              </w:rPr>
            </w:pPr>
          </w:p>
        </w:tc>
        <w:tc>
          <w:tcPr>
            <w:tcW w:w="374" w:type="pct"/>
            <w:noWrap w:val="0"/>
            <w:vAlign w:val="center"/>
          </w:tcPr>
          <w:p w14:paraId="226FAEA9">
            <w:pPr>
              <w:keepNext/>
              <w:spacing w:line="360" w:lineRule="auto"/>
              <w:rPr>
                <w:rFonts w:hint="eastAsia" w:ascii="宋体" w:hAnsi="宋体" w:cs="宋体"/>
                <w:color w:val="auto"/>
                <w:szCs w:val="21"/>
                <w:highlight w:val="none"/>
              </w:rPr>
            </w:pPr>
          </w:p>
        </w:tc>
        <w:tc>
          <w:tcPr>
            <w:tcW w:w="1730" w:type="pct"/>
            <w:noWrap w:val="0"/>
            <w:vAlign w:val="center"/>
          </w:tcPr>
          <w:p w14:paraId="5B8BC725">
            <w:pPr>
              <w:keepNext/>
              <w:spacing w:line="360" w:lineRule="auto"/>
              <w:rPr>
                <w:rFonts w:hint="eastAsia" w:ascii="宋体" w:hAnsi="宋体" w:cs="宋体"/>
                <w:color w:val="auto"/>
                <w:szCs w:val="21"/>
                <w:highlight w:val="none"/>
              </w:rPr>
            </w:pPr>
          </w:p>
        </w:tc>
        <w:tc>
          <w:tcPr>
            <w:tcW w:w="896" w:type="pct"/>
            <w:noWrap w:val="0"/>
            <w:vAlign w:val="top"/>
          </w:tcPr>
          <w:p w14:paraId="2A24A635">
            <w:pPr>
              <w:keepNext/>
              <w:spacing w:line="360" w:lineRule="auto"/>
              <w:rPr>
                <w:rFonts w:hint="eastAsia" w:ascii="宋体" w:hAnsi="宋体" w:cs="宋体"/>
                <w:color w:val="auto"/>
                <w:szCs w:val="21"/>
                <w:highlight w:val="none"/>
              </w:rPr>
            </w:pPr>
          </w:p>
        </w:tc>
      </w:tr>
      <w:tr w14:paraId="510D6D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7A63E307">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质检员（质量员）</w:t>
            </w:r>
          </w:p>
        </w:tc>
        <w:tc>
          <w:tcPr>
            <w:tcW w:w="641" w:type="pct"/>
            <w:noWrap w:val="0"/>
            <w:vAlign w:val="center"/>
          </w:tcPr>
          <w:p w14:paraId="419A36C7">
            <w:pPr>
              <w:keepNext/>
              <w:spacing w:line="360" w:lineRule="auto"/>
              <w:rPr>
                <w:rFonts w:hint="eastAsia" w:ascii="宋体" w:hAnsi="宋体" w:cs="宋体"/>
                <w:color w:val="auto"/>
                <w:szCs w:val="21"/>
                <w:highlight w:val="none"/>
              </w:rPr>
            </w:pPr>
          </w:p>
        </w:tc>
        <w:tc>
          <w:tcPr>
            <w:tcW w:w="513" w:type="pct"/>
            <w:noWrap w:val="0"/>
            <w:vAlign w:val="center"/>
          </w:tcPr>
          <w:p w14:paraId="67512B09">
            <w:pPr>
              <w:keepNext/>
              <w:spacing w:line="360" w:lineRule="auto"/>
              <w:rPr>
                <w:rFonts w:hint="eastAsia" w:ascii="宋体" w:hAnsi="宋体" w:cs="宋体"/>
                <w:color w:val="auto"/>
                <w:szCs w:val="21"/>
                <w:highlight w:val="none"/>
              </w:rPr>
            </w:pPr>
          </w:p>
        </w:tc>
        <w:tc>
          <w:tcPr>
            <w:tcW w:w="374" w:type="pct"/>
            <w:noWrap w:val="0"/>
            <w:vAlign w:val="center"/>
          </w:tcPr>
          <w:p w14:paraId="5D35DE83">
            <w:pPr>
              <w:keepNext/>
              <w:spacing w:line="360" w:lineRule="auto"/>
              <w:rPr>
                <w:rFonts w:hint="eastAsia" w:ascii="宋体" w:hAnsi="宋体" w:cs="宋体"/>
                <w:color w:val="auto"/>
                <w:szCs w:val="21"/>
                <w:highlight w:val="none"/>
              </w:rPr>
            </w:pPr>
          </w:p>
        </w:tc>
        <w:tc>
          <w:tcPr>
            <w:tcW w:w="1730" w:type="pct"/>
            <w:noWrap w:val="0"/>
            <w:vAlign w:val="center"/>
          </w:tcPr>
          <w:p w14:paraId="46B5E773">
            <w:pPr>
              <w:keepNext/>
              <w:spacing w:line="360" w:lineRule="auto"/>
              <w:rPr>
                <w:rFonts w:hint="eastAsia" w:ascii="宋体" w:hAnsi="宋体" w:cs="宋体"/>
                <w:color w:val="auto"/>
                <w:szCs w:val="21"/>
                <w:highlight w:val="none"/>
              </w:rPr>
            </w:pPr>
          </w:p>
        </w:tc>
        <w:tc>
          <w:tcPr>
            <w:tcW w:w="896" w:type="pct"/>
            <w:noWrap w:val="0"/>
            <w:vAlign w:val="top"/>
          </w:tcPr>
          <w:p w14:paraId="0F4A773B">
            <w:pPr>
              <w:keepNext/>
              <w:spacing w:line="360" w:lineRule="auto"/>
              <w:rPr>
                <w:rFonts w:hint="eastAsia" w:ascii="宋体" w:hAnsi="宋体" w:cs="宋体"/>
                <w:color w:val="auto"/>
                <w:szCs w:val="21"/>
                <w:highlight w:val="none"/>
              </w:rPr>
            </w:pPr>
          </w:p>
        </w:tc>
      </w:tr>
      <w:tr w14:paraId="3AC6E6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10470744">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安全员</w:t>
            </w:r>
          </w:p>
        </w:tc>
        <w:tc>
          <w:tcPr>
            <w:tcW w:w="641" w:type="pct"/>
            <w:noWrap w:val="0"/>
            <w:vAlign w:val="center"/>
          </w:tcPr>
          <w:p w14:paraId="724A9FBF">
            <w:pPr>
              <w:keepNext/>
              <w:spacing w:line="360" w:lineRule="auto"/>
              <w:rPr>
                <w:rFonts w:hint="eastAsia" w:ascii="宋体" w:hAnsi="宋体" w:cs="宋体"/>
                <w:color w:val="auto"/>
                <w:szCs w:val="21"/>
                <w:highlight w:val="none"/>
              </w:rPr>
            </w:pPr>
          </w:p>
        </w:tc>
        <w:tc>
          <w:tcPr>
            <w:tcW w:w="513" w:type="pct"/>
            <w:noWrap w:val="0"/>
            <w:vAlign w:val="center"/>
          </w:tcPr>
          <w:p w14:paraId="34A3C73B">
            <w:pPr>
              <w:keepNext/>
              <w:spacing w:line="360" w:lineRule="auto"/>
              <w:rPr>
                <w:rFonts w:hint="eastAsia" w:ascii="宋体" w:hAnsi="宋体" w:cs="宋体"/>
                <w:color w:val="auto"/>
                <w:szCs w:val="21"/>
                <w:highlight w:val="none"/>
              </w:rPr>
            </w:pPr>
          </w:p>
        </w:tc>
        <w:tc>
          <w:tcPr>
            <w:tcW w:w="374" w:type="pct"/>
            <w:noWrap w:val="0"/>
            <w:vAlign w:val="center"/>
          </w:tcPr>
          <w:p w14:paraId="519F4274">
            <w:pPr>
              <w:keepNext/>
              <w:spacing w:line="360" w:lineRule="auto"/>
              <w:rPr>
                <w:rFonts w:hint="eastAsia" w:ascii="宋体" w:hAnsi="宋体" w:cs="宋体"/>
                <w:color w:val="auto"/>
                <w:szCs w:val="21"/>
                <w:highlight w:val="none"/>
              </w:rPr>
            </w:pPr>
          </w:p>
        </w:tc>
        <w:tc>
          <w:tcPr>
            <w:tcW w:w="1730" w:type="pct"/>
            <w:noWrap w:val="0"/>
            <w:vAlign w:val="center"/>
          </w:tcPr>
          <w:p w14:paraId="44C77F3F">
            <w:pPr>
              <w:keepNext/>
              <w:spacing w:line="360" w:lineRule="auto"/>
              <w:rPr>
                <w:rFonts w:hint="eastAsia" w:ascii="宋体" w:hAnsi="宋体" w:cs="宋体"/>
                <w:color w:val="auto"/>
                <w:szCs w:val="21"/>
                <w:highlight w:val="none"/>
              </w:rPr>
            </w:pPr>
          </w:p>
        </w:tc>
        <w:tc>
          <w:tcPr>
            <w:tcW w:w="896" w:type="pct"/>
            <w:noWrap w:val="0"/>
            <w:vAlign w:val="top"/>
          </w:tcPr>
          <w:p w14:paraId="4503E858">
            <w:pPr>
              <w:keepNext/>
              <w:spacing w:line="360" w:lineRule="auto"/>
              <w:rPr>
                <w:rFonts w:hint="eastAsia" w:ascii="宋体" w:hAnsi="宋体" w:cs="宋体"/>
                <w:color w:val="auto"/>
                <w:szCs w:val="21"/>
                <w:highlight w:val="none"/>
              </w:rPr>
            </w:pPr>
          </w:p>
        </w:tc>
      </w:tr>
      <w:tr w14:paraId="49B91A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543D3992">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资料员</w:t>
            </w:r>
          </w:p>
        </w:tc>
        <w:tc>
          <w:tcPr>
            <w:tcW w:w="641" w:type="pct"/>
            <w:noWrap w:val="0"/>
            <w:vAlign w:val="center"/>
          </w:tcPr>
          <w:p w14:paraId="1AB3DBB9">
            <w:pPr>
              <w:keepNext/>
              <w:spacing w:line="360" w:lineRule="auto"/>
              <w:rPr>
                <w:rFonts w:hint="eastAsia" w:ascii="宋体" w:hAnsi="宋体" w:cs="宋体"/>
                <w:color w:val="auto"/>
                <w:szCs w:val="21"/>
                <w:highlight w:val="none"/>
              </w:rPr>
            </w:pPr>
          </w:p>
        </w:tc>
        <w:tc>
          <w:tcPr>
            <w:tcW w:w="513" w:type="pct"/>
            <w:noWrap w:val="0"/>
            <w:vAlign w:val="center"/>
          </w:tcPr>
          <w:p w14:paraId="2B996BCA">
            <w:pPr>
              <w:keepNext/>
              <w:spacing w:line="360" w:lineRule="auto"/>
              <w:rPr>
                <w:rFonts w:hint="eastAsia" w:ascii="宋体" w:hAnsi="宋体" w:cs="宋体"/>
                <w:color w:val="auto"/>
                <w:szCs w:val="21"/>
                <w:highlight w:val="none"/>
              </w:rPr>
            </w:pPr>
          </w:p>
        </w:tc>
        <w:tc>
          <w:tcPr>
            <w:tcW w:w="374" w:type="pct"/>
            <w:noWrap w:val="0"/>
            <w:vAlign w:val="center"/>
          </w:tcPr>
          <w:p w14:paraId="79FE92E8">
            <w:pPr>
              <w:keepNext/>
              <w:spacing w:line="360" w:lineRule="auto"/>
              <w:rPr>
                <w:rFonts w:hint="eastAsia" w:ascii="宋体" w:hAnsi="宋体" w:cs="宋体"/>
                <w:color w:val="auto"/>
                <w:szCs w:val="21"/>
                <w:highlight w:val="none"/>
              </w:rPr>
            </w:pPr>
          </w:p>
        </w:tc>
        <w:tc>
          <w:tcPr>
            <w:tcW w:w="1730" w:type="pct"/>
            <w:noWrap w:val="0"/>
            <w:vAlign w:val="center"/>
          </w:tcPr>
          <w:p w14:paraId="06B7A241">
            <w:pPr>
              <w:keepNext/>
              <w:spacing w:line="360" w:lineRule="auto"/>
              <w:rPr>
                <w:rFonts w:hint="eastAsia" w:ascii="宋体" w:hAnsi="宋体" w:cs="宋体"/>
                <w:color w:val="auto"/>
                <w:szCs w:val="21"/>
                <w:highlight w:val="none"/>
              </w:rPr>
            </w:pPr>
          </w:p>
        </w:tc>
        <w:tc>
          <w:tcPr>
            <w:tcW w:w="896" w:type="pct"/>
            <w:noWrap w:val="0"/>
            <w:vAlign w:val="top"/>
          </w:tcPr>
          <w:p w14:paraId="621E096E">
            <w:pPr>
              <w:keepNext/>
              <w:spacing w:line="360" w:lineRule="auto"/>
              <w:rPr>
                <w:rFonts w:hint="eastAsia" w:ascii="宋体" w:hAnsi="宋体" w:cs="宋体"/>
                <w:color w:val="auto"/>
                <w:szCs w:val="21"/>
                <w:highlight w:val="none"/>
              </w:rPr>
            </w:pPr>
          </w:p>
        </w:tc>
      </w:tr>
      <w:tr w14:paraId="4D6DCE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restart"/>
            <w:noWrap w:val="0"/>
            <w:vAlign w:val="center"/>
          </w:tcPr>
          <w:p w14:paraId="4DBF51AF">
            <w:pPr>
              <w:keepNext/>
              <w:spacing w:line="360" w:lineRule="auto"/>
              <w:rPr>
                <w:rFonts w:hint="eastAsia" w:ascii="宋体" w:hAnsi="宋体" w:cs="宋体"/>
                <w:color w:val="auto"/>
                <w:szCs w:val="21"/>
                <w:highlight w:val="none"/>
              </w:rPr>
            </w:pPr>
            <w:r>
              <w:rPr>
                <w:rFonts w:hint="eastAsia" w:ascii="宋体" w:hAnsi="宋体" w:cs="宋体"/>
                <w:color w:val="auto"/>
                <w:szCs w:val="21"/>
                <w:highlight w:val="none"/>
              </w:rPr>
              <w:t>其他人员</w:t>
            </w:r>
          </w:p>
        </w:tc>
        <w:tc>
          <w:tcPr>
            <w:tcW w:w="641" w:type="pct"/>
            <w:noWrap w:val="0"/>
            <w:vAlign w:val="center"/>
          </w:tcPr>
          <w:p w14:paraId="3D4F2DC8">
            <w:pPr>
              <w:keepNext/>
              <w:spacing w:line="360" w:lineRule="auto"/>
              <w:rPr>
                <w:rFonts w:hint="eastAsia" w:ascii="宋体" w:hAnsi="宋体" w:cs="宋体"/>
                <w:color w:val="auto"/>
                <w:szCs w:val="21"/>
                <w:highlight w:val="none"/>
              </w:rPr>
            </w:pPr>
          </w:p>
        </w:tc>
        <w:tc>
          <w:tcPr>
            <w:tcW w:w="513" w:type="pct"/>
            <w:noWrap w:val="0"/>
            <w:vAlign w:val="center"/>
          </w:tcPr>
          <w:p w14:paraId="773E1D3A">
            <w:pPr>
              <w:keepNext/>
              <w:spacing w:line="360" w:lineRule="auto"/>
              <w:rPr>
                <w:rFonts w:hint="eastAsia" w:ascii="宋体" w:hAnsi="宋体" w:cs="宋体"/>
                <w:color w:val="auto"/>
                <w:szCs w:val="21"/>
                <w:highlight w:val="none"/>
              </w:rPr>
            </w:pPr>
          </w:p>
        </w:tc>
        <w:tc>
          <w:tcPr>
            <w:tcW w:w="374" w:type="pct"/>
            <w:noWrap w:val="0"/>
            <w:vAlign w:val="center"/>
          </w:tcPr>
          <w:p w14:paraId="6C8088DB">
            <w:pPr>
              <w:keepNext/>
              <w:spacing w:line="360" w:lineRule="auto"/>
              <w:rPr>
                <w:rFonts w:hint="eastAsia" w:ascii="宋体" w:hAnsi="宋体" w:cs="宋体"/>
                <w:color w:val="auto"/>
                <w:szCs w:val="21"/>
                <w:highlight w:val="none"/>
              </w:rPr>
            </w:pPr>
          </w:p>
        </w:tc>
        <w:tc>
          <w:tcPr>
            <w:tcW w:w="1730" w:type="pct"/>
            <w:noWrap w:val="0"/>
            <w:vAlign w:val="center"/>
          </w:tcPr>
          <w:p w14:paraId="66DE372B">
            <w:pPr>
              <w:keepNext/>
              <w:spacing w:line="360" w:lineRule="auto"/>
              <w:rPr>
                <w:rFonts w:hint="eastAsia" w:ascii="宋体" w:hAnsi="宋体" w:cs="宋体"/>
                <w:color w:val="auto"/>
                <w:szCs w:val="21"/>
                <w:highlight w:val="none"/>
              </w:rPr>
            </w:pPr>
          </w:p>
        </w:tc>
        <w:tc>
          <w:tcPr>
            <w:tcW w:w="896" w:type="pct"/>
            <w:noWrap w:val="0"/>
            <w:vAlign w:val="top"/>
          </w:tcPr>
          <w:p w14:paraId="1BFDA8FF">
            <w:pPr>
              <w:keepNext/>
              <w:spacing w:line="360" w:lineRule="auto"/>
              <w:rPr>
                <w:rFonts w:hint="eastAsia" w:ascii="宋体" w:hAnsi="宋体" w:cs="宋体"/>
                <w:color w:val="auto"/>
                <w:szCs w:val="21"/>
                <w:highlight w:val="none"/>
              </w:rPr>
            </w:pPr>
          </w:p>
        </w:tc>
      </w:tr>
      <w:tr w14:paraId="58490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4F954DB6">
            <w:pPr>
              <w:keepNext/>
              <w:spacing w:line="360" w:lineRule="auto"/>
              <w:rPr>
                <w:rFonts w:hint="eastAsia" w:ascii="宋体" w:hAnsi="宋体" w:cs="宋体"/>
                <w:color w:val="auto"/>
                <w:szCs w:val="21"/>
                <w:highlight w:val="none"/>
              </w:rPr>
            </w:pPr>
          </w:p>
        </w:tc>
        <w:tc>
          <w:tcPr>
            <w:tcW w:w="641" w:type="pct"/>
            <w:tcBorders>
              <w:bottom w:val="nil"/>
            </w:tcBorders>
            <w:noWrap w:val="0"/>
            <w:vAlign w:val="center"/>
          </w:tcPr>
          <w:p w14:paraId="1E4C6B00">
            <w:pPr>
              <w:keepNext/>
              <w:spacing w:line="360" w:lineRule="auto"/>
              <w:rPr>
                <w:rFonts w:hint="eastAsia" w:ascii="宋体" w:hAnsi="宋体" w:cs="宋体"/>
                <w:color w:val="auto"/>
                <w:szCs w:val="21"/>
                <w:highlight w:val="none"/>
              </w:rPr>
            </w:pPr>
          </w:p>
        </w:tc>
        <w:tc>
          <w:tcPr>
            <w:tcW w:w="513" w:type="pct"/>
            <w:tcBorders>
              <w:bottom w:val="nil"/>
            </w:tcBorders>
            <w:noWrap w:val="0"/>
            <w:vAlign w:val="center"/>
          </w:tcPr>
          <w:p w14:paraId="3F24B6CA">
            <w:pPr>
              <w:keepNext/>
              <w:spacing w:line="360" w:lineRule="auto"/>
              <w:rPr>
                <w:rFonts w:hint="eastAsia" w:ascii="宋体" w:hAnsi="宋体" w:cs="宋体"/>
                <w:color w:val="auto"/>
                <w:szCs w:val="21"/>
                <w:highlight w:val="none"/>
              </w:rPr>
            </w:pPr>
          </w:p>
        </w:tc>
        <w:tc>
          <w:tcPr>
            <w:tcW w:w="374" w:type="pct"/>
            <w:tcBorders>
              <w:bottom w:val="nil"/>
            </w:tcBorders>
            <w:noWrap w:val="0"/>
            <w:vAlign w:val="center"/>
          </w:tcPr>
          <w:p w14:paraId="164CF617">
            <w:pPr>
              <w:keepNext/>
              <w:spacing w:line="360" w:lineRule="auto"/>
              <w:rPr>
                <w:rFonts w:hint="eastAsia" w:ascii="宋体" w:hAnsi="宋体" w:cs="宋体"/>
                <w:color w:val="auto"/>
                <w:szCs w:val="21"/>
                <w:highlight w:val="none"/>
              </w:rPr>
            </w:pPr>
          </w:p>
        </w:tc>
        <w:tc>
          <w:tcPr>
            <w:tcW w:w="1730" w:type="pct"/>
            <w:tcBorders>
              <w:bottom w:val="nil"/>
            </w:tcBorders>
            <w:noWrap w:val="0"/>
            <w:vAlign w:val="center"/>
          </w:tcPr>
          <w:p w14:paraId="18F34DF4">
            <w:pPr>
              <w:keepNext/>
              <w:spacing w:line="360" w:lineRule="auto"/>
              <w:rPr>
                <w:rFonts w:hint="eastAsia" w:ascii="宋体" w:hAnsi="宋体" w:cs="宋体"/>
                <w:color w:val="auto"/>
                <w:szCs w:val="21"/>
                <w:highlight w:val="none"/>
              </w:rPr>
            </w:pPr>
          </w:p>
        </w:tc>
        <w:tc>
          <w:tcPr>
            <w:tcW w:w="896" w:type="pct"/>
            <w:tcBorders>
              <w:bottom w:val="nil"/>
            </w:tcBorders>
            <w:noWrap w:val="0"/>
            <w:vAlign w:val="top"/>
          </w:tcPr>
          <w:p w14:paraId="2B958694">
            <w:pPr>
              <w:keepNext/>
              <w:spacing w:line="360" w:lineRule="auto"/>
              <w:rPr>
                <w:rFonts w:hint="eastAsia" w:ascii="宋体" w:hAnsi="宋体" w:cs="宋体"/>
                <w:color w:val="auto"/>
                <w:szCs w:val="21"/>
                <w:highlight w:val="none"/>
              </w:rPr>
            </w:pPr>
          </w:p>
        </w:tc>
      </w:tr>
      <w:tr w14:paraId="45B445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59C50910">
            <w:pPr>
              <w:keepNext/>
              <w:spacing w:line="360" w:lineRule="auto"/>
              <w:rPr>
                <w:rFonts w:hint="eastAsia" w:ascii="宋体" w:hAnsi="宋体" w:cs="宋体"/>
                <w:color w:val="auto"/>
                <w:szCs w:val="21"/>
                <w:highlight w:val="none"/>
              </w:rPr>
            </w:pPr>
          </w:p>
        </w:tc>
        <w:tc>
          <w:tcPr>
            <w:tcW w:w="641" w:type="pct"/>
            <w:noWrap w:val="0"/>
            <w:vAlign w:val="center"/>
          </w:tcPr>
          <w:p w14:paraId="5A18B110">
            <w:pPr>
              <w:keepNext/>
              <w:spacing w:line="360" w:lineRule="auto"/>
              <w:rPr>
                <w:rFonts w:hint="eastAsia" w:ascii="宋体" w:hAnsi="宋体" w:cs="宋体"/>
                <w:color w:val="auto"/>
                <w:szCs w:val="21"/>
                <w:highlight w:val="none"/>
              </w:rPr>
            </w:pPr>
          </w:p>
        </w:tc>
        <w:tc>
          <w:tcPr>
            <w:tcW w:w="513" w:type="pct"/>
            <w:noWrap w:val="0"/>
            <w:vAlign w:val="center"/>
          </w:tcPr>
          <w:p w14:paraId="28860B1B">
            <w:pPr>
              <w:keepNext/>
              <w:spacing w:line="360" w:lineRule="auto"/>
              <w:rPr>
                <w:rFonts w:hint="eastAsia" w:ascii="宋体" w:hAnsi="宋体" w:cs="宋体"/>
                <w:color w:val="auto"/>
                <w:szCs w:val="21"/>
                <w:highlight w:val="none"/>
              </w:rPr>
            </w:pPr>
          </w:p>
        </w:tc>
        <w:tc>
          <w:tcPr>
            <w:tcW w:w="374" w:type="pct"/>
            <w:noWrap w:val="0"/>
            <w:vAlign w:val="center"/>
          </w:tcPr>
          <w:p w14:paraId="2497F822">
            <w:pPr>
              <w:keepNext/>
              <w:spacing w:line="360" w:lineRule="auto"/>
              <w:rPr>
                <w:rFonts w:hint="eastAsia" w:ascii="宋体" w:hAnsi="宋体" w:cs="宋体"/>
                <w:color w:val="auto"/>
                <w:szCs w:val="21"/>
                <w:highlight w:val="none"/>
              </w:rPr>
            </w:pPr>
          </w:p>
        </w:tc>
        <w:tc>
          <w:tcPr>
            <w:tcW w:w="1730" w:type="pct"/>
            <w:noWrap w:val="0"/>
            <w:vAlign w:val="center"/>
          </w:tcPr>
          <w:p w14:paraId="5B3790B0">
            <w:pPr>
              <w:keepNext/>
              <w:spacing w:line="360" w:lineRule="auto"/>
              <w:rPr>
                <w:rFonts w:hint="eastAsia" w:ascii="宋体" w:hAnsi="宋体" w:cs="宋体"/>
                <w:color w:val="auto"/>
                <w:szCs w:val="21"/>
                <w:highlight w:val="none"/>
              </w:rPr>
            </w:pPr>
          </w:p>
        </w:tc>
        <w:tc>
          <w:tcPr>
            <w:tcW w:w="896" w:type="pct"/>
            <w:noWrap w:val="0"/>
            <w:vAlign w:val="top"/>
          </w:tcPr>
          <w:p w14:paraId="38AE0E0A">
            <w:pPr>
              <w:keepNext/>
              <w:spacing w:line="360" w:lineRule="auto"/>
              <w:rPr>
                <w:rFonts w:hint="eastAsia" w:ascii="宋体" w:hAnsi="宋体" w:cs="宋体"/>
                <w:color w:val="auto"/>
                <w:szCs w:val="21"/>
                <w:highlight w:val="none"/>
              </w:rPr>
            </w:pPr>
          </w:p>
        </w:tc>
      </w:tr>
      <w:tr w14:paraId="53971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0C746D85">
            <w:pPr>
              <w:keepNext/>
              <w:spacing w:line="360" w:lineRule="auto"/>
              <w:rPr>
                <w:rFonts w:hint="eastAsia" w:ascii="宋体" w:hAnsi="宋体" w:cs="宋体"/>
                <w:color w:val="auto"/>
                <w:szCs w:val="21"/>
                <w:highlight w:val="none"/>
              </w:rPr>
            </w:pPr>
          </w:p>
        </w:tc>
        <w:tc>
          <w:tcPr>
            <w:tcW w:w="641" w:type="pct"/>
            <w:noWrap w:val="0"/>
            <w:vAlign w:val="center"/>
          </w:tcPr>
          <w:p w14:paraId="4ACD4D6C">
            <w:pPr>
              <w:keepNext/>
              <w:spacing w:line="360" w:lineRule="auto"/>
              <w:rPr>
                <w:rFonts w:hint="eastAsia" w:ascii="宋体" w:hAnsi="宋体" w:cs="宋体"/>
                <w:color w:val="auto"/>
                <w:szCs w:val="21"/>
                <w:highlight w:val="none"/>
              </w:rPr>
            </w:pPr>
          </w:p>
        </w:tc>
        <w:tc>
          <w:tcPr>
            <w:tcW w:w="513" w:type="pct"/>
            <w:noWrap w:val="0"/>
            <w:vAlign w:val="center"/>
          </w:tcPr>
          <w:p w14:paraId="78EDC79F">
            <w:pPr>
              <w:keepNext/>
              <w:spacing w:line="360" w:lineRule="auto"/>
              <w:rPr>
                <w:rFonts w:hint="eastAsia" w:ascii="宋体" w:hAnsi="宋体" w:cs="宋体"/>
                <w:color w:val="auto"/>
                <w:szCs w:val="21"/>
                <w:highlight w:val="none"/>
              </w:rPr>
            </w:pPr>
          </w:p>
        </w:tc>
        <w:tc>
          <w:tcPr>
            <w:tcW w:w="374" w:type="pct"/>
            <w:noWrap w:val="0"/>
            <w:vAlign w:val="center"/>
          </w:tcPr>
          <w:p w14:paraId="14350280">
            <w:pPr>
              <w:keepNext/>
              <w:spacing w:line="360" w:lineRule="auto"/>
              <w:rPr>
                <w:rFonts w:hint="eastAsia" w:ascii="宋体" w:hAnsi="宋体" w:cs="宋体"/>
                <w:color w:val="auto"/>
                <w:szCs w:val="21"/>
                <w:highlight w:val="none"/>
              </w:rPr>
            </w:pPr>
          </w:p>
        </w:tc>
        <w:tc>
          <w:tcPr>
            <w:tcW w:w="1730" w:type="pct"/>
            <w:noWrap w:val="0"/>
            <w:vAlign w:val="center"/>
          </w:tcPr>
          <w:p w14:paraId="5390B75B">
            <w:pPr>
              <w:keepNext/>
              <w:spacing w:line="360" w:lineRule="auto"/>
              <w:rPr>
                <w:rFonts w:hint="eastAsia" w:ascii="宋体" w:hAnsi="宋体" w:cs="宋体"/>
                <w:color w:val="auto"/>
                <w:szCs w:val="21"/>
                <w:highlight w:val="none"/>
              </w:rPr>
            </w:pPr>
          </w:p>
        </w:tc>
        <w:tc>
          <w:tcPr>
            <w:tcW w:w="896" w:type="pct"/>
            <w:noWrap w:val="0"/>
            <w:vAlign w:val="top"/>
          </w:tcPr>
          <w:p w14:paraId="10E60C16">
            <w:pPr>
              <w:keepNext/>
              <w:spacing w:line="360" w:lineRule="auto"/>
              <w:rPr>
                <w:rFonts w:hint="eastAsia" w:ascii="宋体" w:hAnsi="宋体" w:cs="宋体"/>
                <w:color w:val="auto"/>
                <w:szCs w:val="21"/>
                <w:highlight w:val="none"/>
              </w:rPr>
            </w:pPr>
          </w:p>
        </w:tc>
      </w:tr>
      <w:tr w14:paraId="4112AC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57B0AA7B">
            <w:pPr>
              <w:keepNext/>
              <w:spacing w:line="360" w:lineRule="auto"/>
              <w:rPr>
                <w:rFonts w:hint="eastAsia" w:ascii="宋体" w:hAnsi="宋体" w:cs="宋体"/>
                <w:color w:val="auto"/>
                <w:szCs w:val="21"/>
                <w:highlight w:val="none"/>
              </w:rPr>
            </w:pPr>
          </w:p>
        </w:tc>
        <w:tc>
          <w:tcPr>
            <w:tcW w:w="641" w:type="pct"/>
            <w:noWrap w:val="0"/>
            <w:vAlign w:val="center"/>
          </w:tcPr>
          <w:p w14:paraId="2A01B063">
            <w:pPr>
              <w:keepNext/>
              <w:spacing w:line="360" w:lineRule="auto"/>
              <w:rPr>
                <w:rFonts w:hint="eastAsia" w:ascii="宋体" w:hAnsi="宋体" w:cs="宋体"/>
                <w:color w:val="auto"/>
                <w:szCs w:val="21"/>
                <w:highlight w:val="none"/>
              </w:rPr>
            </w:pPr>
          </w:p>
        </w:tc>
        <w:tc>
          <w:tcPr>
            <w:tcW w:w="513" w:type="pct"/>
            <w:noWrap w:val="0"/>
            <w:vAlign w:val="center"/>
          </w:tcPr>
          <w:p w14:paraId="675ADCCB">
            <w:pPr>
              <w:keepNext/>
              <w:spacing w:line="360" w:lineRule="auto"/>
              <w:rPr>
                <w:rFonts w:hint="eastAsia" w:ascii="宋体" w:hAnsi="宋体" w:cs="宋体"/>
                <w:color w:val="auto"/>
                <w:szCs w:val="21"/>
                <w:highlight w:val="none"/>
              </w:rPr>
            </w:pPr>
          </w:p>
        </w:tc>
        <w:tc>
          <w:tcPr>
            <w:tcW w:w="374" w:type="pct"/>
            <w:noWrap w:val="0"/>
            <w:vAlign w:val="center"/>
          </w:tcPr>
          <w:p w14:paraId="155D92CD">
            <w:pPr>
              <w:keepNext/>
              <w:spacing w:line="360" w:lineRule="auto"/>
              <w:rPr>
                <w:rFonts w:hint="eastAsia" w:ascii="宋体" w:hAnsi="宋体" w:cs="宋体"/>
                <w:color w:val="auto"/>
                <w:szCs w:val="21"/>
                <w:highlight w:val="none"/>
              </w:rPr>
            </w:pPr>
          </w:p>
        </w:tc>
        <w:tc>
          <w:tcPr>
            <w:tcW w:w="1730" w:type="pct"/>
            <w:noWrap w:val="0"/>
            <w:vAlign w:val="center"/>
          </w:tcPr>
          <w:p w14:paraId="2C772012">
            <w:pPr>
              <w:keepNext/>
              <w:spacing w:line="360" w:lineRule="auto"/>
              <w:rPr>
                <w:rFonts w:hint="eastAsia" w:ascii="宋体" w:hAnsi="宋体" w:cs="宋体"/>
                <w:color w:val="auto"/>
                <w:szCs w:val="21"/>
                <w:highlight w:val="none"/>
              </w:rPr>
            </w:pPr>
          </w:p>
        </w:tc>
        <w:tc>
          <w:tcPr>
            <w:tcW w:w="896" w:type="pct"/>
            <w:noWrap w:val="0"/>
            <w:vAlign w:val="top"/>
          </w:tcPr>
          <w:p w14:paraId="1858427B">
            <w:pPr>
              <w:keepNext/>
              <w:spacing w:line="360" w:lineRule="auto"/>
              <w:rPr>
                <w:rFonts w:hint="eastAsia" w:ascii="宋体" w:hAnsi="宋体" w:cs="宋体"/>
                <w:color w:val="auto"/>
                <w:szCs w:val="21"/>
                <w:highlight w:val="none"/>
              </w:rPr>
            </w:pPr>
          </w:p>
        </w:tc>
      </w:tr>
      <w:tr w14:paraId="63C413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tcBorders>
              <w:bottom w:val="single" w:color="auto" w:sz="12" w:space="0"/>
            </w:tcBorders>
            <w:noWrap w:val="0"/>
            <w:vAlign w:val="center"/>
          </w:tcPr>
          <w:p w14:paraId="56CE99F7">
            <w:pPr>
              <w:keepNext/>
              <w:spacing w:line="360" w:lineRule="auto"/>
              <w:rPr>
                <w:rFonts w:hint="eastAsia" w:ascii="宋体" w:hAnsi="宋体" w:cs="宋体"/>
                <w:color w:val="auto"/>
                <w:szCs w:val="21"/>
                <w:highlight w:val="none"/>
              </w:rPr>
            </w:pPr>
          </w:p>
        </w:tc>
        <w:tc>
          <w:tcPr>
            <w:tcW w:w="641" w:type="pct"/>
            <w:tcBorders>
              <w:bottom w:val="single" w:color="auto" w:sz="12" w:space="0"/>
            </w:tcBorders>
            <w:noWrap w:val="0"/>
            <w:vAlign w:val="center"/>
          </w:tcPr>
          <w:p w14:paraId="0FD62FEA">
            <w:pPr>
              <w:keepNext/>
              <w:spacing w:line="360" w:lineRule="auto"/>
              <w:rPr>
                <w:rFonts w:hint="eastAsia" w:ascii="宋体" w:hAnsi="宋体" w:cs="宋体"/>
                <w:color w:val="auto"/>
                <w:szCs w:val="21"/>
                <w:highlight w:val="none"/>
              </w:rPr>
            </w:pPr>
          </w:p>
        </w:tc>
        <w:tc>
          <w:tcPr>
            <w:tcW w:w="513" w:type="pct"/>
            <w:tcBorders>
              <w:bottom w:val="single" w:color="auto" w:sz="12" w:space="0"/>
            </w:tcBorders>
            <w:noWrap w:val="0"/>
            <w:vAlign w:val="center"/>
          </w:tcPr>
          <w:p w14:paraId="5DB641AB">
            <w:pPr>
              <w:keepNext/>
              <w:spacing w:line="360" w:lineRule="auto"/>
              <w:rPr>
                <w:rFonts w:hint="eastAsia" w:ascii="宋体" w:hAnsi="宋体" w:cs="宋体"/>
                <w:color w:val="auto"/>
                <w:szCs w:val="21"/>
                <w:highlight w:val="none"/>
              </w:rPr>
            </w:pPr>
          </w:p>
        </w:tc>
        <w:tc>
          <w:tcPr>
            <w:tcW w:w="374" w:type="pct"/>
            <w:tcBorders>
              <w:bottom w:val="single" w:color="auto" w:sz="12" w:space="0"/>
            </w:tcBorders>
            <w:noWrap w:val="0"/>
            <w:vAlign w:val="center"/>
          </w:tcPr>
          <w:p w14:paraId="6334F87B">
            <w:pPr>
              <w:keepNext/>
              <w:spacing w:line="360" w:lineRule="auto"/>
              <w:rPr>
                <w:rFonts w:hint="eastAsia" w:ascii="宋体" w:hAnsi="宋体" w:cs="宋体"/>
                <w:color w:val="auto"/>
                <w:szCs w:val="21"/>
                <w:highlight w:val="none"/>
              </w:rPr>
            </w:pPr>
          </w:p>
        </w:tc>
        <w:tc>
          <w:tcPr>
            <w:tcW w:w="1730" w:type="pct"/>
            <w:tcBorders>
              <w:bottom w:val="single" w:color="auto" w:sz="12" w:space="0"/>
            </w:tcBorders>
            <w:noWrap w:val="0"/>
            <w:vAlign w:val="center"/>
          </w:tcPr>
          <w:p w14:paraId="13D40F39">
            <w:pPr>
              <w:keepNext/>
              <w:spacing w:line="360" w:lineRule="auto"/>
              <w:rPr>
                <w:rFonts w:hint="eastAsia" w:ascii="宋体" w:hAnsi="宋体" w:cs="宋体"/>
                <w:color w:val="auto"/>
                <w:szCs w:val="21"/>
                <w:highlight w:val="none"/>
              </w:rPr>
            </w:pPr>
          </w:p>
        </w:tc>
        <w:tc>
          <w:tcPr>
            <w:tcW w:w="896" w:type="pct"/>
            <w:tcBorders>
              <w:bottom w:val="single" w:color="auto" w:sz="12" w:space="0"/>
            </w:tcBorders>
            <w:noWrap w:val="0"/>
            <w:vAlign w:val="top"/>
          </w:tcPr>
          <w:p w14:paraId="31A9FA4B">
            <w:pPr>
              <w:keepNext/>
              <w:spacing w:line="360" w:lineRule="auto"/>
              <w:rPr>
                <w:rFonts w:hint="eastAsia" w:ascii="宋体" w:hAnsi="宋体" w:cs="宋体"/>
                <w:color w:val="auto"/>
                <w:szCs w:val="21"/>
                <w:highlight w:val="none"/>
              </w:rPr>
            </w:pPr>
          </w:p>
        </w:tc>
      </w:tr>
    </w:tbl>
    <w:p w14:paraId="5EE60387">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br w:type="page"/>
      </w:r>
      <w:bookmarkStart w:id="1343" w:name="_Toc95223495"/>
      <w:bookmarkStart w:id="1344" w:name="_Toc7655"/>
      <w:bookmarkStart w:id="1345" w:name="_Toc25726"/>
      <w:r>
        <w:rPr>
          <w:rFonts w:hint="eastAsia" w:ascii="宋体" w:hAnsi="宋体" w:cs="宋体"/>
          <w:bCs/>
          <w:color w:val="auto"/>
          <w:sz w:val="24"/>
          <w:highlight w:val="none"/>
        </w:rPr>
        <w:t>附</w:t>
      </w:r>
      <w:bookmarkStart w:id="1346" w:name="_Toc296503231"/>
      <w:bookmarkStart w:id="1347" w:name="_Toc296944570"/>
      <w:bookmarkStart w:id="1348" w:name="_Toc296891059"/>
      <w:bookmarkStart w:id="1349" w:name="_Toc296346732"/>
      <w:bookmarkStart w:id="1350" w:name="_Toc296891271"/>
      <w:bookmarkStart w:id="1351" w:name="_Toc296347230"/>
      <w:r>
        <w:rPr>
          <w:rFonts w:hint="eastAsia" w:ascii="宋体" w:hAnsi="宋体" w:cs="宋体"/>
          <w:bCs/>
          <w:color w:val="auto"/>
          <w:sz w:val="24"/>
          <w:highlight w:val="none"/>
        </w:rPr>
        <w:t>件8：廉政协议</w:t>
      </w:r>
      <w:bookmarkEnd w:id="1343"/>
      <w:bookmarkEnd w:id="1344"/>
      <w:bookmarkEnd w:id="1345"/>
    </w:p>
    <w:bookmarkEnd w:id="1346"/>
    <w:bookmarkEnd w:id="1347"/>
    <w:bookmarkEnd w:id="1348"/>
    <w:bookmarkEnd w:id="1349"/>
    <w:bookmarkEnd w:id="1350"/>
    <w:bookmarkEnd w:id="1351"/>
    <w:p w14:paraId="1DA90A67">
      <w:pPr>
        <w:widowControl/>
        <w:spacing w:line="360" w:lineRule="auto"/>
        <w:ind w:firstLine="641"/>
        <w:jc w:val="center"/>
        <w:rPr>
          <w:rFonts w:hint="eastAsia" w:ascii="宋体" w:hAnsi="宋体" w:cs="宋体"/>
          <w:b/>
          <w:bCs/>
          <w:color w:val="auto"/>
          <w:kern w:val="0"/>
          <w:sz w:val="32"/>
          <w:szCs w:val="32"/>
          <w:highlight w:val="none"/>
        </w:rPr>
      </w:pPr>
      <w:bookmarkStart w:id="1352" w:name="_Toc9808"/>
      <w:bookmarkStart w:id="1353" w:name="_Toc7607"/>
      <w:bookmarkStart w:id="1354" w:name="_Toc95223496"/>
      <w:r>
        <w:rPr>
          <w:rFonts w:hint="eastAsia" w:ascii="宋体" w:hAnsi="宋体" w:cs="宋体"/>
          <w:b/>
          <w:bCs/>
          <w:color w:val="auto"/>
          <w:kern w:val="0"/>
          <w:sz w:val="32"/>
          <w:szCs w:val="32"/>
          <w:highlight w:val="none"/>
        </w:rPr>
        <w:t>廉 政 协 议</w:t>
      </w:r>
      <w:bookmarkEnd w:id="1352"/>
      <w:bookmarkEnd w:id="1353"/>
      <w:bookmarkEnd w:id="1354"/>
    </w:p>
    <w:p w14:paraId="4F25658D">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为促进双方诚信经营、廉洁从业，防范商业贿赂，保护国家、集体和当事人的合法权益，根据国家有关法律法规和安徽省、项目所在地廉政建设的规定，</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(以下称甲方)与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(以下称乙方)，特此订立本协议共同遵照执行。</w:t>
      </w:r>
    </w:p>
    <w:p w14:paraId="5E4C5798">
      <w:pPr>
        <w:widowControl/>
        <w:spacing w:line="360" w:lineRule="auto"/>
        <w:ind w:firstLine="420" w:firstLineChars="200"/>
        <w:jc w:val="left"/>
        <w:rPr>
          <w:rFonts w:hint="eastAsia" w:ascii="宋体" w:hAnsi="宋体" w:cs="宋体"/>
          <w:color w:val="auto"/>
          <w:kern w:val="0"/>
          <w:szCs w:val="21"/>
          <w:highlight w:val="none"/>
        </w:rPr>
      </w:pPr>
      <w:bookmarkStart w:id="1355" w:name="_Toc95223497"/>
      <w:bookmarkStart w:id="1356" w:name="_Toc9888"/>
      <w:bookmarkStart w:id="1357" w:name="_Toc21306"/>
      <w:r>
        <w:rPr>
          <w:rFonts w:hint="eastAsia" w:ascii="宋体" w:hAnsi="宋体" w:cs="宋体"/>
          <w:color w:val="auto"/>
          <w:kern w:val="0"/>
          <w:szCs w:val="21"/>
          <w:highlight w:val="none"/>
        </w:rPr>
        <w:t>第一条 甲乙双方的权利和义务</w:t>
      </w:r>
      <w:bookmarkEnd w:id="1355"/>
      <w:bookmarkEnd w:id="1356"/>
      <w:bookmarkEnd w:id="1357"/>
    </w:p>
    <w:p w14:paraId="5205C34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0644BA3D">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（二）严格执行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的合同要求，自觉履行合同约定的相关义务。</w:t>
      </w:r>
    </w:p>
    <w:p w14:paraId="0FAE204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（三）在业务活动中坚持公开、公正、诚信、透明的原则，不得损害国家、集体利益。</w:t>
      </w:r>
    </w:p>
    <w:p w14:paraId="57F2D05B">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（四）建立健全廉政制度，开展廉政教育，公布举报电话，监督并认真查处违法违纪行为。</w:t>
      </w:r>
    </w:p>
    <w:p w14:paraId="2C36D4F4">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（五）发现对方在业务活动中有违反廉政规定的行为，应及时提醒对方纠正。情节严重的，应向其上级有关部门举报、建议给予处理，并有权要求告知处理结果。</w:t>
      </w:r>
    </w:p>
    <w:p w14:paraId="3610F3CF">
      <w:pPr>
        <w:widowControl/>
        <w:spacing w:line="360" w:lineRule="auto"/>
        <w:ind w:firstLine="420" w:firstLineChars="200"/>
        <w:jc w:val="left"/>
        <w:rPr>
          <w:rFonts w:hint="eastAsia" w:ascii="宋体" w:hAnsi="宋体" w:cs="宋体"/>
          <w:color w:val="auto"/>
          <w:kern w:val="0"/>
          <w:szCs w:val="21"/>
          <w:highlight w:val="none"/>
        </w:rPr>
      </w:pPr>
      <w:bookmarkStart w:id="1358" w:name="_Toc3866"/>
      <w:bookmarkStart w:id="1359" w:name="_Toc95223498"/>
      <w:bookmarkStart w:id="1360" w:name="_Toc1917"/>
      <w:r>
        <w:rPr>
          <w:rFonts w:hint="eastAsia" w:ascii="宋体" w:hAnsi="宋体" w:cs="宋体"/>
          <w:color w:val="auto"/>
          <w:kern w:val="0"/>
          <w:szCs w:val="21"/>
          <w:highlight w:val="none"/>
        </w:rPr>
        <w:t>第二条 甲方的义务</w:t>
      </w:r>
      <w:bookmarkEnd w:id="1358"/>
      <w:bookmarkEnd w:id="1359"/>
      <w:bookmarkEnd w:id="1360"/>
    </w:p>
    <w:p w14:paraId="24831FDC">
      <w:pPr>
        <w:widowControl/>
        <w:spacing w:line="360" w:lineRule="auto"/>
        <w:ind w:firstLine="525" w:firstLineChars="2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(一)甲方及其工作人员不得索要或接受乙方的礼金、有价证券和贵重物品，不得在乙方报销任何应由甲方单位或个人支付的费用等。</w:t>
      </w:r>
    </w:p>
    <w:p w14:paraId="7D71B853">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152F8AB4">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 甲方及其工作人员不得要求或者接受乙方为其住房装修、婚丧嫁娶活动、配偶子女工作安排以及出国出境、旅游等提供方便等。</w:t>
      </w:r>
    </w:p>
    <w:p w14:paraId="67BFBA0D">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（四） 甲方工作人员不得在乙方有股权关联的企业兼职，不得向乙方介绍家属或者亲友从事与甲方业务有关的经济活动。</w:t>
      </w:r>
    </w:p>
    <w:p w14:paraId="5F032A96">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3B49B064">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（六）甲方工作人员不得利用职务之便收受乙方以回扣、手续费、加班费、咨询费、劳务费、协调费、辛苦费等各种名义给予或赠送的钱物。</w:t>
      </w:r>
    </w:p>
    <w:p w14:paraId="6CC6FB63">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（七）甲方工作人员不得接受乙方给予或赠送的干股或红利。</w:t>
      </w:r>
    </w:p>
    <w:p w14:paraId="2CDF9258">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（八）甲方任何人不得以个人的名义向乙方推荐设备、部件等供货商以及其他合作单位。</w:t>
      </w:r>
    </w:p>
    <w:p w14:paraId="54B255E1">
      <w:pPr>
        <w:widowControl/>
        <w:spacing w:line="360" w:lineRule="auto"/>
        <w:ind w:firstLine="420" w:firstLineChars="200"/>
        <w:jc w:val="left"/>
        <w:rPr>
          <w:rFonts w:hint="eastAsia" w:ascii="宋体" w:hAnsi="宋体" w:cs="宋体"/>
          <w:color w:val="auto"/>
          <w:kern w:val="0"/>
          <w:szCs w:val="21"/>
          <w:highlight w:val="none"/>
        </w:rPr>
      </w:pPr>
      <w:bookmarkStart w:id="1361" w:name="_Toc10556"/>
      <w:bookmarkStart w:id="1362" w:name="_Toc20831"/>
      <w:bookmarkStart w:id="1363" w:name="_Toc95223499"/>
      <w:r>
        <w:rPr>
          <w:rFonts w:hint="eastAsia" w:ascii="宋体" w:hAnsi="宋体" w:cs="宋体"/>
          <w:color w:val="auto"/>
          <w:kern w:val="0"/>
          <w:szCs w:val="21"/>
          <w:highlight w:val="none"/>
        </w:rPr>
        <w:t>第三条 乙方的义务</w:t>
      </w:r>
      <w:bookmarkEnd w:id="1361"/>
      <w:bookmarkEnd w:id="1362"/>
      <w:bookmarkEnd w:id="1363"/>
    </w:p>
    <w:p w14:paraId="483A6FA2">
      <w:pPr>
        <w:widowControl/>
        <w:spacing w:line="360" w:lineRule="auto"/>
        <w:ind w:firstLine="525" w:firstLineChars="2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(一)乙方不得以任何理由向甲方及其工作人员行贿或馈赠礼金、有价证券、贵重礼品。</w:t>
      </w:r>
    </w:p>
    <w:p w14:paraId="1922FE62">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（二)乙方不得以任何名义为甲方及其工作人员报销应由甲方单位或个人支付的任何费用。</w:t>
      </w:r>
    </w:p>
    <w:p w14:paraId="33E97E87">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(三)乙方不得以任何理由安排甲方工作人员参加可能影响相关业务公开、公正、公平性的宴请及娱乐活动。</w:t>
      </w:r>
    </w:p>
    <w:p w14:paraId="00980D48">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（四）乙方不得为甲方单位和个人购置或提供通讯工具和高档办公用品等物品，也不得为甲方提供与工作无关的房屋、汽车等。</w:t>
      </w:r>
    </w:p>
    <w:p w14:paraId="4D9A2F6F">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（五）乙方不得与甲方工作人员就合同中的质量、数量、价格、工程量、验收等条款进行私下商谈或者达成默契。</w:t>
      </w:r>
    </w:p>
    <w:p w14:paraId="61FB7DF6">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（六）乙方不得以回扣、手续费、加班费、咨询费、劳务费、协调费、辛苦费等各种名义向甲方工作人员给予或赠送钱物。</w:t>
      </w:r>
    </w:p>
    <w:p w14:paraId="24739E07">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（七）乙方不得向甲方工作人员提供干股或红利。</w:t>
      </w:r>
    </w:p>
    <w:p w14:paraId="10853D95">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（八）乙方须按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专项纪检监察工作组(如有)要求开展相关工作。</w:t>
      </w:r>
    </w:p>
    <w:p w14:paraId="0CE8BD22">
      <w:pPr>
        <w:widowControl/>
        <w:spacing w:line="360" w:lineRule="auto"/>
        <w:ind w:firstLine="420" w:firstLineChars="200"/>
        <w:jc w:val="left"/>
        <w:rPr>
          <w:rFonts w:hint="eastAsia" w:ascii="宋体" w:hAnsi="宋体" w:cs="宋体"/>
          <w:color w:val="auto"/>
          <w:kern w:val="0"/>
          <w:szCs w:val="21"/>
          <w:highlight w:val="none"/>
        </w:rPr>
      </w:pPr>
      <w:bookmarkStart w:id="1364" w:name="_Toc14507"/>
      <w:bookmarkStart w:id="1365" w:name="_Toc95223500"/>
      <w:bookmarkStart w:id="1366" w:name="_Toc2198"/>
      <w:r>
        <w:rPr>
          <w:rFonts w:hint="eastAsia" w:ascii="宋体" w:hAnsi="宋体" w:cs="宋体"/>
          <w:color w:val="auto"/>
          <w:kern w:val="0"/>
          <w:szCs w:val="21"/>
          <w:highlight w:val="none"/>
        </w:rPr>
        <w:t>第四条 违约责任</w:t>
      </w:r>
      <w:bookmarkEnd w:id="1364"/>
      <w:bookmarkEnd w:id="1365"/>
      <w:bookmarkEnd w:id="1366"/>
    </w:p>
    <w:p w14:paraId="716D00CC">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3412BBD9">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甲方投诉联系部门：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，联系电话：</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793DFBDA">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（二）乙方及其工作人员违反本协议第一、三条规定。根据具体情节和造成的后果，甲方有权对乙方采取以下一种或多种处理办法：</w:t>
      </w:r>
    </w:p>
    <w:p w14:paraId="42BCBAFC">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 全额收取乙方合同履约保证金不予退还； </w:t>
      </w:r>
    </w:p>
    <w:p w14:paraId="633C2723">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 追究乙方其他违约责任；</w:t>
      </w:r>
    </w:p>
    <w:p w14:paraId="65981312">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 终止或解除双方已签订的包括本合同在内的所有合同；</w:t>
      </w:r>
    </w:p>
    <w:p w14:paraId="50211175">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 乙方一定期限内（6个月至3年，具体由甲方根据情况而定）不得参与甲方作为发包人（业主）的工程项目投标。</w:t>
      </w:r>
    </w:p>
    <w:p w14:paraId="2C1DE2D7">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甲方作出的处理意见，乙方应无条件接受并承担给甲方造成的损失，全额返还通过不正当手段从甲方获取的非法所得，并承担相应的法律责任。</w:t>
      </w:r>
    </w:p>
    <w:p w14:paraId="1B1527B9">
      <w:pPr>
        <w:widowControl/>
        <w:spacing w:line="360" w:lineRule="auto"/>
        <w:ind w:firstLine="420" w:firstLineChars="200"/>
        <w:jc w:val="left"/>
        <w:rPr>
          <w:rFonts w:hint="eastAsia" w:ascii="宋体" w:hAnsi="宋体" w:cs="宋体"/>
          <w:color w:val="auto"/>
          <w:kern w:val="0"/>
          <w:szCs w:val="21"/>
          <w:highlight w:val="none"/>
        </w:rPr>
      </w:pPr>
      <w:bookmarkStart w:id="1367" w:name="_Toc95223501"/>
      <w:bookmarkStart w:id="1368" w:name="_Toc10228"/>
      <w:bookmarkStart w:id="1369" w:name="_Toc2334"/>
      <w:r>
        <w:rPr>
          <w:rFonts w:hint="eastAsia" w:ascii="宋体" w:hAnsi="宋体" w:cs="宋体"/>
          <w:color w:val="auto"/>
          <w:kern w:val="0"/>
          <w:szCs w:val="21"/>
          <w:highlight w:val="none"/>
        </w:rPr>
        <w:t>第五条 双方约定</w:t>
      </w:r>
      <w:bookmarkEnd w:id="1367"/>
      <w:bookmarkEnd w:id="1368"/>
      <w:bookmarkEnd w:id="1369"/>
    </w:p>
    <w:p w14:paraId="5E96C32C">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178FA5DA">
      <w:pPr>
        <w:widowControl/>
        <w:spacing w:line="360" w:lineRule="auto"/>
        <w:ind w:firstLine="420" w:firstLineChars="200"/>
        <w:jc w:val="left"/>
        <w:rPr>
          <w:rFonts w:hint="eastAsia" w:ascii="宋体" w:hAnsi="宋体" w:cs="宋体"/>
          <w:color w:val="auto"/>
          <w:kern w:val="0"/>
          <w:szCs w:val="21"/>
          <w:highlight w:val="none"/>
        </w:rPr>
      </w:pPr>
      <w:bookmarkStart w:id="1370" w:name="_Toc17717"/>
      <w:bookmarkStart w:id="1371" w:name="_Toc32140"/>
      <w:bookmarkStart w:id="1372" w:name="_Toc95223502"/>
      <w:r>
        <w:rPr>
          <w:rFonts w:hint="eastAsia" w:ascii="宋体" w:hAnsi="宋体" w:cs="宋体"/>
          <w:color w:val="auto"/>
          <w:kern w:val="0"/>
          <w:szCs w:val="21"/>
          <w:highlight w:val="none"/>
        </w:rPr>
        <w:t>第六条  本协议有效期为甲乙双方签署之日起至合同终止。</w:t>
      </w:r>
      <w:bookmarkEnd w:id="1370"/>
      <w:bookmarkEnd w:id="1371"/>
      <w:bookmarkEnd w:id="1372"/>
      <w:r>
        <w:rPr>
          <w:rFonts w:hint="eastAsia" w:ascii="宋体" w:hAnsi="宋体" w:cs="宋体"/>
          <w:color w:val="auto"/>
          <w:kern w:val="0"/>
          <w:szCs w:val="21"/>
          <w:highlight w:val="none"/>
        </w:rPr>
        <w:t xml:space="preserve">  </w:t>
      </w:r>
    </w:p>
    <w:p w14:paraId="1C07AE48">
      <w:pPr>
        <w:widowControl/>
        <w:spacing w:line="360" w:lineRule="auto"/>
        <w:ind w:firstLine="420" w:firstLineChars="200"/>
        <w:jc w:val="left"/>
        <w:rPr>
          <w:rFonts w:hint="eastAsia" w:ascii="宋体" w:hAnsi="宋体" w:cs="宋体"/>
          <w:color w:val="auto"/>
          <w:kern w:val="0"/>
          <w:szCs w:val="21"/>
          <w:highlight w:val="none"/>
        </w:rPr>
      </w:pPr>
      <w:bookmarkStart w:id="1373" w:name="_Toc1871"/>
      <w:bookmarkStart w:id="1374" w:name="_Toc24032"/>
      <w:bookmarkStart w:id="1375" w:name="_Toc95223503"/>
      <w:r>
        <w:rPr>
          <w:rFonts w:hint="eastAsia" w:ascii="宋体" w:hAnsi="宋体" w:cs="宋体"/>
          <w:color w:val="auto"/>
          <w:kern w:val="0"/>
          <w:szCs w:val="21"/>
          <w:highlight w:val="none"/>
        </w:rPr>
        <w:t>第七条  本协议作为合同的附件，与本合同具有同等法律效力。</w:t>
      </w:r>
      <w:bookmarkEnd w:id="1373"/>
      <w:bookmarkEnd w:id="1374"/>
      <w:bookmarkEnd w:id="1375"/>
    </w:p>
    <w:p w14:paraId="48B4BFA8">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p>
    <w:p w14:paraId="7B2330F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甲方（盖章）：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乙方（盖章）：</w:t>
      </w:r>
      <w:r>
        <w:rPr>
          <w:rFonts w:hint="eastAsia" w:ascii="宋体" w:hAnsi="宋体" w:cs="宋体"/>
          <w:color w:val="auto"/>
          <w:kern w:val="0"/>
          <w:szCs w:val="21"/>
          <w:highlight w:val="none"/>
          <w:u w:val="single"/>
        </w:rPr>
        <w:t xml:space="preserve">                      </w:t>
      </w:r>
    </w:p>
    <w:p w14:paraId="63349F9A">
      <w:pPr>
        <w:widowControl/>
        <w:spacing w:line="360" w:lineRule="auto"/>
        <w:ind w:firstLine="420" w:firstLineChars="200"/>
        <w:jc w:val="left"/>
        <w:rPr>
          <w:rFonts w:hint="eastAsia" w:ascii="宋体" w:hAnsi="宋体" w:cs="宋体"/>
          <w:color w:val="auto"/>
          <w:kern w:val="0"/>
          <w:szCs w:val="21"/>
          <w:highlight w:val="none"/>
        </w:rPr>
      </w:pPr>
    </w:p>
    <w:p w14:paraId="47F8872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                                法定代表人或</w:t>
      </w:r>
    </w:p>
    <w:p w14:paraId="0B35591B">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授权代表：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(职务)              授权代表：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(职务)</w:t>
      </w:r>
    </w:p>
    <w:p w14:paraId="4115D2E8">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姓名：</w:t>
      </w:r>
      <w:r>
        <w:rPr>
          <w:rFonts w:hint="eastAsia" w:ascii="宋体" w:hAnsi="宋体" w:cs="宋体"/>
          <w:color w:val="auto"/>
          <w:kern w:val="0"/>
          <w:szCs w:val="21"/>
          <w:highlight w:val="none"/>
          <w:u w:val="single"/>
        </w:rPr>
        <w:t xml:space="preserve">             </w:t>
      </w:r>
    </w:p>
    <w:p w14:paraId="2B3AC7C7">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签字：</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签字：</w:t>
      </w:r>
      <w:r>
        <w:rPr>
          <w:rFonts w:hint="eastAsia" w:ascii="宋体" w:hAnsi="宋体" w:cs="宋体"/>
          <w:color w:val="auto"/>
          <w:kern w:val="0"/>
          <w:szCs w:val="21"/>
          <w:highlight w:val="none"/>
          <w:u w:val="single"/>
        </w:rPr>
        <w:t xml:space="preserve">             </w:t>
      </w:r>
    </w:p>
    <w:p w14:paraId="39C2D75D">
      <w:pPr>
        <w:widowControl/>
        <w:spacing w:line="360" w:lineRule="auto"/>
        <w:ind w:firstLine="420" w:firstLineChars="200"/>
        <w:jc w:val="left"/>
        <w:rPr>
          <w:rFonts w:hint="eastAsia" w:ascii="宋体" w:hAnsi="宋体" w:cs="宋体"/>
          <w:color w:val="auto"/>
          <w:kern w:val="0"/>
          <w:szCs w:val="21"/>
          <w:highlight w:val="none"/>
        </w:rPr>
      </w:pPr>
    </w:p>
    <w:p w14:paraId="4B3C686B">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廉政监督联系人                              廉政监督联系人</w:t>
      </w:r>
    </w:p>
    <w:p w14:paraId="14920FAC">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姓名：</w:t>
      </w:r>
      <w:r>
        <w:rPr>
          <w:rFonts w:hint="eastAsia" w:ascii="宋体" w:hAnsi="宋体" w:cs="宋体"/>
          <w:color w:val="auto"/>
          <w:kern w:val="0"/>
          <w:szCs w:val="21"/>
          <w:highlight w:val="none"/>
          <w:u w:val="single"/>
        </w:rPr>
        <w:t xml:space="preserve">                       </w:t>
      </w:r>
    </w:p>
    <w:p w14:paraId="14661683">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签字：</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签字：</w:t>
      </w:r>
      <w:r>
        <w:rPr>
          <w:rFonts w:hint="eastAsia" w:ascii="宋体" w:hAnsi="宋体" w:cs="宋体"/>
          <w:color w:val="auto"/>
          <w:kern w:val="0"/>
          <w:szCs w:val="21"/>
          <w:highlight w:val="none"/>
          <w:u w:val="single"/>
        </w:rPr>
        <w:t xml:space="preserve">                       </w:t>
      </w:r>
    </w:p>
    <w:p w14:paraId="7FFCD2E2">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电话：</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电话：</w:t>
      </w:r>
      <w:r>
        <w:rPr>
          <w:rFonts w:hint="eastAsia" w:ascii="宋体" w:hAnsi="宋体" w:cs="宋体"/>
          <w:color w:val="auto"/>
          <w:kern w:val="0"/>
          <w:szCs w:val="21"/>
          <w:highlight w:val="none"/>
          <w:u w:val="single"/>
        </w:rPr>
        <w:t xml:space="preserve">                       </w:t>
      </w:r>
    </w:p>
    <w:p w14:paraId="48D2E51E">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地址：</w:t>
      </w:r>
      <w:r>
        <w:rPr>
          <w:rFonts w:hint="eastAsia" w:ascii="宋体" w:hAnsi="宋体" w:cs="宋体"/>
          <w:color w:val="auto"/>
          <w:kern w:val="0"/>
          <w:szCs w:val="21"/>
          <w:highlight w:val="none"/>
          <w:u w:val="single"/>
        </w:rPr>
        <w:t xml:space="preserve">                       </w:t>
      </w:r>
    </w:p>
    <w:p w14:paraId="508F6E5C">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日期：</w:t>
      </w:r>
      <w:r>
        <w:rPr>
          <w:rFonts w:hint="eastAsia" w:ascii="宋体" w:hAnsi="宋体" w:cs="宋体"/>
          <w:color w:val="auto"/>
          <w:kern w:val="0"/>
          <w:szCs w:val="21"/>
          <w:highlight w:val="none"/>
          <w:u w:val="single"/>
        </w:rPr>
        <w:t xml:space="preserve">                       </w:t>
      </w:r>
    </w:p>
    <w:p w14:paraId="703B1721">
      <w:pPr>
        <w:keepNext/>
        <w:keepLines/>
        <w:spacing w:before="120" w:after="120" w:line="360" w:lineRule="auto"/>
        <w:jc w:val="left"/>
        <w:outlineLvl w:val="2"/>
        <w:rPr>
          <w:rFonts w:hint="eastAsia" w:ascii="宋体" w:hAnsi="宋体" w:cs="宋体"/>
          <w:color w:val="auto"/>
          <w:szCs w:val="21"/>
          <w:highlight w:val="none"/>
        </w:rPr>
      </w:pPr>
      <w:r>
        <w:rPr>
          <w:rFonts w:hint="eastAsia" w:ascii="宋体" w:hAnsi="宋体" w:cs="宋体"/>
          <w:bCs/>
          <w:color w:val="auto"/>
          <w:kern w:val="0"/>
          <w:sz w:val="24"/>
          <w:szCs w:val="21"/>
          <w:highlight w:val="none"/>
        </w:rPr>
        <w:br w:type="page"/>
      </w:r>
      <w:bookmarkStart w:id="1376" w:name="_Toc95223504"/>
      <w:r>
        <w:rPr>
          <w:rFonts w:hint="eastAsia" w:ascii="宋体" w:hAnsi="宋体" w:cs="宋体"/>
          <w:bCs/>
          <w:color w:val="auto"/>
          <w:sz w:val="24"/>
          <w:highlight w:val="none"/>
        </w:rPr>
        <w:t>附件9：履约保证金</w:t>
      </w:r>
      <w:bookmarkEnd w:id="1376"/>
    </w:p>
    <w:p w14:paraId="6A4B5A85">
      <w:pPr>
        <w:adjustRightInd w:val="0"/>
        <w:snapToGrid w:val="0"/>
        <w:spacing w:line="360" w:lineRule="auto"/>
        <w:jc w:val="center"/>
        <w:rPr>
          <w:rFonts w:hint="eastAsia" w:ascii="宋体" w:hAnsi="宋体" w:cs="宋体"/>
          <w:b/>
          <w:bCs/>
          <w:color w:val="auto"/>
          <w:sz w:val="32"/>
          <w:szCs w:val="32"/>
          <w:highlight w:val="none"/>
        </w:rPr>
      </w:pPr>
      <w:bookmarkStart w:id="1377" w:name="_Toc8655"/>
      <w:bookmarkStart w:id="1378" w:name="_Toc25855"/>
      <w:bookmarkStart w:id="1379" w:name="_Toc95223505"/>
      <w:r>
        <w:rPr>
          <w:rFonts w:hint="eastAsia" w:ascii="宋体" w:hAnsi="宋体" w:cs="宋体"/>
          <w:b/>
          <w:bCs/>
          <w:color w:val="auto"/>
          <w:sz w:val="32"/>
          <w:szCs w:val="32"/>
          <w:highlight w:val="none"/>
        </w:rPr>
        <w:t>履约保函示范文本</w:t>
      </w:r>
      <w:bookmarkEnd w:id="1377"/>
      <w:bookmarkEnd w:id="1378"/>
      <w:bookmarkEnd w:id="1379"/>
    </w:p>
    <w:p w14:paraId="1A2CBAA2">
      <w:pPr>
        <w:wordWrap w:val="0"/>
        <w:adjustRightInd w:val="0"/>
        <w:snapToGrid w:val="0"/>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 xml:space="preserve">编号：           </w:t>
      </w:r>
    </w:p>
    <w:p w14:paraId="736C87A2">
      <w:pPr>
        <w:adjustRightInd w:val="0"/>
        <w:snapToGrid w:val="0"/>
        <w:spacing w:line="360" w:lineRule="auto"/>
        <w:rPr>
          <w:rFonts w:hint="eastAsia" w:ascii="宋体" w:hAnsi="宋体" w:cs="宋体"/>
          <w:color w:val="auto"/>
          <w:szCs w:val="21"/>
          <w:highlight w:val="none"/>
        </w:rPr>
      </w:pPr>
    </w:p>
    <w:p w14:paraId="6BE91FD9">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（受益人名称）： </w:t>
      </w:r>
    </w:p>
    <w:p w14:paraId="1C09236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（以下简称“受益人”）与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（以下简称“申请人”）于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日就</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（标段编号）的</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（标段名称）</w:t>
      </w:r>
      <w:r>
        <w:rPr>
          <w:rFonts w:hint="eastAsia" w:ascii="宋体" w:hAnsi="宋体" w:cs="宋体"/>
          <w:color w:val="auto"/>
          <w:szCs w:val="21"/>
          <w:highlight w:val="none"/>
        </w:rPr>
        <w:t>有关事项协商一致共同签订</w:t>
      </w:r>
      <w:r>
        <w:rPr>
          <w:rFonts w:hint="eastAsia" w:ascii="宋体" w:hAnsi="宋体" w:cs="宋体"/>
          <w:color w:val="auto"/>
          <w:szCs w:val="21"/>
          <w:highlight w:val="none"/>
          <w:u w:val="single"/>
        </w:rPr>
        <w:t>《        》</w:t>
      </w:r>
      <w:r>
        <w:rPr>
          <w:rFonts w:hint="eastAsia" w:ascii="宋体" w:hAnsi="宋体" w:cs="宋体"/>
          <w:color w:val="auto"/>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19452FE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一、本保函担保范围：承包人未按照基础合同的约定履行义务，应当向受益人承担的违约责任和赔偿因此造成的损失、利息、律师费、诉讼费用等实现债权的费用。</w:t>
      </w:r>
    </w:p>
    <w:p w14:paraId="6AE640E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二、本保函担保金额最高不超过人民币（大写）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24A13E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三、本保函有效期自开立之日起至基础合同约定的缺陷责任期满之日止。 </w:t>
      </w:r>
    </w:p>
    <w:p w14:paraId="7AA55E4F">
      <w:pPr>
        <w:adjustRightInd w:val="0"/>
        <w:snapToGrid w:val="0"/>
        <w:spacing w:line="360" w:lineRule="auto"/>
        <w:ind w:firstLine="480"/>
        <w:rPr>
          <w:rFonts w:hint="eastAsia" w:ascii="宋体" w:hAnsi="宋体" w:cs="宋体"/>
          <w:color w:val="auto"/>
          <w:szCs w:val="21"/>
          <w:highlight w:val="none"/>
        </w:rPr>
      </w:pPr>
      <w:bookmarkStart w:id="1380" w:name="_Hlk40302764"/>
      <w:r>
        <w:rPr>
          <w:rFonts w:hint="eastAsia" w:ascii="宋体" w:hAnsi="宋体" w:cs="宋体"/>
          <w:color w:val="auto"/>
          <w:szCs w:val="21"/>
          <w:highlight w:val="none"/>
        </w:rPr>
        <w:t>四、开立人承诺，在收到受益人发来的书面付款通知后的七日内无条件支付，前述书面付款通知即为付款要求之单据，且应满足以下要求：</w:t>
      </w:r>
    </w:p>
    <w:bookmarkEnd w:id="1380"/>
    <w:p w14:paraId="3376949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（1）付款通知到达的日期在本保函的有效期内；</w:t>
      </w:r>
    </w:p>
    <w:p w14:paraId="2CE9F4F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（2）载明要求支付的金额；</w:t>
      </w:r>
    </w:p>
    <w:p w14:paraId="7EF8816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（3）载明申请人违反合同义务的条款和内容；</w:t>
      </w:r>
    </w:p>
    <w:p w14:paraId="5900B3B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（4）声明不存在合同文件约定或我国法律规定免除申请人或开立人支付责任的情形；</w:t>
      </w:r>
    </w:p>
    <w:p w14:paraId="2E3D6B6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（5）付款通知应在本保函有效期内到达的地址是：</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418B6FF">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bookmarkStart w:id="1381" w:name="_Hlk40303486"/>
      <w:r>
        <w:rPr>
          <w:rFonts w:hint="eastAsia" w:ascii="宋体" w:hAnsi="宋体" w:cs="宋体"/>
          <w:color w:val="auto"/>
          <w:szCs w:val="21"/>
          <w:highlight w:val="none"/>
        </w:rPr>
        <w:t>受益人发出的书面付款通知应由其法定代表人（负责人）或授权代理人签字并加盖公章。</w:t>
      </w:r>
      <w:bookmarkEnd w:id="1381"/>
    </w:p>
    <w:p w14:paraId="7F0064D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五、本保函项下的权利不得转让，不得设定担保。受益人未经我方书面同意转 让本保函或其项下任何权利，对我方不发生法律效力。 </w:t>
      </w:r>
    </w:p>
    <w:p w14:paraId="6EC0CA8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六、与本保函有关的基础合同不成立、不生效、无效、被撤销、被解除，不影响本保函的独立有效。 </w:t>
      </w:r>
    </w:p>
    <w:p w14:paraId="12C1989B">
      <w:pPr>
        <w:adjustRightInd w:val="0"/>
        <w:snapToGrid w:val="0"/>
        <w:spacing w:line="360" w:lineRule="auto"/>
        <w:ind w:firstLine="420" w:firstLineChars="200"/>
        <w:rPr>
          <w:rFonts w:hint="eastAsia" w:ascii="宋体" w:hAnsi="宋体" w:cs="宋体"/>
          <w:color w:val="auto"/>
          <w:szCs w:val="21"/>
          <w:highlight w:val="none"/>
        </w:rPr>
      </w:pPr>
      <w:bookmarkStart w:id="1382" w:name="_Hlk40303383"/>
      <w:bookmarkStart w:id="1383" w:name="_Hlk40354981"/>
      <w:r>
        <w:rPr>
          <w:rFonts w:hint="eastAsia" w:ascii="宋体" w:hAnsi="宋体" w:cs="宋体"/>
          <w:color w:val="auto"/>
          <w:szCs w:val="21"/>
          <w:highlight w:val="none"/>
        </w:rPr>
        <w:t xml:space="preserve">七、本保函项下的义务和责任均在保函有效期到期后自动消灭。 </w:t>
      </w:r>
    </w:p>
    <w:p w14:paraId="788DE17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八、本保函适用的法律为中华人民共和国法律，因本保函产生的纠纷案件，</w:t>
      </w:r>
      <w:bookmarkEnd w:id="1382"/>
      <w:r>
        <w:rPr>
          <w:rFonts w:hint="eastAsia" w:ascii="宋体" w:hAnsi="宋体" w:cs="宋体"/>
          <w:color w:val="auto"/>
          <w:szCs w:val="21"/>
          <w:highlight w:val="none"/>
        </w:rPr>
        <w:t xml:space="preserve">由受益人所在地人民法院管辖。 </w:t>
      </w:r>
    </w:p>
    <w:bookmarkEnd w:id="1383"/>
    <w:p w14:paraId="790B098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九、本保函自我方法定代表人或授权代表签字并加盖公章之日起生效。 </w:t>
      </w:r>
    </w:p>
    <w:p w14:paraId="3CA42B8B">
      <w:pPr>
        <w:adjustRightInd w:val="0"/>
        <w:snapToGrid w:val="0"/>
        <w:spacing w:line="360" w:lineRule="auto"/>
        <w:ind w:firstLine="420" w:firstLineChars="200"/>
        <w:rPr>
          <w:rFonts w:hint="eastAsia" w:ascii="宋体" w:hAnsi="宋体" w:cs="宋体"/>
          <w:color w:val="auto"/>
          <w:szCs w:val="21"/>
          <w:highlight w:val="none"/>
        </w:rPr>
      </w:pPr>
    </w:p>
    <w:p w14:paraId="17C55B59">
      <w:pPr>
        <w:adjustRightInd w:val="0"/>
        <w:snapToGrid w:val="0"/>
        <w:spacing w:line="360" w:lineRule="auto"/>
        <w:ind w:firstLine="420" w:firstLineChars="200"/>
        <w:rPr>
          <w:rFonts w:hint="eastAsia" w:ascii="宋体" w:hAnsi="宋体" w:cs="宋体"/>
          <w:color w:val="auto"/>
          <w:szCs w:val="21"/>
          <w:highlight w:val="none"/>
        </w:rPr>
      </w:pPr>
    </w:p>
    <w:p w14:paraId="2F968949">
      <w:pPr>
        <w:adjustRightInd w:val="0"/>
        <w:snapToGrid w:val="0"/>
        <w:spacing w:line="360" w:lineRule="auto"/>
        <w:ind w:firstLine="420" w:firstLineChars="200"/>
        <w:rPr>
          <w:rFonts w:hint="eastAsia" w:ascii="宋体" w:hAnsi="宋体" w:cs="宋体"/>
          <w:color w:val="auto"/>
          <w:szCs w:val="21"/>
          <w:highlight w:val="none"/>
        </w:rPr>
      </w:pPr>
    </w:p>
    <w:p w14:paraId="337F37D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 立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（公章） </w:t>
      </w:r>
    </w:p>
    <w:p w14:paraId="26ED97C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法定代表人（或授权代表）：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（签字） </w:t>
      </w:r>
    </w:p>
    <w:p w14:paraId="601D3C8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10573CB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p>
    <w:p w14:paraId="1AD5899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p>
    <w:p w14:paraId="09A9C876">
      <w:pPr>
        <w:adjustRightInd w:val="0"/>
        <w:snapToGrid w:val="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14:paraId="1BF1F6CB">
      <w:pPr>
        <w:adjustRightInd w:val="0"/>
        <w:snapToGrid w:val="0"/>
        <w:spacing w:line="360" w:lineRule="auto"/>
        <w:ind w:left="1323" w:leftChars="200" w:hanging="903" w:hangingChars="430"/>
        <w:rPr>
          <w:rFonts w:hint="eastAsia" w:ascii="宋体" w:hAnsi="宋体" w:cs="宋体"/>
          <w:color w:val="auto"/>
          <w:szCs w:val="21"/>
          <w:highlight w:val="none"/>
        </w:rPr>
      </w:pPr>
      <w:r>
        <w:rPr>
          <w:rFonts w:hint="eastAsia" w:ascii="宋体" w:hAnsi="宋体" w:cs="宋体"/>
          <w:color w:val="auto"/>
          <w:szCs w:val="21"/>
          <w:highlight w:val="none"/>
        </w:rPr>
        <w:t>开立时间：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CBDD169">
      <w:pPr>
        <w:spacing w:line="360" w:lineRule="auto"/>
        <w:ind w:left="1329" w:hanging="1329" w:hangingChars="633"/>
        <w:rPr>
          <w:rFonts w:hint="eastAsia" w:ascii="宋体" w:hAnsi="宋体" w:cs="宋体"/>
          <w:color w:val="auto"/>
          <w:szCs w:val="21"/>
          <w:highlight w:val="none"/>
        </w:rPr>
      </w:pPr>
    </w:p>
    <w:p w14:paraId="5D644268">
      <w:pPr>
        <w:pStyle w:val="19"/>
        <w:rPr>
          <w:rFonts w:hint="eastAsia"/>
          <w:color w:val="auto"/>
          <w:highlight w:val="none"/>
        </w:rPr>
      </w:pPr>
    </w:p>
    <w:p w14:paraId="4D40A861">
      <w:pPr>
        <w:rPr>
          <w:rFonts w:hint="eastAsia"/>
          <w:color w:val="auto"/>
          <w:highlight w:val="none"/>
        </w:rPr>
      </w:pPr>
    </w:p>
    <w:p w14:paraId="3C48E3B0">
      <w:pPr>
        <w:pStyle w:val="19"/>
        <w:rPr>
          <w:rFonts w:hint="eastAsia"/>
          <w:color w:val="auto"/>
          <w:highlight w:val="none"/>
        </w:rPr>
      </w:pPr>
    </w:p>
    <w:p w14:paraId="1B7A9391">
      <w:pPr>
        <w:rPr>
          <w:rFonts w:hint="eastAsia"/>
          <w:color w:val="auto"/>
          <w:highlight w:val="none"/>
        </w:rPr>
      </w:pPr>
    </w:p>
    <w:p w14:paraId="30872000">
      <w:pPr>
        <w:pStyle w:val="19"/>
        <w:rPr>
          <w:rFonts w:hint="eastAsia"/>
          <w:color w:val="auto"/>
          <w:highlight w:val="none"/>
        </w:rPr>
      </w:pPr>
    </w:p>
    <w:p w14:paraId="4D58B1B1">
      <w:pPr>
        <w:rPr>
          <w:rFonts w:hint="eastAsia"/>
          <w:color w:val="auto"/>
          <w:highlight w:val="none"/>
        </w:rPr>
      </w:pPr>
    </w:p>
    <w:p w14:paraId="4BFCFC13">
      <w:pPr>
        <w:pStyle w:val="19"/>
        <w:rPr>
          <w:rFonts w:hint="eastAsia"/>
          <w:color w:val="auto"/>
          <w:highlight w:val="none"/>
        </w:rPr>
      </w:pPr>
    </w:p>
    <w:p w14:paraId="6EF72C96">
      <w:pPr>
        <w:rPr>
          <w:rFonts w:hint="eastAsia"/>
          <w:color w:val="auto"/>
          <w:highlight w:val="none"/>
        </w:rPr>
      </w:pPr>
    </w:p>
    <w:p w14:paraId="524BDDB6">
      <w:pPr>
        <w:pStyle w:val="19"/>
        <w:rPr>
          <w:rFonts w:hint="eastAsia"/>
          <w:color w:val="auto"/>
          <w:highlight w:val="none"/>
        </w:rPr>
      </w:pPr>
    </w:p>
    <w:p w14:paraId="39DB0928">
      <w:pPr>
        <w:rPr>
          <w:rFonts w:hint="eastAsia"/>
          <w:color w:val="auto"/>
          <w:highlight w:val="none"/>
        </w:rPr>
      </w:pPr>
    </w:p>
    <w:p w14:paraId="175048F3">
      <w:pPr>
        <w:pStyle w:val="19"/>
        <w:rPr>
          <w:rFonts w:hint="eastAsia"/>
          <w:color w:val="auto"/>
          <w:highlight w:val="none"/>
        </w:rPr>
      </w:pPr>
    </w:p>
    <w:p w14:paraId="50830132">
      <w:pPr>
        <w:rPr>
          <w:rFonts w:hint="eastAsia"/>
          <w:color w:val="auto"/>
          <w:highlight w:val="none"/>
        </w:rPr>
      </w:pPr>
    </w:p>
    <w:p w14:paraId="604C24C4">
      <w:pPr>
        <w:pStyle w:val="19"/>
        <w:rPr>
          <w:rFonts w:hint="eastAsia"/>
          <w:color w:val="auto"/>
          <w:highlight w:val="none"/>
        </w:rPr>
      </w:pPr>
    </w:p>
    <w:p w14:paraId="273E127A">
      <w:pPr>
        <w:rPr>
          <w:rFonts w:hint="eastAsia"/>
          <w:color w:val="auto"/>
          <w:highlight w:val="none"/>
        </w:rPr>
      </w:pPr>
    </w:p>
    <w:p w14:paraId="1E5F3831">
      <w:pPr>
        <w:pStyle w:val="19"/>
        <w:rPr>
          <w:rFonts w:hint="eastAsia"/>
          <w:color w:val="auto"/>
          <w:highlight w:val="none"/>
        </w:rPr>
      </w:pPr>
    </w:p>
    <w:p w14:paraId="548F73C4">
      <w:pPr>
        <w:rPr>
          <w:rFonts w:hint="eastAsia"/>
          <w:color w:val="auto"/>
          <w:highlight w:val="none"/>
        </w:rPr>
      </w:pPr>
    </w:p>
    <w:p w14:paraId="262973E6">
      <w:pPr>
        <w:pStyle w:val="19"/>
        <w:rPr>
          <w:rFonts w:hint="eastAsia"/>
          <w:color w:val="auto"/>
          <w:highlight w:val="none"/>
        </w:rPr>
      </w:pPr>
    </w:p>
    <w:p w14:paraId="5B35CFF6">
      <w:pPr>
        <w:rPr>
          <w:rFonts w:hint="eastAsia"/>
          <w:color w:val="auto"/>
          <w:highlight w:val="none"/>
        </w:rPr>
      </w:pPr>
    </w:p>
    <w:p w14:paraId="569DB6AC">
      <w:pPr>
        <w:pStyle w:val="19"/>
        <w:rPr>
          <w:rFonts w:hint="eastAsia"/>
          <w:color w:val="auto"/>
          <w:highlight w:val="none"/>
        </w:rPr>
      </w:pPr>
    </w:p>
    <w:p w14:paraId="599590B4">
      <w:pPr>
        <w:rPr>
          <w:rFonts w:hint="eastAsia"/>
          <w:color w:val="auto"/>
          <w:highlight w:val="none"/>
        </w:rPr>
      </w:pPr>
    </w:p>
    <w:p w14:paraId="484AD6BF">
      <w:pPr>
        <w:pStyle w:val="19"/>
        <w:rPr>
          <w:rFonts w:hint="eastAsia"/>
          <w:color w:val="auto"/>
          <w:highlight w:val="none"/>
        </w:rPr>
      </w:pPr>
    </w:p>
    <w:p w14:paraId="06AD0968">
      <w:pPr>
        <w:rPr>
          <w:rFonts w:hint="eastAsia"/>
          <w:color w:val="auto"/>
          <w:highlight w:val="none"/>
        </w:rPr>
      </w:pPr>
    </w:p>
    <w:p w14:paraId="22941FE6">
      <w:pPr>
        <w:pStyle w:val="19"/>
        <w:rPr>
          <w:rFonts w:hint="eastAsia"/>
          <w:color w:val="auto"/>
          <w:highlight w:val="none"/>
        </w:rPr>
      </w:pPr>
    </w:p>
    <w:p w14:paraId="7015D518">
      <w:pPr>
        <w:pStyle w:val="19"/>
        <w:ind w:left="0" w:leftChars="0" w:firstLine="0" w:firstLineChars="0"/>
        <w:rPr>
          <w:rFonts w:hint="eastAsia"/>
          <w:color w:val="auto"/>
          <w:highlight w:val="none"/>
        </w:rPr>
      </w:pPr>
    </w:p>
    <w:p w14:paraId="3BD92A67">
      <w:pPr>
        <w:pStyle w:val="19"/>
        <w:rPr>
          <w:rFonts w:hint="eastAsia"/>
          <w:color w:val="auto"/>
          <w:highlight w:val="none"/>
        </w:rPr>
      </w:pPr>
    </w:p>
    <w:p w14:paraId="7A5EABDB">
      <w:pPr>
        <w:rPr>
          <w:rFonts w:hint="eastAsia"/>
          <w:color w:val="auto"/>
          <w:highlight w:val="none"/>
        </w:rPr>
      </w:pPr>
    </w:p>
    <w:p w14:paraId="575112C0">
      <w:pPr>
        <w:pStyle w:val="19"/>
        <w:rPr>
          <w:rFonts w:hint="eastAsia"/>
          <w:color w:val="auto"/>
          <w:highlight w:val="none"/>
        </w:rPr>
      </w:pPr>
    </w:p>
    <w:p w14:paraId="06E495EB">
      <w:pPr>
        <w:rPr>
          <w:rFonts w:hint="eastAsia"/>
          <w:color w:val="auto"/>
          <w:highlight w:val="none"/>
        </w:rPr>
      </w:pPr>
    </w:p>
    <w:p w14:paraId="3CFDC096">
      <w:pPr>
        <w:pStyle w:val="19"/>
        <w:rPr>
          <w:rFonts w:hint="eastAsia"/>
          <w:color w:val="auto"/>
          <w:highlight w:val="none"/>
        </w:rPr>
      </w:pPr>
    </w:p>
    <w:p w14:paraId="042BAB58">
      <w:pPr>
        <w:rPr>
          <w:rFonts w:hint="eastAsia"/>
          <w:color w:val="auto"/>
          <w:highlight w:val="none"/>
        </w:rPr>
      </w:pPr>
    </w:p>
    <w:p w14:paraId="3060123A">
      <w:pPr>
        <w:pStyle w:val="19"/>
        <w:rPr>
          <w:rFonts w:hint="eastAsia"/>
          <w:color w:val="auto"/>
          <w:highlight w:val="none"/>
        </w:rPr>
      </w:pPr>
    </w:p>
    <w:p w14:paraId="179167A7">
      <w:pPr>
        <w:rPr>
          <w:rFonts w:hint="eastAsia"/>
          <w:color w:val="auto"/>
          <w:highlight w:val="none"/>
        </w:rPr>
      </w:pPr>
    </w:p>
    <w:p w14:paraId="47169063">
      <w:pPr>
        <w:pStyle w:val="19"/>
        <w:rPr>
          <w:rFonts w:hint="eastAsia"/>
          <w:color w:val="auto"/>
          <w:highlight w:val="none"/>
        </w:rPr>
      </w:pPr>
    </w:p>
    <w:p w14:paraId="10C80204">
      <w:pPr>
        <w:spacing w:line="360" w:lineRule="auto"/>
        <w:rPr>
          <w:rFonts w:hint="eastAsia" w:ascii="宋体" w:hAnsi="宋体" w:cs="宋体"/>
          <w:color w:val="auto"/>
          <w:szCs w:val="21"/>
          <w:highlight w:val="none"/>
        </w:rPr>
      </w:pPr>
    </w:p>
    <w:p w14:paraId="450BE25C">
      <w:pPr>
        <w:keepNext/>
        <w:keepLines/>
        <w:spacing w:before="120" w:after="120" w:line="360" w:lineRule="auto"/>
        <w:jc w:val="left"/>
        <w:outlineLvl w:val="2"/>
        <w:rPr>
          <w:rFonts w:ascii="宋体" w:hAnsi="宋体" w:cs="宋体"/>
          <w:bCs/>
          <w:color w:val="auto"/>
          <w:sz w:val="24"/>
          <w:highlight w:val="none"/>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bookmarkStart w:id="1384" w:name="_Toc95223508"/>
    </w:p>
    <w:p w14:paraId="20858844">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t>附</w:t>
      </w:r>
      <w:bookmarkStart w:id="1385" w:name="_Toc296891061"/>
      <w:bookmarkStart w:id="1386" w:name="_Toc296891273"/>
      <w:bookmarkStart w:id="1387" w:name="_Toc296347232"/>
      <w:bookmarkStart w:id="1388" w:name="_Toc296346734"/>
      <w:bookmarkStart w:id="1389" w:name="_Toc296503233"/>
      <w:bookmarkStart w:id="1390" w:name="_Toc296944572"/>
      <w:r>
        <w:rPr>
          <w:rFonts w:hint="eastAsia" w:ascii="宋体" w:hAnsi="宋体" w:cs="宋体"/>
          <w:bCs/>
          <w:color w:val="auto"/>
          <w:sz w:val="24"/>
          <w:highlight w:val="none"/>
        </w:rPr>
        <w:t>件10：支付担保</w:t>
      </w:r>
      <w:bookmarkEnd w:id="1384"/>
      <w:bookmarkEnd w:id="1385"/>
      <w:bookmarkEnd w:id="1386"/>
      <w:bookmarkEnd w:id="1387"/>
      <w:bookmarkEnd w:id="1388"/>
      <w:bookmarkEnd w:id="1389"/>
      <w:bookmarkEnd w:id="1390"/>
    </w:p>
    <w:p w14:paraId="1CAFDF2A">
      <w:pPr>
        <w:adjustRightInd w:val="0"/>
        <w:snapToGrid w:val="0"/>
        <w:spacing w:line="360" w:lineRule="auto"/>
        <w:jc w:val="center"/>
        <w:rPr>
          <w:rFonts w:hint="eastAsia" w:ascii="宋体" w:hAnsi="宋体" w:cs="宋体"/>
          <w:b/>
          <w:bCs/>
          <w:color w:val="auto"/>
          <w:sz w:val="32"/>
          <w:szCs w:val="32"/>
          <w:highlight w:val="none"/>
        </w:rPr>
      </w:pPr>
      <w:bookmarkStart w:id="1391" w:name="_Toc95223509"/>
      <w:bookmarkStart w:id="1392" w:name="_Toc8319"/>
      <w:bookmarkStart w:id="1393" w:name="_Toc3562"/>
      <w:r>
        <w:rPr>
          <w:rFonts w:hint="eastAsia" w:ascii="宋体" w:hAnsi="宋体" w:cs="宋体"/>
          <w:b/>
          <w:bCs/>
          <w:color w:val="auto"/>
          <w:sz w:val="32"/>
          <w:szCs w:val="32"/>
          <w:highlight w:val="none"/>
        </w:rPr>
        <w:t>支付保函示范文本</w:t>
      </w:r>
      <w:bookmarkEnd w:id="1391"/>
      <w:bookmarkEnd w:id="1392"/>
      <w:bookmarkEnd w:id="1393"/>
    </w:p>
    <w:p w14:paraId="6319BA9E">
      <w:pPr>
        <w:wordWrap w:val="0"/>
        <w:adjustRightInd w:val="0"/>
        <w:snapToGrid w:val="0"/>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 xml:space="preserve">编号：           </w:t>
      </w:r>
    </w:p>
    <w:p w14:paraId="56A7E422">
      <w:pPr>
        <w:adjustRightInd w:val="0"/>
        <w:snapToGrid w:val="0"/>
        <w:spacing w:line="360" w:lineRule="auto"/>
        <w:rPr>
          <w:rFonts w:hint="eastAsia" w:ascii="宋体" w:hAnsi="宋体" w:cs="宋体"/>
          <w:color w:val="auto"/>
          <w:szCs w:val="21"/>
          <w:highlight w:val="none"/>
        </w:rPr>
      </w:pPr>
    </w:p>
    <w:p w14:paraId="3EA269A5">
      <w:pPr>
        <w:adjustRightInd w:val="0"/>
        <w:snapToGrid w:val="0"/>
        <w:spacing w:line="360" w:lineRule="auto"/>
        <w:rPr>
          <w:rFonts w:hint="eastAsia" w:ascii="宋体" w:hAnsi="宋体" w:cs="宋体"/>
          <w:color w:val="auto"/>
          <w:szCs w:val="21"/>
          <w:highlight w:val="none"/>
        </w:rPr>
      </w:pPr>
      <w:bookmarkStart w:id="1394" w:name="_Hlk40355074"/>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（受益人名称）： </w:t>
      </w:r>
    </w:p>
    <w:bookmarkEnd w:id="1394"/>
    <w:p w14:paraId="78A4EB1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（以下简称“受益人”）与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（以下简称“申请人”）于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日就</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（标段编号）的</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（标段名称）</w:t>
      </w:r>
      <w:r>
        <w:rPr>
          <w:rFonts w:hint="eastAsia" w:ascii="宋体" w:hAnsi="宋体" w:cs="宋体"/>
          <w:color w:val="auto"/>
          <w:szCs w:val="21"/>
          <w:highlight w:val="none"/>
        </w:rPr>
        <w:t>有关事项协商一致共同签订</w:t>
      </w:r>
      <w:r>
        <w:rPr>
          <w:rFonts w:hint="eastAsia" w:ascii="宋体" w:hAnsi="宋体" w:cs="宋体"/>
          <w:color w:val="auto"/>
          <w:szCs w:val="21"/>
          <w:highlight w:val="none"/>
          <w:u w:val="single"/>
        </w:rPr>
        <w:t>《        》</w:t>
      </w:r>
      <w:r>
        <w:rPr>
          <w:rFonts w:hint="eastAsia" w:ascii="宋体" w:hAnsi="宋体" w:cs="宋体"/>
          <w:color w:val="auto"/>
          <w:szCs w:val="21"/>
          <w:highlight w:val="none"/>
        </w:rPr>
        <w:t xml:space="preserve">（以下简称基础合同”），开立人根据基础合同了解到申请人为基础合同项下之发包人，受益人为基础合同项下之承包人，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5815EF1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一、本保函担保范围：申请人未履行基础合同约定的工程款支付义务，应当向受益人承担的违约责任和赔偿因此造成的损失、利息、律师费、诉讼费用等实现债权的费用。</w:t>
      </w:r>
    </w:p>
    <w:p w14:paraId="263C5C8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二、本保函担保金额最高不超过人民币（大写）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425B3D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三、本保函有效期自开立之日起至基础合同约定的除工程质量保修金以外的全部工程结算款项支付之日后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日止。 </w:t>
      </w:r>
    </w:p>
    <w:p w14:paraId="6895F40B">
      <w:pPr>
        <w:adjustRightInd w:val="0"/>
        <w:snapToGrid w:val="0"/>
        <w:spacing w:line="360" w:lineRule="auto"/>
        <w:ind w:firstLine="480"/>
        <w:rPr>
          <w:rFonts w:hint="eastAsia" w:ascii="宋体" w:hAnsi="宋体" w:cs="宋体"/>
          <w:color w:val="auto"/>
          <w:szCs w:val="21"/>
          <w:highlight w:val="none"/>
        </w:rPr>
      </w:pPr>
      <w:r>
        <w:rPr>
          <w:rFonts w:hint="eastAsia" w:ascii="宋体" w:hAnsi="宋体" w:cs="宋体"/>
          <w:color w:val="auto"/>
          <w:szCs w:val="21"/>
          <w:highlight w:val="none"/>
        </w:rPr>
        <w:t>四、开立人承诺，在收到受益人发来的书面付款通知后的七日内无条件支付，前述书面付款通知即为付款要求之单据，且应满足以下要求：</w:t>
      </w:r>
    </w:p>
    <w:p w14:paraId="3FF4C58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（1）付款通知到达的日期在本保函的有效期内；</w:t>
      </w:r>
    </w:p>
    <w:p w14:paraId="79A88D1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（2）载明要求支付的金额；</w:t>
      </w:r>
    </w:p>
    <w:p w14:paraId="208EADF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（3）载明申请人违反合同义务的条款和内容；</w:t>
      </w:r>
    </w:p>
    <w:p w14:paraId="0CAA4D5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（4）声明不存在合同文件约定或我国法律规定免除申请人或开立人支付责任的情形；</w:t>
      </w:r>
    </w:p>
    <w:p w14:paraId="1328EA0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（5）付款通知应在本保函有效期内到达的地址是：</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133E9C1">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受益人发出的书面付款通知应由其法定代表人（负责人）或授权代理人签字并加盖公章。</w:t>
      </w:r>
    </w:p>
    <w:p w14:paraId="0CC5C85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五、本保函项下的权利不得转让，不得设定担保。受益人未经开立人书面同意转让本保函或其项下任何权利，对开立人不发生法律效力。 </w:t>
      </w:r>
    </w:p>
    <w:p w14:paraId="70DC32E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六、本保函项下的基础交易不成立、不生效、无效、被撤销、被解除，不影响本保函的独立有效。</w:t>
      </w:r>
    </w:p>
    <w:p w14:paraId="6205719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七、本保函项下的义务和责任均在保函有效期到期后自动消灭。 </w:t>
      </w:r>
    </w:p>
    <w:p w14:paraId="67DF32E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八、本保函适用的法律为中华人民共和国法律，因本保函产生的纠纷案件，由申请人所在地人民法院管辖。 </w:t>
      </w:r>
    </w:p>
    <w:p w14:paraId="432BF48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九、本保函自我方法定代表人或授权代表签字并加盖公章之日起生效。 </w:t>
      </w:r>
    </w:p>
    <w:p w14:paraId="08AED77E">
      <w:pPr>
        <w:adjustRightInd w:val="0"/>
        <w:snapToGrid w:val="0"/>
        <w:spacing w:line="360" w:lineRule="auto"/>
        <w:ind w:firstLine="420" w:firstLineChars="200"/>
        <w:rPr>
          <w:rFonts w:hint="eastAsia" w:ascii="宋体" w:hAnsi="宋体" w:cs="宋体"/>
          <w:color w:val="auto"/>
          <w:szCs w:val="21"/>
          <w:highlight w:val="none"/>
        </w:rPr>
      </w:pPr>
    </w:p>
    <w:p w14:paraId="230BFFAF">
      <w:pPr>
        <w:adjustRightInd w:val="0"/>
        <w:snapToGrid w:val="0"/>
        <w:spacing w:line="360" w:lineRule="auto"/>
        <w:ind w:firstLine="420" w:firstLineChars="200"/>
        <w:rPr>
          <w:rFonts w:hint="eastAsia" w:ascii="宋体" w:hAnsi="宋体" w:cs="宋体"/>
          <w:color w:val="auto"/>
          <w:szCs w:val="21"/>
          <w:highlight w:val="none"/>
        </w:rPr>
      </w:pPr>
    </w:p>
    <w:p w14:paraId="0593692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 立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（公章） </w:t>
      </w:r>
    </w:p>
    <w:p w14:paraId="112F035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法定代表人（或授权代表）：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（签字） </w:t>
      </w:r>
    </w:p>
    <w:p w14:paraId="4ABF6B8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40AAF8E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p>
    <w:p w14:paraId="4FE6924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p>
    <w:p w14:paraId="2BD42533">
      <w:pPr>
        <w:adjustRightInd w:val="0"/>
        <w:snapToGrid w:val="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14:paraId="43A17926">
      <w:pPr>
        <w:adjustRightInd w:val="0"/>
        <w:snapToGrid w:val="0"/>
        <w:spacing w:line="360" w:lineRule="auto"/>
        <w:ind w:left="1323" w:leftChars="200" w:hanging="903" w:hangingChars="430"/>
        <w:rPr>
          <w:rFonts w:hint="eastAsia" w:ascii="宋体" w:hAnsi="宋体" w:cs="宋体"/>
          <w:color w:val="auto"/>
          <w:szCs w:val="21"/>
          <w:highlight w:val="none"/>
        </w:rPr>
      </w:pPr>
      <w:r>
        <w:rPr>
          <w:rFonts w:hint="eastAsia" w:ascii="宋体" w:hAnsi="宋体" w:cs="宋体"/>
          <w:color w:val="auto"/>
          <w:szCs w:val="21"/>
          <w:highlight w:val="none"/>
        </w:rPr>
        <w:t>开立时间：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6F66D96">
      <w:pPr>
        <w:adjustRightInd w:val="0"/>
        <w:snapToGrid w:val="0"/>
        <w:spacing w:line="360" w:lineRule="auto"/>
        <w:rPr>
          <w:rFonts w:hint="eastAsia" w:ascii="宋体" w:hAnsi="宋体" w:cs="宋体"/>
          <w:color w:val="auto"/>
          <w:szCs w:val="21"/>
          <w:highlight w:val="none"/>
        </w:rPr>
      </w:pPr>
    </w:p>
    <w:p w14:paraId="2B254F3A">
      <w:pPr>
        <w:adjustRightInd w:val="0"/>
        <w:snapToGrid w:val="0"/>
        <w:spacing w:line="360" w:lineRule="auto"/>
        <w:rPr>
          <w:rFonts w:hint="eastAsia" w:ascii="宋体" w:hAnsi="宋体" w:cs="宋体"/>
          <w:color w:val="auto"/>
          <w:szCs w:val="21"/>
          <w:highlight w:val="none"/>
        </w:rPr>
      </w:pPr>
    </w:p>
    <w:p w14:paraId="5A110EFF">
      <w:pPr>
        <w:adjustRightInd w:val="0"/>
        <w:snapToGrid w:val="0"/>
        <w:spacing w:line="360" w:lineRule="auto"/>
        <w:rPr>
          <w:rFonts w:hint="eastAsia" w:ascii="宋体" w:hAnsi="宋体" w:cs="宋体"/>
          <w:color w:val="auto"/>
          <w:szCs w:val="21"/>
          <w:highlight w:val="none"/>
        </w:rPr>
      </w:pPr>
    </w:p>
    <w:p w14:paraId="2530C7BB">
      <w:pPr>
        <w:keepNext/>
        <w:keepLines/>
        <w:adjustRightInd w:val="0"/>
        <w:snapToGrid w:val="0"/>
        <w:spacing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br w:type="page"/>
      </w:r>
      <w:bookmarkStart w:id="1395" w:name="_Toc95223510"/>
      <w:r>
        <w:rPr>
          <w:rFonts w:hint="eastAsia" w:ascii="宋体" w:hAnsi="宋体" w:cs="宋体"/>
          <w:bCs/>
          <w:color w:val="auto"/>
          <w:sz w:val="24"/>
          <w:highlight w:val="none"/>
        </w:rPr>
        <w:t>附件11：暂估价一览表</w:t>
      </w:r>
      <w:bookmarkEnd w:id="1395"/>
    </w:p>
    <w:p w14:paraId="046C3593">
      <w:pPr>
        <w:spacing w:before="120" w:beforeLines="50" w:after="120"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12-1：材料暂估价表</w:t>
      </w:r>
    </w:p>
    <w:tbl>
      <w:tblPr>
        <w:tblStyle w:val="20"/>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15F60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4F8BC511">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84" w:type="dxa"/>
            <w:tcBorders>
              <w:top w:val="single" w:color="auto" w:sz="12" w:space="0"/>
              <w:bottom w:val="double" w:color="auto" w:sz="6" w:space="0"/>
            </w:tcBorders>
            <w:noWrap w:val="0"/>
            <w:vAlign w:val="top"/>
          </w:tcPr>
          <w:p w14:paraId="6A0FED20">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851" w:type="dxa"/>
            <w:tcBorders>
              <w:top w:val="single" w:color="auto" w:sz="12" w:space="0"/>
              <w:bottom w:val="double" w:color="auto" w:sz="6" w:space="0"/>
            </w:tcBorders>
            <w:noWrap w:val="0"/>
            <w:vAlign w:val="top"/>
          </w:tcPr>
          <w:p w14:paraId="31262257">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774" w:type="dxa"/>
            <w:tcBorders>
              <w:top w:val="single" w:color="auto" w:sz="12" w:space="0"/>
              <w:bottom w:val="double" w:color="auto" w:sz="6" w:space="0"/>
            </w:tcBorders>
            <w:noWrap w:val="0"/>
            <w:vAlign w:val="top"/>
          </w:tcPr>
          <w:p w14:paraId="0780EBF5">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352" w:type="dxa"/>
            <w:tcBorders>
              <w:top w:val="single" w:color="auto" w:sz="12" w:space="0"/>
              <w:bottom w:val="double" w:color="auto" w:sz="6" w:space="0"/>
            </w:tcBorders>
            <w:noWrap w:val="0"/>
            <w:vAlign w:val="top"/>
          </w:tcPr>
          <w:p w14:paraId="301F2AA2">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单价（元）</w:t>
            </w:r>
          </w:p>
        </w:tc>
        <w:tc>
          <w:tcPr>
            <w:tcW w:w="1418" w:type="dxa"/>
            <w:tcBorders>
              <w:top w:val="single" w:color="auto" w:sz="12" w:space="0"/>
              <w:bottom w:val="double" w:color="auto" w:sz="6" w:space="0"/>
            </w:tcBorders>
            <w:noWrap w:val="0"/>
            <w:vAlign w:val="top"/>
          </w:tcPr>
          <w:p w14:paraId="072E06E7">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合价（元）</w:t>
            </w:r>
          </w:p>
        </w:tc>
        <w:tc>
          <w:tcPr>
            <w:tcW w:w="1701" w:type="dxa"/>
            <w:tcBorders>
              <w:top w:val="single" w:color="auto" w:sz="12" w:space="0"/>
              <w:bottom w:val="double" w:color="auto" w:sz="6" w:space="0"/>
            </w:tcBorders>
            <w:noWrap w:val="0"/>
            <w:vAlign w:val="top"/>
          </w:tcPr>
          <w:p w14:paraId="45D4AB29">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2A5E59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0573B94D">
            <w:pPr>
              <w:keepNext/>
              <w:spacing w:line="440" w:lineRule="exact"/>
              <w:rPr>
                <w:rFonts w:hint="eastAsia" w:ascii="宋体" w:hAnsi="宋体" w:cs="宋体"/>
                <w:color w:val="auto"/>
                <w:szCs w:val="21"/>
                <w:highlight w:val="none"/>
              </w:rPr>
            </w:pPr>
          </w:p>
        </w:tc>
        <w:tc>
          <w:tcPr>
            <w:tcW w:w="1984" w:type="dxa"/>
            <w:tcBorders>
              <w:top w:val="double" w:color="auto" w:sz="6" w:space="0"/>
            </w:tcBorders>
            <w:noWrap w:val="0"/>
            <w:vAlign w:val="top"/>
          </w:tcPr>
          <w:p w14:paraId="3F9F4909">
            <w:pPr>
              <w:keepNext/>
              <w:spacing w:line="440" w:lineRule="exact"/>
              <w:rPr>
                <w:rFonts w:hint="eastAsia" w:ascii="宋体" w:hAnsi="宋体" w:cs="宋体"/>
                <w:color w:val="auto"/>
                <w:szCs w:val="21"/>
                <w:highlight w:val="none"/>
              </w:rPr>
            </w:pPr>
          </w:p>
        </w:tc>
        <w:tc>
          <w:tcPr>
            <w:tcW w:w="851" w:type="dxa"/>
            <w:tcBorders>
              <w:top w:val="double" w:color="auto" w:sz="6" w:space="0"/>
            </w:tcBorders>
            <w:noWrap w:val="0"/>
            <w:vAlign w:val="top"/>
          </w:tcPr>
          <w:p w14:paraId="5D70DF6C">
            <w:pPr>
              <w:keepNext/>
              <w:spacing w:line="440" w:lineRule="exact"/>
              <w:rPr>
                <w:rFonts w:hint="eastAsia" w:ascii="宋体" w:hAnsi="宋体" w:cs="宋体"/>
                <w:color w:val="auto"/>
                <w:szCs w:val="21"/>
                <w:highlight w:val="none"/>
              </w:rPr>
            </w:pPr>
          </w:p>
        </w:tc>
        <w:tc>
          <w:tcPr>
            <w:tcW w:w="774" w:type="dxa"/>
            <w:tcBorders>
              <w:top w:val="double" w:color="auto" w:sz="6" w:space="0"/>
            </w:tcBorders>
            <w:noWrap w:val="0"/>
            <w:vAlign w:val="top"/>
          </w:tcPr>
          <w:p w14:paraId="4B40ED66">
            <w:pPr>
              <w:keepNext/>
              <w:spacing w:line="440" w:lineRule="exact"/>
              <w:rPr>
                <w:rFonts w:hint="eastAsia" w:ascii="宋体" w:hAnsi="宋体" w:cs="宋体"/>
                <w:color w:val="auto"/>
                <w:szCs w:val="21"/>
                <w:highlight w:val="none"/>
              </w:rPr>
            </w:pPr>
          </w:p>
        </w:tc>
        <w:tc>
          <w:tcPr>
            <w:tcW w:w="1352" w:type="dxa"/>
            <w:tcBorders>
              <w:top w:val="double" w:color="auto" w:sz="6" w:space="0"/>
            </w:tcBorders>
            <w:noWrap w:val="0"/>
            <w:vAlign w:val="top"/>
          </w:tcPr>
          <w:p w14:paraId="110479DE">
            <w:pPr>
              <w:keepNext/>
              <w:spacing w:line="440" w:lineRule="exact"/>
              <w:rPr>
                <w:rFonts w:hint="eastAsia" w:ascii="宋体" w:hAnsi="宋体" w:cs="宋体"/>
                <w:color w:val="auto"/>
                <w:szCs w:val="21"/>
                <w:highlight w:val="none"/>
              </w:rPr>
            </w:pPr>
          </w:p>
        </w:tc>
        <w:tc>
          <w:tcPr>
            <w:tcW w:w="1418" w:type="dxa"/>
            <w:tcBorders>
              <w:top w:val="double" w:color="auto" w:sz="6" w:space="0"/>
            </w:tcBorders>
            <w:noWrap w:val="0"/>
            <w:vAlign w:val="top"/>
          </w:tcPr>
          <w:p w14:paraId="6D475C45">
            <w:pPr>
              <w:keepNext/>
              <w:spacing w:line="440" w:lineRule="exact"/>
              <w:rPr>
                <w:rFonts w:hint="eastAsia" w:ascii="宋体" w:hAnsi="宋体" w:cs="宋体"/>
                <w:color w:val="auto"/>
                <w:szCs w:val="21"/>
                <w:highlight w:val="none"/>
              </w:rPr>
            </w:pPr>
          </w:p>
        </w:tc>
        <w:tc>
          <w:tcPr>
            <w:tcW w:w="1701" w:type="dxa"/>
            <w:tcBorders>
              <w:top w:val="double" w:color="auto" w:sz="6" w:space="0"/>
            </w:tcBorders>
            <w:noWrap w:val="0"/>
            <w:vAlign w:val="top"/>
          </w:tcPr>
          <w:p w14:paraId="550B65A3">
            <w:pPr>
              <w:keepNext/>
              <w:spacing w:line="440" w:lineRule="exact"/>
              <w:rPr>
                <w:rFonts w:hint="eastAsia" w:ascii="宋体" w:hAnsi="宋体" w:cs="宋体"/>
                <w:color w:val="auto"/>
                <w:szCs w:val="21"/>
                <w:highlight w:val="none"/>
              </w:rPr>
            </w:pPr>
          </w:p>
        </w:tc>
      </w:tr>
      <w:tr w14:paraId="45DCE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1F084A03">
            <w:pPr>
              <w:keepNext/>
              <w:spacing w:line="440" w:lineRule="exact"/>
              <w:rPr>
                <w:rFonts w:hint="eastAsia" w:ascii="宋体" w:hAnsi="宋体" w:cs="宋体"/>
                <w:color w:val="auto"/>
                <w:szCs w:val="21"/>
                <w:highlight w:val="none"/>
              </w:rPr>
            </w:pPr>
          </w:p>
        </w:tc>
        <w:tc>
          <w:tcPr>
            <w:tcW w:w="1984" w:type="dxa"/>
            <w:tcBorders>
              <w:top w:val="nil"/>
            </w:tcBorders>
            <w:noWrap w:val="0"/>
            <w:vAlign w:val="top"/>
          </w:tcPr>
          <w:p w14:paraId="787A8E9A">
            <w:pPr>
              <w:keepNext/>
              <w:spacing w:line="440" w:lineRule="exact"/>
              <w:rPr>
                <w:rFonts w:hint="eastAsia" w:ascii="宋体" w:hAnsi="宋体" w:cs="宋体"/>
                <w:color w:val="auto"/>
                <w:szCs w:val="21"/>
                <w:highlight w:val="none"/>
              </w:rPr>
            </w:pPr>
          </w:p>
        </w:tc>
        <w:tc>
          <w:tcPr>
            <w:tcW w:w="851" w:type="dxa"/>
            <w:tcBorders>
              <w:top w:val="nil"/>
            </w:tcBorders>
            <w:noWrap w:val="0"/>
            <w:vAlign w:val="top"/>
          </w:tcPr>
          <w:p w14:paraId="6E0CB42B">
            <w:pPr>
              <w:keepNext/>
              <w:spacing w:line="440" w:lineRule="exact"/>
              <w:rPr>
                <w:rFonts w:hint="eastAsia" w:ascii="宋体" w:hAnsi="宋体" w:cs="宋体"/>
                <w:color w:val="auto"/>
                <w:szCs w:val="21"/>
                <w:highlight w:val="none"/>
              </w:rPr>
            </w:pPr>
          </w:p>
        </w:tc>
        <w:tc>
          <w:tcPr>
            <w:tcW w:w="774" w:type="dxa"/>
            <w:tcBorders>
              <w:top w:val="nil"/>
            </w:tcBorders>
            <w:noWrap w:val="0"/>
            <w:vAlign w:val="top"/>
          </w:tcPr>
          <w:p w14:paraId="688935E6">
            <w:pPr>
              <w:keepNext/>
              <w:spacing w:line="440" w:lineRule="exact"/>
              <w:rPr>
                <w:rFonts w:hint="eastAsia" w:ascii="宋体" w:hAnsi="宋体" w:cs="宋体"/>
                <w:color w:val="auto"/>
                <w:szCs w:val="21"/>
                <w:highlight w:val="none"/>
              </w:rPr>
            </w:pPr>
          </w:p>
        </w:tc>
        <w:tc>
          <w:tcPr>
            <w:tcW w:w="1352" w:type="dxa"/>
            <w:tcBorders>
              <w:top w:val="nil"/>
            </w:tcBorders>
            <w:noWrap w:val="0"/>
            <w:vAlign w:val="top"/>
          </w:tcPr>
          <w:p w14:paraId="0D9DCE00">
            <w:pPr>
              <w:keepNext/>
              <w:spacing w:line="440" w:lineRule="exact"/>
              <w:rPr>
                <w:rFonts w:hint="eastAsia" w:ascii="宋体" w:hAnsi="宋体" w:cs="宋体"/>
                <w:color w:val="auto"/>
                <w:szCs w:val="21"/>
                <w:highlight w:val="none"/>
              </w:rPr>
            </w:pPr>
          </w:p>
        </w:tc>
        <w:tc>
          <w:tcPr>
            <w:tcW w:w="1418" w:type="dxa"/>
            <w:tcBorders>
              <w:top w:val="nil"/>
            </w:tcBorders>
            <w:noWrap w:val="0"/>
            <w:vAlign w:val="top"/>
          </w:tcPr>
          <w:p w14:paraId="10CFA351">
            <w:pPr>
              <w:keepNext/>
              <w:spacing w:line="440" w:lineRule="exact"/>
              <w:rPr>
                <w:rFonts w:hint="eastAsia" w:ascii="宋体" w:hAnsi="宋体" w:cs="宋体"/>
                <w:color w:val="auto"/>
                <w:szCs w:val="21"/>
                <w:highlight w:val="none"/>
              </w:rPr>
            </w:pPr>
          </w:p>
        </w:tc>
        <w:tc>
          <w:tcPr>
            <w:tcW w:w="1701" w:type="dxa"/>
            <w:tcBorders>
              <w:top w:val="nil"/>
            </w:tcBorders>
            <w:noWrap w:val="0"/>
            <w:vAlign w:val="top"/>
          </w:tcPr>
          <w:p w14:paraId="24E2FF1A">
            <w:pPr>
              <w:keepNext/>
              <w:spacing w:line="440" w:lineRule="exact"/>
              <w:rPr>
                <w:rFonts w:hint="eastAsia" w:ascii="宋体" w:hAnsi="宋体" w:cs="宋体"/>
                <w:color w:val="auto"/>
                <w:szCs w:val="21"/>
                <w:highlight w:val="none"/>
              </w:rPr>
            </w:pPr>
          </w:p>
        </w:tc>
      </w:tr>
      <w:tr w14:paraId="47950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7F5B55D">
            <w:pPr>
              <w:keepNext/>
              <w:spacing w:line="440" w:lineRule="exact"/>
              <w:rPr>
                <w:rFonts w:hint="eastAsia" w:ascii="宋体" w:hAnsi="宋体" w:cs="宋体"/>
                <w:color w:val="auto"/>
                <w:szCs w:val="21"/>
                <w:highlight w:val="none"/>
              </w:rPr>
            </w:pPr>
          </w:p>
        </w:tc>
        <w:tc>
          <w:tcPr>
            <w:tcW w:w="1984" w:type="dxa"/>
            <w:noWrap w:val="0"/>
            <w:vAlign w:val="top"/>
          </w:tcPr>
          <w:p w14:paraId="7B57592B">
            <w:pPr>
              <w:keepNext/>
              <w:spacing w:line="440" w:lineRule="exact"/>
              <w:rPr>
                <w:rFonts w:hint="eastAsia" w:ascii="宋体" w:hAnsi="宋体" w:cs="宋体"/>
                <w:color w:val="auto"/>
                <w:szCs w:val="21"/>
                <w:highlight w:val="none"/>
              </w:rPr>
            </w:pPr>
          </w:p>
        </w:tc>
        <w:tc>
          <w:tcPr>
            <w:tcW w:w="851" w:type="dxa"/>
            <w:noWrap w:val="0"/>
            <w:vAlign w:val="top"/>
          </w:tcPr>
          <w:p w14:paraId="2D117F74">
            <w:pPr>
              <w:keepNext/>
              <w:spacing w:line="440" w:lineRule="exact"/>
              <w:rPr>
                <w:rFonts w:hint="eastAsia" w:ascii="宋体" w:hAnsi="宋体" w:cs="宋体"/>
                <w:color w:val="auto"/>
                <w:szCs w:val="21"/>
                <w:highlight w:val="none"/>
              </w:rPr>
            </w:pPr>
          </w:p>
        </w:tc>
        <w:tc>
          <w:tcPr>
            <w:tcW w:w="774" w:type="dxa"/>
            <w:noWrap w:val="0"/>
            <w:vAlign w:val="top"/>
          </w:tcPr>
          <w:p w14:paraId="55C42457">
            <w:pPr>
              <w:keepNext/>
              <w:spacing w:line="440" w:lineRule="exact"/>
              <w:rPr>
                <w:rFonts w:hint="eastAsia" w:ascii="宋体" w:hAnsi="宋体" w:cs="宋体"/>
                <w:color w:val="auto"/>
                <w:szCs w:val="21"/>
                <w:highlight w:val="none"/>
              </w:rPr>
            </w:pPr>
          </w:p>
        </w:tc>
        <w:tc>
          <w:tcPr>
            <w:tcW w:w="1352" w:type="dxa"/>
            <w:noWrap w:val="0"/>
            <w:vAlign w:val="top"/>
          </w:tcPr>
          <w:p w14:paraId="0130C837">
            <w:pPr>
              <w:keepNext/>
              <w:spacing w:line="440" w:lineRule="exact"/>
              <w:rPr>
                <w:rFonts w:hint="eastAsia" w:ascii="宋体" w:hAnsi="宋体" w:cs="宋体"/>
                <w:color w:val="auto"/>
                <w:szCs w:val="21"/>
                <w:highlight w:val="none"/>
              </w:rPr>
            </w:pPr>
          </w:p>
        </w:tc>
        <w:tc>
          <w:tcPr>
            <w:tcW w:w="1418" w:type="dxa"/>
            <w:noWrap w:val="0"/>
            <w:vAlign w:val="top"/>
          </w:tcPr>
          <w:p w14:paraId="09DF89AC">
            <w:pPr>
              <w:keepNext/>
              <w:spacing w:line="440" w:lineRule="exact"/>
              <w:rPr>
                <w:rFonts w:hint="eastAsia" w:ascii="宋体" w:hAnsi="宋体" w:cs="宋体"/>
                <w:color w:val="auto"/>
                <w:szCs w:val="21"/>
                <w:highlight w:val="none"/>
              </w:rPr>
            </w:pPr>
          </w:p>
        </w:tc>
        <w:tc>
          <w:tcPr>
            <w:tcW w:w="1701" w:type="dxa"/>
            <w:noWrap w:val="0"/>
            <w:vAlign w:val="top"/>
          </w:tcPr>
          <w:p w14:paraId="03B027A5">
            <w:pPr>
              <w:keepNext/>
              <w:spacing w:line="440" w:lineRule="exact"/>
              <w:rPr>
                <w:rFonts w:hint="eastAsia" w:ascii="宋体" w:hAnsi="宋体" w:cs="宋体"/>
                <w:color w:val="auto"/>
                <w:szCs w:val="21"/>
                <w:highlight w:val="none"/>
              </w:rPr>
            </w:pPr>
          </w:p>
        </w:tc>
      </w:tr>
      <w:tr w14:paraId="4FA71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5BB3237">
            <w:pPr>
              <w:keepNext/>
              <w:spacing w:line="440" w:lineRule="exact"/>
              <w:rPr>
                <w:rFonts w:hint="eastAsia" w:ascii="宋体" w:hAnsi="宋体" w:cs="宋体"/>
                <w:color w:val="auto"/>
                <w:szCs w:val="21"/>
                <w:highlight w:val="none"/>
              </w:rPr>
            </w:pPr>
          </w:p>
        </w:tc>
        <w:tc>
          <w:tcPr>
            <w:tcW w:w="1984" w:type="dxa"/>
            <w:noWrap w:val="0"/>
            <w:vAlign w:val="top"/>
          </w:tcPr>
          <w:p w14:paraId="0A7FE1F8">
            <w:pPr>
              <w:keepNext/>
              <w:spacing w:line="440" w:lineRule="exact"/>
              <w:rPr>
                <w:rFonts w:hint="eastAsia" w:ascii="宋体" w:hAnsi="宋体" w:cs="宋体"/>
                <w:color w:val="auto"/>
                <w:szCs w:val="21"/>
                <w:highlight w:val="none"/>
              </w:rPr>
            </w:pPr>
          </w:p>
        </w:tc>
        <w:tc>
          <w:tcPr>
            <w:tcW w:w="851" w:type="dxa"/>
            <w:noWrap w:val="0"/>
            <w:vAlign w:val="top"/>
          </w:tcPr>
          <w:p w14:paraId="77B42E8C">
            <w:pPr>
              <w:keepNext/>
              <w:spacing w:line="440" w:lineRule="exact"/>
              <w:rPr>
                <w:rFonts w:hint="eastAsia" w:ascii="宋体" w:hAnsi="宋体" w:cs="宋体"/>
                <w:color w:val="auto"/>
                <w:szCs w:val="21"/>
                <w:highlight w:val="none"/>
              </w:rPr>
            </w:pPr>
          </w:p>
        </w:tc>
        <w:tc>
          <w:tcPr>
            <w:tcW w:w="774" w:type="dxa"/>
            <w:noWrap w:val="0"/>
            <w:vAlign w:val="top"/>
          </w:tcPr>
          <w:p w14:paraId="6087BC21">
            <w:pPr>
              <w:keepNext/>
              <w:spacing w:line="440" w:lineRule="exact"/>
              <w:rPr>
                <w:rFonts w:hint="eastAsia" w:ascii="宋体" w:hAnsi="宋体" w:cs="宋体"/>
                <w:color w:val="auto"/>
                <w:szCs w:val="21"/>
                <w:highlight w:val="none"/>
              </w:rPr>
            </w:pPr>
          </w:p>
        </w:tc>
        <w:tc>
          <w:tcPr>
            <w:tcW w:w="1352" w:type="dxa"/>
            <w:noWrap w:val="0"/>
            <w:vAlign w:val="top"/>
          </w:tcPr>
          <w:p w14:paraId="12B6492A">
            <w:pPr>
              <w:keepNext/>
              <w:spacing w:line="440" w:lineRule="exact"/>
              <w:rPr>
                <w:rFonts w:hint="eastAsia" w:ascii="宋体" w:hAnsi="宋体" w:cs="宋体"/>
                <w:color w:val="auto"/>
                <w:szCs w:val="21"/>
                <w:highlight w:val="none"/>
              </w:rPr>
            </w:pPr>
          </w:p>
        </w:tc>
        <w:tc>
          <w:tcPr>
            <w:tcW w:w="1418" w:type="dxa"/>
            <w:noWrap w:val="0"/>
            <w:vAlign w:val="top"/>
          </w:tcPr>
          <w:p w14:paraId="2EF1D19B">
            <w:pPr>
              <w:keepNext/>
              <w:spacing w:line="440" w:lineRule="exact"/>
              <w:rPr>
                <w:rFonts w:hint="eastAsia" w:ascii="宋体" w:hAnsi="宋体" w:cs="宋体"/>
                <w:color w:val="auto"/>
                <w:szCs w:val="21"/>
                <w:highlight w:val="none"/>
              </w:rPr>
            </w:pPr>
          </w:p>
        </w:tc>
        <w:tc>
          <w:tcPr>
            <w:tcW w:w="1701" w:type="dxa"/>
            <w:noWrap w:val="0"/>
            <w:vAlign w:val="top"/>
          </w:tcPr>
          <w:p w14:paraId="1A452363">
            <w:pPr>
              <w:keepNext/>
              <w:spacing w:line="440" w:lineRule="exact"/>
              <w:rPr>
                <w:rFonts w:hint="eastAsia" w:ascii="宋体" w:hAnsi="宋体" w:cs="宋体"/>
                <w:color w:val="auto"/>
                <w:szCs w:val="21"/>
                <w:highlight w:val="none"/>
              </w:rPr>
            </w:pPr>
          </w:p>
        </w:tc>
      </w:tr>
      <w:tr w14:paraId="6483DC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346D07B2">
            <w:pPr>
              <w:keepNext/>
              <w:spacing w:line="440" w:lineRule="exact"/>
              <w:rPr>
                <w:rFonts w:hint="eastAsia" w:ascii="宋体" w:hAnsi="宋体" w:cs="宋体"/>
                <w:color w:val="auto"/>
                <w:szCs w:val="21"/>
                <w:highlight w:val="none"/>
              </w:rPr>
            </w:pPr>
          </w:p>
        </w:tc>
        <w:tc>
          <w:tcPr>
            <w:tcW w:w="1984" w:type="dxa"/>
            <w:tcBorders>
              <w:bottom w:val="single" w:color="auto" w:sz="12" w:space="0"/>
            </w:tcBorders>
            <w:noWrap w:val="0"/>
            <w:vAlign w:val="top"/>
          </w:tcPr>
          <w:p w14:paraId="192BAC0B">
            <w:pPr>
              <w:keepNext/>
              <w:spacing w:line="440" w:lineRule="exact"/>
              <w:rPr>
                <w:rFonts w:hint="eastAsia" w:ascii="宋体" w:hAnsi="宋体" w:cs="宋体"/>
                <w:color w:val="auto"/>
                <w:szCs w:val="21"/>
                <w:highlight w:val="none"/>
              </w:rPr>
            </w:pPr>
          </w:p>
        </w:tc>
        <w:tc>
          <w:tcPr>
            <w:tcW w:w="851" w:type="dxa"/>
            <w:tcBorders>
              <w:bottom w:val="single" w:color="auto" w:sz="12" w:space="0"/>
            </w:tcBorders>
            <w:noWrap w:val="0"/>
            <w:vAlign w:val="top"/>
          </w:tcPr>
          <w:p w14:paraId="1F76DAC3">
            <w:pPr>
              <w:keepNext/>
              <w:spacing w:line="440" w:lineRule="exact"/>
              <w:rPr>
                <w:rFonts w:hint="eastAsia" w:ascii="宋体" w:hAnsi="宋体" w:cs="宋体"/>
                <w:color w:val="auto"/>
                <w:szCs w:val="21"/>
                <w:highlight w:val="none"/>
              </w:rPr>
            </w:pPr>
          </w:p>
        </w:tc>
        <w:tc>
          <w:tcPr>
            <w:tcW w:w="774" w:type="dxa"/>
            <w:tcBorders>
              <w:bottom w:val="single" w:color="auto" w:sz="12" w:space="0"/>
            </w:tcBorders>
            <w:noWrap w:val="0"/>
            <w:vAlign w:val="top"/>
          </w:tcPr>
          <w:p w14:paraId="2685BCB6">
            <w:pPr>
              <w:keepNext/>
              <w:spacing w:line="440" w:lineRule="exact"/>
              <w:rPr>
                <w:rFonts w:hint="eastAsia" w:ascii="宋体" w:hAnsi="宋体" w:cs="宋体"/>
                <w:color w:val="auto"/>
                <w:szCs w:val="21"/>
                <w:highlight w:val="none"/>
              </w:rPr>
            </w:pPr>
          </w:p>
        </w:tc>
        <w:tc>
          <w:tcPr>
            <w:tcW w:w="1352" w:type="dxa"/>
            <w:tcBorders>
              <w:bottom w:val="single" w:color="auto" w:sz="12" w:space="0"/>
            </w:tcBorders>
            <w:noWrap w:val="0"/>
            <w:vAlign w:val="top"/>
          </w:tcPr>
          <w:p w14:paraId="7CE8B7EB">
            <w:pPr>
              <w:keepNext/>
              <w:spacing w:line="440" w:lineRule="exact"/>
              <w:rPr>
                <w:rFonts w:hint="eastAsia" w:ascii="宋体" w:hAnsi="宋体" w:cs="宋体"/>
                <w:color w:val="auto"/>
                <w:szCs w:val="21"/>
                <w:highlight w:val="none"/>
              </w:rPr>
            </w:pPr>
          </w:p>
        </w:tc>
        <w:tc>
          <w:tcPr>
            <w:tcW w:w="1418" w:type="dxa"/>
            <w:tcBorders>
              <w:bottom w:val="single" w:color="auto" w:sz="12" w:space="0"/>
            </w:tcBorders>
            <w:noWrap w:val="0"/>
            <w:vAlign w:val="top"/>
          </w:tcPr>
          <w:p w14:paraId="575A647D">
            <w:pPr>
              <w:keepNext/>
              <w:spacing w:line="440" w:lineRule="exact"/>
              <w:rPr>
                <w:rFonts w:hint="eastAsia" w:ascii="宋体" w:hAnsi="宋体" w:cs="宋体"/>
                <w:color w:val="auto"/>
                <w:szCs w:val="21"/>
                <w:highlight w:val="none"/>
              </w:rPr>
            </w:pPr>
          </w:p>
        </w:tc>
        <w:tc>
          <w:tcPr>
            <w:tcW w:w="1701" w:type="dxa"/>
            <w:tcBorders>
              <w:bottom w:val="single" w:color="auto" w:sz="12" w:space="0"/>
            </w:tcBorders>
            <w:noWrap w:val="0"/>
            <w:vAlign w:val="top"/>
          </w:tcPr>
          <w:p w14:paraId="46A616E8">
            <w:pPr>
              <w:keepNext/>
              <w:spacing w:line="440" w:lineRule="exact"/>
              <w:rPr>
                <w:rFonts w:hint="eastAsia" w:ascii="宋体" w:hAnsi="宋体" w:cs="宋体"/>
                <w:color w:val="auto"/>
                <w:szCs w:val="21"/>
                <w:highlight w:val="none"/>
              </w:rPr>
            </w:pPr>
          </w:p>
        </w:tc>
      </w:tr>
    </w:tbl>
    <w:p w14:paraId="4DB44EC6">
      <w:pPr>
        <w:spacing w:before="120" w:beforeLines="50" w:after="120" w:afterLines="50" w:line="440" w:lineRule="exact"/>
        <w:rPr>
          <w:rFonts w:hint="eastAsia" w:ascii="宋体" w:hAnsi="宋体" w:cs="宋体"/>
          <w:color w:val="auto"/>
          <w:szCs w:val="21"/>
          <w:highlight w:val="none"/>
        </w:rPr>
      </w:pPr>
    </w:p>
    <w:p w14:paraId="3D89E262">
      <w:pPr>
        <w:spacing w:before="120" w:beforeLines="50" w:after="120"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12-2：工程设备暂估价表</w:t>
      </w:r>
    </w:p>
    <w:tbl>
      <w:tblPr>
        <w:tblStyle w:val="20"/>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7D9E0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715B1828">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84" w:type="dxa"/>
            <w:tcBorders>
              <w:top w:val="single" w:color="auto" w:sz="12" w:space="0"/>
              <w:bottom w:val="double" w:color="auto" w:sz="6" w:space="0"/>
            </w:tcBorders>
            <w:noWrap w:val="0"/>
            <w:vAlign w:val="top"/>
          </w:tcPr>
          <w:p w14:paraId="709DC589">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851" w:type="dxa"/>
            <w:tcBorders>
              <w:top w:val="single" w:color="auto" w:sz="12" w:space="0"/>
              <w:bottom w:val="double" w:color="auto" w:sz="6" w:space="0"/>
            </w:tcBorders>
            <w:noWrap w:val="0"/>
            <w:vAlign w:val="top"/>
          </w:tcPr>
          <w:p w14:paraId="54E245BB">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774" w:type="dxa"/>
            <w:tcBorders>
              <w:top w:val="single" w:color="auto" w:sz="12" w:space="0"/>
              <w:bottom w:val="double" w:color="auto" w:sz="6" w:space="0"/>
            </w:tcBorders>
            <w:noWrap w:val="0"/>
            <w:vAlign w:val="top"/>
          </w:tcPr>
          <w:p w14:paraId="3C0CE486">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352" w:type="dxa"/>
            <w:tcBorders>
              <w:top w:val="single" w:color="auto" w:sz="12" w:space="0"/>
              <w:bottom w:val="double" w:color="auto" w:sz="6" w:space="0"/>
            </w:tcBorders>
            <w:noWrap w:val="0"/>
            <w:vAlign w:val="top"/>
          </w:tcPr>
          <w:p w14:paraId="73A42808">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单价（元）</w:t>
            </w:r>
          </w:p>
        </w:tc>
        <w:tc>
          <w:tcPr>
            <w:tcW w:w="1418" w:type="dxa"/>
            <w:tcBorders>
              <w:top w:val="single" w:color="auto" w:sz="12" w:space="0"/>
              <w:bottom w:val="double" w:color="auto" w:sz="6" w:space="0"/>
            </w:tcBorders>
            <w:noWrap w:val="0"/>
            <w:vAlign w:val="top"/>
          </w:tcPr>
          <w:p w14:paraId="65156736">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合价（元）</w:t>
            </w:r>
          </w:p>
        </w:tc>
        <w:tc>
          <w:tcPr>
            <w:tcW w:w="1701" w:type="dxa"/>
            <w:tcBorders>
              <w:top w:val="single" w:color="auto" w:sz="12" w:space="0"/>
              <w:bottom w:val="double" w:color="auto" w:sz="6" w:space="0"/>
            </w:tcBorders>
            <w:noWrap w:val="0"/>
            <w:vAlign w:val="top"/>
          </w:tcPr>
          <w:p w14:paraId="79CBF605">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46724A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647E257A">
            <w:pPr>
              <w:keepNext/>
              <w:spacing w:line="440" w:lineRule="exact"/>
              <w:rPr>
                <w:rFonts w:hint="eastAsia" w:ascii="宋体" w:hAnsi="宋体" w:cs="宋体"/>
                <w:color w:val="auto"/>
                <w:szCs w:val="21"/>
                <w:highlight w:val="none"/>
              </w:rPr>
            </w:pPr>
          </w:p>
        </w:tc>
        <w:tc>
          <w:tcPr>
            <w:tcW w:w="1984" w:type="dxa"/>
            <w:tcBorders>
              <w:top w:val="double" w:color="auto" w:sz="6" w:space="0"/>
            </w:tcBorders>
            <w:noWrap w:val="0"/>
            <w:vAlign w:val="top"/>
          </w:tcPr>
          <w:p w14:paraId="1D5DA816">
            <w:pPr>
              <w:keepNext/>
              <w:spacing w:line="440" w:lineRule="exact"/>
              <w:rPr>
                <w:rFonts w:hint="eastAsia" w:ascii="宋体" w:hAnsi="宋体" w:cs="宋体"/>
                <w:color w:val="auto"/>
                <w:szCs w:val="21"/>
                <w:highlight w:val="none"/>
              </w:rPr>
            </w:pPr>
          </w:p>
        </w:tc>
        <w:tc>
          <w:tcPr>
            <w:tcW w:w="851" w:type="dxa"/>
            <w:tcBorders>
              <w:top w:val="double" w:color="auto" w:sz="6" w:space="0"/>
            </w:tcBorders>
            <w:noWrap w:val="0"/>
            <w:vAlign w:val="top"/>
          </w:tcPr>
          <w:p w14:paraId="178A26CA">
            <w:pPr>
              <w:keepNext/>
              <w:spacing w:line="440" w:lineRule="exact"/>
              <w:rPr>
                <w:rFonts w:hint="eastAsia" w:ascii="宋体" w:hAnsi="宋体" w:cs="宋体"/>
                <w:color w:val="auto"/>
                <w:szCs w:val="21"/>
                <w:highlight w:val="none"/>
              </w:rPr>
            </w:pPr>
          </w:p>
        </w:tc>
        <w:tc>
          <w:tcPr>
            <w:tcW w:w="774" w:type="dxa"/>
            <w:tcBorders>
              <w:top w:val="double" w:color="auto" w:sz="6" w:space="0"/>
            </w:tcBorders>
            <w:noWrap w:val="0"/>
            <w:vAlign w:val="top"/>
          </w:tcPr>
          <w:p w14:paraId="41FB6158">
            <w:pPr>
              <w:keepNext/>
              <w:spacing w:line="440" w:lineRule="exact"/>
              <w:rPr>
                <w:rFonts w:hint="eastAsia" w:ascii="宋体" w:hAnsi="宋体" w:cs="宋体"/>
                <w:color w:val="auto"/>
                <w:szCs w:val="21"/>
                <w:highlight w:val="none"/>
              </w:rPr>
            </w:pPr>
          </w:p>
        </w:tc>
        <w:tc>
          <w:tcPr>
            <w:tcW w:w="1352" w:type="dxa"/>
            <w:tcBorders>
              <w:top w:val="double" w:color="auto" w:sz="6" w:space="0"/>
            </w:tcBorders>
            <w:noWrap w:val="0"/>
            <w:vAlign w:val="top"/>
          </w:tcPr>
          <w:p w14:paraId="58B906B7">
            <w:pPr>
              <w:keepNext/>
              <w:spacing w:line="440" w:lineRule="exact"/>
              <w:rPr>
                <w:rFonts w:hint="eastAsia" w:ascii="宋体" w:hAnsi="宋体" w:cs="宋体"/>
                <w:color w:val="auto"/>
                <w:szCs w:val="21"/>
                <w:highlight w:val="none"/>
              </w:rPr>
            </w:pPr>
          </w:p>
        </w:tc>
        <w:tc>
          <w:tcPr>
            <w:tcW w:w="1418" w:type="dxa"/>
            <w:tcBorders>
              <w:top w:val="double" w:color="auto" w:sz="6" w:space="0"/>
            </w:tcBorders>
            <w:noWrap w:val="0"/>
            <w:vAlign w:val="top"/>
          </w:tcPr>
          <w:p w14:paraId="0B51D1D6">
            <w:pPr>
              <w:keepNext/>
              <w:spacing w:line="440" w:lineRule="exact"/>
              <w:rPr>
                <w:rFonts w:hint="eastAsia" w:ascii="宋体" w:hAnsi="宋体" w:cs="宋体"/>
                <w:color w:val="auto"/>
                <w:szCs w:val="21"/>
                <w:highlight w:val="none"/>
              </w:rPr>
            </w:pPr>
          </w:p>
        </w:tc>
        <w:tc>
          <w:tcPr>
            <w:tcW w:w="1701" w:type="dxa"/>
            <w:tcBorders>
              <w:top w:val="double" w:color="auto" w:sz="6" w:space="0"/>
            </w:tcBorders>
            <w:noWrap w:val="0"/>
            <w:vAlign w:val="top"/>
          </w:tcPr>
          <w:p w14:paraId="53F48C8A">
            <w:pPr>
              <w:keepNext/>
              <w:spacing w:line="440" w:lineRule="exact"/>
              <w:rPr>
                <w:rFonts w:hint="eastAsia" w:ascii="宋体" w:hAnsi="宋体" w:cs="宋体"/>
                <w:color w:val="auto"/>
                <w:szCs w:val="21"/>
                <w:highlight w:val="none"/>
              </w:rPr>
            </w:pPr>
          </w:p>
        </w:tc>
      </w:tr>
      <w:tr w14:paraId="1982CF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5A793980">
            <w:pPr>
              <w:keepNext/>
              <w:spacing w:line="440" w:lineRule="exact"/>
              <w:rPr>
                <w:rFonts w:hint="eastAsia" w:ascii="宋体" w:hAnsi="宋体" w:cs="宋体"/>
                <w:color w:val="auto"/>
                <w:szCs w:val="21"/>
                <w:highlight w:val="none"/>
              </w:rPr>
            </w:pPr>
          </w:p>
        </w:tc>
        <w:tc>
          <w:tcPr>
            <w:tcW w:w="1984" w:type="dxa"/>
            <w:tcBorders>
              <w:top w:val="nil"/>
            </w:tcBorders>
            <w:noWrap w:val="0"/>
            <w:vAlign w:val="top"/>
          </w:tcPr>
          <w:p w14:paraId="502179ED">
            <w:pPr>
              <w:keepNext/>
              <w:spacing w:line="440" w:lineRule="exact"/>
              <w:rPr>
                <w:rFonts w:hint="eastAsia" w:ascii="宋体" w:hAnsi="宋体" w:cs="宋体"/>
                <w:color w:val="auto"/>
                <w:szCs w:val="21"/>
                <w:highlight w:val="none"/>
              </w:rPr>
            </w:pPr>
          </w:p>
        </w:tc>
        <w:tc>
          <w:tcPr>
            <w:tcW w:w="851" w:type="dxa"/>
            <w:tcBorders>
              <w:top w:val="nil"/>
            </w:tcBorders>
            <w:noWrap w:val="0"/>
            <w:vAlign w:val="top"/>
          </w:tcPr>
          <w:p w14:paraId="551E5A95">
            <w:pPr>
              <w:keepNext/>
              <w:spacing w:line="440" w:lineRule="exact"/>
              <w:rPr>
                <w:rFonts w:hint="eastAsia" w:ascii="宋体" w:hAnsi="宋体" w:cs="宋体"/>
                <w:color w:val="auto"/>
                <w:szCs w:val="21"/>
                <w:highlight w:val="none"/>
              </w:rPr>
            </w:pPr>
          </w:p>
        </w:tc>
        <w:tc>
          <w:tcPr>
            <w:tcW w:w="774" w:type="dxa"/>
            <w:tcBorders>
              <w:top w:val="nil"/>
            </w:tcBorders>
            <w:noWrap w:val="0"/>
            <w:vAlign w:val="top"/>
          </w:tcPr>
          <w:p w14:paraId="0F61649E">
            <w:pPr>
              <w:keepNext/>
              <w:spacing w:line="440" w:lineRule="exact"/>
              <w:rPr>
                <w:rFonts w:hint="eastAsia" w:ascii="宋体" w:hAnsi="宋体" w:cs="宋体"/>
                <w:color w:val="auto"/>
                <w:szCs w:val="21"/>
                <w:highlight w:val="none"/>
              </w:rPr>
            </w:pPr>
          </w:p>
        </w:tc>
        <w:tc>
          <w:tcPr>
            <w:tcW w:w="1352" w:type="dxa"/>
            <w:tcBorders>
              <w:top w:val="nil"/>
            </w:tcBorders>
            <w:noWrap w:val="0"/>
            <w:vAlign w:val="top"/>
          </w:tcPr>
          <w:p w14:paraId="1ADDFE91">
            <w:pPr>
              <w:keepNext/>
              <w:spacing w:line="440" w:lineRule="exact"/>
              <w:rPr>
                <w:rFonts w:hint="eastAsia" w:ascii="宋体" w:hAnsi="宋体" w:cs="宋体"/>
                <w:color w:val="auto"/>
                <w:szCs w:val="21"/>
                <w:highlight w:val="none"/>
              </w:rPr>
            </w:pPr>
          </w:p>
        </w:tc>
        <w:tc>
          <w:tcPr>
            <w:tcW w:w="1418" w:type="dxa"/>
            <w:tcBorders>
              <w:top w:val="nil"/>
            </w:tcBorders>
            <w:noWrap w:val="0"/>
            <w:vAlign w:val="top"/>
          </w:tcPr>
          <w:p w14:paraId="2B1C1D70">
            <w:pPr>
              <w:keepNext/>
              <w:spacing w:line="440" w:lineRule="exact"/>
              <w:rPr>
                <w:rFonts w:hint="eastAsia" w:ascii="宋体" w:hAnsi="宋体" w:cs="宋体"/>
                <w:color w:val="auto"/>
                <w:szCs w:val="21"/>
                <w:highlight w:val="none"/>
              </w:rPr>
            </w:pPr>
          </w:p>
        </w:tc>
        <w:tc>
          <w:tcPr>
            <w:tcW w:w="1701" w:type="dxa"/>
            <w:tcBorders>
              <w:top w:val="nil"/>
            </w:tcBorders>
            <w:noWrap w:val="0"/>
            <w:vAlign w:val="top"/>
          </w:tcPr>
          <w:p w14:paraId="70FF2557">
            <w:pPr>
              <w:keepNext/>
              <w:spacing w:line="440" w:lineRule="exact"/>
              <w:rPr>
                <w:rFonts w:hint="eastAsia" w:ascii="宋体" w:hAnsi="宋体" w:cs="宋体"/>
                <w:color w:val="auto"/>
                <w:szCs w:val="21"/>
                <w:highlight w:val="none"/>
              </w:rPr>
            </w:pPr>
          </w:p>
        </w:tc>
      </w:tr>
      <w:tr w14:paraId="0FF31A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A21B49E">
            <w:pPr>
              <w:keepNext/>
              <w:spacing w:line="440" w:lineRule="exact"/>
              <w:rPr>
                <w:rFonts w:hint="eastAsia" w:ascii="宋体" w:hAnsi="宋体" w:cs="宋体"/>
                <w:color w:val="auto"/>
                <w:szCs w:val="21"/>
                <w:highlight w:val="none"/>
              </w:rPr>
            </w:pPr>
          </w:p>
        </w:tc>
        <w:tc>
          <w:tcPr>
            <w:tcW w:w="1984" w:type="dxa"/>
            <w:noWrap w:val="0"/>
            <w:vAlign w:val="top"/>
          </w:tcPr>
          <w:p w14:paraId="1D3D0E50">
            <w:pPr>
              <w:keepNext/>
              <w:spacing w:line="440" w:lineRule="exact"/>
              <w:rPr>
                <w:rFonts w:hint="eastAsia" w:ascii="宋体" w:hAnsi="宋体" w:cs="宋体"/>
                <w:color w:val="auto"/>
                <w:szCs w:val="21"/>
                <w:highlight w:val="none"/>
              </w:rPr>
            </w:pPr>
          </w:p>
        </w:tc>
        <w:tc>
          <w:tcPr>
            <w:tcW w:w="851" w:type="dxa"/>
            <w:noWrap w:val="0"/>
            <w:vAlign w:val="top"/>
          </w:tcPr>
          <w:p w14:paraId="46352D2B">
            <w:pPr>
              <w:keepNext/>
              <w:spacing w:line="440" w:lineRule="exact"/>
              <w:rPr>
                <w:rFonts w:hint="eastAsia" w:ascii="宋体" w:hAnsi="宋体" w:cs="宋体"/>
                <w:color w:val="auto"/>
                <w:szCs w:val="21"/>
                <w:highlight w:val="none"/>
              </w:rPr>
            </w:pPr>
          </w:p>
        </w:tc>
        <w:tc>
          <w:tcPr>
            <w:tcW w:w="774" w:type="dxa"/>
            <w:noWrap w:val="0"/>
            <w:vAlign w:val="top"/>
          </w:tcPr>
          <w:p w14:paraId="3A0A44FB">
            <w:pPr>
              <w:keepNext/>
              <w:spacing w:line="440" w:lineRule="exact"/>
              <w:rPr>
                <w:rFonts w:hint="eastAsia" w:ascii="宋体" w:hAnsi="宋体" w:cs="宋体"/>
                <w:color w:val="auto"/>
                <w:szCs w:val="21"/>
                <w:highlight w:val="none"/>
              </w:rPr>
            </w:pPr>
          </w:p>
        </w:tc>
        <w:tc>
          <w:tcPr>
            <w:tcW w:w="1352" w:type="dxa"/>
            <w:noWrap w:val="0"/>
            <w:vAlign w:val="top"/>
          </w:tcPr>
          <w:p w14:paraId="28B0122E">
            <w:pPr>
              <w:keepNext/>
              <w:spacing w:line="440" w:lineRule="exact"/>
              <w:rPr>
                <w:rFonts w:hint="eastAsia" w:ascii="宋体" w:hAnsi="宋体" w:cs="宋体"/>
                <w:color w:val="auto"/>
                <w:szCs w:val="21"/>
                <w:highlight w:val="none"/>
              </w:rPr>
            </w:pPr>
          </w:p>
        </w:tc>
        <w:tc>
          <w:tcPr>
            <w:tcW w:w="1418" w:type="dxa"/>
            <w:noWrap w:val="0"/>
            <w:vAlign w:val="top"/>
          </w:tcPr>
          <w:p w14:paraId="07A03315">
            <w:pPr>
              <w:keepNext/>
              <w:spacing w:line="440" w:lineRule="exact"/>
              <w:rPr>
                <w:rFonts w:hint="eastAsia" w:ascii="宋体" w:hAnsi="宋体" w:cs="宋体"/>
                <w:color w:val="auto"/>
                <w:szCs w:val="21"/>
                <w:highlight w:val="none"/>
              </w:rPr>
            </w:pPr>
          </w:p>
        </w:tc>
        <w:tc>
          <w:tcPr>
            <w:tcW w:w="1701" w:type="dxa"/>
            <w:noWrap w:val="0"/>
            <w:vAlign w:val="top"/>
          </w:tcPr>
          <w:p w14:paraId="0A637034">
            <w:pPr>
              <w:keepNext/>
              <w:spacing w:line="440" w:lineRule="exact"/>
              <w:rPr>
                <w:rFonts w:hint="eastAsia" w:ascii="宋体" w:hAnsi="宋体" w:cs="宋体"/>
                <w:color w:val="auto"/>
                <w:szCs w:val="21"/>
                <w:highlight w:val="none"/>
              </w:rPr>
            </w:pPr>
          </w:p>
        </w:tc>
      </w:tr>
      <w:tr w14:paraId="0AC28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03CBB1A4">
            <w:pPr>
              <w:keepNext/>
              <w:spacing w:line="440" w:lineRule="exact"/>
              <w:rPr>
                <w:rFonts w:hint="eastAsia" w:ascii="宋体" w:hAnsi="宋体" w:cs="宋体"/>
                <w:color w:val="auto"/>
                <w:szCs w:val="21"/>
                <w:highlight w:val="none"/>
              </w:rPr>
            </w:pPr>
          </w:p>
        </w:tc>
        <w:tc>
          <w:tcPr>
            <w:tcW w:w="1984" w:type="dxa"/>
            <w:tcBorders>
              <w:bottom w:val="single" w:color="auto" w:sz="12" w:space="0"/>
            </w:tcBorders>
            <w:noWrap w:val="0"/>
            <w:vAlign w:val="top"/>
          </w:tcPr>
          <w:p w14:paraId="1E39A9E5">
            <w:pPr>
              <w:keepNext/>
              <w:spacing w:line="440" w:lineRule="exact"/>
              <w:rPr>
                <w:rFonts w:hint="eastAsia" w:ascii="宋体" w:hAnsi="宋体" w:cs="宋体"/>
                <w:color w:val="auto"/>
                <w:szCs w:val="21"/>
                <w:highlight w:val="none"/>
              </w:rPr>
            </w:pPr>
          </w:p>
        </w:tc>
        <w:tc>
          <w:tcPr>
            <w:tcW w:w="851" w:type="dxa"/>
            <w:tcBorders>
              <w:bottom w:val="single" w:color="auto" w:sz="12" w:space="0"/>
            </w:tcBorders>
            <w:noWrap w:val="0"/>
            <w:vAlign w:val="top"/>
          </w:tcPr>
          <w:p w14:paraId="3736A0C1">
            <w:pPr>
              <w:keepNext/>
              <w:spacing w:line="440" w:lineRule="exact"/>
              <w:rPr>
                <w:rFonts w:hint="eastAsia" w:ascii="宋体" w:hAnsi="宋体" w:cs="宋体"/>
                <w:color w:val="auto"/>
                <w:szCs w:val="21"/>
                <w:highlight w:val="none"/>
              </w:rPr>
            </w:pPr>
          </w:p>
        </w:tc>
        <w:tc>
          <w:tcPr>
            <w:tcW w:w="774" w:type="dxa"/>
            <w:tcBorders>
              <w:bottom w:val="single" w:color="auto" w:sz="12" w:space="0"/>
            </w:tcBorders>
            <w:noWrap w:val="0"/>
            <w:vAlign w:val="top"/>
          </w:tcPr>
          <w:p w14:paraId="7CF56FB5">
            <w:pPr>
              <w:keepNext/>
              <w:spacing w:line="440" w:lineRule="exact"/>
              <w:rPr>
                <w:rFonts w:hint="eastAsia" w:ascii="宋体" w:hAnsi="宋体" w:cs="宋体"/>
                <w:color w:val="auto"/>
                <w:szCs w:val="21"/>
                <w:highlight w:val="none"/>
              </w:rPr>
            </w:pPr>
          </w:p>
        </w:tc>
        <w:tc>
          <w:tcPr>
            <w:tcW w:w="1352" w:type="dxa"/>
            <w:tcBorders>
              <w:bottom w:val="single" w:color="auto" w:sz="12" w:space="0"/>
            </w:tcBorders>
            <w:noWrap w:val="0"/>
            <w:vAlign w:val="top"/>
          </w:tcPr>
          <w:p w14:paraId="0EEDFA0F">
            <w:pPr>
              <w:keepNext/>
              <w:spacing w:line="440" w:lineRule="exact"/>
              <w:rPr>
                <w:rFonts w:hint="eastAsia" w:ascii="宋体" w:hAnsi="宋体" w:cs="宋体"/>
                <w:color w:val="auto"/>
                <w:szCs w:val="21"/>
                <w:highlight w:val="none"/>
              </w:rPr>
            </w:pPr>
          </w:p>
        </w:tc>
        <w:tc>
          <w:tcPr>
            <w:tcW w:w="1418" w:type="dxa"/>
            <w:tcBorders>
              <w:bottom w:val="single" w:color="auto" w:sz="12" w:space="0"/>
            </w:tcBorders>
            <w:noWrap w:val="0"/>
            <w:vAlign w:val="top"/>
          </w:tcPr>
          <w:p w14:paraId="4B257135">
            <w:pPr>
              <w:keepNext/>
              <w:spacing w:line="440" w:lineRule="exact"/>
              <w:rPr>
                <w:rFonts w:hint="eastAsia" w:ascii="宋体" w:hAnsi="宋体" w:cs="宋体"/>
                <w:color w:val="auto"/>
                <w:szCs w:val="21"/>
                <w:highlight w:val="none"/>
              </w:rPr>
            </w:pPr>
          </w:p>
        </w:tc>
        <w:tc>
          <w:tcPr>
            <w:tcW w:w="1701" w:type="dxa"/>
            <w:tcBorders>
              <w:bottom w:val="single" w:color="auto" w:sz="12" w:space="0"/>
            </w:tcBorders>
            <w:noWrap w:val="0"/>
            <w:vAlign w:val="top"/>
          </w:tcPr>
          <w:p w14:paraId="6289E3AB">
            <w:pPr>
              <w:keepNext/>
              <w:spacing w:line="440" w:lineRule="exact"/>
              <w:rPr>
                <w:rFonts w:hint="eastAsia" w:ascii="宋体" w:hAnsi="宋体" w:cs="宋体"/>
                <w:color w:val="auto"/>
                <w:szCs w:val="21"/>
                <w:highlight w:val="none"/>
              </w:rPr>
            </w:pPr>
          </w:p>
        </w:tc>
      </w:tr>
    </w:tbl>
    <w:p w14:paraId="318E95EA">
      <w:pPr>
        <w:spacing w:line="440" w:lineRule="exact"/>
        <w:rPr>
          <w:rFonts w:hint="eastAsia" w:ascii="宋体" w:hAnsi="宋体" w:cs="宋体"/>
          <w:color w:val="auto"/>
          <w:szCs w:val="21"/>
          <w:highlight w:val="none"/>
        </w:rPr>
      </w:pPr>
    </w:p>
    <w:p w14:paraId="1E89A510">
      <w:pPr>
        <w:spacing w:before="120" w:beforeLines="50" w:after="120"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12-3：专业工程暂估价表</w:t>
      </w:r>
    </w:p>
    <w:tbl>
      <w:tblPr>
        <w:tblStyle w:val="20"/>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5D890B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50750D62">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84" w:type="dxa"/>
            <w:tcBorders>
              <w:top w:val="single" w:color="auto" w:sz="12" w:space="0"/>
              <w:bottom w:val="double" w:color="auto" w:sz="6" w:space="0"/>
            </w:tcBorders>
            <w:noWrap w:val="0"/>
            <w:vAlign w:val="top"/>
          </w:tcPr>
          <w:p w14:paraId="64E5546E">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851" w:type="dxa"/>
            <w:tcBorders>
              <w:top w:val="single" w:color="auto" w:sz="12" w:space="0"/>
              <w:bottom w:val="double" w:color="auto" w:sz="6" w:space="0"/>
            </w:tcBorders>
            <w:noWrap w:val="0"/>
            <w:vAlign w:val="top"/>
          </w:tcPr>
          <w:p w14:paraId="262CDBF1">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774" w:type="dxa"/>
            <w:tcBorders>
              <w:top w:val="single" w:color="auto" w:sz="12" w:space="0"/>
              <w:bottom w:val="double" w:color="auto" w:sz="6" w:space="0"/>
            </w:tcBorders>
            <w:noWrap w:val="0"/>
            <w:vAlign w:val="top"/>
          </w:tcPr>
          <w:p w14:paraId="3906C033">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352" w:type="dxa"/>
            <w:tcBorders>
              <w:top w:val="single" w:color="auto" w:sz="12" w:space="0"/>
              <w:bottom w:val="double" w:color="auto" w:sz="6" w:space="0"/>
            </w:tcBorders>
            <w:noWrap w:val="0"/>
            <w:vAlign w:val="top"/>
          </w:tcPr>
          <w:p w14:paraId="643E0E99">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单价（元）</w:t>
            </w:r>
          </w:p>
        </w:tc>
        <w:tc>
          <w:tcPr>
            <w:tcW w:w="1418" w:type="dxa"/>
            <w:tcBorders>
              <w:top w:val="single" w:color="auto" w:sz="12" w:space="0"/>
              <w:bottom w:val="double" w:color="auto" w:sz="6" w:space="0"/>
            </w:tcBorders>
            <w:noWrap w:val="0"/>
            <w:vAlign w:val="top"/>
          </w:tcPr>
          <w:p w14:paraId="0279F1BD">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合价（元）</w:t>
            </w:r>
          </w:p>
        </w:tc>
        <w:tc>
          <w:tcPr>
            <w:tcW w:w="1701" w:type="dxa"/>
            <w:tcBorders>
              <w:top w:val="single" w:color="auto" w:sz="12" w:space="0"/>
              <w:bottom w:val="double" w:color="auto" w:sz="6" w:space="0"/>
            </w:tcBorders>
            <w:noWrap w:val="0"/>
            <w:vAlign w:val="top"/>
          </w:tcPr>
          <w:p w14:paraId="49CECA8C">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2693CF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2D28CEFC">
            <w:pPr>
              <w:keepNext/>
              <w:spacing w:line="440" w:lineRule="exact"/>
              <w:rPr>
                <w:rFonts w:hint="eastAsia" w:ascii="宋体" w:hAnsi="宋体" w:cs="宋体"/>
                <w:color w:val="auto"/>
                <w:szCs w:val="21"/>
                <w:highlight w:val="none"/>
              </w:rPr>
            </w:pPr>
          </w:p>
        </w:tc>
        <w:tc>
          <w:tcPr>
            <w:tcW w:w="1984" w:type="dxa"/>
            <w:tcBorders>
              <w:top w:val="double" w:color="auto" w:sz="6" w:space="0"/>
            </w:tcBorders>
            <w:noWrap w:val="0"/>
            <w:vAlign w:val="top"/>
          </w:tcPr>
          <w:p w14:paraId="4115400B">
            <w:pPr>
              <w:keepNext/>
              <w:spacing w:line="440" w:lineRule="exact"/>
              <w:rPr>
                <w:rFonts w:hint="eastAsia" w:ascii="宋体" w:hAnsi="宋体" w:cs="宋体"/>
                <w:color w:val="auto"/>
                <w:szCs w:val="21"/>
                <w:highlight w:val="none"/>
              </w:rPr>
            </w:pPr>
          </w:p>
        </w:tc>
        <w:tc>
          <w:tcPr>
            <w:tcW w:w="851" w:type="dxa"/>
            <w:tcBorders>
              <w:top w:val="double" w:color="auto" w:sz="6" w:space="0"/>
            </w:tcBorders>
            <w:noWrap w:val="0"/>
            <w:vAlign w:val="top"/>
          </w:tcPr>
          <w:p w14:paraId="76DAA1EC">
            <w:pPr>
              <w:keepNext/>
              <w:spacing w:line="440" w:lineRule="exact"/>
              <w:rPr>
                <w:rFonts w:hint="eastAsia" w:ascii="宋体" w:hAnsi="宋体" w:cs="宋体"/>
                <w:color w:val="auto"/>
                <w:szCs w:val="21"/>
                <w:highlight w:val="none"/>
              </w:rPr>
            </w:pPr>
          </w:p>
        </w:tc>
        <w:tc>
          <w:tcPr>
            <w:tcW w:w="774" w:type="dxa"/>
            <w:tcBorders>
              <w:top w:val="double" w:color="auto" w:sz="6" w:space="0"/>
            </w:tcBorders>
            <w:noWrap w:val="0"/>
            <w:vAlign w:val="top"/>
          </w:tcPr>
          <w:p w14:paraId="2A09DC0E">
            <w:pPr>
              <w:keepNext/>
              <w:spacing w:line="440" w:lineRule="exact"/>
              <w:rPr>
                <w:rFonts w:hint="eastAsia" w:ascii="宋体" w:hAnsi="宋体" w:cs="宋体"/>
                <w:color w:val="auto"/>
                <w:szCs w:val="21"/>
                <w:highlight w:val="none"/>
              </w:rPr>
            </w:pPr>
          </w:p>
        </w:tc>
        <w:tc>
          <w:tcPr>
            <w:tcW w:w="1352" w:type="dxa"/>
            <w:tcBorders>
              <w:top w:val="double" w:color="auto" w:sz="6" w:space="0"/>
            </w:tcBorders>
            <w:noWrap w:val="0"/>
            <w:vAlign w:val="top"/>
          </w:tcPr>
          <w:p w14:paraId="168BF48F">
            <w:pPr>
              <w:keepNext/>
              <w:spacing w:line="440" w:lineRule="exact"/>
              <w:rPr>
                <w:rFonts w:hint="eastAsia" w:ascii="宋体" w:hAnsi="宋体" w:cs="宋体"/>
                <w:color w:val="auto"/>
                <w:szCs w:val="21"/>
                <w:highlight w:val="none"/>
              </w:rPr>
            </w:pPr>
          </w:p>
        </w:tc>
        <w:tc>
          <w:tcPr>
            <w:tcW w:w="1418" w:type="dxa"/>
            <w:tcBorders>
              <w:top w:val="double" w:color="auto" w:sz="6" w:space="0"/>
            </w:tcBorders>
            <w:noWrap w:val="0"/>
            <w:vAlign w:val="top"/>
          </w:tcPr>
          <w:p w14:paraId="0BE45C7C">
            <w:pPr>
              <w:keepNext/>
              <w:spacing w:line="440" w:lineRule="exact"/>
              <w:rPr>
                <w:rFonts w:hint="eastAsia" w:ascii="宋体" w:hAnsi="宋体" w:cs="宋体"/>
                <w:color w:val="auto"/>
                <w:szCs w:val="21"/>
                <w:highlight w:val="none"/>
              </w:rPr>
            </w:pPr>
          </w:p>
        </w:tc>
        <w:tc>
          <w:tcPr>
            <w:tcW w:w="1701" w:type="dxa"/>
            <w:tcBorders>
              <w:top w:val="double" w:color="auto" w:sz="6" w:space="0"/>
            </w:tcBorders>
            <w:noWrap w:val="0"/>
            <w:vAlign w:val="top"/>
          </w:tcPr>
          <w:p w14:paraId="1D15CAA6">
            <w:pPr>
              <w:keepNext/>
              <w:spacing w:line="440" w:lineRule="exact"/>
              <w:rPr>
                <w:rFonts w:hint="eastAsia" w:ascii="宋体" w:hAnsi="宋体" w:cs="宋体"/>
                <w:color w:val="auto"/>
                <w:szCs w:val="21"/>
                <w:highlight w:val="none"/>
              </w:rPr>
            </w:pPr>
          </w:p>
        </w:tc>
      </w:tr>
      <w:tr w14:paraId="080A94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5AE26F14">
            <w:pPr>
              <w:keepNext/>
              <w:spacing w:line="440" w:lineRule="exact"/>
              <w:rPr>
                <w:rFonts w:hint="eastAsia" w:ascii="宋体" w:hAnsi="宋体" w:cs="宋体"/>
                <w:color w:val="auto"/>
                <w:szCs w:val="21"/>
                <w:highlight w:val="none"/>
              </w:rPr>
            </w:pPr>
          </w:p>
        </w:tc>
        <w:tc>
          <w:tcPr>
            <w:tcW w:w="1984" w:type="dxa"/>
            <w:tcBorders>
              <w:top w:val="nil"/>
            </w:tcBorders>
            <w:noWrap w:val="0"/>
            <w:vAlign w:val="top"/>
          </w:tcPr>
          <w:p w14:paraId="1658CABA">
            <w:pPr>
              <w:keepNext/>
              <w:spacing w:line="440" w:lineRule="exact"/>
              <w:rPr>
                <w:rFonts w:hint="eastAsia" w:ascii="宋体" w:hAnsi="宋体" w:cs="宋体"/>
                <w:color w:val="auto"/>
                <w:szCs w:val="21"/>
                <w:highlight w:val="none"/>
              </w:rPr>
            </w:pPr>
          </w:p>
        </w:tc>
        <w:tc>
          <w:tcPr>
            <w:tcW w:w="851" w:type="dxa"/>
            <w:tcBorders>
              <w:top w:val="nil"/>
            </w:tcBorders>
            <w:noWrap w:val="0"/>
            <w:vAlign w:val="top"/>
          </w:tcPr>
          <w:p w14:paraId="28E95AA6">
            <w:pPr>
              <w:keepNext/>
              <w:spacing w:line="440" w:lineRule="exact"/>
              <w:rPr>
                <w:rFonts w:hint="eastAsia" w:ascii="宋体" w:hAnsi="宋体" w:cs="宋体"/>
                <w:color w:val="auto"/>
                <w:szCs w:val="21"/>
                <w:highlight w:val="none"/>
              </w:rPr>
            </w:pPr>
          </w:p>
        </w:tc>
        <w:tc>
          <w:tcPr>
            <w:tcW w:w="774" w:type="dxa"/>
            <w:tcBorders>
              <w:top w:val="nil"/>
            </w:tcBorders>
            <w:noWrap w:val="0"/>
            <w:vAlign w:val="top"/>
          </w:tcPr>
          <w:p w14:paraId="147FD0B6">
            <w:pPr>
              <w:keepNext/>
              <w:spacing w:line="440" w:lineRule="exact"/>
              <w:rPr>
                <w:rFonts w:hint="eastAsia" w:ascii="宋体" w:hAnsi="宋体" w:cs="宋体"/>
                <w:color w:val="auto"/>
                <w:szCs w:val="21"/>
                <w:highlight w:val="none"/>
              </w:rPr>
            </w:pPr>
          </w:p>
        </w:tc>
        <w:tc>
          <w:tcPr>
            <w:tcW w:w="1352" w:type="dxa"/>
            <w:tcBorders>
              <w:top w:val="nil"/>
            </w:tcBorders>
            <w:noWrap w:val="0"/>
            <w:vAlign w:val="top"/>
          </w:tcPr>
          <w:p w14:paraId="2241B0B7">
            <w:pPr>
              <w:keepNext/>
              <w:spacing w:line="440" w:lineRule="exact"/>
              <w:rPr>
                <w:rFonts w:hint="eastAsia" w:ascii="宋体" w:hAnsi="宋体" w:cs="宋体"/>
                <w:color w:val="auto"/>
                <w:szCs w:val="21"/>
                <w:highlight w:val="none"/>
              </w:rPr>
            </w:pPr>
          </w:p>
        </w:tc>
        <w:tc>
          <w:tcPr>
            <w:tcW w:w="1418" w:type="dxa"/>
            <w:tcBorders>
              <w:top w:val="nil"/>
            </w:tcBorders>
            <w:noWrap w:val="0"/>
            <w:vAlign w:val="top"/>
          </w:tcPr>
          <w:p w14:paraId="04E4503D">
            <w:pPr>
              <w:keepNext/>
              <w:spacing w:line="440" w:lineRule="exact"/>
              <w:rPr>
                <w:rFonts w:hint="eastAsia" w:ascii="宋体" w:hAnsi="宋体" w:cs="宋体"/>
                <w:color w:val="auto"/>
                <w:szCs w:val="21"/>
                <w:highlight w:val="none"/>
              </w:rPr>
            </w:pPr>
          </w:p>
        </w:tc>
        <w:tc>
          <w:tcPr>
            <w:tcW w:w="1701" w:type="dxa"/>
            <w:tcBorders>
              <w:top w:val="nil"/>
            </w:tcBorders>
            <w:noWrap w:val="0"/>
            <w:vAlign w:val="top"/>
          </w:tcPr>
          <w:p w14:paraId="0877A425">
            <w:pPr>
              <w:keepNext/>
              <w:spacing w:line="440" w:lineRule="exact"/>
              <w:rPr>
                <w:rFonts w:hint="eastAsia" w:ascii="宋体" w:hAnsi="宋体" w:cs="宋体"/>
                <w:color w:val="auto"/>
                <w:szCs w:val="21"/>
                <w:highlight w:val="none"/>
              </w:rPr>
            </w:pPr>
          </w:p>
        </w:tc>
      </w:tr>
      <w:tr w14:paraId="5CBBB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664D1FA">
            <w:pPr>
              <w:keepNext/>
              <w:spacing w:line="440" w:lineRule="exact"/>
              <w:rPr>
                <w:rFonts w:hint="eastAsia" w:ascii="宋体" w:hAnsi="宋体" w:cs="宋体"/>
                <w:color w:val="auto"/>
                <w:szCs w:val="21"/>
                <w:highlight w:val="none"/>
              </w:rPr>
            </w:pPr>
          </w:p>
        </w:tc>
        <w:tc>
          <w:tcPr>
            <w:tcW w:w="1984" w:type="dxa"/>
            <w:noWrap w:val="0"/>
            <w:vAlign w:val="top"/>
          </w:tcPr>
          <w:p w14:paraId="29263AF0">
            <w:pPr>
              <w:keepNext/>
              <w:spacing w:line="440" w:lineRule="exact"/>
              <w:rPr>
                <w:rFonts w:hint="eastAsia" w:ascii="宋体" w:hAnsi="宋体" w:cs="宋体"/>
                <w:color w:val="auto"/>
                <w:szCs w:val="21"/>
                <w:highlight w:val="none"/>
              </w:rPr>
            </w:pPr>
          </w:p>
        </w:tc>
        <w:tc>
          <w:tcPr>
            <w:tcW w:w="851" w:type="dxa"/>
            <w:noWrap w:val="0"/>
            <w:vAlign w:val="top"/>
          </w:tcPr>
          <w:p w14:paraId="3ABF7A05">
            <w:pPr>
              <w:keepNext/>
              <w:spacing w:line="440" w:lineRule="exact"/>
              <w:rPr>
                <w:rFonts w:hint="eastAsia" w:ascii="宋体" w:hAnsi="宋体" w:cs="宋体"/>
                <w:color w:val="auto"/>
                <w:szCs w:val="21"/>
                <w:highlight w:val="none"/>
              </w:rPr>
            </w:pPr>
          </w:p>
        </w:tc>
        <w:tc>
          <w:tcPr>
            <w:tcW w:w="774" w:type="dxa"/>
            <w:noWrap w:val="0"/>
            <w:vAlign w:val="top"/>
          </w:tcPr>
          <w:p w14:paraId="6110351A">
            <w:pPr>
              <w:keepNext/>
              <w:spacing w:line="440" w:lineRule="exact"/>
              <w:rPr>
                <w:rFonts w:hint="eastAsia" w:ascii="宋体" w:hAnsi="宋体" w:cs="宋体"/>
                <w:color w:val="auto"/>
                <w:szCs w:val="21"/>
                <w:highlight w:val="none"/>
              </w:rPr>
            </w:pPr>
          </w:p>
        </w:tc>
        <w:tc>
          <w:tcPr>
            <w:tcW w:w="1352" w:type="dxa"/>
            <w:noWrap w:val="0"/>
            <w:vAlign w:val="top"/>
          </w:tcPr>
          <w:p w14:paraId="002207FD">
            <w:pPr>
              <w:keepNext/>
              <w:spacing w:line="440" w:lineRule="exact"/>
              <w:rPr>
                <w:rFonts w:hint="eastAsia" w:ascii="宋体" w:hAnsi="宋体" w:cs="宋体"/>
                <w:color w:val="auto"/>
                <w:szCs w:val="21"/>
                <w:highlight w:val="none"/>
              </w:rPr>
            </w:pPr>
          </w:p>
        </w:tc>
        <w:tc>
          <w:tcPr>
            <w:tcW w:w="1418" w:type="dxa"/>
            <w:noWrap w:val="0"/>
            <w:vAlign w:val="top"/>
          </w:tcPr>
          <w:p w14:paraId="0CC2F9C0">
            <w:pPr>
              <w:keepNext/>
              <w:spacing w:line="440" w:lineRule="exact"/>
              <w:rPr>
                <w:rFonts w:hint="eastAsia" w:ascii="宋体" w:hAnsi="宋体" w:cs="宋体"/>
                <w:color w:val="auto"/>
                <w:szCs w:val="21"/>
                <w:highlight w:val="none"/>
              </w:rPr>
            </w:pPr>
          </w:p>
        </w:tc>
        <w:tc>
          <w:tcPr>
            <w:tcW w:w="1701" w:type="dxa"/>
            <w:noWrap w:val="0"/>
            <w:vAlign w:val="top"/>
          </w:tcPr>
          <w:p w14:paraId="1A996763">
            <w:pPr>
              <w:keepNext/>
              <w:spacing w:line="440" w:lineRule="exact"/>
              <w:rPr>
                <w:rFonts w:hint="eastAsia" w:ascii="宋体" w:hAnsi="宋体" w:cs="宋体"/>
                <w:color w:val="auto"/>
                <w:szCs w:val="21"/>
                <w:highlight w:val="none"/>
              </w:rPr>
            </w:pPr>
          </w:p>
        </w:tc>
      </w:tr>
      <w:tr w14:paraId="5096D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3533861F">
            <w:pPr>
              <w:keepNext/>
              <w:spacing w:line="440" w:lineRule="exact"/>
              <w:rPr>
                <w:rFonts w:hint="eastAsia" w:ascii="宋体" w:hAnsi="宋体" w:cs="宋体"/>
                <w:color w:val="auto"/>
                <w:szCs w:val="21"/>
                <w:highlight w:val="none"/>
              </w:rPr>
            </w:pPr>
          </w:p>
        </w:tc>
        <w:tc>
          <w:tcPr>
            <w:tcW w:w="1984" w:type="dxa"/>
            <w:tcBorders>
              <w:bottom w:val="single" w:color="auto" w:sz="12" w:space="0"/>
            </w:tcBorders>
            <w:noWrap w:val="0"/>
            <w:vAlign w:val="top"/>
          </w:tcPr>
          <w:p w14:paraId="15C36AC5">
            <w:pPr>
              <w:keepNext/>
              <w:spacing w:line="440" w:lineRule="exact"/>
              <w:rPr>
                <w:rFonts w:hint="eastAsia" w:ascii="宋体" w:hAnsi="宋体" w:cs="宋体"/>
                <w:color w:val="auto"/>
                <w:szCs w:val="21"/>
                <w:highlight w:val="none"/>
              </w:rPr>
            </w:pPr>
          </w:p>
        </w:tc>
        <w:tc>
          <w:tcPr>
            <w:tcW w:w="851" w:type="dxa"/>
            <w:tcBorders>
              <w:bottom w:val="single" w:color="auto" w:sz="12" w:space="0"/>
            </w:tcBorders>
            <w:noWrap w:val="0"/>
            <w:vAlign w:val="top"/>
          </w:tcPr>
          <w:p w14:paraId="5B3B00FE">
            <w:pPr>
              <w:keepNext/>
              <w:spacing w:line="440" w:lineRule="exact"/>
              <w:rPr>
                <w:rFonts w:hint="eastAsia" w:ascii="宋体" w:hAnsi="宋体" w:cs="宋体"/>
                <w:color w:val="auto"/>
                <w:szCs w:val="21"/>
                <w:highlight w:val="none"/>
              </w:rPr>
            </w:pPr>
          </w:p>
        </w:tc>
        <w:tc>
          <w:tcPr>
            <w:tcW w:w="774" w:type="dxa"/>
            <w:tcBorders>
              <w:bottom w:val="single" w:color="auto" w:sz="12" w:space="0"/>
            </w:tcBorders>
            <w:noWrap w:val="0"/>
            <w:vAlign w:val="top"/>
          </w:tcPr>
          <w:p w14:paraId="023D331B">
            <w:pPr>
              <w:keepNext/>
              <w:spacing w:line="440" w:lineRule="exact"/>
              <w:rPr>
                <w:rFonts w:hint="eastAsia" w:ascii="宋体" w:hAnsi="宋体" w:cs="宋体"/>
                <w:color w:val="auto"/>
                <w:szCs w:val="21"/>
                <w:highlight w:val="none"/>
              </w:rPr>
            </w:pPr>
          </w:p>
        </w:tc>
        <w:tc>
          <w:tcPr>
            <w:tcW w:w="1352" w:type="dxa"/>
            <w:tcBorders>
              <w:bottom w:val="single" w:color="auto" w:sz="12" w:space="0"/>
            </w:tcBorders>
            <w:noWrap w:val="0"/>
            <w:vAlign w:val="top"/>
          </w:tcPr>
          <w:p w14:paraId="3F53F8A2">
            <w:pPr>
              <w:keepNext/>
              <w:spacing w:line="440" w:lineRule="exact"/>
              <w:rPr>
                <w:rFonts w:hint="eastAsia" w:ascii="宋体" w:hAnsi="宋体" w:cs="宋体"/>
                <w:color w:val="auto"/>
                <w:szCs w:val="21"/>
                <w:highlight w:val="none"/>
              </w:rPr>
            </w:pPr>
          </w:p>
        </w:tc>
        <w:tc>
          <w:tcPr>
            <w:tcW w:w="1418" w:type="dxa"/>
            <w:tcBorders>
              <w:bottom w:val="single" w:color="auto" w:sz="12" w:space="0"/>
            </w:tcBorders>
            <w:noWrap w:val="0"/>
            <w:vAlign w:val="top"/>
          </w:tcPr>
          <w:p w14:paraId="52E82535">
            <w:pPr>
              <w:keepNext/>
              <w:spacing w:line="440" w:lineRule="exact"/>
              <w:rPr>
                <w:rFonts w:hint="eastAsia" w:ascii="宋体" w:hAnsi="宋体" w:cs="宋体"/>
                <w:color w:val="auto"/>
                <w:szCs w:val="21"/>
                <w:highlight w:val="none"/>
              </w:rPr>
            </w:pPr>
          </w:p>
        </w:tc>
        <w:tc>
          <w:tcPr>
            <w:tcW w:w="1701" w:type="dxa"/>
            <w:tcBorders>
              <w:bottom w:val="single" w:color="auto" w:sz="12" w:space="0"/>
            </w:tcBorders>
            <w:noWrap w:val="0"/>
            <w:vAlign w:val="top"/>
          </w:tcPr>
          <w:p w14:paraId="409B7718">
            <w:pPr>
              <w:keepNext/>
              <w:spacing w:line="440" w:lineRule="exact"/>
              <w:rPr>
                <w:rFonts w:hint="eastAsia" w:ascii="宋体" w:hAnsi="宋体" w:cs="宋体"/>
                <w:color w:val="auto"/>
                <w:szCs w:val="21"/>
                <w:highlight w:val="none"/>
              </w:rPr>
            </w:pPr>
          </w:p>
        </w:tc>
      </w:tr>
    </w:tbl>
    <w:p w14:paraId="6A566EFC">
      <w:pPr>
        <w:rPr>
          <w:rFonts w:hint="eastAsia" w:ascii="宋体" w:hAnsi="宋体" w:cs="宋体"/>
          <w:color w:val="auto"/>
          <w:szCs w:val="21"/>
          <w:highlight w:val="none"/>
        </w:rPr>
      </w:pPr>
    </w:p>
    <w:p w14:paraId="1F63C1EB">
      <w:pPr>
        <w:rPr>
          <w:rFonts w:hint="eastAsia" w:ascii="宋体" w:hAnsi="宋体" w:cs="宋体"/>
          <w:color w:val="auto"/>
          <w:szCs w:val="22"/>
          <w:highlight w:val="none"/>
        </w:rPr>
      </w:pPr>
    </w:p>
    <w:p w14:paraId="7D4216DD">
      <w:pPr>
        <w:rPr>
          <w:rFonts w:hint="eastAsia" w:ascii="宋体" w:hAnsi="宋体" w:cs="宋体"/>
          <w:color w:val="auto"/>
          <w:szCs w:val="22"/>
          <w:highlight w:val="none"/>
        </w:rPr>
      </w:pPr>
    </w:p>
    <w:p w14:paraId="49D7BD39">
      <w:pPr>
        <w:keepNext/>
        <w:keepLines/>
        <w:spacing w:before="120" w:after="120" w:line="360" w:lineRule="auto"/>
        <w:jc w:val="left"/>
        <w:outlineLvl w:val="2"/>
        <w:rPr>
          <w:rFonts w:hint="eastAsia" w:ascii="宋体" w:hAnsi="宋体" w:cs="宋体"/>
          <w:color w:val="auto"/>
          <w:highlight w:val="none"/>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p>
    <w:p w14:paraId="2358D80B">
      <w:pPr>
        <w:keepNext/>
        <w:keepLines/>
        <w:spacing w:before="120" w:after="120" w:line="360" w:lineRule="auto"/>
        <w:jc w:val="left"/>
        <w:outlineLvl w:val="2"/>
        <w:rPr>
          <w:rFonts w:hint="eastAsia" w:ascii="宋体" w:hAnsi="宋体" w:cs="宋体"/>
          <w:bCs/>
          <w:color w:val="auto"/>
          <w:sz w:val="24"/>
          <w:highlight w:val="none"/>
        </w:rPr>
      </w:pPr>
      <w:bookmarkStart w:id="1396" w:name="_Toc95223511"/>
      <w:r>
        <w:rPr>
          <w:rFonts w:hint="eastAsia" w:ascii="宋体" w:hAnsi="宋体" w:cs="宋体"/>
          <w:bCs/>
          <w:color w:val="auto"/>
          <w:sz w:val="24"/>
          <w:highlight w:val="none"/>
        </w:rPr>
        <w:t>附件12：安全生产合同</w:t>
      </w:r>
      <w:bookmarkEnd w:id="1396"/>
    </w:p>
    <w:p w14:paraId="2AD9EFDE">
      <w:pPr>
        <w:adjustRightInd w:val="0"/>
        <w:snapToGrid w:val="0"/>
        <w:spacing w:line="360" w:lineRule="auto"/>
        <w:jc w:val="center"/>
        <w:rPr>
          <w:rFonts w:hint="eastAsia" w:ascii="宋体" w:hAnsi="宋体" w:cs="宋体"/>
          <w:b/>
          <w:color w:val="auto"/>
          <w:sz w:val="32"/>
          <w:szCs w:val="32"/>
          <w:highlight w:val="none"/>
        </w:rPr>
      </w:pPr>
      <w:bookmarkStart w:id="1397" w:name="_Toc32439"/>
      <w:bookmarkStart w:id="1398" w:name="_Toc95223512"/>
      <w:bookmarkStart w:id="1399" w:name="_Toc16956"/>
      <w:r>
        <w:rPr>
          <w:rFonts w:hint="eastAsia" w:ascii="宋体" w:hAnsi="宋体" w:cs="宋体"/>
          <w:b/>
          <w:color w:val="auto"/>
          <w:sz w:val="32"/>
          <w:szCs w:val="32"/>
          <w:highlight w:val="none"/>
        </w:rPr>
        <w:t>安全生产合同</w:t>
      </w:r>
      <w:bookmarkEnd w:id="1397"/>
      <w:bookmarkEnd w:id="1398"/>
      <w:bookmarkEnd w:id="1399"/>
    </w:p>
    <w:p w14:paraId="6022BE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为在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（标段）施工合同的实施过程中创造安全、高效的施工环境，切实搞好本项目的安全管理工作，本项目发包人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（发包人名称，以下简称“发包人”）与承包人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（承包人名称，以下简称“承包人”）特此签订安全生产合同：</w:t>
      </w:r>
    </w:p>
    <w:p w14:paraId="49B091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1.发包人职责</w:t>
      </w:r>
    </w:p>
    <w:p w14:paraId="63B92A5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（1）严格遵守国家有关安全生产的法律法规，认真执行工程承包合同中的有关安全要求。</w:t>
      </w:r>
    </w:p>
    <w:p w14:paraId="2B9A3C4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（2）按照“安全第一、预防为主”和坚持“管生产必须管安全”的原则进行安全生产管理，做到生产与安全工作同时计划、布置、检查、总结和评比。</w:t>
      </w:r>
    </w:p>
    <w:p w14:paraId="7DD136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（3）重要的安全设施必须坚持与主体工程“三同时”的原则，即：同时设计、审批，同时施工，同时验收，投入使用。</w:t>
      </w:r>
    </w:p>
    <w:p w14:paraId="47CFCA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（4）定期召开安全生产调度会，及时传达中央及地方有关安全生产的精神。</w:t>
      </w:r>
    </w:p>
    <w:p w14:paraId="02F562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（5）组织对承包人施工现场安全生产检查，监督承包人及时处理发现的各种安全隐患。</w:t>
      </w:r>
    </w:p>
    <w:p w14:paraId="170688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2.承包人职责</w:t>
      </w:r>
    </w:p>
    <w:p w14:paraId="0F6F1EC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4FEA7E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3D6509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78ADC8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（4）承包人在任何时候都应采取各种合理的预防措施，防止其员工发生任何违法、违禁、暴力或妨碍治安的行为。</w:t>
      </w:r>
    </w:p>
    <w:p w14:paraId="07BDC0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6AB1FD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47C988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（7）操作人员上岗，必须按规定穿戴防护用品。施工负责人和安全检查员应随时检查劳动防护用品的穿戴情况，不按规定穿戴防护用品的人员不得上岗。</w:t>
      </w:r>
    </w:p>
    <w:p w14:paraId="454970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（8）所有施工机具设备和高空作业的设备均应定期检查，并有安全员的签字记录，保证其经常处于完好状态；不合格的机具、设备和劳动保护用品严禁使用：</w:t>
      </w:r>
    </w:p>
    <w:p w14:paraId="1BE118E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（9）施工中采用新技术、新工艺、新设备、新材料时，必须制定相应的安全技术措施，施工现场必须具有相关的安全标志牌。</w:t>
      </w:r>
    </w:p>
    <w:p w14:paraId="54E76B8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17A21C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（11）安全生产费用按照《建设工程安全生产管理条例》的相关规定使用和管理。</w:t>
      </w:r>
    </w:p>
    <w:p w14:paraId="114EB4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3.违约责任</w:t>
      </w:r>
    </w:p>
    <w:p w14:paraId="38EE77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如因发包人或承包人违约造成安全事故，将依法追究责任。</w:t>
      </w:r>
    </w:p>
    <w:p w14:paraId="412347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4.本合同由双方法定代表人或其授权的代理人签署并加盖单位章后生效，全部工程竣工验收后失效。</w:t>
      </w:r>
    </w:p>
    <w:p w14:paraId="11B468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5.本合同正本—式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份，副本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份，合同双方各执正本—份，副本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份，当正本与副本的内容不一致时，以正本为准。</w:t>
      </w:r>
    </w:p>
    <w:p w14:paraId="4C1DA855">
      <w:pPr>
        <w:spacing w:line="360" w:lineRule="auto"/>
        <w:rPr>
          <w:rFonts w:hint="eastAsia" w:ascii="宋体" w:hAnsi="宋体" w:cs="宋体"/>
          <w:color w:val="auto"/>
          <w:szCs w:val="21"/>
          <w:highlight w:val="none"/>
        </w:rPr>
      </w:pPr>
    </w:p>
    <w:p w14:paraId="19C11466">
      <w:pPr>
        <w:spacing w:line="360" w:lineRule="auto"/>
        <w:rPr>
          <w:rFonts w:hint="eastAsia" w:ascii="宋体" w:hAnsi="宋体" w:cs="宋体"/>
          <w:color w:val="auto"/>
          <w:szCs w:val="21"/>
          <w:highlight w:val="none"/>
        </w:rPr>
      </w:pPr>
    </w:p>
    <w:p w14:paraId="24B2D32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           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41B5CC44">
      <w:pPr>
        <w:spacing w:line="360" w:lineRule="auto"/>
        <w:rPr>
          <w:rFonts w:hint="eastAsia" w:ascii="宋体" w:hAnsi="宋体" w:cs="宋体"/>
          <w:color w:val="auto"/>
          <w:szCs w:val="21"/>
          <w:highlight w:val="none"/>
        </w:rPr>
      </w:pPr>
    </w:p>
    <w:p w14:paraId="649CF7E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           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3ABA7647">
      <w:pPr>
        <w:spacing w:line="360" w:lineRule="auto"/>
        <w:rPr>
          <w:rFonts w:hint="eastAsia" w:ascii="宋体" w:hAnsi="宋体" w:cs="宋体"/>
          <w:color w:val="auto"/>
          <w:szCs w:val="21"/>
          <w:highlight w:val="none"/>
        </w:rPr>
      </w:pPr>
    </w:p>
    <w:p w14:paraId="0336D3CA">
      <w:pPr>
        <w:spacing w:line="360" w:lineRule="auto"/>
        <w:ind w:firstLine="840"/>
        <w:rPr>
          <w:rFonts w:ascii="宋体" w:hAnsi="宋体" w:cs="宋体"/>
          <w:bCs/>
          <w:color w:val="auto"/>
          <w:kern w:val="44"/>
          <w:sz w:val="32"/>
          <w:szCs w:val="44"/>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286B66C">
      <w:pPr>
        <w:rPr>
          <w:rFonts w:ascii="宋体" w:hAnsi="宋体" w:cs="宋体"/>
          <w:color w:val="auto"/>
          <w:sz w:val="32"/>
          <w:szCs w:val="44"/>
          <w:highlight w:val="none"/>
        </w:rPr>
      </w:pPr>
    </w:p>
    <w:p w14:paraId="57448070">
      <w:pPr>
        <w:rPr>
          <w:rFonts w:ascii="宋体" w:hAnsi="宋体" w:cs="宋体"/>
          <w:color w:val="auto"/>
          <w:sz w:val="32"/>
          <w:szCs w:val="44"/>
          <w:highlight w:val="none"/>
        </w:rPr>
      </w:pPr>
    </w:p>
    <w:p w14:paraId="445977C2">
      <w:pPr>
        <w:tabs>
          <w:tab w:val="left" w:pos="2820"/>
        </w:tabs>
        <w:outlineLvl w:val="2"/>
        <w:rPr>
          <w:rFonts w:hint="eastAsia" w:ascii="宋体" w:hAnsi="宋体" w:cs="宋体"/>
          <w:color w:val="auto"/>
          <w:sz w:val="32"/>
          <w:szCs w:val="44"/>
          <w:highlight w:val="none"/>
        </w:rPr>
      </w:pPr>
      <w:r>
        <w:rPr>
          <w:rFonts w:hint="eastAsia" w:ascii="宋体" w:hAnsi="宋体" w:cs="宋体"/>
          <w:color w:val="auto"/>
          <w:sz w:val="32"/>
          <w:szCs w:val="44"/>
          <w:highlight w:val="none"/>
        </w:rPr>
        <w:br w:type="page"/>
      </w:r>
      <w:bookmarkStart w:id="1400" w:name="_Toc95223513"/>
      <w:r>
        <w:rPr>
          <w:rFonts w:hint="eastAsia" w:ascii="宋体" w:hAnsi="宋体" w:cs="宋体"/>
          <w:bCs/>
          <w:color w:val="auto"/>
          <w:sz w:val="24"/>
          <w:highlight w:val="none"/>
        </w:rPr>
        <w:t>附件14：项目经理质量终身责任制承诺</w:t>
      </w:r>
      <w:bookmarkEnd w:id="1400"/>
    </w:p>
    <w:p w14:paraId="58DD670F">
      <w:pPr>
        <w:adjustRightInd w:val="0"/>
        <w:snapToGrid w:val="0"/>
        <w:spacing w:line="360" w:lineRule="auto"/>
        <w:jc w:val="center"/>
        <w:rPr>
          <w:rFonts w:hint="eastAsia" w:ascii="宋体" w:hAnsi="宋体" w:cs="宋体"/>
          <w:b/>
          <w:color w:val="auto"/>
          <w:sz w:val="32"/>
          <w:szCs w:val="32"/>
          <w:highlight w:val="none"/>
        </w:rPr>
      </w:pPr>
      <w:bookmarkStart w:id="1401" w:name="_Toc95223514"/>
      <w:bookmarkStart w:id="1402" w:name="_Toc19059"/>
      <w:bookmarkStart w:id="1403" w:name="_Toc20282"/>
    </w:p>
    <w:p w14:paraId="5EFD773C">
      <w:pPr>
        <w:adjustRightInd w:val="0"/>
        <w:snapToGrid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项目经理质量终身责任制承诺</w:t>
      </w:r>
      <w:bookmarkEnd w:id="1401"/>
      <w:bookmarkEnd w:id="1402"/>
      <w:bookmarkEnd w:id="1403"/>
    </w:p>
    <w:p w14:paraId="4B106EEA">
      <w:pPr>
        <w:adjustRightInd w:val="0"/>
        <w:snapToGrid w:val="0"/>
        <w:spacing w:line="360" w:lineRule="auto"/>
        <w:rPr>
          <w:rFonts w:hint="eastAsia" w:ascii="宋体" w:hAnsi="宋体" w:cs="宋体"/>
          <w:bCs/>
          <w:color w:val="auto"/>
          <w:sz w:val="24"/>
          <w:szCs w:val="21"/>
          <w:highlight w:val="none"/>
        </w:rPr>
      </w:pPr>
      <w:r>
        <w:rPr>
          <w:rFonts w:hint="eastAsia" w:ascii="宋体" w:hAnsi="宋体" w:cs="宋体"/>
          <w:bCs/>
          <w:color w:val="auto"/>
          <w:sz w:val="24"/>
          <w:szCs w:val="21"/>
          <w:highlight w:val="none"/>
        </w:rPr>
        <w:t>致：______________(招标人名称)</w:t>
      </w:r>
    </w:p>
    <w:p w14:paraId="5BDCDC99">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本人作为拟委任的施工项目经理，承担相关质量终身责任，现郑重承诺如下：</w:t>
      </w:r>
    </w:p>
    <w:p w14:paraId="0190E946">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一、在取得施工许可证后进行施工。</w:t>
      </w:r>
    </w:p>
    <w:p w14:paraId="2D984A3D">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二、严格执行施工规范及标准。</w:t>
      </w:r>
    </w:p>
    <w:p w14:paraId="32520AEE">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三、严格按规定配备施工项目部关键岗位人员，并确保所有人员到岗履职。</w:t>
      </w:r>
    </w:p>
    <w:p w14:paraId="44BAC2E3">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四、严格按照经施工图审查机构审查合格的工程设计文件及合同约定的质量标准精心组织施工。</w:t>
      </w:r>
    </w:p>
    <w:p w14:paraId="6DC49E91">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五、施工中采用合格的建筑材料、建筑构配件和设备等，并严格按规定执行见证取样制度。</w:t>
      </w:r>
    </w:p>
    <w:p w14:paraId="185284AE">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六、建立、健全质量检查、验收制度，严格工序管理，做好隐蔽工程质量的检查和记录。</w:t>
      </w:r>
    </w:p>
    <w:p w14:paraId="7B827D4B">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七、对施工中出现的质量问题，及时进行整改。严格依法依规履行义务。</w:t>
      </w:r>
    </w:p>
    <w:p w14:paraId="7E1BBEC8">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八、履行相关工程质量检查、验收及事故处理等职责。</w:t>
      </w:r>
    </w:p>
    <w:p w14:paraId="5DDFE239">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九、履行其他法律法规规定的职责。</w:t>
      </w:r>
    </w:p>
    <w:p w14:paraId="2CC5BD5F">
      <w:pPr>
        <w:spacing w:line="360" w:lineRule="auto"/>
        <w:ind w:left="359" w:leftChars="171" w:firstLine="720" w:firstLineChars="300"/>
        <w:rPr>
          <w:rFonts w:hint="eastAsia" w:ascii="宋体" w:hAnsi="宋体" w:cs="宋体"/>
          <w:bCs/>
          <w:color w:val="auto"/>
          <w:sz w:val="24"/>
          <w:szCs w:val="21"/>
          <w:highlight w:val="none"/>
        </w:rPr>
      </w:pPr>
    </w:p>
    <w:p w14:paraId="505CEE99">
      <w:pPr>
        <w:spacing w:line="360" w:lineRule="auto"/>
        <w:ind w:left="359" w:leftChars="171" w:firstLine="720" w:firstLineChars="300"/>
        <w:rPr>
          <w:rFonts w:hint="eastAsia" w:ascii="宋体" w:hAnsi="宋体" w:cs="宋体"/>
          <w:bCs/>
          <w:color w:val="auto"/>
          <w:sz w:val="24"/>
          <w:szCs w:val="21"/>
          <w:highlight w:val="none"/>
        </w:rPr>
      </w:pPr>
    </w:p>
    <w:p w14:paraId="3F75BFF4">
      <w:pPr>
        <w:spacing w:line="360" w:lineRule="auto"/>
        <w:ind w:left="359" w:leftChars="171" w:firstLine="720" w:firstLineChars="300"/>
        <w:rPr>
          <w:rFonts w:hint="eastAsia" w:ascii="宋体" w:hAnsi="宋体" w:cs="宋体"/>
          <w:bCs/>
          <w:color w:val="auto"/>
          <w:sz w:val="24"/>
          <w:szCs w:val="21"/>
          <w:highlight w:val="none"/>
        </w:rPr>
      </w:pPr>
      <w:r>
        <w:rPr>
          <w:rFonts w:hint="eastAsia" w:ascii="宋体" w:hAnsi="宋体" w:cs="宋体"/>
          <w:bCs/>
          <w:color w:val="auto"/>
          <w:sz w:val="24"/>
          <w:szCs w:val="21"/>
          <w:highlight w:val="none"/>
        </w:rPr>
        <w:t>项目经理：</w:t>
      </w:r>
      <w:r>
        <w:rPr>
          <w:rFonts w:hint="eastAsia" w:ascii="宋体" w:hAnsi="宋体" w:cs="宋体"/>
          <w:bCs/>
          <w:color w:val="auto"/>
          <w:sz w:val="24"/>
          <w:szCs w:val="21"/>
          <w:highlight w:val="none"/>
          <w:u w:val="single"/>
        </w:rPr>
        <w:t xml:space="preserve">                   </w:t>
      </w:r>
      <w:r>
        <w:rPr>
          <w:rFonts w:hint="eastAsia" w:ascii="宋体" w:hAnsi="宋体" w:cs="宋体"/>
          <w:bCs/>
          <w:color w:val="auto"/>
          <w:sz w:val="24"/>
          <w:szCs w:val="21"/>
          <w:highlight w:val="none"/>
        </w:rPr>
        <w:t>（签字）</w:t>
      </w:r>
    </w:p>
    <w:p w14:paraId="2B6F2F51">
      <w:pPr>
        <w:spacing w:line="360" w:lineRule="auto"/>
        <w:ind w:left="359" w:leftChars="171" w:firstLine="720" w:firstLineChars="300"/>
        <w:rPr>
          <w:rFonts w:hint="eastAsia" w:ascii="宋体" w:hAnsi="宋体" w:cs="宋体"/>
          <w:bCs/>
          <w:color w:val="auto"/>
          <w:sz w:val="24"/>
          <w:szCs w:val="21"/>
          <w:highlight w:val="none"/>
        </w:rPr>
      </w:pPr>
      <w:r>
        <w:rPr>
          <w:rFonts w:hint="eastAsia" w:ascii="宋体" w:hAnsi="宋体" w:cs="宋体"/>
          <w:bCs/>
          <w:color w:val="auto"/>
          <w:sz w:val="24"/>
          <w:szCs w:val="21"/>
          <w:highlight w:val="none"/>
        </w:rPr>
        <w:t>日期：_____年____月____日</w:t>
      </w:r>
    </w:p>
    <w:p w14:paraId="461BEB2B">
      <w:pPr>
        <w:pStyle w:val="19"/>
        <w:rPr>
          <w:rFonts w:hint="eastAsia"/>
          <w:color w:val="auto"/>
          <w:highlight w:val="none"/>
        </w:rPr>
      </w:pPr>
    </w:p>
    <w:p w14:paraId="1B2607F5">
      <w:pPr>
        <w:ind w:firstLine="630"/>
        <w:rPr>
          <w:rFonts w:hint="eastAsia"/>
          <w:color w:val="auto"/>
          <w:highlight w:val="none"/>
        </w:rPr>
      </w:pPr>
    </w:p>
    <w:p w14:paraId="4C7FD3D1">
      <w:pPr>
        <w:pStyle w:val="19"/>
        <w:rPr>
          <w:rFonts w:hint="eastAsia"/>
          <w:color w:val="auto"/>
          <w:highlight w:val="none"/>
        </w:rPr>
      </w:pPr>
    </w:p>
    <w:p w14:paraId="0EB1315B">
      <w:pPr>
        <w:ind w:firstLine="630"/>
        <w:rPr>
          <w:rFonts w:hint="eastAsia"/>
          <w:color w:val="auto"/>
          <w:highlight w:val="none"/>
        </w:rPr>
      </w:pPr>
    </w:p>
    <w:p w14:paraId="1076E1C1">
      <w:pPr>
        <w:pStyle w:val="19"/>
        <w:ind w:left="0" w:leftChars="0" w:firstLine="0" w:firstLineChars="0"/>
        <w:outlineLvl w:val="2"/>
        <w:rPr>
          <w:rFonts w:hint="eastAsia"/>
          <w:color w:val="auto"/>
          <w:highlight w:val="none"/>
        </w:rPr>
      </w:pPr>
      <w:r>
        <w:rPr>
          <w:rFonts w:hint="eastAsia"/>
          <w:color w:val="auto"/>
          <w:highlight w:val="none"/>
        </w:rPr>
        <w:t>其他需要补充的材料</w:t>
      </w:r>
    </w:p>
    <w:p w14:paraId="379D7DB0">
      <w:pPr>
        <w:keepNext/>
        <w:keepLines/>
        <w:spacing w:line="360" w:lineRule="auto"/>
        <w:jc w:val="center"/>
        <w:outlineLvl w:val="0"/>
        <w:rPr>
          <w:rFonts w:hint="eastAsia"/>
          <w:color w:val="auto"/>
          <w:highlight w:val="none"/>
        </w:rPr>
      </w:pPr>
      <w:r>
        <w:rPr>
          <w:rFonts w:hint="eastAsia" w:ascii="宋体" w:hAnsi="宋体" w:cs="宋体"/>
          <w:color w:val="auto"/>
          <w:szCs w:val="21"/>
          <w:highlight w:val="none"/>
        </w:rPr>
        <w:br w:type="page"/>
      </w:r>
      <w:bookmarkStart w:id="1404" w:name="_Toc4767"/>
      <w:bookmarkStart w:id="1405" w:name="_Toc95223515"/>
      <w:r>
        <w:rPr>
          <w:rFonts w:hint="eastAsia" w:ascii="宋体" w:hAnsi="宋体" w:eastAsia="宋体" w:cs="宋体"/>
          <w:b/>
          <w:bCs/>
          <w:color w:val="auto"/>
          <w:kern w:val="44"/>
          <w:sz w:val="32"/>
          <w:szCs w:val="44"/>
          <w:highlight w:val="none"/>
        </w:rPr>
        <w:t>第</w:t>
      </w:r>
      <w:r>
        <w:rPr>
          <w:rFonts w:hint="eastAsia" w:ascii="宋体" w:hAnsi="宋体" w:eastAsia="宋体" w:cs="宋体"/>
          <w:b/>
          <w:bCs/>
          <w:color w:val="auto"/>
          <w:kern w:val="44"/>
          <w:sz w:val="32"/>
          <w:szCs w:val="44"/>
          <w:highlight w:val="none"/>
          <w:lang w:val="en-US" w:eastAsia="zh-CN"/>
        </w:rPr>
        <w:t>五</w:t>
      </w:r>
      <w:r>
        <w:rPr>
          <w:rFonts w:hint="eastAsia" w:ascii="宋体" w:hAnsi="宋体" w:eastAsia="宋体" w:cs="宋体"/>
          <w:b/>
          <w:bCs/>
          <w:color w:val="auto"/>
          <w:kern w:val="44"/>
          <w:sz w:val="32"/>
          <w:szCs w:val="44"/>
          <w:highlight w:val="none"/>
        </w:rPr>
        <w:t>章  工程量清单</w:t>
      </w:r>
      <w:bookmarkEnd w:id="1404"/>
      <w:bookmarkEnd w:id="1405"/>
    </w:p>
    <w:p w14:paraId="7237355B">
      <w:pPr>
        <w:keepNext/>
        <w:keepLines/>
        <w:adjustRightInd w:val="0"/>
        <w:snapToGrid w:val="0"/>
        <w:spacing w:line="480" w:lineRule="auto"/>
        <w:outlineLvl w:val="1"/>
        <w:rPr>
          <w:rFonts w:hint="eastAsia" w:ascii="宋体" w:hAnsi="宋体" w:cs="宋体"/>
          <w:b/>
          <w:bCs/>
          <w:color w:val="auto"/>
          <w:sz w:val="32"/>
          <w:szCs w:val="32"/>
          <w:highlight w:val="none"/>
        </w:rPr>
      </w:pPr>
      <w:bookmarkStart w:id="1406" w:name="_Toc7103"/>
      <w:bookmarkStart w:id="1407" w:name="_Toc1620"/>
      <w:bookmarkStart w:id="1408" w:name="_Toc95223516"/>
      <w:r>
        <w:rPr>
          <w:rFonts w:hint="eastAsia" w:ascii="宋体" w:hAnsi="宋体" w:cs="宋体"/>
          <w:b/>
          <w:bCs/>
          <w:color w:val="auto"/>
          <w:sz w:val="32"/>
          <w:szCs w:val="32"/>
          <w:highlight w:val="none"/>
        </w:rPr>
        <w:t>1. 计价依据</w:t>
      </w:r>
      <w:bookmarkEnd w:id="1406"/>
      <w:bookmarkEnd w:id="1407"/>
      <w:bookmarkEnd w:id="1408"/>
    </w:p>
    <w:p w14:paraId="785B649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 计价依据的确定符合国家法律法规、现行有关标准与规范，工程所在地的省、市工程定额和工程造价的规定以及工程造价信息要求。</w:t>
      </w:r>
    </w:p>
    <w:p w14:paraId="620C4BF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1.2 安全文明施工费按下表执行： </w:t>
      </w:r>
    </w:p>
    <w:tbl>
      <w:tblPr>
        <w:tblStyle w:val="20"/>
        <w:tblW w:w="4751" w:type="pct"/>
        <w:tblInd w:w="2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15"/>
        <w:gridCol w:w="3254"/>
        <w:gridCol w:w="2395"/>
        <w:gridCol w:w="2267"/>
      </w:tblGrid>
      <w:tr w14:paraId="6EAE8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74" w:type="pct"/>
            <w:vMerge w:val="restart"/>
            <w:tcBorders>
              <w:top w:val="single" w:color="auto" w:sz="4" w:space="0"/>
              <w:left w:val="single" w:color="auto" w:sz="4" w:space="0"/>
              <w:bottom w:val="single" w:color="auto" w:sz="4" w:space="0"/>
              <w:right w:val="single" w:color="auto" w:sz="4" w:space="0"/>
            </w:tcBorders>
            <w:noWrap w:val="0"/>
            <w:vAlign w:val="center"/>
          </w:tcPr>
          <w:p w14:paraId="34F8C1B0">
            <w:pPr>
              <w:adjustRightInd w:val="0"/>
              <w:snapToGrid w:val="0"/>
              <w:spacing w:line="360" w:lineRule="auto"/>
              <w:jc w:val="center"/>
              <w:rPr>
                <w:color w:val="auto"/>
                <w:kern w:val="0"/>
                <w:sz w:val="24"/>
                <w:highlight w:val="none"/>
              </w:rPr>
            </w:pPr>
            <w:r>
              <w:rPr>
                <w:rFonts w:hint="eastAsia"/>
                <w:color w:val="auto"/>
                <w:kern w:val="0"/>
                <w:sz w:val="24"/>
                <w:highlight w:val="none"/>
              </w:rPr>
              <w:t>项目名称</w:t>
            </w:r>
          </w:p>
        </w:tc>
        <w:tc>
          <w:tcPr>
            <w:tcW w:w="1655" w:type="pct"/>
            <w:vMerge w:val="restart"/>
            <w:tcBorders>
              <w:top w:val="single" w:color="auto" w:sz="4" w:space="0"/>
              <w:left w:val="single" w:color="auto" w:sz="4" w:space="0"/>
              <w:bottom w:val="single" w:color="auto" w:sz="4" w:space="0"/>
              <w:right w:val="single" w:color="auto" w:sz="4" w:space="0"/>
            </w:tcBorders>
            <w:noWrap w:val="0"/>
            <w:vAlign w:val="center"/>
          </w:tcPr>
          <w:p w14:paraId="63F8DA34">
            <w:pPr>
              <w:adjustRightInd w:val="0"/>
              <w:snapToGrid w:val="0"/>
              <w:spacing w:line="360" w:lineRule="auto"/>
              <w:jc w:val="center"/>
              <w:rPr>
                <w:color w:val="auto"/>
                <w:kern w:val="0"/>
                <w:sz w:val="24"/>
                <w:highlight w:val="none"/>
              </w:rPr>
            </w:pPr>
            <w:r>
              <w:rPr>
                <w:rFonts w:hint="eastAsia"/>
                <w:color w:val="auto"/>
                <w:kern w:val="0"/>
                <w:sz w:val="24"/>
                <w:highlight w:val="none"/>
              </w:rPr>
              <w:t>计费基础</w:t>
            </w:r>
          </w:p>
        </w:tc>
        <w:tc>
          <w:tcPr>
            <w:tcW w:w="2372" w:type="pct"/>
            <w:gridSpan w:val="2"/>
            <w:tcBorders>
              <w:top w:val="single" w:color="auto" w:sz="4" w:space="0"/>
              <w:left w:val="single" w:color="auto" w:sz="4" w:space="0"/>
              <w:bottom w:val="single" w:color="auto" w:sz="4" w:space="0"/>
              <w:right w:val="single" w:color="auto" w:sz="4" w:space="0"/>
            </w:tcBorders>
            <w:noWrap w:val="0"/>
            <w:vAlign w:val="center"/>
          </w:tcPr>
          <w:p w14:paraId="677A6602">
            <w:pPr>
              <w:adjustRightInd w:val="0"/>
              <w:snapToGrid w:val="0"/>
              <w:spacing w:line="360" w:lineRule="auto"/>
              <w:jc w:val="center"/>
              <w:rPr>
                <w:color w:val="auto"/>
                <w:kern w:val="0"/>
                <w:sz w:val="24"/>
                <w:highlight w:val="none"/>
              </w:rPr>
            </w:pPr>
            <w:r>
              <w:rPr>
                <w:rFonts w:hint="eastAsia"/>
                <w:color w:val="auto"/>
                <w:kern w:val="0"/>
                <w:sz w:val="24"/>
                <w:highlight w:val="none"/>
              </w:rPr>
              <w:t>费率（%）</w:t>
            </w:r>
          </w:p>
        </w:tc>
      </w:tr>
      <w:tr w14:paraId="4D08D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74" w:type="pct"/>
            <w:vMerge w:val="continue"/>
            <w:tcBorders>
              <w:top w:val="single" w:color="auto" w:sz="4" w:space="0"/>
              <w:left w:val="single" w:color="auto" w:sz="4" w:space="0"/>
              <w:bottom w:val="single" w:color="auto" w:sz="4" w:space="0"/>
              <w:right w:val="single" w:color="auto" w:sz="4" w:space="0"/>
            </w:tcBorders>
            <w:noWrap w:val="0"/>
            <w:vAlign w:val="center"/>
          </w:tcPr>
          <w:p w14:paraId="30EA5C31">
            <w:pPr>
              <w:widowControl/>
              <w:snapToGrid w:val="0"/>
              <w:spacing w:line="360" w:lineRule="auto"/>
              <w:jc w:val="center"/>
              <w:rPr>
                <w:color w:val="auto"/>
                <w:kern w:val="0"/>
                <w:sz w:val="24"/>
                <w:highlight w:val="none"/>
              </w:rPr>
            </w:pPr>
          </w:p>
        </w:tc>
        <w:tc>
          <w:tcPr>
            <w:tcW w:w="1655" w:type="pct"/>
            <w:vMerge w:val="continue"/>
            <w:tcBorders>
              <w:top w:val="single" w:color="auto" w:sz="4" w:space="0"/>
              <w:left w:val="single" w:color="auto" w:sz="4" w:space="0"/>
              <w:bottom w:val="single" w:color="auto" w:sz="4" w:space="0"/>
              <w:right w:val="single" w:color="auto" w:sz="4" w:space="0"/>
            </w:tcBorders>
            <w:noWrap w:val="0"/>
            <w:vAlign w:val="center"/>
          </w:tcPr>
          <w:p w14:paraId="3EDE23AA">
            <w:pPr>
              <w:widowControl/>
              <w:snapToGrid w:val="0"/>
              <w:spacing w:line="360" w:lineRule="auto"/>
              <w:jc w:val="center"/>
              <w:rPr>
                <w:color w:val="auto"/>
                <w:kern w:val="0"/>
                <w:sz w:val="24"/>
                <w:highlight w:val="none"/>
              </w:rPr>
            </w:pPr>
          </w:p>
        </w:tc>
        <w:tc>
          <w:tcPr>
            <w:tcW w:w="1218" w:type="pct"/>
            <w:vMerge w:val="restart"/>
            <w:tcBorders>
              <w:top w:val="single" w:color="auto" w:sz="4" w:space="0"/>
              <w:left w:val="single" w:color="auto" w:sz="4" w:space="0"/>
              <w:bottom w:val="single" w:color="000000" w:sz="4" w:space="0"/>
              <w:right w:val="single" w:color="auto" w:sz="4" w:space="0"/>
            </w:tcBorders>
            <w:noWrap w:val="0"/>
            <w:vAlign w:val="center"/>
          </w:tcPr>
          <w:p w14:paraId="6CA39155">
            <w:pPr>
              <w:adjustRightInd w:val="0"/>
              <w:snapToGrid w:val="0"/>
              <w:spacing w:line="360" w:lineRule="auto"/>
              <w:jc w:val="center"/>
              <w:rPr>
                <w:color w:val="auto"/>
                <w:kern w:val="0"/>
                <w:sz w:val="24"/>
                <w:highlight w:val="none"/>
              </w:rPr>
            </w:pPr>
            <w:r>
              <w:rPr>
                <w:rFonts w:hint="eastAsia"/>
                <w:color w:val="auto"/>
                <w:kern w:val="0"/>
                <w:sz w:val="24"/>
                <w:highlight w:val="none"/>
              </w:rPr>
              <w:t>建筑工程</w:t>
            </w:r>
          </w:p>
        </w:tc>
        <w:tc>
          <w:tcPr>
            <w:tcW w:w="1154" w:type="pct"/>
            <w:vMerge w:val="restart"/>
            <w:tcBorders>
              <w:top w:val="single" w:color="auto" w:sz="4" w:space="0"/>
              <w:left w:val="single" w:color="auto" w:sz="4" w:space="0"/>
              <w:right w:val="single" w:color="auto" w:sz="4" w:space="0"/>
            </w:tcBorders>
            <w:noWrap w:val="0"/>
            <w:vAlign w:val="center"/>
          </w:tcPr>
          <w:p w14:paraId="3946CE40">
            <w:pPr>
              <w:adjustRightInd w:val="0"/>
              <w:snapToGrid w:val="0"/>
              <w:spacing w:line="360" w:lineRule="auto"/>
              <w:jc w:val="center"/>
              <w:rPr>
                <w:rFonts w:eastAsia="仿宋"/>
                <w:color w:val="auto"/>
                <w:kern w:val="0"/>
                <w:sz w:val="24"/>
                <w:highlight w:val="none"/>
              </w:rPr>
            </w:pPr>
            <w:r>
              <w:rPr>
                <w:rFonts w:hint="eastAsia"/>
                <w:color w:val="auto"/>
                <w:kern w:val="0"/>
                <w:sz w:val="24"/>
                <w:highlight w:val="none"/>
              </w:rPr>
              <w:t>市政公用工程</w:t>
            </w:r>
          </w:p>
        </w:tc>
      </w:tr>
      <w:tr w14:paraId="0E3C6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974" w:type="pct"/>
            <w:vMerge w:val="continue"/>
            <w:tcBorders>
              <w:top w:val="single" w:color="000000" w:sz="4" w:space="0"/>
              <w:left w:val="single" w:color="auto" w:sz="4" w:space="0"/>
              <w:bottom w:val="single" w:color="auto" w:sz="4" w:space="0"/>
              <w:right w:val="single" w:color="auto" w:sz="4" w:space="0"/>
            </w:tcBorders>
            <w:noWrap w:val="0"/>
            <w:vAlign w:val="center"/>
          </w:tcPr>
          <w:p w14:paraId="26CCC1EB">
            <w:pPr>
              <w:widowControl/>
              <w:snapToGrid w:val="0"/>
              <w:spacing w:line="360" w:lineRule="auto"/>
              <w:jc w:val="center"/>
              <w:rPr>
                <w:color w:val="auto"/>
                <w:kern w:val="0"/>
                <w:sz w:val="24"/>
                <w:highlight w:val="none"/>
              </w:rPr>
            </w:pPr>
          </w:p>
        </w:tc>
        <w:tc>
          <w:tcPr>
            <w:tcW w:w="1655" w:type="pct"/>
            <w:vMerge w:val="continue"/>
            <w:tcBorders>
              <w:top w:val="single" w:color="000000" w:sz="4" w:space="0"/>
              <w:left w:val="single" w:color="auto" w:sz="4" w:space="0"/>
              <w:bottom w:val="single" w:color="auto" w:sz="4" w:space="0"/>
              <w:right w:val="single" w:color="auto" w:sz="4" w:space="0"/>
            </w:tcBorders>
            <w:noWrap w:val="0"/>
            <w:vAlign w:val="center"/>
          </w:tcPr>
          <w:p w14:paraId="0FA32757">
            <w:pPr>
              <w:widowControl/>
              <w:snapToGrid w:val="0"/>
              <w:spacing w:line="360" w:lineRule="auto"/>
              <w:jc w:val="center"/>
              <w:rPr>
                <w:color w:val="auto"/>
                <w:kern w:val="0"/>
                <w:sz w:val="24"/>
                <w:highlight w:val="none"/>
              </w:rPr>
            </w:pPr>
          </w:p>
        </w:tc>
        <w:tc>
          <w:tcPr>
            <w:tcW w:w="1218" w:type="pct"/>
            <w:vMerge w:val="continue"/>
            <w:tcBorders>
              <w:top w:val="single" w:color="000000" w:sz="4" w:space="0"/>
              <w:left w:val="single" w:color="auto" w:sz="4" w:space="0"/>
              <w:bottom w:val="single" w:color="auto" w:sz="4" w:space="0"/>
              <w:right w:val="single" w:color="auto" w:sz="4" w:space="0"/>
            </w:tcBorders>
            <w:noWrap w:val="0"/>
            <w:vAlign w:val="center"/>
          </w:tcPr>
          <w:p w14:paraId="7EC896D0">
            <w:pPr>
              <w:adjustRightInd w:val="0"/>
              <w:snapToGrid w:val="0"/>
              <w:spacing w:line="360" w:lineRule="auto"/>
              <w:jc w:val="center"/>
              <w:rPr>
                <w:color w:val="auto"/>
                <w:kern w:val="0"/>
                <w:sz w:val="24"/>
                <w:highlight w:val="none"/>
              </w:rPr>
            </w:pPr>
          </w:p>
        </w:tc>
        <w:tc>
          <w:tcPr>
            <w:tcW w:w="1154" w:type="pct"/>
            <w:vMerge w:val="continue"/>
            <w:tcBorders>
              <w:left w:val="single" w:color="auto" w:sz="4" w:space="0"/>
              <w:bottom w:val="single" w:color="auto" w:sz="4" w:space="0"/>
              <w:right w:val="single" w:color="auto" w:sz="4" w:space="0"/>
            </w:tcBorders>
            <w:noWrap w:val="0"/>
            <w:vAlign w:val="center"/>
          </w:tcPr>
          <w:p w14:paraId="53EC74C9">
            <w:pPr>
              <w:adjustRightInd w:val="0"/>
              <w:snapToGrid w:val="0"/>
              <w:spacing w:line="360" w:lineRule="auto"/>
              <w:jc w:val="center"/>
              <w:rPr>
                <w:color w:val="auto"/>
                <w:kern w:val="0"/>
                <w:sz w:val="24"/>
                <w:highlight w:val="none"/>
              </w:rPr>
            </w:pPr>
          </w:p>
        </w:tc>
      </w:tr>
      <w:tr w14:paraId="0BD41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74" w:type="pct"/>
            <w:tcBorders>
              <w:top w:val="single" w:color="auto" w:sz="4" w:space="0"/>
              <w:left w:val="single" w:color="auto" w:sz="4" w:space="0"/>
              <w:bottom w:val="single" w:color="000000" w:sz="4" w:space="0"/>
              <w:right w:val="single" w:color="auto" w:sz="4" w:space="0"/>
            </w:tcBorders>
            <w:noWrap w:val="0"/>
            <w:vAlign w:val="center"/>
          </w:tcPr>
          <w:p w14:paraId="76EA1A35">
            <w:pPr>
              <w:adjustRightInd w:val="0"/>
              <w:snapToGrid w:val="0"/>
              <w:spacing w:line="360" w:lineRule="auto"/>
              <w:jc w:val="center"/>
              <w:rPr>
                <w:color w:val="auto"/>
                <w:kern w:val="0"/>
                <w:sz w:val="24"/>
                <w:highlight w:val="none"/>
              </w:rPr>
            </w:pPr>
            <w:r>
              <w:rPr>
                <w:rFonts w:hint="eastAsia"/>
                <w:color w:val="auto"/>
                <w:kern w:val="0"/>
                <w:sz w:val="24"/>
                <w:highlight w:val="none"/>
              </w:rPr>
              <w:t>环境保护费</w:t>
            </w:r>
          </w:p>
        </w:tc>
        <w:tc>
          <w:tcPr>
            <w:tcW w:w="1655" w:type="pct"/>
            <w:vMerge w:val="restart"/>
            <w:tcBorders>
              <w:top w:val="single" w:color="auto" w:sz="4" w:space="0"/>
              <w:left w:val="single" w:color="auto" w:sz="4" w:space="0"/>
              <w:bottom w:val="single" w:color="auto" w:sz="4" w:space="0"/>
              <w:right w:val="single" w:color="auto" w:sz="4" w:space="0"/>
            </w:tcBorders>
            <w:noWrap w:val="0"/>
            <w:vAlign w:val="center"/>
          </w:tcPr>
          <w:p w14:paraId="6BB50A8D">
            <w:pPr>
              <w:adjustRightInd w:val="0"/>
              <w:snapToGrid w:val="0"/>
              <w:spacing w:line="360" w:lineRule="auto"/>
              <w:jc w:val="center"/>
              <w:rPr>
                <w:color w:val="auto"/>
                <w:kern w:val="0"/>
                <w:sz w:val="24"/>
                <w:highlight w:val="none"/>
              </w:rPr>
            </w:pPr>
            <w:r>
              <w:rPr>
                <w:rFonts w:hint="eastAsia"/>
                <w:color w:val="auto"/>
                <w:kern w:val="0"/>
                <w:sz w:val="24"/>
                <w:highlight w:val="none"/>
              </w:rPr>
              <w:t>定额人工费+定额机械费</w:t>
            </w:r>
          </w:p>
        </w:tc>
        <w:tc>
          <w:tcPr>
            <w:tcW w:w="1218" w:type="pct"/>
            <w:tcBorders>
              <w:top w:val="single" w:color="auto" w:sz="4" w:space="0"/>
              <w:left w:val="single" w:color="auto" w:sz="4" w:space="0"/>
              <w:bottom w:val="single" w:color="auto" w:sz="4" w:space="0"/>
              <w:right w:val="single" w:color="auto" w:sz="4" w:space="0"/>
            </w:tcBorders>
            <w:noWrap w:val="0"/>
            <w:vAlign w:val="center"/>
          </w:tcPr>
          <w:p w14:paraId="25584249">
            <w:pPr>
              <w:adjustRightInd w:val="0"/>
              <w:snapToGrid w:val="0"/>
              <w:spacing w:line="360" w:lineRule="auto"/>
              <w:jc w:val="center"/>
              <w:rPr>
                <w:color w:val="auto"/>
                <w:kern w:val="0"/>
                <w:sz w:val="24"/>
                <w:highlight w:val="none"/>
              </w:rPr>
            </w:pPr>
            <w:r>
              <w:rPr>
                <w:rFonts w:hint="eastAsia"/>
                <w:color w:val="auto"/>
                <w:kern w:val="0"/>
                <w:sz w:val="24"/>
                <w:highlight w:val="none"/>
              </w:rPr>
              <w:t>3.28</w:t>
            </w:r>
          </w:p>
        </w:tc>
        <w:tc>
          <w:tcPr>
            <w:tcW w:w="1154" w:type="pct"/>
            <w:tcBorders>
              <w:top w:val="single" w:color="auto" w:sz="4" w:space="0"/>
              <w:left w:val="single" w:color="auto" w:sz="4" w:space="0"/>
              <w:bottom w:val="single" w:color="auto" w:sz="4" w:space="0"/>
              <w:right w:val="single" w:color="auto" w:sz="4" w:space="0"/>
            </w:tcBorders>
            <w:noWrap w:val="0"/>
            <w:vAlign w:val="center"/>
          </w:tcPr>
          <w:p w14:paraId="2AC006F3">
            <w:pPr>
              <w:adjustRightInd w:val="0"/>
              <w:snapToGrid w:val="0"/>
              <w:spacing w:line="360" w:lineRule="auto"/>
              <w:jc w:val="center"/>
              <w:rPr>
                <w:rFonts w:eastAsia="仿宋"/>
                <w:color w:val="auto"/>
                <w:kern w:val="0"/>
                <w:sz w:val="24"/>
                <w:highlight w:val="none"/>
              </w:rPr>
            </w:pPr>
            <w:r>
              <w:rPr>
                <w:rFonts w:hint="eastAsia"/>
                <w:color w:val="auto"/>
                <w:kern w:val="0"/>
                <w:sz w:val="24"/>
                <w:highlight w:val="none"/>
              </w:rPr>
              <w:t>3.57</w:t>
            </w:r>
          </w:p>
        </w:tc>
      </w:tr>
      <w:tr w14:paraId="34AE7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74" w:type="pct"/>
            <w:tcBorders>
              <w:top w:val="single" w:color="auto" w:sz="4" w:space="0"/>
              <w:left w:val="single" w:color="auto" w:sz="4" w:space="0"/>
              <w:bottom w:val="single" w:color="auto" w:sz="4" w:space="0"/>
              <w:right w:val="single" w:color="auto" w:sz="4" w:space="0"/>
            </w:tcBorders>
            <w:noWrap w:val="0"/>
            <w:vAlign w:val="center"/>
          </w:tcPr>
          <w:p w14:paraId="75774B07">
            <w:pPr>
              <w:adjustRightInd w:val="0"/>
              <w:snapToGrid w:val="0"/>
              <w:spacing w:line="360" w:lineRule="auto"/>
              <w:jc w:val="center"/>
              <w:rPr>
                <w:color w:val="auto"/>
                <w:kern w:val="0"/>
                <w:sz w:val="24"/>
                <w:highlight w:val="none"/>
              </w:rPr>
            </w:pPr>
            <w:r>
              <w:rPr>
                <w:rFonts w:hint="eastAsia"/>
                <w:color w:val="auto"/>
                <w:kern w:val="0"/>
                <w:sz w:val="24"/>
                <w:highlight w:val="none"/>
              </w:rPr>
              <w:t>文明施工费</w:t>
            </w:r>
          </w:p>
        </w:tc>
        <w:tc>
          <w:tcPr>
            <w:tcW w:w="1655" w:type="pct"/>
            <w:vMerge w:val="continue"/>
            <w:tcBorders>
              <w:top w:val="single" w:color="auto" w:sz="4" w:space="0"/>
              <w:left w:val="single" w:color="auto" w:sz="4" w:space="0"/>
              <w:bottom w:val="single" w:color="auto" w:sz="4" w:space="0"/>
              <w:right w:val="single" w:color="auto" w:sz="4" w:space="0"/>
            </w:tcBorders>
            <w:noWrap w:val="0"/>
            <w:vAlign w:val="center"/>
          </w:tcPr>
          <w:p w14:paraId="67AD1EBB">
            <w:pPr>
              <w:widowControl/>
              <w:snapToGrid w:val="0"/>
              <w:spacing w:line="360" w:lineRule="auto"/>
              <w:jc w:val="center"/>
              <w:rPr>
                <w:color w:val="auto"/>
                <w:kern w:val="0"/>
                <w:sz w:val="24"/>
                <w:highlight w:val="none"/>
              </w:rPr>
            </w:pPr>
          </w:p>
        </w:tc>
        <w:tc>
          <w:tcPr>
            <w:tcW w:w="1218" w:type="pct"/>
            <w:tcBorders>
              <w:top w:val="single" w:color="auto" w:sz="4" w:space="0"/>
              <w:left w:val="single" w:color="auto" w:sz="4" w:space="0"/>
              <w:bottom w:val="single" w:color="auto" w:sz="4" w:space="0"/>
              <w:right w:val="single" w:color="auto" w:sz="4" w:space="0"/>
            </w:tcBorders>
            <w:noWrap w:val="0"/>
            <w:vAlign w:val="center"/>
          </w:tcPr>
          <w:p w14:paraId="6F683F08">
            <w:pPr>
              <w:adjustRightInd w:val="0"/>
              <w:snapToGrid w:val="0"/>
              <w:spacing w:line="360" w:lineRule="auto"/>
              <w:jc w:val="center"/>
              <w:rPr>
                <w:color w:val="auto"/>
                <w:kern w:val="0"/>
                <w:sz w:val="24"/>
                <w:highlight w:val="none"/>
              </w:rPr>
            </w:pPr>
            <w:r>
              <w:rPr>
                <w:rFonts w:hint="eastAsia"/>
                <w:color w:val="auto"/>
                <w:kern w:val="0"/>
                <w:sz w:val="24"/>
                <w:highlight w:val="none"/>
              </w:rPr>
              <w:t>5.12</w:t>
            </w:r>
          </w:p>
        </w:tc>
        <w:tc>
          <w:tcPr>
            <w:tcW w:w="1154" w:type="pct"/>
            <w:tcBorders>
              <w:top w:val="single" w:color="auto" w:sz="4" w:space="0"/>
              <w:left w:val="single" w:color="auto" w:sz="4" w:space="0"/>
              <w:bottom w:val="single" w:color="auto" w:sz="4" w:space="0"/>
              <w:right w:val="single" w:color="auto" w:sz="4" w:space="0"/>
            </w:tcBorders>
            <w:noWrap w:val="0"/>
            <w:vAlign w:val="center"/>
          </w:tcPr>
          <w:p w14:paraId="4A5876DC">
            <w:pPr>
              <w:adjustRightInd w:val="0"/>
              <w:snapToGrid w:val="0"/>
              <w:spacing w:line="360" w:lineRule="auto"/>
              <w:jc w:val="center"/>
              <w:rPr>
                <w:rFonts w:eastAsia="仿宋"/>
                <w:color w:val="auto"/>
                <w:kern w:val="0"/>
                <w:sz w:val="24"/>
                <w:highlight w:val="none"/>
              </w:rPr>
            </w:pPr>
            <w:r>
              <w:rPr>
                <w:rFonts w:hint="eastAsia"/>
                <w:color w:val="auto"/>
                <w:kern w:val="0"/>
                <w:sz w:val="24"/>
                <w:highlight w:val="none"/>
              </w:rPr>
              <w:t>7.33</w:t>
            </w:r>
          </w:p>
        </w:tc>
      </w:tr>
      <w:tr w14:paraId="6A73B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74" w:type="pct"/>
            <w:tcBorders>
              <w:top w:val="single" w:color="auto" w:sz="4" w:space="0"/>
              <w:left w:val="single" w:color="auto" w:sz="4" w:space="0"/>
              <w:bottom w:val="single" w:color="auto" w:sz="4" w:space="0"/>
              <w:right w:val="single" w:color="auto" w:sz="4" w:space="0"/>
            </w:tcBorders>
            <w:noWrap w:val="0"/>
            <w:vAlign w:val="center"/>
          </w:tcPr>
          <w:p w14:paraId="5E086C3B">
            <w:pPr>
              <w:adjustRightInd w:val="0"/>
              <w:snapToGrid w:val="0"/>
              <w:spacing w:line="360" w:lineRule="auto"/>
              <w:jc w:val="center"/>
              <w:rPr>
                <w:color w:val="auto"/>
                <w:kern w:val="0"/>
                <w:sz w:val="24"/>
                <w:highlight w:val="none"/>
              </w:rPr>
            </w:pPr>
            <w:r>
              <w:rPr>
                <w:rFonts w:hint="eastAsia"/>
                <w:color w:val="auto"/>
                <w:kern w:val="0"/>
                <w:sz w:val="24"/>
                <w:highlight w:val="none"/>
              </w:rPr>
              <w:t>安全施工费</w:t>
            </w:r>
          </w:p>
        </w:tc>
        <w:tc>
          <w:tcPr>
            <w:tcW w:w="1655" w:type="pct"/>
            <w:vMerge w:val="continue"/>
            <w:tcBorders>
              <w:top w:val="single" w:color="auto" w:sz="4" w:space="0"/>
              <w:left w:val="single" w:color="auto" w:sz="4" w:space="0"/>
              <w:bottom w:val="single" w:color="auto" w:sz="4" w:space="0"/>
              <w:right w:val="single" w:color="auto" w:sz="4" w:space="0"/>
            </w:tcBorders>
            <w:noWrap w:val="0"/>
            <w:vAlign w:val="center"/>
          </w:tcPr>
          <w:p w14:paraId="35A01906">
            <w:pPr>
              <w:widowControl/>
              <w:snapToGrid w:val="0"/>
              <w:spacing w:line="360" w:lineRule="auto"/>
              <w:jc w:val="center"/>
              <w:rPr>
                <w:color w:val="auto"/>
                <w:kern w:val="0"/>
                <w:sz w:val="24"/>
                <w:highlight w:val="none"/>
              </w:rPr>
            </w:pPr>
          </w:p>
        </w:tc>
        <w:tc>
          <w:tcPr>
            <w:tcW w:w="1218" w:type="pct"/>
            <w:tcBorders>
              <w:top w:val="single" w:color="auto" w:sz="4" w:space="0"/>
              <w:left w:val="single" w:color="auto" w:sz="4" w:space="0"/>
              <w:bottom w:val="single" w:color="auto" w:sz="4" w:space="0"/>
              <w:right w:val="single" w:color="auto" w:sz="4" w:space="0"/>
            </w:tcBorders>
            <w:noWrap w:val="0"/>
            <w:vAlign w:val="center"/>
          </w:tcPr>
          <w:p w14:paraId="5297063B">
            <w:pPr>
              <w:adjustRightInd w:val="0"/>
              <w:snapToGrid w:val="0"/>
              <w:spacing w:line="360" w:lineRule="auto"/>
              <w:jc w:val="center"/>
              <w:rPr>
                <w:color w:val="auto"/>
                <w:kern w:val="0"/>
                <w:sz w:val="24"/>
                <w:highlight w:val="none"/>
              </w:rPr>
            </w:pPr>
            <w:r>
              <w:rPr>
                <w:rFonts w:hint="eastAsia"/>
                <w:color w:val="auto"/>
                <w:kern w:val="0"/>
                <w:sz w:val="24"/>
                <w:highlight w:val="none"/>
              </w:rPr>
              <w:t>4.13</w:t>
            </w:r>
          </w:p>
        </w:tc>
        <w:tc>
          <w:tcPr>
            <w:tcW w:w="1154" w:type="pct"/>
            <w:tcBorders>
              <w:top w:val="single" w:color="auto" w:sz="4" w:space="0"/>
              <w:left w:val="single" w:color="auto" w:sz="4" w:space="0"/>
              <w:bottom w:val="single" w:color="auto" w:sz="4" w:space="0"/>
              <w:right w:val="single" w:color="auto" w:sz="4" w:space="0"/>
            </w:tcBorders>
            <w:noWrap w:val="0"/>
            <w:vAlign w:val="center"/>
          </w:tcPr>
          <w:p w14:paraId="7019155D">
            <w:pPr>
              <w:adjustRightInd w:val="0"/>
              <w:snapToGrid w:val="0"/>
              <w:spacing w:line="360" w:lineRule="auto"/>
              <w:jc w:val="center"/>
              <w:rPr>
                <w:rFonts w:eastAsia="仿宋"/>
                <w:color w:val="auto"/>
                <w:kern w:val="0"/>
                <w:sz w:val="24"/>
                <w:highlight w:val="none"/>
              </w:rPr>
            </w:pPr>
            <w:r>
              <w:rPr>
                <w:rFonts w:hint="eastAsia"/>
                <w:color w:val="auto"/>
                <w:kern w:val="0"/>
                <w:sz w:val="24"/>
                <w:highlight w:val="none"/>
              </w:rPr>
              <w:t>5.28</w:t>
            </w:r>
          </w:p>
        </w:tc>
      </w:tr>
      <w:tr w14:paraId="15D27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74" w:type="pct"/>
            <w:tcBorders>
              <w:top w:val="single" w:color="auto" w:sz="4" w:space="0"/>
              <w:left w:val="single" w:color="auto" w:sz="4" w:space="0"/>
              <w:bottom w:val="single" w:color="auto" w:sz="4" w:space="0"/>
              <w:right w:val="single" w:color="auto" w:sz="4" w:space="0"/>
            </w:tcBorders>
            <w:noWrap w:val="0"/>
            <w:vAlign w:val="center"/>
          </w:tcPr>
          <w:p w14:paraId="78979C98">
            <w:pPr>
              <w:adjustRightInd w:val="0"/>
              <w:snapToGrid w:val="0"/>
              <w:spacing w:line="360" w:lineRule="auto"/>
              <w:jc w:val="center"/>
              <w:rPr>
                <w:color w:val="auto"/>
                <w:kern w:val="0"/>
                <w:sz w:val="24"/>
                <w:highlight w:val="none"/>
              </w:rPr>
            </w:pPr>
            <w:r>
              <w:rPr>
                <w:rFonts w:hint="eastAsia"/>
                <w:color w:val="auto"/>
                <w:kern w:val="0"/>
                <w:sz w:val="24"/>
                <w:highlight w:val="none"/>
              </w:rPr>
              <w:t>临时设施费</w:t>
            </w:r>
          </w:p>
        </w:tc>
        <w:tc>
          <w:tcPr>
            <w:tcW w:w="1655" w:type="pct"/>
            <w:vMerge w:val="continue"/>
            <w:tcBorders>
              <w:top w:val="single" w:color="auto" w:sz="4" w:space="0"/>
              <w:left w:val="single" w:color="auto" w:sz="4" w:space="0"/>
              <w:bottom w:val="single" w:color="auto" w:sz="4" w:space="0"/>
              <w:right w:val="single" w:color="auto" w:sz="4" w:space="0"/>
            </w:tcBorders>
            <w:noWrap w:val="0"/>
            <w:vAlign w:val="center"/>
          </w:tcPr>
          <w:p w14:paraId="6A65667F">
            <w:pPr>
              <w:widowControl/>
              <w:snapToGrid w:val="0"/>
              <w:spacing w:line="360" w:lineRule="auto"/>
              <w:jc w:val="center"/>
              <w:rPr>
                <w:color w:val="auto"/>
                <w:kern w:val="0"/>
                <w:sz w:val="24"/>
                <w:highlight w:val="none"/>
              </w:rPr>
            </w:pPr>
          </w:p>
        </w:tc>
        <w:tc>
          <w:tcPr>
            <w:tcW w:w="1218" w:type="pct"/>
            <w:tcBorders>
              <w:top w:val="single" w:color="auto" w:sz="4" w:space="0"/>
              <w:left w:val="single" w:color="auto" w:sz="4" w:space="0"/>
              <w:bottom w:val="single" w:color="auto" w:sz="4" w:space="0"/>
              <w:right w:val="single" w:color="auto" w:sz="4" w:space="0"/>
            </w:tcBorders>
            <w:noWrap w:val="0"/>
            <w:vAlign w:val="center"/>
          </w:tcPr>
          <w:p w14:paraId="031EC8A9">
            <w:pPr>
              <w:adjustRightInd w:val="0"/>
              <w:snapToGrid w:val="0"/>
              <w:spacing w:line="360" w:lineRule="auto"/>
              <w:jc w:val="center"/>
              <w:rPr>
                <w:color w:val="auto"/>
                <w:kern w:val="0"/>
                <w:sz w:val="24"/>
                <w:highlight w:val="none"/>
              </w:rPr>
            </w:pPr>
            <w:r>
              <w:rPr>
                <w:rFonts w:hint="eastAsia"/>
                <w:color w:val="auto"/>
                <w:kern w:val="0"/>
                <w:sz w:val="24"/>
                <w:highlight w:val="none"/>
              </w:rPr>
              <w:t>8.10</w:t>
            </w:r>
          </w:p>
        </w:tc>
        <w:tc>
          <w:tcPr>
            <w:tcW w:w="1154" w:type="pct"/>
            <w:tcBorders>
              <w:top w:val="single" w:color="auto" w:sz="4" w:space="0"/>
              <w:left w:val="single" w:color="auto" w:sz="4" w:space="0"/>
              <w:bottom w:val="single" w:color="auto" w:sz="4" w:space="0"/>
              <w:right w:val="single" w:color="auto" w:sz="4" w:space="0"/>
            </w:tcBorders>
            <w:noWrap w:val="0"/>
            <w:vAlign w:val="center"/>
          </w:tcPr>
          <w:p w14:paraId="6DB40210">
            <w:pPr>
              <w:adjustRightInd w:val="0"/>
              <w:snapToGrid w:val="0"/>
              <w:spacing w:line="360" w:lineRule="auto"/>
              <w:jc w:val="center"/>
              <w:rPr>
                <w:rFonts w:eastAsia="仿宋"/>
                <w:color w:val="auto"/>
                <w:kern w:val="0"/>
                <w:sz w:val="24"/>
                <w:highlight w:val="none"/>
              </w:rPr>
            </w:pPr>
            <w:r>
              <w:rPr>
                <w:rFonts w:hint="eastAsia"/>
                <w:color w:val="auto"/>
                <w:kern w:val="0"/>
                <w:sz w:val="24"/>
                <w:highlight w:val="none"/>
              </w:rPr>
              <w:t>9.99</w:t>
            </w:r>
          </w:p>
        </w:tc>
      </w:tr>
    </w:tbl>
    <w:p w14:paraId="33399CD6">
      <w:pPr>
        <w:keepNext/>
        <w:keepLines/>
        <w:adjustRightInd w:val="0"/>
        <w:snapToGrid w:val="0"/>
        <w:spacing w:line="480" w:lineRule="exact"/>
        <w:outlineLvl w:val="1"/>
        <w:rPr>
          <w:rFonts w:hint="eastAsia" w:ascii="宋体" w:hAnsi="宋体" w:cs="宋体"/>
          <w:b/>
          <w:bCs/>
          <w:color w:val="auto"/>
          <w:sz w:val="32"/>
          <w:szCs w:val="32"/>
          <w:highlight w:val="none"/>
        </w:rPr>
      </w:pPr>
      <w:bookmarkStart w:id="1409" w:name="_Toc7049"/>
      <w:bookmarkStart w:id="1410" w:name="_Toc7039"/>
      <w:bookmarkStart w:id="1411" w:name="_Toc95223517"/>
      <w:r>
        <w:rPr>
          <w:rFonts w:hint="eastAsia" w:ascii="宋体" w:hAnsi="宋体" w:cs="宋体"/>
          <w:b/>
          <w:bCs/>
          <w:color w:val="auto"/>
          <w:sz w:val="32"/>
          <w:szCs w:val="32"/>
          <w:highlight w:val="none"/>
        </w:rPr>
        <w:t>2. 工程造价确定</w:t>
      </w:r>
      <w:bookmarkEnd w:id="1409"/>
      <w:bookmarkEnd w:id="1410"/>
      <w:bookmarkEnd w:id="1411"/>
    </w:p>
    <w:p w14:paraId="2D7E35A4">
      <w:pPr>
        <w:adjustRightInd w:val="0"/>
        <w:snapToGrid w:val="0"/>
        <w:spacing w:line="360" w:lineRule="auto"/>
        <w:ind w:firstLine="420" w:firstLineChars="200"/>
        <w:rPr>
          <w:rFonts w:hint="eastAsia" w:ascii="宋体" w:hAnsi="宋体" w:eastAsia="宋体" w:cs="宋体"/>
          <w:color w:val="auto"/>
          <w:szCs w:val="21"/>
          <w:highlight w:val="none"/>
        </w:rPr>
      </w:pPr>
      <w:bookmarkStart w:id="1412" w:name="_Toc26810"/>
      <w:bookmarkStart w:id="1413" w:name="_Toc95223518"/>
      <w:bookmarkStart w:id="1414" w:name="_Toc19788"/>
      <w:r>
        <w:rPr>
          <w:rFonts w:hint="eastAsia" w:ascii="宋体" w:hAnsi="宋体" w:eastAsia="宋体" w:cs="宋体"/>
          <w:color w:val="auto"/>
          <w:szCs w:val="21"/>
          <w:highlight w:val="none"/>
        </w:rPr>
        <w:t>2.1 本项目采用工程量清单计价。</w:t>
      </w:r>
    </w:p>
    <w:p w14:paraId="4B846336">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除招标文件另有约定外，本项目计税采用增值税一般计税方法。</w:t>
      </w:r>
    </w:p>
    <w:p w14:paraId="5474996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 建设工程造价由分部分项工程费、措施项目费、不可竞争费、其他项目费</w:t>
      </w:r>
      <w:r>
        <w:rPr>
          <w:rFonts w:hint="eastAsia" w:ascii="宋体" w:hAnsi="宋体" w:eastAsia="宋体" w:cs="宋体"/>
          <w:color w:val="auto"/>
          <w:szCs w:val="21"/>
          <w:highlight w:val="none"/>
          <w:lang w:eastAsia="zh-CN"/>
        </w:rPr>
        <w:t>、安全生产责任保险费和增值税</w:t>
      </w:r>
      <w:r>
        <w:rPr>
          <w:rFonts w:hint="eastAsia" w:ascii="宋体" w:hAnsi="宋体" w:eastAsia="宋体" w:cs="宋体"/>
          <w:color w:val="auto"/>
          <w:szCs w:val="21"/>
          <w:highlight w:val="none"/>
        </w:rPr>
        <w:t>构成。</w:t>
      </w:r>
    </w:p>
    <w:p w14:paraId="5CF668EC">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 分部分项工程项目清单采用综合单价计价。综合单价是指完成一个规定计量单位的分部分项工程和措施清单项目所需的人工费、材料和工程设备费、施工机具使用费和综合费（企业管理费和利润）以及一定范围内的风险费用。</w:t>
      </w:r>
    </w:p>
    <w:p w14:paraId="34A59B79">
      <w:pPr>
        <w:keepNext/>
        <w:keepLines/>
        <w:adjustRightInd w:val="0"/>
        <w:snapToGrid w:val="0"/>
        <w:spacing w:line="360" w:lineRule="auto"/>
        <w:outlineLvl w:val="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3. 招标工程量清单编制要求</w:t>
      </w:r>
      <w:bookmarkEnd w:id="1412"/>
      <w:bookmarkEnd w:id="1413"/>
      <w:bookmarkEnd w:id="1414"/>
    </w:p>
    <w:p w14:paraId="6A28054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 招标工程量清单编制依据如下：</w:t>
      </w:r>
    </w:p>
    <w:p w14:paraId="1155494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（1）2018版安徽省建设工程工程量清单计价办法；</w:t>
      </w:r>
    </w:p>
    <w:p w14:paraId="0F080DC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（2）《关于调整安徽省建设工程不可竞争费构成及计费标准的通知》（建标〔2021〕42号）； </w:t>
      </w:r>
    </w:p>
    <w:p w14:paraId="60B5A81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（3）建设工程设计文件及相关资料；</w:t>
      </w:r>
    </w:p>
    <w:p w14:paraId="674D5AA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（4）与建设项目有关的标准、规范、技术资料；</w:t>
      </w:r>
    </w:p>
    <w:p w14:paraId="794FA52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（5）拟定的招标文件及其补充通知答疑纪要； </w:t>
      </w:r>
    </w:p>
    <w:p w14:paraId="45DB802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（6）施工现场情况、地勘水文资料、工程特点及常规施工方案；</w:t>
      </w:r>
    </w:p>
    <w:p w14:paraId="5D79E84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（7）招标人对项目其他相关要求文件。</w:t>
      </w:r>
    </w:p>
    <w:p w14:paraId="748A809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 招标工程量清单作为招标文件的组成部分，是编制最高投标限价、投标报价、计算工程量、调整合同价款、办理工程竣工结算以及工程索赔等的依据。</w:t>
      </w:r>
    </w:p>
    <w:p w14:paraId="47685EB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 投标人在投标报价过程中有责任和义务对招标人提供的工程量清单进行分析和核对,发现问题应按招标文件要求以书面形式告知招标人。</w:t>
      </w:r>
    </w:p>
    <w:p w14:paraId="70BB488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 工程量清单由分部分项工程量清单、措施项目清单、不可竞争项目清单、其他项目清单、税金项目清单组成。采用统一格式和表格，具体构成内容见“工程量清单”。</w:t>
      </w:r>
    </w:p>
    <w:p w14:paraId="637AEC1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 分部分项工程量清单项目特征是结合本工程项目的实际情况予以描述的，对清单项目的技术和质量有要求的，见招标文件技术部分。措施项目清单中通用部分遵循计价规范编制，专业工程措施项目按规定和工程实际情况确定。</w:t>
      </w:r>
    </w:p>
    <w:p w14:paraId="6DE5C7E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 招标工程量清单编制范围应与招标文件中明确的工程招标范围一致。工程量清单的组成内容应当完整、项目特征描述应准确全面，与施工图纸保持一致。</w:t>
      </w:r>
    </w:p>
    <w:p w14:paraId="25A424A8">
      <w:pPr>
        <w:keepNext/>
        <w:keepLines/>
        <w:adjustRightInd w:val="0"/>
        <w:snapToGrid w:val="0"/>
        <w:spacing w:line="360" w:lineRule="auto"/>
        <w:outlineLvl w:val="1"/>
        <w:rPr>
          <w:rFonts w:hint="eastAsia" w:ascii="宋体" w:hAnsi="宋体" w:cs="宋体"/>
          <w:b/>
          <w:bCs/>
          <w:color w:val="auto"/>
          <w:sz w:val="32"/>
          <w:szCs w:val="32"/>
          <w:highlight w:val="none"/>
        </w:rPr>
      </w:pPr>
      <w:bookmarkStart w:id="1415" w:name="_Toc25387"/>
      <w:bookmarkStart w:id="1416" w:name="_Toc23910"/>
      <w:bookmarkStart w:id="1417" w:name="_Toc95223519"/>
      <w:r>
        <w:rPr>
          <w:rFonts w:hint="eastAsia" w:ascii="宋体" w:hAnsi="宋体" w:cs="宋体"/>
          <w:b/>
          <w:bCs/>
          <w:color w:val="auto"/>
          <w:sz w:val="32"/>
          <w:szCs w:val="32"/>
          <w:highlight w:val="none"/>
        </w:rPr>
        <w:t>4. 最高投标限价编制要求</w:t>
      </w:r>
      <w:bookmarkEnd w:id="1415"/>
      <w:bookmarkEnd w:id="1416"/>
      <w:bookmarkEnd w:id="1417"/>
    </w:p>
    <w:p w14:paraId="6546701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 最高投标限价编制依据如下：</w:t>
      </w:r>
    </w:p>
    <w:p w14:paraId="68BD3D7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（1）2018版安徽省建设工程费用定额；</w:t>
      </w:r>
    </w:p>
    <w:p w14:paraId="0FDE9EE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（2）2018版安徽省建设工程施工机械台班费用编制规则；</w:t>
      </w:r>
    </w:p>
    <w:p w14:paraId="4A0097B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（3）2018版安徽省配套计价定额；</w:t>
      </w:r>
    </w:p>
    <w:p w14:paraId="54B5A73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（4）《关于调整安徽省建设工程不可竞争费构成及计费标准的通知》（建标〔2021〕42号）； </w:t>
      </w:r>
    </w:p>
    <w:p w14:paraId="7C7CF348">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（5）关于发布《安徽省建设工程计价依据动态调整(第</w:t>
      </w:r>
      <w:r>
        <w:rPr>
          <w:rFonts w:hint="eastAsia" w:ascii="宋体" w:hAnsi="宋体" w:cs="宋体"/>
          <w:color w:val="auto"/>
          <w:szCs w:val="21"/>
          <w:highlight w:val="none"/>
          <w:lang w:val="en-US" w:eastAsia="zh-CN"/>
        </w:rPr>
        <w:t xml:space="preserve">2 </w:t>
      </w:r>
      <w:r>
        <w:rPr>
          <w:rFonts w:hint="eastAsia" w:ascii="宋体" w:hAnsi="宋体" w:cs="宋体"/>
          <w:color w:val="auto"/>
          <w:szCs w:val="21"/>
          <w:highlight w:val="none"/>
        </w:rPr>
        <w:t>期)》的公告</w:t>
      </w:r>
      <w:r>
        <w:rPr>
          <w:rFonts w:hint="eastAsia" w:ascii="宋体" w:hAnsi="宋体" w:cs="宋体"/>
          <w:color w:val="auto"/>
          <w:szCs w:val="21"/>
          <w:highlight w:val="none"/>
          <w:lang w:eastAsia="zh-CN"/>
        </w:rPr>
        <w:t>；</w:t>
      </w:r>
    </w:p>
    <w:p w14:paraId="00C9C19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（6）建设工程设计文件及相关资料；</w:t>
      </w:r>
    </w:p>
    <w:p w14:paraId="6CF0877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（7）与建设项目有关的标准、规范、技术资料；</w:t>
      </w:r>
    </w:p>
    <w:p w14:paraId="673430A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（8）招标文件及招标工程量清单及其补充通知答疑纪要； </w:t>
      </w:r>
    </w:p>
    <w:p w14:paraId="7F0836B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（9）施工现场情况、工程特点及常规施工方案；</w:t>
      </w:r>
    </w:p>
    <w:p w14:paraId="4E13719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（10）工程造价管理机构发布的工程造价信息（</w:t>
      </w:r>
      <w:r>
        <w:rPr>
          <w:rFonts w:hint="eastAsia" w:ascii="宋体" w:hAnsi="宋体" w:cs="宋体"/>
          <w:color w:val="auto"/>
          <w:szCs w:val="21"/>
          <w:highlight w:val="none"/>
          <w:lang w:val="en-US" w:eastAsia="zh-CN"/>
        </w:rPr>
        <w:t>2026年第6期</w:t>
      </w:r>
      <w:r>
        <w:rPr>
          <w:rFonts w:hint="eastAsia" w:ascii="宋体" w:hAnsi="宋体" w:cs="宋体"/>
          <w:color w:val="auto"/>
          <w:szCs w:val="21"/>
          <w:highlight w:val="none"/>
        </w:rPr>
        <w:t>）；</w:t>
      </w:r>
    </w:p>
    <w:p w14:paraId="38890D3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（11）施工期间的风险因素；</w:t>
      </w:r>
    </w:p>
    <w:p w14:paraId="22A047E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（12）其他相关材料。</w:t>
      </w:r>
    </w:p>
    <w:p w14:paraId="31FC824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 最高投标限价为本次招标工程限定的最高投标限价，应当在工程所在地建设主管部门备案。最高投标限价不做上调或下浮。如最高投标限价超过批准的概算，招标人应将其报原概算审批部门审核。</w:t>
      </w:r>
    </w:p>
    <w:p w14:paraId="55128BC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 最高投标限价应采用工程单价计价，正确、全面地使用国家、省市标准、计价定额以及相关文件，成果文件质量应符合相关标准及规程的规定。最高投标限价包括分部分项工程费、措施项目费、不可竞争费、其他项目费和税金。</w:t>
      </w:r>
    </w:p>
    <w:p w14:paraId="6B808AB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 分部分项工程费按本招标文件的分部分项工程量清单的特征描述及有关要求，结合第4.1款编制依据确定。</w:t>
      </w:r>
    </w:p>
    <w:p w14:paraId="1CCFD3C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（1）综合单价中人工和施工机械台班单价按省级和工程所在地的市级工程造价管理机构公布的单价计算；</w:t>
      </w:r>
    </w:p>
    <w:p w14:paraId="2F1DBBE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（2）综合单价中材料、工程设备单价按省级和工程所在地的市级工程造价管理机构公布的单价以及本招标文件规定的暂估价、市场调查价格计算；</w:t>
      </w:r>
    </w:p>
    <w:p w14:paraId="52AA2CF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（3）本招标文件中列有材料、设备暂估价的，按暂估价计算；</w:t>
      </w:r>
    </w:p>
    <w:p w14:paraId="218F221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（4）综合单价中人工、材料和施工机械台班消耗量均按2018版安徽省定额消耗量计算；</w:t>
      </w:r>
    </w:p>
    <w:p w14:paraId="09EB04C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（5）综合单价中综合费费率按2018版安徽省建设工程计价依据；</w:t>
      </w:r>
    </w:p>
    <w:p w14:paraId="01DBCC0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（6）综合单价中应包括招标文件约定的应由投标人承担的风险范围及其费用，风险按本招标文件第4.1款约定计算。</w:t>
      </w:r>
    </w:p>
    <w:p w14:paraId="33E3F6C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4.5 措施项目费按本招标文件中的措施项目清单，根据拟定的招标文件和常规施工方案确定。对于施工机械设备的选型根据工程特点和施工条件，本着经济实用、先进高效的原则确定。措施项目费依据项目具体情况进行合理确定，复杂项目需按专家论证后的方案编制。</w:t>
      </w:r>
    </w:p>
    <w:p w14:paraId="5E6F4D4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4.6 不可竞争费（含安全文明施工费、</w:t>
      </w:r>
      <w:r>
        <w:rPr>
          <w:rFonts w:hint="eastAsia"/>
          <w:color w:val="auto"/>
          <w:highlight w:val="none"/>
        </w:rPr>
        <w:t>环境保护税</w:t>
      </w:r>
      <w:r>
        <w:rPr>
          <w:rFonts w:hint="eastAsia" w:ascii="宋体" w:hAnsi="宋体" w:cs="宋体"/>
          <w:color w:val="auto"/>
          <w:szCs w:val="21"/>
          <w:highlight w:val="none"/>
        </w:rPr>
        <w:t>）按本招标文件中的不可竞争项目清单编制确定。</w:t>
      </w:r>
    </w:p>
    <w:p w14:paraId="6EF105D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4.7 其他项目费用应按照下列规定计价:</w:t>
      </w:r>
    </w:p>
    <w:p w14:paraId="45DE723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（1）暂列金额按招标工程量清单中列出的金额填写；</w:t>
      </w:r>
    </w:p>
    <w:p w14:paraId="7827D87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（2）专业工程暂估价按招标工程量清单中列出的金额填写；</w:t>
      </w:r>
    </w:p>
    <w:p w14:paraId="358A4BC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（3）计日工按招标人列出项目和数量，结合第4.1款编制依据的要求确定综合单价并计算费用； </w:t>
      </w:r>
    </w:p>
    <w:p w14:paraId="1439985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（4）总承包服务费根据招标文件列出的内容和要求计算。</w:t>
      </w:r>
    </w:p>
    <w:p w14:paraId="0C9B7CE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4.8 税金（增值税）按税金项目清单，结合第4.1款编制依据的要求编制，不得降低标准。</w:t>
      </w:r>
    </w:p>
    <w:p w14:paraId="580D77F7">
      <w:pPr>
        <w:keepNext/>
        <w:keepLines/>
        <w:adjustRightInd w:val="0"/>
        <w:snapToGrid w:val="0"/>
        <w:spacing w:line="360" w:lineRule="auto"/>
        <w:outlineLvl w:val="1"/>
        <w:rPr>
          <w:rFonts w:hint="eastAsia" w:ascii="宋体" w:hAnsi="宋体" w:cs="宋体"/>
          <w:b/>
          <w:bCs/>
          <w:color w:val="auto"/>
          <w:sz w:val="32"/>
          <w:szCs w:val="32"/>
          <w:highlight w:val="none"/>
        </w:rPr>
      </w:pPr>
      <w:bookmarkStart w:id="1418" w:name="_Toc4166"/>
      <w:bookmarkStart w:id="1419" w:name="_Toc95223520"/>
      <w:bookmarkStart w:id="1420" w:name="_Toc14007"/>
      <w:r>
        <w:rPr>
          <w:rFonts w:hint="eastAsia" w:ascii="宋体" w:hAnsi="宋体" w:cs="宋体"/>
          <w:b/>
          <w:bCs/>
          <w:color w:val="auto"/>
          <w:sz w:val="32"/>
          <w:szCs w:val="32"/>
          <w:highlight w:val="none"/>
        </w:rPr>
        <w:t>5. 投标报价参考编制要求</w:t>
      </w:r>
      <w:bookmarkEnd w:id="1418"/>
      <w:bookmarkEnd w:id="1419"/>
      <w:bookmarkEnd w:id="1420"/>
    </w:p>
    <w:p w14:paraId="2B67E67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 投标报价编制参考依据如下：</w:t>
      </w:r>
    </w:p>
    <w:p w14:paraId="180C351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（1）2018版安徽省建设工程费用定额；</w:t>
      </w:r>
    </w:p>
    <w:p w14:paraId="289EA4A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（2）2018版安徽省建设工程施工机械台班费用编制规则；</w:t>
      </w:r>
    </w:p>
    <w:p w14:paraId="560E1BE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（3）2018版安徽省配套计价定额；</w:t>
      </w:r>
    </w:p>
    <w:p w14:paraId="4486B4C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（4）《关于调整安徽省建设工程不可竞争费构成及计费标准的通知》（建标〔2021〕42号）； </w:t>
      </w:r>
    </w:p>
    <w:p w14:paraId="565E8560">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（5）关于发布《安徽省建设工程计价依据动态调整(第</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期)》的公告</w:t>
      </w:r>
      <w:r>
        <w:rPr>
          <w:rFonts w:hint="eastAsia" w:ascii="宋体" w:hAnsi="宋体" w:cs="宋体"/>
          <w:color w:val="auto"/>
          <w:szCs w:val="21"/>
          <w:highlight w:val="none"/>
          <w:lang w:eastAsia="zh-CN"/>
        </w:rPr>
        <w:t>；</w:t>
      </w:r>
    </w:p>
    <w:p w14:paraId="093BA21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（6）建设工程设计文件及相关资料；</w:t>
      </w:r>
    </w:p>
    <w:p w14:paraId="0CC85DF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（7）与建设项目有关的标准、规范、技术资料；</w:t>
      </w:r>
    </w:p>
    <w:p w14:paraId="20E9618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（8）招标文件及招标工程量清单及其补充通知答疑纪要； </w:t>
      </w:r>
    </w:p>
    <w:p w14:paraId="49AAD4D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（9）施工现场情况、工程特点及常规施工方案；</w:t>
      </w:r>
    </w:p>
    <w:p w14:paraId="610E293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（10）工程造价管理机构发布的工程造价信息（</w:t>
      </w:r>
      <w:r>
        <w:rPr>
          <w:rFonts w:hint="eastAsia" w:ascii="宋体" w:hAnsi="宋体" w:cs="宋体"/>
          <w:color w:val="auto"/>
          <w:szCs w:val="21"/>
          <w:highlight w:val="none"/>
          <w:lang w:val="en-US" w:eastAsia="zh-CN"/>
        </w:rPr>
        <w:t>2026年第6期</w:t>
      </w:r>
      <w:r>
        <w:rPr>
          <w:rFonts w:hint="eastAsia" w:ascii="宋体" w:hAnsi="宋体" w:cs="宋体"/>
          <w:color w:val="auto"/>
          <w:szCs w:val="21"/>
          <w:highlight w:val="none"/>
        </w:rPr>
        <w:t>）；</w:t>
      </w:r>
    </w:p>
    <w:p w14:paraId="1294896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（11）施工期间的风险因素；</w:t>
      </w:r>
    </w:p>
    <w:p w14:paraId="41983A6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（12）其他相关材料。</w:t>
      </w:r>
    </w:p>
    <w:p w14:paraId="2F1DA25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 投标人应仔细阅读招标文件，了解拟投标合同段的全部工程内容。投标人的投标报价应是招标文件所确定的招标范围内全部工程内容的价格体现，但其投标报价不得低于投标人个别成本价。</w:t>
      </w:r>
    </w:p>
    <w:p w14:paraId="75B1EE7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 投标人应按招标人提供的招标工程量清单填报综合单价和合价，未填报的综合单价和合价，视为此项费用已合在工程量清单的其他综合单价和合价中。</w:t>
      </w:r>
    </w:p>
    <w:p w14:paraId="003B088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 分部分项工程费根据招标文件中的工程量清单项目及项目特征描述等确定综合单价。其中综合单价是指完成一个规定清单项目所需的人工费、材料和工程设备费、施工机具使用费和综合费（企业管理费和利润）以及一定范围内投标人承担的风险费用。</w:t>
      </w:r>
    </w:p>
    <w:p w14:paraId="7650984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 措施项目费根据招标文件中的工程量清单措施项目，结合第5.1款编制依据确定。投标人对招标人所列的措施项目可根据工程实际情况结合施工组织设计进行增补。</w:t>
      </w:r>
    </w:p>
    <w:p w14:paraId="722C15D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5.6 不可竞争费（含安全文明施工费、</w:t>
      </w:r>
      <w:r>
        <w:rPr>
          <w:rFonts w:hint="eastAsia"/>
          <w:color w:val="auto"/>
          <w:highlight w:val="none"/>
        </w:rPr>
        <w:t>环境保护税</w:t>
      </w:r>
      <w:r>
        <w:rPr>
          <w:rFonts w:hint="eastAsia" w:ascii="宋体" w:hAnsi="宋体" w:cs="宋体"/>
          <w:color w:val="auto"/>
          <w:szCs w:val="21"/>
          <w:highlight w:val="none"/>
        </w:rPr>
        <w:t>）根据工程量清单不可竞争项目，结合第5.1款编制依据确定，安全文明施工费费率不得调整。</w:t>
      </w:r>
    </w:p>
    <w:p w14:paraId="20D258E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5.7 其他项目费用应按照下列规定计价:</w:t>
      </w:r>
    </w:p>
    <w:p w14:paraId="6AAC4EC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（1）暂列金额按招标工程量清单中列出的金额填写，不得更改；</w:t>
      </w:r>
    </w:p>
    <w:p w14:paraId="4D2C187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（2）专业工程暂估价按招标工程量清单中列出的金额填写，不得更改；</w:t>
      </w:r>
    </w:p>
    <w:p w14:paraId="30A54B2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（3）计日工按招标人列出项目和数量，结合第5.1款编制依据的要求确定综合单价并计算费用； </w:t>
      </w:r>
    </w:p>
    <w:p w14:paraId="26EF593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（4）总承包服务费根据招标文件列出的内容和要求计算。</w:t>
      </w:r>
    </w:p>
    <w:p w14:paraId="729F5DC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5.8 税金（增值税）按税金项目清单，结合第5.1款编制依据的要求编制，不得调整。</w:t>
      </w:r>
    </w:p>
    <w:p w14:paraId="7DD02DD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5.9 投标报价编制注意事项</w:t>
      </w:r>
    </w:p>
    <w:p w14:paraId="64B5A7B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可调整价格的主要材料和甲供材及实行暂估价的材料及设备以外，其他由投标人自行采购的材料确定投标报价时应充分考虑材料价格上涨等市场风险因素，中标后不作调整，综合单价中的材料费应包含材料运杂费、采保费等一切应有费用；</w:t>
      </w:r>
    </w:p>
    <w:p w14:paraId="44017D7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（2）结算时实行暂估价的材料和设备的价差仅计取税金，不再计取其他费用；</w:t>
      </w:r>
    </w:p>
    <w:p w14:paraId="67279EF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招标工程的施工地点为本须知前附表所述，投标人应自行到施工现场踏勘以充分了解工地位置、情况、道路、储存空间、装卸限制及任何其他足以影响投标报价的情况，任何因忽视或误解施工场地情况而导致的索赔或工期延长申请将不被批准。对于受施工现场场地限制，如需要另外寻找场地解决临时住宿、材料及设备堆放，由此所产生的费用应包含在投标报价范围内，招标人不再承担该费用；</w:t>
      </w:r>
    </w:p>
    <w:p w14:paraId="55A7EE0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开标前，投标人应认真对照施工设计图纸等文件核对招标人提供的工程量清单，发现工程量存在项目划分误差、计量单位误差、数量误差、遗漏项目的，必须在招标文件规定的时间内向招标人提出异议或修正要求，否则招标人可不予答复；</w:t>
      </w:r>
    </w:p>
    <w:p w14:paraId="0D2045D1">
      <w:pPr>
        <w:adjustRightInd w:val="0"/>
        <w:snapToGrid w:val="0"/>
        <w:spacing w:line="360"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（5）招标人对异议或修正要求应进行核实，确认工程量单项子目误差在±3%（含±3%）以内的，招标人可不予调整工程量，投标人应将其误差考虑在综合单价内；若有遗漏项目或单项子目工</w:t>
      </w:r>
      <w:r>
        <w:rPr>
          <w:rFonts w:hint="eastAsia" w:ascii="宋体" w:hAnsi="宋体" w:cs="宋体"/>
          <w:b/>
          <w:bCs/>
          <w:color w:val="auto"/>
          <w:szCs w:val="21"/>
          <w:highlight w:val="none"/>
        </w:rPr>
        <w:t>程量误差超过±3%的，招标人应进行修正并重新公布准确的工程量清单；</w:t>
      </w:r>
    </w:p>
    <w:p w14:paraId="4EC7D12A">
      <w:pPr>
        <w:adjustRightInd w:val="0"/>
        <w:snapToGrid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（6） 除合同另有约定外，中标人在工程量清单报价书中所报的综合单价在施工图纸和合同约定范围一律不予调整；</w:t>
      </w:r>
    </w:p>
    <w:p w14:paraId="19FB1548">
      <w:pPr>
        <w:adjustRightInd w:val="0"/>
        <w:snapToGrid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（7）本招标工程不接受恶意不平衡报价，不保证最低价中标。</w:t>
      </w:r>
    </w:p>
    <w:p w14:paraId="11283F00">
      <w:pPr>
        <w:keepNext/>
        <w:keepLines/>
        <w:adjustRightInd w:val="0"/>
        <w:snapToGrid w:val="0"/>
        <w:spacing w:line="360" w:lineRule="auto"/>
        <w:outlineLvl w:val="1"/>
        <w:rPr>
          <w:rFonts w:hint="eastAsia" w:ascii="宋体" w:hAnsi="宋体" w:cs="宋体"/>
          <w:b/>
          <w:bCs/>
          <w:color w:val="auto"/>
          <w:sz w:val="32"/>
          <w:szCs w:val="32"/>
          <w:highlight w:val="none"/>
        </w:rPr>
      </w:pPr>
      <w:bookmarkStart w:id="1421" w:name="_Toc95223521"/>
      <w:bookmarkStart w:id="1422" w:name="_Toc4881"/>
      <w:bookmarkStart w:id="1423" w:name="_Toc30885"/>
      <w:r>
        <w:rPr>
          <w:rFonts w:hint="eastAsia" w:ascii="宋体" w:hAnsi="宋体" w:cs="宋体"/>
          <w:b/>
          <w:bCs/>
          <w:color w:val="auto"/>
          <w:sz w:val="32"/>
          <w:szCs w:val="32"/>
          <w:highlight w:val="none"/>
        </w:rPr>
        <w:t>6. 工程量清单</w:t>
      </w:r>
      <w:bookmarkEnd w:id="1421"/>
      <w:bookmarkEnd w:id="1422"/>
      <w:bookmarkEnd w:id="1423"/>
    </w:p>
    <w:p w14:paraId="53A0D5F7">
      <w:pPr>
        <w:adjustRightInd w:val="0"/>
        <w:snapToGrid w:val="0"/>
        <w:spacing w:line="360" w:lineRule="auto"/>
        <w:ind w:firstLine="840" w:firstLineChars="400"/>
        <w:rPr>
          <w:rFonts w:hint="eastAsia" w:ascii="宋体" w:hAnsi="宋体" w:cs="宋体"/>
          <w:bCs/>
          <w:color w:val="auto"/>
          <w:kern w:val="44"/>
          <w:sz w:val="32"/>
          <w:szCs w:val="44"/>
          <w:highlight w:val="none"/>
        </w:rPr>
      </w:pPr>
      <w:r>
        <w:rPr>
          <w:rFonts w:hint="eastAsia" w:ascii="宋体" w:hAnsi="宋体" w:cs="宋体"/>
          <w:color w:val="auto"/>
          <w:szCs w:val="21"/>
          <w:highlight w:val="none"/>
        </w:rPr>
        <w:t>另册。</w:t>
      </w:r>
    </w:p>
    <w:p w14:paraId="2AC4D1F9">
      <w:pPr>
        <w:adjustRightInd w:val="0"/>
        <w:snapToGrid w:val="0"/>
        <w:spacing w:line="360" w:lineRule="auto"/>
        <w:ind w:firstLine="1280" w:firstLineChars="400"/>
        <w:rPr>
          <w:rFonts w:hint="eastAsia" w:ascii="宋体" w:hAnsi="宋体" w:cs="宋体"/>
          <w:bCs/>
          <w:color w:val="auto"/>
          <w:kern w:val="44"/>
          <w:sz w:val="32"/>
          <w:szCs w:val="44"/>
          <w:highlight w:val="none"/>
        </w:rPr>
      </w:pPr>
    </w:p>
    <w:p w14:paraId="5F7E65CF">
      <w:pPr>
        <w:rPr>
          <w:rFonts w:hint="eastAsia" w:ascii="宋体" w:hAnsi="宋体" w:cs="宋体"/>
          <w:b/>
          <w:color w:val="auto"/>
          <w:highlight w:val="none"/>
        </w:rPr>
      </w:pPr>
    </w:p>
    <w:p w14:paraId="769C288B">
      <w:pPr>
        <w:rPr>
          <w:rFonts w:hint="eastAsia" w:ascii="宋体" w:hAnsi="宋体" w:cs="宋体"/>
          <w:b/>
          <w:bCs/>
          <w:color w:val="auto"/>
          <w:kern w:val="44"/>
          <w:sz w:val="32"/>
          <w:szCs w:val="44"/>
          <w:highlight w:val="none"/>
        </w:rPr>
      </w:pPr>
      <w:bookmarkStart w:id="1424" w:name="_Toc95223522"/>
      <w:r>
        <w:rPr>
          <w:rFonts w:hint="eastAsia" w:ascii="宋体" w:hAnsi="宋体" w:cs="宋体"/>
          <w:b/>
          <w:bCs/>
          <w:color w:val="auto"/>
          <w:kern w:val="44"/>
          <w:sz w:val="32"/>
          <w:szCs w:val="44"/>
          <w:highlight w:val="none"/>
        </w:rPr>
        <w:br w:type="page"/>
      </w:r>
    </w:p>
    <w:p w14:paraId="7979D2CA">
      <w:pPr>
        <w:keepNext/>
        <w:keepLines/>
        <w:spacing w:line="360" w:lineRule="auto"/>
        <w:jc w:val="center"/>
        <w:outlineLvl w:val="0"/>
        <w:rPr>
          <w:rFonts w:hint="eastAsia" w:ascii="宋体" w:hAnsi="宋体" w:cs="宋体"/>
          <w:b/>
          <w:bCs/>
          <w:color w:val="auto"/>
          <w:kern w:val="44"/>
          <w:sz w:val="32"/>
          <w:szCs w:val="44"/>
          <w:highlight w:val="none"/>
        </w:rPr>
      </w:pPr>
      <w:r>
        <w:rPr>
          <w:rFonts w:hint="eastAsia" w:ascii="宋体" w:hAnsi="宋体" w:cs="宋体"/>
          <w:b/>
          <w:bCs/>
          <w:color w:val="auto"/>
          <w:kern w:val="44"/>
          <w:sz w:val="32"/>
          <w:szCs w:val="44"/>
          <w:highlight w:val="none"/>
        </w:rPr>
        <w:t>第</w:t>
      </w:r>
      <w:r>
        <w:rPr>
          <w:rFonts w:hint="eastAsia" w:ascii="宋体" w:hAnsi="宋体" w:cs="宋体"/>
          <w:b/>
          <w:bCs/>
          <w:color w:val="auto"/>
          <w:kern w:val="44"/>
          <w:sz w:val="32"/>
          <w:szCs w:val="44"/>
          <w:highlight w:val="none"/>
          <w:lang w:val="en-US" w:eastAsia="zh-CN"/>
        </w:rPr>
        <w:t>六</w:t>
      </w:r>
      <w:r>
        <w:rPr>
          <w:rFonts w:hint="eastAsia" w:ascii="宋体" w:hAnsi="宋体" w:cs="宋体"/>
          <w:b/>
          <w:bCs/>
          <w:color w:val="auto"/>
          <w:kern w:val="44"/>
          <w:sz w:val="32"/>
          <w:szCs w:val="44"/>
          <w:highlight w:val="none"/>
        </w:rPr>
        <w:t xml:space="preserve">章 </w:t>
      </w:r>
      <w:bookmarkStart w:id="1425" w:name="_Toc10656"/>
      <w:r>
        <w:rPr>
          <w:rFonts w:hint="eastAsia" w:ascii="宋体" w:hAnsi="宋体" w:cs="宋体"/>
          <w:b/>
          <w:bCs/>
          <w:color w:val="auto"/>
          <w:kern w:val="44"/>
          <w:sz w:val="32"/>
          <w:szCs w:val="44"/>
          <w:highlight w:val="none"/>
        </w:rPr>
        <w:t>图  纸</w:t>
      </w:r>
      <w:bookmarkEnd w:id="1424"/>
      <w:bookmarkEnd w:id="1425"/>
    </w:p>
    <w:p w14:paraId="1CACD9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图纸已经审查合格，设计深度符合施工要求。技术标准符合国家、行业以及地方标准、规范和规程，具体内容见下表。</w:t>
      </w:r>
    </w:p>
    <w:p w14:paraId="7BE5C2DF">
      <w:pPr>
        <w:keepNext/>
        <w:keepLines/>
        <w:adjustRightInd w:val="0"/>
        <w:snapToGrid w:val="0"/>
        <w:spacing w:before="120" w:after="120" w:line="360" w:lineRule="auto"/>
        <w:outlineLvl w:val="1"/>
        <w:rPr>
          <w:rFonts w:hint="eastAsia" w:ascii="宋体" w:hAnsi="宋体" w:cs="宋体"/>
          <w:bCs/>
          <w:color w:val="auto"/>
          <w:szCs w:val="21"/>
          <w:highlight w:val="none"/>
        </w:rPr>
      </w:pPr>
      <w:bookmarkStart w:id="1426" w:name="_Toc30096"/>
      <w:bookmarkStart w:id="1427" w:name="_Toc95223523"/>
      <w:r>
        <w:rPr>
          <w:rFonts w:hint="eastAsia" w:ascii="宋体" w:hAnsi="宋体" w:cs="宋体"/>
          <w:bCs/>
          <w:color w:val="auto"/>
          <w:szCs w:val="21"/>
          <w:highlight w:val="none"/>
        </w:rPr>
        <w:t>1</w:t>
      </w:r>
      <w:r>
        <w:rPr>
          <w:rFonts w:hint="eastAsia" w:ascii="宋体" w:hAnsi="宋体" w:cs="宋体"/>
          <w:color w:val="auto"/>
          <w:sz w:val="24"/>
          <w:szCs w:val="21"/>
          <w:highlight w:val="none"/>
        </w:rPr>
        <w:t>.</w:t>
      </w:r>
      <w:r>
        <w:rPr>
          <w:rFonts w:hint="eastAsia" w:ascii="宋体" w:hAnsi="宋体" w:cs="宋体"/>
          <w:bCs/>
          <w:color w:val="auto"/>
          <w:szCs w:val="21"/>
          <w:highlight w:val="none"/>
        </w:rPr>
        <w:t>图纸目录（表6-1）</w:t>
      </w:r>
      <w:bookmarkEnd w:id="1426"/>
      <w:bookmarkEnd w:id="1427"/>
    </w:p>
    <w:p w14:paraId="6889E2BE">
      <w:pPr>
        <w:rPr>
          <w:rFonts w:hint="eastAsia" w:ascii="宋体" w:hAnsi="宋体" w:cs="宋体"/>
          <w:color w:val="auto"/>
          <w:highlight w:val="none"/>
        </w:rPr>
      </w:pPr>
    </w:p>
    <w:tbl>
      <w:tblPr>
        <w:tblStyle w:val="20"/>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160"/>
        <w:gridCol w:w="1344"/>
        <w:gridCol w:w="1588"/>
        <w:gridCol w:w="1588"/>
        <w:gridCol w:w="1589"/>
      </w:tblGrid>
      <w:tr w14:paraId="1369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60" w:type="dxa"/>
            <w:noWrap w:val="0"/>
            <w:vAlign w:val="center"/>
          </w:tcPr>
          <w:p w14:paraId="56EB2658">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序号</w:t>
            </w:r>
          </w:p>
        </w:tc>
        <w:tc>
          <w:tcPr>
            <w:tcW w:w="2160" w:type="dxa"/>
            <w:noWrap w:val="0"/>
            <w:vAlign w:val="center"/>
          </w:tcPr>
          <w:p w14:paraId="0AB81100">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图名</w:t>
            </w:r>
          </w:p>
        </w:tc>
        <w:tc>
          <w:tcPr>
            <w:tcW w:w="1344" w:type="dxa"/>
            <w:noWrap w:val="0"/>
            <w:vAlign w:val="center"/>
          </w:tcPr>
          <w:p w14:paraId="2720237E">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图号</w:t>
            </w:r>
          </w:p>
        </w:tc>
        <w:tc>
          <w:tcPr>
            <w:tcW w:w="1588" w:type="dxa"/>
            <w:noWrap w:val="0"/>
            <w:vAlign w:val="center"/>
          </w:tcPr>
          <w:p w14:paraId="1DB1084D">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版本</w:t>
            </w:r>
          </w:p>
        </w:tc>
        <w:tc>
          <w:tcPr>
            <w:tcW w:w="1588" w:type="dxa"/>
            <w:noWrap w:val="0"/>
            <w:vAlign w:val="center"/>
          </w:tcPr>
          <w:p w14:paraId="371A0C09">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出图日期</w:t>
            </w:r>
          </w:p>
        </w:tc>
        <w:tc>
          <w:tcPr>
            <w:tcW w:w="1589" w:type="dxa"/>
            <w:noWrap w:val="0"/>
            <w:vAlign w:val="center"/>
          </w:tcPr>
          <w:p w14:paraId="6462B7FF">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备注</w:t>
            </w:r>
          </w:p>
        </w:tc>
      </w:tr>
      <w:tr w14:paraId="1CC0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2E72A6E7">
            <w:pPr>
              <w:rPr>
                <w:rFonts w:hint="eastAsia" w:ascii="宋体" w:hAnsi="宋体" w:cs="宋体"/>
                <w:color w:val="auto"/>
                <w:highlight w:val="none"/>
              </w:rPr>
            </w:pPr>
          </w:p>
        </w:tc>
        <w:tc>
          <w:tcPr>
            <w:tcW w:w="2160" w:type="dxa"/>
            <w:noWrap w:val="0"/>
            <w:vAlign w:val="top"/>
          </w:tcPr>
          <w:p w14:paraId="7F563A3E">
            <w:pPr>
              <w:keepNext/>
              <w:keepLines/>
              <w:spacing w:before="120" w:after="120" w:line="360" w:lineRule="auto"/>
              <w:jc w:val="left"/>
              <w:outlineLvl w:val="2"/>
              <w:rPr>
                <w:rFonts w:hint="eastAsia" w:ascii="宋体" w:hAnsi="宋体" w:cs="宋体"/>
                <w:bCs/>
                <w:color w:val="auto"/>
                <w:sz w:val="24"/>
                <w:highlight w:val="none"/>
              </w:rPr>
            </w:pPr>
          </w:p>
        </w:tc>
        <w:tc>
          <w:tcPr>
            <w:tcW w:w="1344" w:type="dxa"/>
            <w:noWrap w:val="0"/>
            <w:vAlign w:val="top"/>
          </w:tcPr>
          <w:p w14:paraId="15A09FA8">
            <w:pPr>
              <w:rPr>
                <w:rFonts w:hint="eastAsia" w:ascii="宋体" w:hAnsi="宋体" w:cs="宋体"/>
                <w:color w:val="auto"/>
                <w:highlight w:val="none"/>
              </w:rPr>
            </w:pPr>
          </w:p>
        </w:tc>
        <w:tc>
          <w:tcPr>
            <w:tcW w:w="1588" w:type="dxa"/>
            <w:noWrap w:val="0"/>
            <w:vAlign w:val="top"/>
          </w:tcPr>
          <w:p w14:paraId="3A3AA127">
            <w:pPr>
              <w:rPr>
                <w:rFonts w:hint="eastAsia" w:ascii="宋体" w:hAnsi="宋体" w:cs="宋体"/>
                <w:color w:val="auto"/>
                <w:highlight w:val="none"/>
              </w:rPr>
            </w:pPr>
          </w:p>
        </w:tc>
        <w:tc>
          <w:tcPr>
            <w:tcW w:w="1588" w:type="dxa"/>
            <w:noWrap w:val="0"/>
            <w:vAlign w:val="top"/>
          </w:tcPr>
          <w:p w14:paraId="7EA979C4">
            <w:pPr>
              <w:rPr>
                <w:rFonts w:hint="eastAsia" w:ascii="宋体" w:hAnsi="宋体" w:cs="宋体"/>
                <w:color w:val="auto"/>
                <w:highlight w:val="none"/>
              </w:rPr>
            </w:pPr>
          </w:p>
        </w:tc>
        <w:tc>
          <w:tcPr>
            <w:tcW w:w="1589" w:type="dxa"/>
            <w:noWrap w:val="0"/>
            <w:vAlign w:val="top"/>
          </w:tcPr>
          <w:p w14:paraId="2784E7E3">
            <w:pPr>
              <w:rPr>
                <w:rFonts w:hint="eastAsia" w:ascii="宋体" w:hAnsi="宋体" w:cs="宋体"/>
                <w:color w:val="auto"/>
                <w:highlight w:val="none"/>
              </w:rPr>
            </w:pPr>
          </w:p>
        </w:tc>
      </w:tr>
      <w:tr w14:paraId="2368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60" w:type="dxa"/>
            <w:noWrap w:val="0"/>
            <w:vAlign w:val="top"/>
          </w:tcPr>
          <w:p w14:paraId="514AA8C0">
            <w:pPr>
              <w:spacing w:line="360" w:lineRule="auto"/>
              <w:ind w:firstLine="420" w:firstLineChars="200"/>
              <w:rPr>
                <w:rFonts w:hint="eastAsia" w:ascii="宋体" w:hAnsi="宋体" w:cs="宋体"/>
                <w:color w:val="auto"/>
                <w:highlight w:val="none"/>
              </w:rPr>
            </w:pPr>
          </w:p>
        </w:tc>
        <w:tc>
          <w:tcPr>
            <w:tcW w:w="2160" w:type="dxa"/>
            <w:noWrap w:val="0"/>
            <w:vAlign w:val="top"/>
          </w:tcPr>
          <w:p w14:paraId="07654D6B">
            <w:pPr>
              <w:rPr>
                <w:rFonts w:hint="eastAsia" w:ascii="宋体" w:hAnsi="宋体" w:cs="宋体"/>
                <w:color w:val="auto"/>
                <w:highlight w:val="none"/>
              </w:rPr>
            </w:pPr>
          </w:p>
        </w:tc>
        <w:tc>
          <w:tcPr>
            <w:tcW w:w="1344" w:type="dxa"/>
            <w:noWrap w:val="0"/>
            <w:vAlign w:val="top"/>
          </w:tcPr>
          <w:p w14:paraId="21FF83CF">
            <w:pPr>
              <w:rPr>
                <w:rFonts w:hint="eastAsia" w:ascii="宋体" w:hAnsi="宋体" w:cs="宋体"/>
                <w:color w:val="auto"/>
                <w:highlight w:val="none"/>
              </w:rPr>
            </w:pPr>
          </w:p>
        </w:tc>
        <w:tc>
          <w:tcPr>
            <w:tcW w:w="1588" w:type="dxa"/>
            <w:noWrap w:val="0"/>
            <w:vAlign w:val="top"/>
          </w:tcPr>
          <w:p w14:paraId="03553408">
            <w:pPr>
              <w:rPr>
                <w:rFonts w:hint="eastAsia" w:ascii="宋体" w:hAnsi="宋体" w:cs="宋体"/>
                <w:color w:val="auto"/>
                <w:highlight w:val="none"/>
              </w:rPr>
            </w:pPr>
          </w:p>
        </w:tc>
        <w:tc>
          <w:tcPr>
            <w:tcW w:w="1588" w:type="dxa"/>
            <w:noWrap w:val="0"/>
            <w:vAlign w:val="top"/>
          </w:tcPr>
          <w:p w14:paraId="13FF9873">
            <w:pPr>
              <w:rPr>
                <w:rFonts w:hint="eastAsia" w:ascii="宋体" w:hAnsi="宋体" w:cs="宋体"/>
                <w:color w:val="auto"/>
                <w:highlight w:val="none"/>
              </w:rPr>
            </w:pPr>
          </w:p>
        </w:tc>
        <w:tc>
          <w:tcPr>
            <w:tcW w:w="1589" w:type="dxa"/>
            <w:noWrap w:val="0"/>
            <w:vAlign w:val="top"/>
          </w:tcPr>
          <w:p w14:paraId="26A27DFB">
            <w:pPr>
              <w:rPr>
                <w:rFonts w:hint="eastAsia" w:ascii="宋体" w:hAnsi="宋体" w:cs="宋体"/>
                <w:color w:val="auto"/>
                <w:highlight w:val="none"/>
              </w:rPr>
            </w:pPr>
          </w:p>
        </w:tc>
      </w:tr>
      <w:tr w14:paraId="1426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04297684">
            <w:pPr>
              <w:rPr>
                <w:rFonts w:hint="eastAsia" w:ascii="宋体" w:hAnsi="宋体" w:cs="宋体"/>
                <w:color w:val="auto"/>
                <w:highlight w:val="none"/>
              </w:rPr>
            </w:pPr>
          </w:p>
        </w:tc>
        <w:tc>
          <w:tcPr>
            <w:tcW w:w="2160" w:type="dxa"/>
            <w:noWrap w:val="0"/>
            <w:vAlign w:val="top"/>
          </w:tcPr>
          <w:p w14:paraId="38DF86EC">
            <w:pPr>
              <w:rPr>
                <w:rFonts w:hint="eastAsia" w:ascii="宋体" w:hAnsi="宋体" w:cs="宋体"/>
                <w:color w:val="auto"/>
                <w:highlight w:val="none"/>
              </w:rPr>
            </w:pPr>
          </w:p>
        </w:tc>
        <w:tc>
          <w:tcPr>
            <w:tcW w:w="1344" w:type="dxa"/>
            <w:noWrap w:val="0"/>
            <w:vAlign w:val="top"/>
          </w:tcPr>
          <w:p w14:paraId="0701F867">
            <w:pPr>
              <w:rPr>
                <w:rFonts w:hint="eastAsia" w:ascii="宋体" w:hAnsi="宋体" w:cs="宋体"/>
                <w:color w:val="auto"/>
                <w:highlight w:val="none"/>
              </w:rPr>
            </w:pPr>
          </w:p>
        </w:tc>
        <w:tc>
          <w:tcPr>
            <w:tcW w:w="1588" w:type="dxa"/>
            <w:noWrap w:val="0"/>
            <w:vAlign w:val="top"/>
          </w:tcPr>
          <w:p w14:paraId="4CA6FC79">
            <w:pPr>
              <w:rPr>
                <w:rFonts w:hint="eastAsia" w:ascii="宋体" w:hAnsi="宋体" w:cs="宋体"/>
                <w:color w:val="auto"/>
                <w:highlight w:val="none"/>
              </w:rPr>
            </w:pPr>
          </w:p>
        </w:tc>
        <w:tc>
          <w:tcPr>
            <w:tcW w:w="1588" w:type="dxa"/>
            <w:noWrap w:val="0"/>
            <w:vAlign w:val="top"/>
          </w:tcPr>
          <w:p w14:paraId="754517E1">
            <w:pPr>
              <w:rPr>
                <w:rFonts w:hint="eastAsia" w:ascii="宋体" w:hAnsi="宋体" w:cs="宋体"/>
                <w:color w:val="auto"/>
                <w:highlight w:val="none"/>
              </w:rPr>
            </w:pPr>
          </w:p>
        </w:tc>
        <w:tc>
          <w:tcPr>
            <w:tcW w:w="1589" w:type="dxa"/>
            <w:noWrap w:val="0"/>
            <w:vAlign w:val="top"/>
          </w:tcPr>
          <w:p w14:paraId="36A5CF79">
            <w:pPr>
              <w:rPr>
                <w:rFonts w:hint="eastAsia" w:ascii="宋体" w:hAnsi="宋体" w:cs="宋体"/>
                <w:color w:val="auto"/>
                <w:highlight w:val="none"/>
              </w:rPr>
            </w:pPr>
          </w:p>
        </w:tc>
      </w:tr>
      <w:tr w14:paraId="2A7E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33D3D9C5">
            <w:pPr>
              <w:rPr>
                <w:rFonts w:hint="eastAsia" w:ascii="宋体" w:hAnsi="宋体" w:cs="宋体"/>
                <w:color w:val="auto"/>
                <w:highlight w:val="none"/>
              </w:rPr>
            </w:pPr>
          </w:p>
        </w:tc>
        <w:tc>
          <w:tcPr>
            <w:tcW w:w="2160" w:type="dxa"/>
            <w:noWrap w:val="0"/>
            <w:vAlign w:val="top"/>
          </w:tcPr>
          <w:p w14:paraId="6BCA8B88">
            <w:pPr>
              <w:rPr>
                <w:rFonts w:hint="eastAsia" w:ascii="宋体" w:hAnsi="宋体" w:cs="宋体"/>
                <w:color w:val="auto"/>
                <w:highlight w:val="none"/>
              </w:rPr>
            </w:pPr>
          </w:p>
        </w:tc>
        <w:tc>
          <w:tcPr>
            <w:tcW w:w="1344" w:type="dxa"/>
            <w:noWrap w:val="0"/>
            <w:vAlign w:val="top"/>
          </w:tcPr>
          <w:p w14:paraId="20179C32">
            <w:pPr>
              <w:rPr>
                <w:rFonts w:hint="eastAsia" w:ascii="宋体" w:hAnsi="宋体" w:cs="宋体"/>
                <w:color w:val="auto"/>
                <w:highlight w:val="none"/>
              </w:rPr>
            </w:pPr>
          </w:p>
        </w:tc>
        <w:tc>
          <w:tcPr>
            <w:tcW w:w="1588" w:type="dxa"/>
            <w:noWrap w:val="0"/>
            <w:vAlign w:val="top"/>
          </w:tcPr>
          <w:p w14:paraId="5FA8B681">
            <w:pPr>
              <w:rPr>
                <w:rFonts w:hint="eastAsia" w:ascii="宋体" w:hAnsi="宋体" w:cs="宋体"/>
                <w:color w:val="auto"/>
                <w:highlight w:val="none"/>
              </w:rPr>
            </w:pPr>
          </w:p>
        </w:tc>
        <w:tc>
          <w:tcPr>
            <w:tcW w:w="1588" w:type="dxa"/>
            <w:noWrap w:val="0"/>
            <w:vAlign w:val="top"/>
          </w:tcPr>
          <w:p w14:paraId="7C333401">
            <w:pPr>
              <w:rPr>
                <w:rFonts w:hint="eastAsia" w:ascii="宋体" w:hAnsi="宋体" w:cs="宋体"/>
                <w:color w:val="auto"/>
                <w:highlight w:val="none"/>
              </w:rPr>
            </w:pPr>
          </w:p>
        </w:tc>
        <w:tc>
          <w:tcPr>
            <w:tcW w:w="1589" w:type="dxa"/>
            <w:noWrap w:val="0"/>
            <w:vAlign w:val="top"/>
          </w:tcPr>
          <w:p w14:paraId="00BF499B">
            <w:pPr>
              <w:rPr>
                <w:rFonts w:hint="eastAsia" w:ascii="宋体" w:hAnsi="宋体" w:cs="宋体"/>
                <w:color w:val="auto"/>
                <w:highlight w:val="none"/>
              </w:rPr>
            </w:pPr>
          </w:p>
        </w:tc>
      </w:tr>
      <w:tr w14:paraId="4DC7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60" w:type="dxa"/>
            <w:noWrap w:val="0"/>
            <w:vAlign w:val="top"/>
          </w:tcPr>
          <w:p w14:paraId="6E57832D">
            <w:pPr>
              <w:rPr>
                <w:rFonts w:hint="eastAsia" w:ascii="宋体" w:hAnsi="宋体" w:cs="宋体"/>
                <w:color w:val="auto"/>
                <w:highlight w:val="none"/>
              </w:rPr>
            </w:pPr>
          </w:p>
        </w:tc>
        <w:tc>
          <w:tcPr>
            <w:tcW w:w="2160" w:type="dxa"/>
            <w:noWrap w:val="0"/>
            <w:vAlign w:val="top"/>
          </w:tcPr>
          <w:p w14:paraId="4EAC772A">
            <w:pPr>
              <w:rPr>
                <w:rFonts w:hint="eastAsia" w:ascii="宋体" w:hAnsi="宋体" w:cs="宋体"/>
                <w:color w:val="auto"/>
                <w:highlight w:val="none"/>
              </w:rPr>
            </w:pPr>
          </w:p>
        </w:tc>
        <w:tc>
          <w:tcPr>
            <w:tcW w:w="1344" w:type="dxa"/>
            <w:noWrap w:val="0"/>
            <w:vAlign w:val="top"/>
          </w:tcPr>
          <w:p w14:paraId="320DE86D">
            <w:pPr>
              <w:rPr>
                <w:rFonts w:hint="eastAsia" w:ascii="宋体" w:hAnsi="宋体" w:cs="宋体"/>
                <w:color w:val="auto"/>
                <w:highlight w:val="none"/>
              </w:rPr>
            </w:pPr>
          </w:p>
        </w:tc>
        <w:tc>
          <w:tcPr>
            <w:tcW w:w="1588" w:type="dxa"/>
            <w:noWrap w:val="0"/>
            <w:vAlign w:val="top"/>
          </w:tcPr>
          <w:p w14:paraId="554FB940">
            <w:pPr>
              <w:rPr>
                <w:rFonts w:hint="eastAsia" w:ascii="宋体" w:hAnsi="宋体" w:cs="宋体"/>
                <w:color w:val="auto"/>
                <w:highlight w:val="none"/>
              </w:rPr>
            </w:pPr>
          </w:p>
        </w:tc>
        <w:tc>
          <w:tcPr>
            <w:tcW w:w="1588" w:type="dxa"/>
            <w:noWrap w:val="0"/>
            <w:vAlign w:val="top"/>
          </w:tcPr>
          <w:p w14:paraId="0DC18C74">
            <w:pPr>
              <w:rPr>
                <w:rFonts w:hint="eastAsia" w:ascii="宋体" w:hAnsi="宋体" w:cs="宋体"/>
                <w:color w:val="auto"/>
                <w:highlight w:val="none"/>
              </w:rPr>
            </w:pPr>
          </w:p>
        </w:tc>
        <w:tc>
          <w:tcPr>
            <w:tcW w:w="1589" w:type="dxa"/>
            <w:noWrap w:val="0"/>
            <w:vAlign w:val="top"/>
          </w:tcPr>
          <w:p w14:paraId="64E30642">
            <w:pPr>
              <w:rPr>
                <w:rFonts w:hint="eastAsia" w:ascii="宋体" w:hAnsi="宋体" w:cs="宋体"/>
                <w:color w:val="auto"/>
                <w:highlight w:val="none"/>
              </w:rPr>
            </w:pPr>
          </w:p>
        </w:tc>
      </w:tr>
      <w:tr w14:paraId="3F25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25861DB4">
            <w:pPr>
              <w:rPr>
                <w:rFonts w:hint="eastAsia" w:ascii="宋体" w:hAnsi="宋体" w:cs="宋体"/>
                <w:color w:val="auto"/>
                <w:highlight w:val="none"/>
              </w:rPr>
            </w:pPr>
          </w:p>
        </w:tc>
        <w:tc>
          <w:tcPr>
            <w:tcW w:w="2160" w:type="dxa"/>
            <w:noWrap w:val="0"/>
            <w:vAlign w:val="top"/>
          </w:tcPr>
          <w:p w14:paraId="523D8F0E">
            <w:pPr>
              <w:rPr>
                <w:rFonts w:hint="eastAsia" w:ascii="宋体" w:hAnsi="宋体" w:cs="宋体"/>
                <w:color w:val="auto"/>
                <w:highlight w:val="none"/>
              </w:rPr>
            </w:pPr>
          </w:p>
        </w:tc>
        <w:tc>
          <w:tcPr>
            <w:tcW w:w="1344" w:type="dxa"/>
            <w:noWrap w:val="0"/>
            <w:vAlign w:val="top"/>
          </w:tcPr>
          <w:p w14:paraId="21B5A6E7">
            <w:pPr>
              <w:rPr>
                <w:rFonts w:hint="eastAsia" w:ascii="宋体" w:hAnsi="宋体" w:cs="宋体"/>
                <w:color w:val="auto"/>
                <w:highlight w:val="none"/>
              </w:rPr>
            </w:pPr>
          </w:p>
        </w:tc>
        <w:tc>
          <w:tcPr>
            <w:tcW w:w="1588" w:type="dxa"/>
            <w:noWrap w:val="0"/>
            <w:vAlign w:val="top"/>
          </w:tcPr>
          <w:p w14:paraId="1C8F5278">
            <w:pPr>
              <w:rPr>
                <w:rFonts w:hint="eastAsia" w:ascii="宋体" w:hAnsi="宋体" w:cs="宋体"/>
                <w:color w:val="auto"/>
                <w:highlight w:val="none"/>
              </w:rPr>
            </w:pPr>
          </w:p>
        </w:tc>
        <w:tc>
          <w:tcPr>
            <w:tcW w:w="1588" w:type="dxa"/>
            <w:noWrap w:val="0"/>
            <w:vAlign w:val="top"/>
          </w:tcPr>
          <w:p w14:paraId="5977A076">
            <w:pPr>
              <w:rPr>
                <w:rFonts w:hint="eastAsia" w:ascii="宋体" w:hAnsi="宋体" w:cs="宋体"/>
                <w:color w:val="auto"/>
                <w:highlight w:val="none"/>
              </w:rPr>
            </w:pPr>
          </w:p>
        </w:tc>
        <w:tc>
          <w:tcPr>
            <w:tcW w:w="1589" w:type="dxa"/>
            <w:noWrap w:val="0"/>
            <w:vAlign w:val="top"/>
          </w:tcPr>
          <w:p w14:paraId="6868F496">
            <w:pPr>
              <w:rPr>
                <w:rFonts w:hint="eastAsia" w:ascii="宋体" w:hAnsi="宋体" w:cs="宋体"/>
                <w:color w:val="auto"/>
                <w:highlight w:val="none"/>
              </w:rPr>
            </w:pPr>
          </w:p>
        </w:tc>
      </w:tr>
      <w:tr w14:paraId="1411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27EB036D">
            <w:pPr>
              <w:rPr>
                <w:rFonts w:hint="eastAsia" w:ascii="宋体" w:hAnsi="宋体" w:cs="宋体"/>
                <w:color w:val="auto"/>
                <w:highlight w:val="none"/>
              </w:rPr>
            </w:pPr>
          </w:p>
        </w:tc>
        <w:tc>
          <w:tcPr>
            <w:tcW w:w="2160" w:type="dxa"/>
            <w:noWrap w:val="0"/>
            <w:vAlign w:val="top"/>
          </w:tcPr>
          <w:p w14:paraId="5478B153">
            <w:pPr>
              <w:rPr>
                <w:rFonts w:hint="eastAsia" w:ascii="宋体" w:hAnsi="宋体" w:cs="宋体"/>
                <w:color w:val="auto"/>
                <w:highlight w:val="none"/>
              </w:rPr>
            </w:pPr>
          </w:p>
        </w:tc>
        <w:tc>
          <w:tcPr>
            <w:tcW w:w="1344" w:type="dxa"/>
            <w:noWrap w:val="0"/>
            <w:vAlign w:val="top"/>
          </w:tcPr>
          <w:p w14:paraId="32F47A4B">
            <w:pPr>
              <w:rPr>
                <w:rFonts w:hint="eastAsia" w:ascii="宋体" w:hAnsi="宋体" w:cs="宋体"/>
                <w:color w:val="auto"/>
                <w:highlight w:val="none"/>
              </w:rPr>
            </w:pPr>
          </w:p>
        </w:tc>
        <w:tc>
          <w:tcPr>
            <w:tcW w:w="1588" w:type="dxa"/>
            <w:noWrap w:val="0"/>
            <w:vAlign w:val="top"/>
          </w:tcPr>
          <w:p w14:paraId="2BCEE98B">
            <w:pPr>
              <w:rPr>
                <w:rFonts w:hint="eastAsia" w:ascii="宋体" w:hAnsi="宋体" w:cs="宋体"/>
                <w:color w:val="auto"/>
                <w:highlight w:val="none"/>
              </w:rPr>
            </w:pPr>
          </w:p>
        </w:tc>
        <w:tc>
          <w:tcPr>
            <w:tcW w:w="1588" w:type="dxa"/>
            <w:noWrap w:val="0"/>
            <w:vAlign w:val="top"/>
          </w:tcPr>
          <w:p w14:paraId="78F05287">
            <w:pPr>
              <w:rPr>
                <w:rFonts w:hint="eastAsia" w:ascii="宋体" w:hAnsi="宋体" w:cs="宋体"/>
                <w:color w:val="auto"/>
                <w:highlight w:val="none"/>
              </w:rPr>
            </w:pPr>
          </w:p>
        </w:tc>
        <w:tc>
          <w:tcPr>
            <w:tcW w:w="1589" w:type="dxa"/>
            <w:noWrap w:val="0"/>
            <w:vAlign w:val="top"/>
          </w:tcPr>
          <w:p w14:paraId="7EABC091">
            <w:pPr>
              <w:rPr>
                <w:rFonts w:hint="eastAsia" w:ascii="宋体" w:hAnsi="宋体" w:cs="宋体"/>
                <w:color w:val="auto"/>
                <w:highlight w:val="none"/>
              </w:rPr>
            </w:pPr>
          </w:p>
        </w:tc>
      </w:tr>
      <w:tr w14:paraId="717D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60" w:type="dxa"/>
            <w:noWrap w:val="0"/>
            <w:vAlign w:val="top"/>
          </w:tcPr>
          <w:p w14:paraId="7DD99F79">
            <w:pPr>
              <w:rPr>
                <w:rFonts w:hint="eastAsia" w:ascii="宋体" w:hAnsi="宋体" w:cs="宋体"/>
                <w:color w:val="auto"/>
                <w:highlight w:val="none"/>
              </w:rPr>
            </w:pPr>
          </w:p>
        </w:tc>
        <w:tc>
          <w:tcPr>
            <w:tcW w:w="2160" w:type="dxa"/>
            <w:noWrap w:val="0"/>
            <w:vAlign w:val="top"/>
          </w:tcPr>
          <w:p w14:paraId="2445807B">
            <w:pPr>
              <w:rPr>
                <w:rFonts w:hint="eastAsia" w:ascii="宋体" w:hAnsi="宋体" w:cs="宋体"/>
                <w:color w:val="auto"/>
                <w:highlight w:val="none"/>
              </w:rPr>
            </w:pPr>
          </w:p>
        </w:tc>
        <w:tc>
          <w:tcPr>
            <w:tcW w:w="1344" w:type="dxa"/>
            <w:noWrap w:val="0"/>
            <w:vAlign w:val="top"/>
          </w:tcPr>
          <w:p w14:paraId="7772D405">
            <w:pPr>
              <w:rPr>
                <w:rFonts w:hint="eastAsia" w:ascii="宋体" w:hAnsi="宋体" w:cs="宋体"/>
                <w:color w:val="auto"/>
                <w:highlight w:val="none"/>
              </w:rPr>
            </w:pPr>
          </w:p>
        </w:tc>
        <w:tc>
          <w:tcPr>
            <w:tcW w:w="1588" w:type="dxa"/>
            <w:noWrap w:val="0"/>
            <w:vAlign w:val="top"/>
          </w:tcPr>
          <w:p w14:paraId="4C23FD41">
            <w:pPr>
              <w:rPr>
                <w:rFonts w:hint="eastAsia" w:ascii="宋体" w:hAnsi="宋体" w:cs="宋体"/>
                <w:color w:val="auto"/>
                <w:highlight w:val="none"/>
              </w:rPr>
            </w:pPr>
          </w:p>
        </w:tc>
        <w:tc>
          <w:tcPr>
            <w:tcW w:w="1588" w:type="dxa"/>
            <w:noWrap w:val="0"/>
            <w:vAlign w:val="top"/>
          </w:tcPr>
          <w:p w14:paraId="222E2EA7">
            <w:pPr>
              <w:rPr>
                <w:rFonts w:hint="eastAsia" w:ascii="宋体" w:hAnsi="宋体" w:cs="宋体"/>
                <w:color w:val="auto"/>
                <w:highlight w:val="none"/>
              </w:rPr>
            </w:pPr>
          </w:p>
        </w:tc>
        <w:tc>
          <w:tcPr>
            <w:tcW w:w="1589" w:type="dxa"/>
            <w:noWrap w:val="0"/>
            <w:vAlign w:val="top"/>
          </w:tcPr>
          <w:p w14:paraId="44247D25">
            <w:pPr>
              <w:rPr>
                <w:rFonts w:hint="eastAsia" w:ascii="宋体" w:hAnsi="宋体" w:cs="宋体"/>
                <w:color w:val="auto"/>
                <w:highlight w:val="none"/>
              </w:rPr>
            </w:pPr>
          </w:p>
        </w:tc>
      </w:tr>
      <w:tr w14:paraId="0E66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1CE40C95">
            <w:pPr>
              <w:rPr>
                <w:rFonts w:hint="eastAsia" w:ascii="宋体" w:hAnsi="宋体" w:cs="宋体"/>
                <w:color w:val="auto"/>
                <w:highlight w:val="none"/>
              </w:rPr>
            </w:pPr>
          </w:p>
        </w:tc>
        <w:tc>
          <w:tcPr>
            <w:tcW w:w="2160" w:type="dxa"/>
            <w:noWrap w:val="0"/>
            <w:vAlign w:val="top"/>
          </w:tcPr>
          <w:p w14:paraId="395F067E">
            <w:pPr>
              <w:rPr>
                <w:rFonts w:hint="eastAsia" w:ascii="宋体" w:hAnsi="宋体" w:cs="宋体"/>
                <w:color w:val="auto"/>
                <w:highlight w:val="none"/>
              </w:rPr>
            </w:pPr>
          </w:p>
        </w:tc>
        <w:tc>
          <w:tcPr>
            <w:tcW w:w="1344" w:type="dxa"/>
            <w:noWrap w:val="0"/>
            <w:vAlign w:val="top"/>
          </w:tcPr>
          <w:p w14:paraId="0B6F1A96">
            <w:pPr>
              <w:rPr>
                <w:rFonts w:hint="eastAsia" w:ascii="宋体" w:hAnsi="宋体" w:cs="宋体"/>
                <w:color w:val="auto"/>
                <w:highlight w:val="none"/>
              </w:rPr>
            </w:pPr>
          </w:p>
        </w:tc>
        <w:tc>
          <w:tcPr>
            <w:tcW w:w="1588" w:type="dxa"/>
            <w:noWrap w:val="0"/>
            <w:vAlign w:val="top"/>
          </w:tcPr>
          <w:p w14:paraId="63E390F9">
            <w:pPr>
              <w:rPr>
                <w:rFonts w:hint="eastAsia" w:ascii="宋体" w:hAnsi="宋体" w:cs="宋体"/>
                <w:color w:val="auto"/>
                <w:highlight w:val="none"/>
              </w:rPr>
            </w:pPr>
          </w:p>
        </w:tc>
        <w:tc>
          <w:tcPr>
            <w:tcW w:w="1588" w:type="dxa"/>
            <w:noWrap w:val="0"/>
            <w:vAlign w:val="top"/>
          </w:tcPr>
          <w:p w14:paraId="75FBFDF3">
            <w:pPr>
              <w:rPr>
                <w:rFonts w:hint="eastAsia" w:ascii="宋体" w:hAnsi="宋体" w:cs="宋体"/>
                <w:color w:val="auto"/>
                <w:highlight w:val="none"/>
              </w:rPr>
            </w:pPr>
          </w:p>
        </w:tc>
        <w:tc>
          <w:tcPr>
            <w:tcW w:w="1589" w:type="dxa"/>
            <w:noWrap w:val="0"/>
            <w:vAlign w:val="top"/>
          </w:tcPr>
          <w:p w14:paraId="0442ACF0">
            <w:pPr>
              <w:rPr>
                <w:rFonts w:hint="eastAsia" w:ascii="宋体" w:hAnsi="宋体" w:cs="宋体"/>
                <w:color w:val="auto"/>
                <w:highlight w:val="none"/>
              </w:rPr>
            </w:pPr>
          </w:p>
        </w:tc>
      </w:tr>
      <w:tr w14:paraId="6EAD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60" w:type="dxa"/>
            <w:noWrap w:val="0"/>
            <w:vAlign w:val="top"/>
          </w:tcPr>
          <w:p w14:paraId="6A559791">
            <w:pPr>
              <w:rPr>
                <w:rFonts w:hint="eastAsia" w:ascii="宋体" w:hAnsi="宋体" w:cs="宋体"/>
                <w:color w:val="auto"/>
                <w:highlight w:val="none"/>
              </w:rPr>
            </w:pPr>
          </w:p>
        </w:tc>
        <w:tc>
          <w:tcPr>
            <w:tcW w:w="2160" w:type="dxa"/>
            <w:noWrap w:val="0"/>
            <w:vAlign w:val="top"/>
          </w:tcPr>
          <w:p w14:paraId="330E37C0">
            <w:pPr>
              <w:rPr>
                <w:rFonts w:hint="eastAsia" w:ascii="宋体" w:hAnsi="宋体" w:cs="宋体"/>
                <w:color w:val="auto"/>
                <w:highlight w:val="none"/>
              </w:rPr>
            </w:pPr>
          </w:p>
        </w:tc>
        <w:tc>
          <w:tcPr>
            <w:tcW w:w="1344" w:type="dxa"/>
            <w:noWrap w:val="0"/>
            <w:vAlign w:val="top"/>
          </w:tcPr>
          <w:p w14:paraId="6AA9E71D">
            <w:pPr>
              <w:rPr>
                <w:rFonts w:hint="eastAsia" w:ascii="宋体" w:hAnsi="宋体" w:cs="宋体"/>
                <w:color w:val="auto"/>
                <w:highlight w:val="none"/>
              </w:rPr>
            </w:pPr>
          </w:p>
        </w:tc>
        <w:tc>
          <w:tcPr>
            <w:tcW w:w="1588" w:type="dxa"/>
            <w:noWrap w:val="0"/>
            <w:vAlign w:val="top"/>
          </w:tcPr>
          <w:p w14:paraId="5B2D9C63">
            <w:pPr>
              <w:rPr>
                <w:rFonts w:hint="eastAsia" w:ascii="宋体" w:hAnsi="宋体" w:cs="宋体"/>
                <w:color w:val="auto"/>
                <w:highlight w:val="none"/>
              </w:rPr>
            </w:pPr>
          </w:p>
        </w:tc>
        <w:tc>
          <w:tcPr>
            <w:tcW w:w="1588" w:type="dxa"/>
            <w:noWrap w:val="0"/>
            <w:vAlign w:val="top"/>
          </w:tcPr>
          <w:p w14:paraId="1EA0AF5E">
            <w:pPr>
              <w:rPr>
                <w:rFonts w:hint="eastAsia" w:ascii="宋体" w:hAnsi="宋体" w:cs="宋体"/>
                <w:color w:val="auto"/>
                <w:highlight w:val="none"/>
              </w:rPr>
            </w:pPr>
          </w:p>
        </w:tc>
        <w:tc>
          <w:tcPr>
            <w:tcW w:w="1589" w:type="dxa"/>
            <w:noWrap w:val="0"/>
            <w:vAlign w:val="top"/>
          </w:tcPr>
          <w:p w14:paraId="7CE0E543">
            <w:pPr>
              <w:rPr>
                <w:rFonts w:hint="eastAsia" w:ascii="宋体" w:hAnsi="宋体" w:cs="宋体"/>
                <w:color w:val="auto"/>
                <w:highlight w:val="none"/>
              </w:rPr>
            </w:pPr>
          </w:p>
        </w:tc>
      </w:tr>
    </w:tbl>
    <w:p w14:paraId="536F5764">
      <w:pPr>
        <w:rPr>
          <w:rFonts w:hint="eastAsia" w:ascii="宋体" w:hAnsi="宋体" w:cs="宋体"/>
          <w:color w:val="auto"/>
          <w:highlight w:val="none"/>
        </w:rPr>
      </w:pPr>
    </w:p>
    <w:p w14:paraId="613F5B02">
      <w:pPr>
        <w:outlineLvl w:val="1"/>
        <w:rPr>
          <w:rFonts w:hint="eastAsia" w:ascii="宋体" w:hAnsi="宋体" w:cs="宋体"/>
          <w:color w:val="auto"/>
          <w:highlight w:val="none"/>
        </w:rPr>
      </w:pPr>
      <w:bookmarkStart w:id="1428" w:name="_Toc23955"/>
      <w:bookmarkStart w:id="1429" w:name="_Toc95223524"/>
      <w:r>
        <w:rPr>
          <w:rFonts w:hint="eastAsia" w:ascii="宋体" w:hAnsi="宋体" w:cs="宋体"/>
          <w:color w:val="auto"/>
          <w:szCs w:val="21"/>
          <w:highlight w:val="none"/>
        </w:rPr>
        <w:t>2.图纸</w:t>
      </w:r>
      <w:r>
        <w:rPr>
          <w:rFonts w:hint="eastAsia" w:ascii="宋体" w:hAnsi="宋体" w:cs="宋体"/>
          <w:color w:val="auto"/>
          <w:highlight w:val="none"/>
        </w:rPr>
        <w:t>（另册）</w:t>
      </w:r>
      <w:bookmarkEnd w:id="1428"/>
      <w:bookmarkEnd w:id="1429"/>
    </w:p>
    <w:p w14:paraId="2FE14167">
      <w:pPr>
        <w:rPr>
          <w:rFonts w:hint="eastAsia" w:ascii="宋体" w:hAnsi="宋体" w:cs="宋体"/>
          <w:color w:val="auto"/>
          <w:highlight w:val="none"/>
        </w:rPr>
      </w:pPr>
    </w:p>
    <w:p w14:paraId="55ADFDF9">
      <w:pPr>
        <w:pStyle w:val="2"/>
        <w:adjustRightInd w:val="0"/>
        <w:snapToGrid w:val="0"/>
        <w:spacing w:before="0" w:after="0" w:line="560" w:lineRule="exact"/>
        <w:jc w:val="center"/>
        <w:rPr>
          <w:rFonts w:hint="eastAsia" w:ascii="宋体" w:hAnsi="宋体" w:cs="宋体"/>
          <w:bCs w:val="0"/>
          <w:color w:val="auto"/>
          <w:sz w:val="32"/>
          <w:highlight w:val="none"/>
        </w:rPr>
      </w:pPr>
      <w:r>
        <w:rPr>
          <w:rFonts w:hint="eastAsia" w:ascii="宋体" w:hAnsi="宋体" w:cs="宋体"/>
          <w:b w:val="0"/>
          <w:bCs w:val="0"/>
          <w:color w:val="auto"/>
          <w:sz w:val="32"/>
          <w:highlight w:val="none"/>
        </w:rPr>
        <w:br w:type="page"/>
      </w:r>
      <w:bookmarkStart w:id="1430" w:name="_Toc95223525"/>
      <w:bookmarkStart w:id="1431" w:name="_Toc4608"/>
      <w:r>
        <w:rPr>
          <w:rFonts w:hint="eastAsia"/>
          <w:color w:val="auto"/>
          <w:highlight w:val="none"/>
        </w:rPr>
        <w:t>第</w:t>
      </w:r>
      <w:r>
        <w:rPr>
          <w:rFonts w:hint="eastAsia"/>
          <w:color w:val="auto"/>
          <w:highlight w:val="none"/>
          <w:lang w:val="en-US" w:eastAsia="zh-CN"/>
        </w:rPr>
        <w:t>七</w:t>
      </w:r>
      <w:r>
        <w:rPr>
          <w:rFonts w:hint="eastAsia"/>
          <w:color w:val="auto"/>
          <w:highlight w:val="none"/>
        </w:rPr>
        <w:t>章  技术标准和要求</w:t>
      </w:r>
      <w:bookmarkEnd w:id="1430"/>
      <w:bookmarkEnd w:id="1431"/>
    </w:p>
    <w:p w14:paraId="2A0B6613">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1"/>
        <w:rPr>
          <w:rFonts w:hint="eastAsia" w:ascii="宋体" w:hAnsi="宋体" w:cs="宋体"/>
          <w:color w:val="auto"/>
          <w:highlight w:val="none"/>
        </w:rPr>
      </w:pPr>
      <w:bookmarkStart w:id="1432" w:name="_Toc32647"/>
      <w:bookmarkStart w:id="1433" w:name="_Toc95223526"/>
      <w:r>
        <w:rPr>
          <w:rFonts w:hint="eastAsia" w:ascii="宋体" w:hAnsi="宋体" w:cs="宋体"/>
          <w:bCs/>
          <w:color w:val="auto"/>
          <w:szCs w:val="21"/>
          <w:highlight w:val="none"/>
        </w:rPr>
        <w:t>1.</w:t>
      </w:r>
      <w:r>
        <w:rPr>
          <w:rFonts w:hint="eastAsia" w:ascii="宋体" w:hAnsi="宋体" w:cs="宋体"/>
          <w:b/>
          <w:color w:val="auto"/>
          <w:highlight w:val="none"/>
        </w:rPr>
        <w:t xml:space="preserve"> </w:t>
      </w:r>
      <w:r>
        <w:rPr>
          <w:rFonts w:hint="eastAsia" w:ascii="宋体" w:hAnsi="宋体" w:cs="宋体"/>
          <w:color w:val="auto"/>
          <w:highlight w:val="none"/>
        </w:rPr>
        <w:t>一般要求</w:t>
      </w:r>
      <w:bookmarkEnd w:id="1432"/>
      <w:bookmarkEnd w:id="1433"/>
    </w:p>
    <w:p w14:paraId="098FBC08">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1"/>
        <w:rPr>
          <w:rFonts w:hint="eastAsia" w:ascii="宋体" w:hAnsi="宋体" w:cs="宋体"/>
          <w:color w:val="auto"/>
          <w:highlight w:val="none"/>
        </w:rPr>
      </w:pPr>
      <w:bookmarkStart w:id="1434" w:name="_Toc26107"/>
      <w:bookmarkStart w:id="1435" w:name="_Toc95223527"/>
      <w:r>
        <w:rPr>
          <w:rFonts w:hint="eastAsia" w:ascii="宋体" w:hAnsi="宋体" w:cs="宋体"/>
          <w:bCs/>
          <w:color w:val="auto"/>
          <w:szCs w:val="21"/>
          <w:highlight w:val="none"/>
        </w:rPr>
        <w:t>2.</w:t>
      </w:r>
      <w:r>
        <w:rPr>
          <w:rFonts w:hint="eastAsia" w:ascii="宋体" w:hAnsi="宋体" w:cs="宋体"/>
          <w:b/>
          <w:color w:val="auto"/>
          <w:highlight w:val="none"/>
        </w:rPr>
        <w:t xml:space="preserve"> </w:t>
      </w:r>
      <w:r>
        <w:rPr>
          <w:rFonts w:hint="eastAsia" w:ascii="宋体" w:hAnsi="宋体" w:cs="宋体"/>
          <w:color w:val="auto"/>
          <w:highlight w:val="none"/>
        </w:rPr>
        <w:t>特殊技术标准和要求</w:t>
      </w:r>
      <w:bookmarkEnd w:id="1434"/>
      <w:bookmarkEnd w:id="1435"/>
      <w:r>
        <w:rPr>
          <w:rFonts w:hint="eastAsia" w:ascii="宋体" w:hAnsi="宋体" w:cs="宋体"/>
          <w:color w:val="auto"/>
          <w:highlight w:val="none"/>
        </w:rPr>
        <w:t xml:space="preserve"> </w:t>
      </w:r>
    </w:p>
    <w:p w14:paraId="034A0062">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1"/>
        <w:rPr>
          <w:rFonts w:hint="eastAsia" w:ascii="宋体" w:hAnsi="宋体" w:cs="宋体"/>
          <w:color w:val="auto"/>
          <w:highlight w:val="none"/>
        </w:rPr>
      </w:pPr>
      <w:bookmarkStart w:id="1436" w:name="_Toc95223528"/>
      <w:bookmarkStart w:id="1437" w:name="_Toc30517"/>
      <w:r>
        <w:rPr>
          <w:rFonts w:hint="eastAsia" w:ascii="宋体" w:hAnsi="宋体" w:cs="宋体"/>
          <w:bCs/>
          <w:color w:val="auto"/>
          <w:szCs w:val="21"/>
          <w:highlight w:val="none"/>
        </w:rPr>
        <w:t>3.</w:t>
      </w:r>
      <w:r>
        <w:rPr>
          <w:rFonts w:hint="eastAsia" w:ascii="宋体" w:hAnsi="宋体" w:cs="宋体"/>
          <w:b/>
          <w:color w:val="auto"/>
          <w:highlight w:val="none"/>
        </w:rPr>
        <w:t xml:space="preserve"> </w:t>
      </w:r>
      <w:r>
        <w:rPr>
          <w:rFonts w:hint="eastAsia" w:ascii="宋体" w:hAnsi="宋体" w:cs="宋体"/>
          <w:color w:val="auto"/>
          <w:highlight w:val="none"/>
        </w:rPr>
        <w:t>适用的国家、行业以及地方标准、规范和规程</w:t>
      </w:r>
      <w:bookmarkEnd w:id="1436"/>
      <w:bookmarkEnd w:id="1437"/>
      <w:r>
        <w:rPr>
          <w:rFonts w:hint="eastAsia" w:ascii="宋体" w:hAnsi="宋体" w:cs="宋体"/>
          <w:color w:val="auto"/>
          <w:highlight w:val="none"/>
        </w:rPr>
        <w:t xml:space="preserve"> </w:t>
      </w:r>
    </w:p>
    <w:p w14:paraId="39E2516A">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1"/>
        <w:rPr>
          <w:rFonts w:hint="eastAsia" w:ascii="宋体" w:hAnsi="宋体" w:cs="宋体"/>
          <w:color w:val="auto"/>
          <w:highlight w:val="none"/>
        </w:rPr>
      </w:pPr>
      <w:bookmarkStart w:id="1438" w:name="_Toc95223529"/>
      <w:bookmarkStart w:id="1439" w:name="_Toc16564"/>
      <w:r>
        <w:rPr>
          <w:rFonts w:hint="eastAsia" w:ascii="宋体" w:hAnsi="宋体" w:cs="宋体"/>
          <w:color w:val="auto"/>
          <w:highlight w:val="none"/>
        </w:rPr>
        <w:t>4. 招标人推荐品牌</w:t>
      </w:r>
      <w:bookmarkEnd w:id="1438"/>
      <w:bookmarkEnd w:id="1439"/>
    </w:p>
    <w:tbl>
      <w:tblPr>
        <w:tblStyle w:val="20"/>
        <w:tblW w:w="4999" w:type="pct"/>
        <w:jc w:val="center"/>
        <w:tblLayout w:type="autofit"/>
        <w:tblCellMar>
          <w:top w:w="0" w:type="dxa"/>
          <w:left w:w="108" w:type="dxa"/>
          <w:bottom w:w="0" w:type="dxa"/>
          <w:right w:w="108" w:type="dxa"/>
        </w:tblCellMar>
      </w:tblPr>
      <w:tblGrid>
        <w:gridCol w:w="865"/>
        <w:gridCol w:w="2391"/>
        <w:gridCol w:w="1478"/>
        <w:gridCol w:w="1478"/>
        <w:gridCol w:w="1478"/>
        <w:gridCol w:w="1472"/>
        <w:gridCol w:w="1182"/>
      </w:tblGrid>
      <w:tr w14:paraId="5712FAAA">
        <w:tblPrEx>
          <w:tblCellMar>
            <w:top w:w="0" w:type="dxa"/>
            <w:left w:w="108" w:type="dxa"/>
            <w:bottom w:w="0" w:type="dxa"/>
            <w:right w:w="108" w:type="dxa"/>
          </w:tblCellMar>
        </w:tblPrEx>
        <w:trPr>
          <w:trHeight w:val="463" w:hRule="atLeast"/>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72AB8295">
            <w:pPr>
              <w:widowControl/>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155" w:type="pct"/>
            <w:tcBorders>
              <w:top w:val="single" w:color="auto" w:sz="4" w:space="0"/>
              <w:left w:val="nil"/>
              <w:bottom w:val="single" w:color="auto" w:sz="4" w:space="0"/>
              <w:right w:val="single" w:color="auto" w:sz="4" w:space="0"/>
            </w:tcBorders>
            <w:noWrap w:val="0"/>
            <w:vAlign w:val="center"/>
          </w:tcPr>
          <w:p w14:paraId="27AF8A1D">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材料、设备名称</w:t>
            </w:r>
          </w:p>
        </w:tc>
        <w:tc>
          <w:tcPr>
            <w:tcW w:w="714" w:type="pct"/>
            <w:tcBorders>
              <w:top w:val="single" w:color="auto" w:sz="4" w:space="0"/>
              <w:left w:val="nil"/>
              <w:bottom w:val="single" w:color="auto" w:sz="4" w:space="0"/>
              <w:right w:val="single" w:color="auto" w:sz="4" w:space="0"/>
            </w:tcBorders>
            <w:noWrap w:val="0"/>
            <w:vAlign w:val="center"/>
          </w:tcPr>
          <w:p w14:paraId="396A26FA">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品牌1</w:t>
            </w:r>
          </w:p>
        </w:tc>
        <w:tc>
          <w:tcPr>
            <w:tcW w:w="714" w:type="pct"/>
            <w:tcBorders>
              <w:top w:val="single" w:color="auto" w:sz="4" w:space="0"/>
              <w:left w:val="nil"/>
              <w:bottom w:val="single" w:color="auto" w:sz="4" w:space="0"/>
              <w:right w:val="single" w:color="auto" w:sz="4" w:space="0"/>
            </w:tcBorders>
            <w:noWrap w:val="0"/>
            <w:vAlign w:val="center"/>
          </w:tcPr>
          <w:p w14:paraId="5A001170">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品牌2</w:t>
            </w:r>
          </w:p>
        </w:tc>
        <w:tc>
          <w:tcPr>
            <w:tcW w:w="714" w:type="pct"/>
            <w:tcBorders>
              <w:top w:val="single" w:color="auto" w:sz="4" w:space="0"/>
              <w:left w:val="nil"/>
              <w:bottom w:val="single" w:color="auto" w:sz="4" w:space="0"/>
              <w:right w:val="single" w:color="auto" w:sz="4" w:space="0"/>
            </w:tcBorders>
            <w:noWrap w:val="0"/>
            <w:vAlign w:val="center"/>
          </w:tcPr>
          <w:p w14:paraId="2350B42E">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品牌3</w:t>
            </w:r>
          </w:p>
        </w:tc>
        <w:tc>
          <w:tcPr>
            <w:tcW w:w="711" w:type="pct"/>
            <w:tcBorders>
              <w:top w:val="single" w:color="auto" w:sz="4" w:space="0"/>
              <w:left w:val="nil"/>
              <w:bottom w:val="single" w:color="auto" w:sz="4" w:space="0"/>
              <w:right w:val="single" w:color="auto" w:sz="4" w:space="0"/>
            </w:tcBorders>
            <w:noWrap w:val="0"/>
            <w:vAlign w:val="center"/>
          </w:tcPr>
          <w:p w14:paraId="1921BE5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品牌4</w:t>
            </w:r>
          </w:p>
        </w:tc>
        <w:tc>
          <w:tcPr>
            <w:tcW w:w="571" w:type="pct"/>
            <w:tcBorders>
              <w:top w:val="single" w:color="auto" w:sz="4" w:space="0"/>
              <w:left w:val="nil"/>
              <w:bottom w:val="single" w:color="auto" w:sz="4" w:space="0"/>
              <w:right w:val="single" w:color="auto" w:sz="4" w:space="0"/>
            </w:tcBorders>
            <w:noWrap w:val="0"/>
            <w:vAlign w:val="center"/>
          </w:tcPr>
          <w:p w14:paraId="194ED83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069ED5C9">
        <w:tblPrEx>
          <w:tblCellMar>
            <w:top w:w="0" w:type="dxa"/>
            <w:left w:w="108" w:type="dxa"/>
            <w:bottom w:w="0" w:type="dxa"/>
            <w:right w:w="108" w:type="dxa"/>
          </w:tblCellMar>
        </w:tblPrEx>
        <w:trPr>
          <w:trHeight w:val="487" w:hRule="atLeast"/>
          <w:jc w:val="center"/>
        </w:trPr>
        <w:tc>
          <w:tcPr>
            <w:tcW w:w="418" w:type="pct"/>
            <w:tcBorders>
              <w:top w:val="nil"/>
              <w:left w:val="single" w:color="auto" w:sz="4" w:space="0"/>
              <w:bottom w:val="single" w:color="auto" w:sz="4" w:space="0"/>
              <w:right w:val="single" w:color="auto" w:sz="4" w:space="0"/>
            </w:tcBorders>
            <w:noWrap w:val="0"/>
            <w:vAlign w:val="center"/>
          </w:tcPr>
          <w:p w14:paraId="6A7C0D0C">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55" w:type="pct"/>
            <w:tcBorders>
              <w:top w:val="nil"/>
              <w:left w:val="nil"/>
              <w:bottom w:val="single" w:color="auto" w:sz="4" w:space="0"/>
              <w:right w:val="single" w:color="auto" w:sz="4" w:space="0"/>
            </w:tcBorders>
            <w:noWrap w:val="0"/>
            <w:vAlign w:val="center"/>
          </w:tcPr>
          <w:p w14:paraId="42E726DE">
            <w:pPr>
              <w:widowControl/>
              <w:rPr>
                <w:rFonts w:hint="eastAsia" w:ascii="宋体" w:hAnsi="宋体" w:cs="宋体"/>
                <w:color w:val="auto"/>
                <w:kern w:val="0"/>
                <w:szCs w:val="21"/>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69BEE519">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7F3424FF">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5273C1F5">
            <w:pPr>
              <w:rPr>
                <w:rFonts w:hint="eastAsia" w:ascii="宋体" w:hAnsi="宋体" w:cs="宋体"/>
                <w:color w:val="auto"/>
                <w:sz w:val="22"/>
                <w:highlight w:val="none"/>
              </w:rPr>
            </w:pPr>
          </w:p>
        </w:tc>
        <w:tc>
          <w:tcPr>
            <w:tcW w:w="711" w:type="pct"/>
            <w:tcBorders>
              <w:top w:val="single" w:color="auto" w:sz="4" w:space="0"/>
              <w:left w:val="nil"/>
              <w:bottom w:val="single" w:color="auto" w:sz="4" w:space="0"/>
              <w:right w:val="single" w:color="auto" w:sz="4" w:space="0"/>
            </w:tcBorders>
            <w:noWrap w:val="0"/>
            <w:vAlign w:val="center"/>
          </w:tcPr>
          <w:p w14:paraId="761F4631">
            <w:pPr>
              <w:rPr>
                <w:rFonts w:hint="eastAsia" w:ascii="宋体" w:hAnsi="宋体" w:cs="宋体"/>
                <w:color w:val="auto"/>
                <w:sz w:val="22"/>
                <w:highlight w:val="none"/>
              </w:rPr>
            </w:pPr>
          </w:p>
        </w:tc>
        <w:tc>
          <w:tcPr>
            <w:tcW w:w="571" w:type="pct"/>
            <w:tcBorders>
              <w:top w:val="nil"/>
              <w:left w:val="nil"/>
              <w:bottom w:val="single" w:color="auto" w:sz="4" w:space="0"/>
              <w:right w:val="single" w:color="auto" w:sz="4" w:space="0"/>
            </w:tcBorders>
            <w:noWrap w:val="0"/>
            <w:vAlign w:val="center"/>
          </w:tcPr>
          <w:p w14:paraId="2B66EA9D">
            <w:pPr>
              <w:widowControl/>
              <w:rPr>
                <w:rFonts w:hint="eastAsia" w:ascii="宋体" w:hAnsi="宋体" w:cs="宋体"/>
                <w:color w:val="auto"/>
                <w:kern w:val="0"/>
                <w:szCs w:val="21"/>
                <w:highlight w:val="none"/>
              </w:rPr>
            </w:pPr>
          </w:p>
        </w:tc>
      </w:tr>
      <w:tr w14:paraId="3FAF0363">
        <w:tblPrEx>
          <w:tblCellMar>
            <w:top w:w="0" w:type="dxa"/>
            <w:left w:w="108" w:type="dxa"/>
            <w:bottom w:w="0" w:type="dxa"/>
            <w:right w:w="108" w:type="dxa"/>
          </w:tblCellMar>
        </w:tblPrEx>
        <w:trPr>
          <w:trHeight w:val="487" w:hRule="atLeast"/>
          <w:jc w:val="center"/>
        </w:trPr>
        <w:tc>
          <w:tcPr>
            <w:tcW w:w="418" w:type="pct"/>
            <w:tcBorders>
              <w:top w:val="nil"/>
              <w:left w:val="single" w:color="auto" w:sz="4" w:space="0"/>
              <w:bottom w:val="single" w:color="auto" w:sz="4" w:space="0"/>
              <w:right w:val="single" w:color="auto" w:sz="4" w:space="0"/>
            </w:tcBorders>
            <w:noWrap w:val="0"/>
            <w:vAlign w:val="center"/>
          </w:tcPr>
          <w:p w14:paraId="47CE954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55" w:type="pct"/>
            <w:tcBorders>
              <w:top w:val="nil"/>
              <w:left w:val="nil"/>
              <w:bottom w:val="single" w:color="auto" w:sz="4" w:space="0"/>
              <w:right w:val="single" w:color="auto" w:sz="4" w:space="0"/>
            </w:tcBorders>
            <w:noWrap w:val="0"/>
            <w:vAlign w:val="center"/>
          </w:tcPr>
          <w:p w14:paraId="65A95426">
            <w:pPr>
              <w:widowControl/>
              <w:rPr>
                <w:rFonts w:hint="eastAsia" w:ascii="宋体" w:hAnsi="宋体" w:cs="宋体"/>
                <w:color w:val="auto"/>
                <w:kern w:val="0"/>
                <w:szCs w:val="21"/>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2A5F68D3">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24C84CB9">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6CBBB35A">
            <w:pPr>
              <w:rPr>
                <w:rFonts w:hint="eastAsia" w:ascii="宋体" w:hAnsi="宋体" w:cs="宋体"/>
                <w:color w:val="auto"/>
                <w:sz w:val="22"/>
                <w:highlight w:val="none"/>
              </w:rPr>
            </w:pPr>
          </w:p>
        </w:tc>
        <w:tc>
          <w:tcPr>
            <w:tcW w:w="711" w:type="pct"/>
            <w:tcBorders>
              <w:top w:val="single" w:color="auto" w:sz="4" w:space="0"/>
              <w:left w:val="nil"/>
              <w:bottom w:val="single" w:color="auto" w:sz="4" w:space="0"/>
              <w:right w:val="single" w:color="auto" w:sz="4" w:space="0"/>
            </w:tcBorders>
            <w:noWrap w:val="0"/>
            <w:vAlign w:val="center"/>
          </w:tcPr>
          <w:p w14:paraId="31964E89">
            <w:pPr>
              <w:rPr>
                <w:rFonts w:hint="eastAsia" w:ascii="宋体" w:hAnsi="宋体" w:cs="宋体"/>
                <w:color w:val="auto"/>
                <w:sz w:val="22"/>
                <w:highlight w:val="none"/>
              </w:rPr>
            </w:pPr>
          </w:p>
        </w:tc>
        <w:tc>
          <w:tcPr>
            <w:tcW w:w="571" w:type="pct"/>
            <w:tcBorders>
              <w:top w:val="nil"/>
              <w:left w:val="nil"/>
              <w:bottom w:val="single" w:color="auto" w:sz="4" w:space="0"/>
              <w:right w:val="single" w:color="auto" w:sz="4" w:space="0"/>
            </w:tcBorders>
            <w:noWrap w:val="0"/>
            <w:vAlign w:val="center"/>
          </w:tcPr>
          <w:p w14:paraId="5161A630">
            <w:pPr>
              <w:widowControl/>
              <w:rPr>
                <w:rFonts w:hint="eastAsia" w:ascii="宋体" w:hAnsi="宋体" w:cs="宋体"/>
                <w:color w:val="auto"/>
                <w:kern w:val="0"/>
                <w:szCs w:val="21"/>
                <w:highlight w:val="none"/>
              </w:rPr>
            </w:pPr>
          </w:p>
        </w:tc>
      </w:tr>
      <w:tr w14:paraId="730F61B4">
        <w:tblPrEx>
          <w:tblCellMar>
            <w:top w:w="0" w:type="dxa"/>
            <w:left w:w="108" w:type="dxa"/>
            <w:bottom w:w="0" w:type="dxa"/>
            <w:right w:w="108" w:type="dxa"/>
          </w:tblCellMar>
        </w:tblPrEx>
        <w:trPr>
          <w:trHeight w:val="487" w:hRule="atLeast"/>
          <w:jc w:val="center"/>
        </w:trPr>
        <w:tc>
          <w:tcPr>
            <w:tcW w:w="418" w:type="pct"/>
            <w:tcBorders>
              <w:top w:val="nil"/>
              <w:left w:val="single" w:color="auto" w:sz="4" w:space="0"/>
              <w:bottom w:val="single" w:color="auto" w:sz="4" w:space="0"/>
              <w:right w:val="single" w:color="auto" w:sz="4" w:space="0"/>
            </w:tcBorders>
            <w:noWrap w:val="0"/>
            <w:vAlign w:val="center"/>
          </w:tcPr>
          <w:p w14:paraId="2B1FA8B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155" w:type="pct"/>
            <w:tcBorders>
              <w:top w:val="nil"/>
              <w:left w:val="nil"/>
              <w:bottom w:val="single" w:color="auto" w:sz="4" w:space="0"/>
              <w:right w:val="single" w:color="auto" w:sz="4" w:space="0"/>
            </w:tcBorders>
            <w:noWrap w:val="0"/>
            <w:vAlign w:val="center"/>
          </w:tcPr>
          <w:p w14:paraId="147EDC53">
            <w:pPr>
              <w:widowControl/>
              <w:rPr>
                <w:rFonts w:hint="eastAsia" w:ascii="宋体" w:hAnsi="宋体" w:cs="宋体"/>
                <w:color w:val="auto"/>
                <w:kern w:val="0"/>
                <w:szCs w:val="21"/>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08DB910E">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4F52059D">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31AD22F9">
            <w:pPr>
              <w:rPr>
                <w:rFonts w:hint="eastAsia" w:ascii="宋体" w:hAnsi="宋体" w:cs="宋体"/>
                <w:color w:val="auto"/>
                <w:sz w:val="22"/>
                <w:highlight w:val="none"/>
              </w:rPr>
            </w:pPr>
          </w:p>
        </w:tc>
        <w:tc>
          <w:tcPr>
            <w:tcW w:w="711" w:type="pct"/>
            <w:tcBorders>
              <w:top w:val="single" w:color="auto" w:sz="4" w:space="0"/>
              <w:left w:val="nil"/>
              <w:bottom w:val="single" w:color="auto" w:sz="4" w:space="0"/>
              <w:right w:val="single" w:color="auto" w:sz="4" w:space="0"/>
            </w:tcBorders>
            <w:noWrap w:val="0"/>
            <w:vAlign w:val="center"/>
          </w:tcPr>
          <w:p w14:paraId="1218B58E">
            <w:pPr>
              <w:rPr>
                <w:rFonts w:hint="eastAsia" w:ascii="宋体" w:hAnsi="宋体" w:cs="宋体"/>
                <w:color w:val="auto"/>
                <w:sz w:val="22"/>
                <w:highlight w:val="none"/>
              </w:rPr>
            </w:pPr>
          </w:p>
        </w:tc>
        <w:tc>
          <w:tcPr>
            <w:tcW w:w="571" w:type="pct"/>
            <w:tcBorders>
              <w:top w:val="nil"/>
              <w:left w:val="nil"/>
              <w:bottom w:val="single" w:color="auto" w:sz="4" w:space="0"/>
              <w:right w:val="single" w:color="auto" w:sz="4" w:space="0"/>
            </w:tcBorders>
            <w:noWrap w:val="0"/>
            <w:vAlign w:val="center"/>
          </w:tcPr>
          <w:p w14:paraId="2CAEBC8C">
            <w:pPr>
              <w:widowControl/>
              <w:rPr>
                <w:rFonts w:hint="eastAsia" w:ascii="宋体" w:hAnsi="宋体" w:cs="宋体"/>
                <w:color w:val="auto"/>
                <w:kern w:val="0"/>
                <w:szCs w:val="21"/>
                <w:highlight w:val="none"/>
              </w:rPr>
            </w:pPr>
          </w:p>
        </w:tc>
      </w:tr>
      <w:tr w14:paraId="35A67DBE">
        <w:tblPrEx>
          <w:tblCellMar>
            <w:top w:w="0" w:type="dxa"/>
            <w:left w:w="108" w:type="dxa"/>
            <w:bottom w:w="0" w:type="dxa"/>
            <w:right w:w="108" w:type="dxa"/>
          </w:tblCellMar>
        </w:tblPrEx>
        <w:trPr>
          <w:trHeight w:val="487" w:hRule="atLeast"/>
          <w:jc w:val="center"/>
        </w:trPr>
        <w:tc>
          <w:tcPr>
            <w:tcW w:w="418" w:type="pct"/>
            <w:tcBorders>
              <w:top w:val="nil"/>
              <w:left w:val="single" w:color="auto" w:sz="4" w:space="0"/>
              <w:bottom w:val="single" w:color="auto" w:sz="4" w:space="0"/>
              <w:right w:val="single" w:color="auto" w:sz="4" w:space="0"/>
            </w:tcBorders>
            <w:noWrap w:val="0"/>
            <w:vAlign w:val="center"/>
          </w:tcPr>
          <w:p w14:paraId="6FC369B2">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1155" w:type="pct"/>
            <w:tcBorders>
              <w:top w:val="nil"/>
              <w:left w:val="nil"/>
              <w:bottom w:val="single" w:color="auto" w:sz="4" w:space="0"/>
              <w:right w:val="single" w:color="auto" w:sz="4" w:space="0"/>
            </w:tcBorders>
            <w:noWrap w:val="0"/>
            <w:vAlign w:val="center"/>
          </w:tcPr>
          <w:p w14:paraId="3D01DD70">
            <w:pPr>
              <w:widowControl/>
              <w:rPr>
                <w:rFonts w:hint="eastAsia" w:ascii="宋体" w:hAnsi="宋体" w:cs="宋体"/>
                <w:color w:val="auto"/>
                <w:kern w:val="0"/>
                <w:szCs w:val="21"/>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2045431A">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5D42B3DA">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47990A5B">
            <w:pPr>
              <w:rPr>
                <w:rFonts w:hint="eastAsia" w:ascii="宋体" w:hAnsi="宋体" w:cs="宋体"/>
                <w:color w:val="auto"/>
                <w:sz w:val="22"/>
                <w:highlight w:val="none"/>
              </w:rPr>
            </w:pPr>
          </w:p>
        </w:tc>
        <w:tc>
          <w:tcPr>
            <w:tcW w:w="711" w:type="pct"/>
            <w:tcBorders>
              <w:top w:val="single" w:color="auto" w:sz="4" w:space="0"/>
              <w:left w:val="nil"/>
              <w:bottom w:val="single" w:color="auto" w:sz="4" w:space="0"/>
              <w:right w:val="single" w:color="auto" w:sz="4" w:space="0"/>
            </w:tcBorders>
            <w:noWrap w:val="0"/>
            <w:vAlign w:val="center"/>
          </w:tcPr>
          <w:p w14:paraId="3633A8DB">
            <w:pPr>
              <w:rPr>
                <w:rFonts w:hint="eastAsia" w:ascii="宋体" w:hAnsi="宋体" w:cs="宋体"/>
                <w:color w:val="auto"/>
                <w:sz w:val="22"/>
                <w:highlight w:val="none"/>
              </w:rPr>
            </w:pPr>
          </w:p>
        </w:tc>
        <w:tc>
          <w:tcPr>
            <w:tcW w:w="571" w:type="pct"/>
            <w:tcBorders>
              <w:top w:val="nil"/>
              <w:left w:val="nil"/>
              <w:bottom w:val="single" w:color="auto" w:sz="4" w:space="0"/>
              <w:right w:val="single" w:color="auto" w:sz="4" w:space="0"/>
            </w:tcBorders>
            <w:noWrap w:val="0"/>
            <w:vAlign w:val="center"/>
          </w:tcPr>
          <w:p w14:paraId="4B942444">
            <w:pPr>
              <w:widowControl/>
              <w:rPr>
                <w:rFonts w:hint="eastAsia" w:ascii="宋体" w:hAnsi="宋体" w:cs="宋体"/>
                <w:color w:val="auto"/>
                <w:kern w:val="0"/>
                <w:szCs w:val="21"/>
                <w:highlight w:val="none"/>
              </w:rPr>
            </w:pPr>
          </w:p>
        </w:tc>
      </w:tr>
      <w:tr w14:paraId="46BD34F2">
        <w:tblPrEx>
          <w:tblCellMar>
            <w:top w:w="0" w:type="dxa"/>
            <w:left w:w="108" w:type="dxa"/>
            <w:bottom w:w="0" w:type="dxa"/>
            <w:right w:w="108" w:type="dxa"/>
          </w:tblCellMar>
        </w:tblPrEx>
        <w:trPr>
          <w:trHeight w:val="487" w:hRule="atLeast"/>
          <w:jc w:val="center"/>
        </w:trPr>
        <w:tc>
          <w:tcPr>
            <w:tcW w:w="418" w:type="pct"/>
            <w:tcBorders>
              <w:top w:val="nil"/>
              <w:left w:val="single" w:color="auto" w:sz="4" w:space="0"/>
              <w:bottom w:val="single" w:color="auto" w:sz="4" w:space="0"/>
              <w:right w:val="single" w:color="auto" w:sz="4" w:space="0"/>
            </w:tcBorders>
            <w:noWrap w:val="0"/>
            <w:vAlign w:val="center"/>
          </w:tcPr>
          <w:p w14:paraId="4280EE77">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1155" w:type="pct"/>
            <w:tcBorders>
              <w:top w:val="nil"/>
              <w:left w:val="nil"/>
              <w:bottom w:val="single" w:color="auto" w:sz="4" w:space="0"/>
              <w:right w:val="single" w:color="auto" w:sz="4" w:space="0"/>
            </w:tcBorders>
            <w:noWrap w:val="0"/>
            <w:vAlign w:val="center"/>
          </w:tcPr>
          <w:p w14:paraId="177D1520">
            <w:pPr>
              <w:widowControl/>
              <w:rPr>
                <w:rFonts w:hint="eastAsia" w:ascii="宋体" w:hAnsi="宋体" w:cs="宋体"/>
                <w:color w:val="auto"/>
                <w:kern w:val="0"/>
                <w:szCs w:val="21"/>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095ACC64">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746D5D97">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3359E7BB">
            <w:pPr>
              <w:rPr>
                <w:rFonts w:hint="eastAsia" w:ascii="宋体" w:hAnsi="宋体" w:cs="宋体"/>
                <w:color w:val="auto"/>
                <w:sz w:val="22"/>
                <w:highlight w:val="none"/>
              </w:rPr>
            </w:pPr>
          </w:p>
        </w:tc>
        <w:tc>
          <w:tcPr>
            <w:tcW w:w="711" w:type="pct"/>
            <w:tcBorders>
              <w:top w:val="single" w:color="auto" w:sz="4" w:space="0"/>
              <w:left w:val="nil"/>
              <w:bottom w:val="single" w:color="auto" w:sz="4" w:space="0"/>
              <w:right w:val="single" w:color="auto" w:sz="4" w:space="0"/>
            </w:tcBorders>
            <w:noWrap w:val="0"/>
            <w:vAlign w:val="center"/>
          </w:tcPr>
          <w:p w14:paraId="2B2488AF">
            <w:pPr>
              <w:rPr>
                <w:rFonts w:hint="eastAsia" w:ascii="宋体" w:hAnsi="宋体" w:cs="宋体"/>
                <w:color w:val="auto"/>
                <w:sz w:val="22"/>
                <w:highlight w:val="none"/>
              </w:rPr>
            </w:pPr>
          </w:p>
        </w:tc>
        <w:tc>
          <w:tcPr>
            <w:tcW w:w="571" w:type="pct"/>
            <w:tcBorders>
              <w:top w:val="nil"/>
              <w:left w:val="nil"/>
              <w:bottom w:val="single" w:color="auto" w:sz="4" w:space="0"/>
              <w:right w:val="single" w:color="auto" w:sz="4" w:space="0"/>
            </w:tcBorders>
            <w:noWrap w:val="0"/>
            <w:vAlign w:val="center"/>
          </w:tcPr>
          <w:p w14:paraId="670C105F">
            <w:pPr>
              <w:widowControl/>
              <w:rPr>
                <w:rFonts w:hint="eastAsia" w:ascii="宋体" w:hAnsi="宋体" w:cs="宋体"/>
                <w:color w:val="auto"/>
                <w:kern w:val="0"/>
                <w:szCs w:val="21"/>
                <w:highlight w:val="none"/>
              </w:rPr>
            </w:pPr>
          </w:p>
        </w:tc>
      </w:tr>
      <w:tr w14:paraId="20F8D42A">
        <w:tblPrEx>
          <w:tblCellMar>
            <w:top w:w="0" w:type="dxa"/>
            <w:left w:w="108" w:type="dxa"/>
            <w:bottom w:w="0" w:type="dxa"/>
            <w:right w:w="108" w:type="dxa"/>
          </w:tblCellMar>
        </w:tblPrEx>
        <w:trPr>
          <w:trHeight w:val="487" w:hRule="atLeast"/>
          <w:jc w:val="center"/>
        </w:trPr>
        <w:tc>
          <w:tcPr>
            <w:tcW w:w="418" w:type="pct"/>
            <w:tcBorders>
              <w:top w:val="nil"/>
              <w:left w:val="single" w:color="auto" w:sz="4" w:space="0"/>
              <w:bottom w:val="single" w:color="auto" w:sz="4" w:space="0"/>
              <w:right w:val="single" w:color="auto" w:sz="4" w:space="0"/>
            </w:tcBorders>
            <w:noWrap w:val="0"/>
            <w:vAlign w:val="center"/>
          </w:tcPr>
          <w:p w14:paraId="22CC359E">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1155" w:type="pct"/>
            <w:tcBorders>
              <w:top w:val="nil"/>
              <w:left w:val="nil"/>
              <w:bottom w:val="single" w:color="auto" w:sz="4" w:space="0"/>
              <w:right w:val="single" w:color="auto" w:sz="4" w:space="0"/>
            </w:tcBorders>
            <w:noWrap w:val="0"/>
            <w:vAlign w:val="center"/>
          </w:tcPr>
          <w:p w14:paraId="3DBE0D49">
            <w:pPr>
              <w:widowControl/>
              <w:rPr>
                <w:rFonts w:hint="eastAsia" w:ascii="宋体" w:hAnsi="宋体" w:cs="宋体"/>
                <w:color w:val="auto"/>
                <w:kern w:val="0"/>
                <w:szCs w:val="21"/>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2A2D704C">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24847EBE">
            <w:pPr>
              <w:rPr>
                <w:rFonts w:hint="eastAsia" w:ascii="宋体" w:hAnsi="宋体" w:cs="宋体"/>
                <w:color w:val="auto"/>
                <w:sz w:val="22"/>
                <w:highlight w:val="none"/>
              </w:rPr>
            </w:pPr>
          </w:p>
        </w:tc>
        <w:tc>
          <w:tcPr>
            <w:tcW w:w="714" w:type="pct"/>
            <w:tcBorders>
              <w:top w:val="single" w:color="auto" w:sz="4" w:space="0"/>
              <w:left w:val="nil"/>
              <w:bottom w:val="single" w:color="auto" w:sz="4" w:space="0"/>
              <w:right w:val="single" w:color="auto" w:sz="4" w:space="0"/>
            </w:tcBorders>
            <w:noWrap w:val="0"/>
            <w:vAlign w:val="center"/>
          </w:tcPr>
          <w:p w14:paraId="3A91AB89">
            <w:pPr>
              <w:rPr>
                <w:rFonts w:hint="eastAsia" w:ascii="宋体" w:hAnsi="宋体" w:cs="宋体"/>
                <w:color w:val="auto"/>
                <w:sz w:val="22"/>
                <w:highlight w:val="none"/>
              </w:rPr>
            </w:pPr>
          </w:p>
        </w:tc>
        <w:tc>
          <w:tcPr>
            <w:tcW w:w="711" w:type="pct"/>
            <w:tcBorders>
              <w:top w:val="single" w:color="auto" w:sz="4" w:space="0"/>
              <w:left w:val="nil"/>
              <w:bottom w:val="single" w:color="auto" w:sz="4" w:space="0"/>
              <w:right w:val="single" w:color="auto" w:sz="4" w:space="0"/>
            </w:tcBorders>
            <w:noWrap w:val="0"/>
            <w:vAlign w:val="center"/>
          </w:tcPr>
          <w:p w14:paraId="4FCBBD88">
            <w:pPr>
              <w:rPr>
                <w:rFonts w:hint="eastAsia" w:ascii="宋体" w:hAnsi="宋体" w:cs="宋体"/>
                <w:color w:val="auto"/>
                <w:sz w:val="22"/>
                <w:highlight w:val="none"/>
              </w:rPr>
            </w:pPr>
          </w:p>
        </w:tc>
        <w:tc>
          <w:tcPr>
            <w:tcW w:w="571" w:type="pct"/>
            <w:tcBorders>
              <w:top w:val="nil"/>
              <w:left w:val="nil"/>
              <w:bottom w:val="single" w:color="auto" w:sz="4" w:space="0"/>
              <w:right w:val="single" w:color="auto" w:sz="4" w:space="0"/>
            </w:tcBorders>
            <w:noWrap w:val="0"/>
            <w:vAlign w:val="center"/>
          </w:tcPr>
          <w:p w14:paraId="1E4BBE68">
            <w:pPr>
              <w:widowControl/>
              <w:rPr>
                <w:rFonts w:hint="eastAsia" w:ascii="宋体" w:hAnsi="宋体" w:cs="宋体"/>
                <w:color w:val="auto"/>
                <w:kern w:val="0"/>
                <w:szCs w:val="21"/>
                <w:highlight w:val="none"/>
              </w:rPr>
            </w:pPr>
          </w:p>
        </w:tc>
      </w:tr>
    </w:tbl>
    <w:p w14:paraId="497ECD37">
      <w:pPr>
        <w:adjustRightInd w:val="0"/>
        <w:snapToGrid w:val="0"/>
        <w:spacing w:line="520" w:lineRule="exact"/>
        <w:rPr>
          <w:rFonts w:hint="eastAsia" w:ascii="宋体" w:hAnsi="宋体" w:eastAsia="宋体" w:cs="宋体"/>
          <w:b/>
          <w:bCs/>
          <w:color w:val="auto"/>
          <w:kern w:val="0"/>
          <w:szCs w:val="21"/>
          <w:highlight w:val="none"/>
          <w:lang w:val="en-US" w:eastAsia="zh-CN"/>
        </w:rPr>
      </w:pPr>
      <w:bookmarkStart w:id="1440" w:name="_Toc4784272"/>
      <w:bookmarkEnd w:id="1440"/>
      <w:bookmarkStart w:id="1441" w:name="_Toc4784277"/>
      <w:bookmarkEnd w:id="1441"/>
      <w:bookmarkStart w:id="1442" w:name="_Toc4784276"/>
      <w:bookmarkEnd w:id="1442"/>
      <w:bookmarkStart w:id="1443" w:name="_Toc4784273"/>
      <w:bookmarkEnd w:id="1443"/>
      <w:bookmarkStart w:id="1444" w:name="_Toc95223531"/>
      <w:r>
        <w:rPr>
          <w:rFonts w:hint="eastAsia" w:ascii="宋体" w:hAnsi="宋体" w:eastAsia="宋体" w:cs="宋体"/>
          <w:b/>
          <w:bCs/>
          <w:color w:val="auto"/>
          <w:kern w:val="0"/>
          <w:szCs w:val="21"/>
          <w:highlight w:val="none"/>
          <w:lang w:val="en-US" w:eastAsia="zh-CN"/>
        </w:rPr>
        <w:t>注：1、对于招标人推荐品牌的材料、设备，投标人可选用推荐品牌或不低于推荐品牌技术性能指标的其他品牌。未在招标人推荐的材料品牌响应表中注明或未提供相关技术参数、业绩，或经评标委员会评审未通过的，中标后只能从招标人推荐品牌中进行选择，价格不予调整。</w:t>
      </w:r>
    </w:p>
    <w:p w14:paraId="55F1B060">
      <w:pPr>
        <w:adjustRightInd w:val="0"/>
        <w:snapToGrid w:val="0"/>
        <w:spacing w:line="520" w:lineRule="exact"/>
        <w:rPr>
          <w:rFonts w:hint="eastAsia"/>
          <w:color w:val="auto"/>
          <w:highlight w:val="none"/>
        </w:rPr>
      </w:pPr>
      <w:r>
        <w:rPr>
          <w:rFonts w:hint="eastAsia" w:ascii="宋体" w:hAnsi="宋体" w:eastAsia="宋体" w:cs="宋体"/>
          <w:b/>
          <w:bCs/>
          <w:color w:val="auto"/>
          <w:kern w:val="0"/>
          <w:szCs w:val="21"/>
          <w:highlight w:val="none"/>
          <w:lang w:val="en-US" w:eastAsia="zh-CN"/>
        </w:rPr>
        <w:t>2、如本项目招标文件中出现特定性、唯一性品牌的表述，该品牌仅作为参考，施工过程中不具有限定性。对于招标人推荐品牌的材料、设备等，投标人如认 为招标人推荐的品牌有限定性、唯一性、明显不在同一档次等级的或者其他疑问的，应在本项目异议提出的截止时间前通过电子交易系统向招标人提出。</w:t>
      </w:r>
      <w:r>
        <w:rPr>
          <w:rFonts w:hint="eastAsia"/>
          <w:color w:val="auto"/>
          <w:highlight w:val="none"/>
        </w:rPr>
        <w:br w:type="page"/>
      </w:r>
    </w:p>
    <w:p w14:paraId="10F247A0">
      <w:pPr>
        <w:pStyle w:val="2"/>
        <w:adjustRightInd w:val="0"/>
        <w:snapToGrid w:val="0"/>
        <w:spacing w:before="0" w:after="0" w:line="560" w:lineRule="exact"/>
        <w:jc w:val="center"/>
        <w:rPr>
          <w:rFonts w:hint="eastAsia"/>
          <w:color w:val="auto"/>
          <w:highlight w:val="none"/>
        </w:rPr>
      </w:pPr>
      <w:r>
        <w:rPr>
          <w:rFonts w:hint="eastAsia"/>
          <w:color w:val="auto"/>
          <w:highlight w:val="none"/>
        </w:rPr>
        <w:t>第</w:t>
      </w:r>
      <w:r>
        <w:rPr>
          <w:rFonts w:hint="eastAsia"/>
          <w:color w:val="auto"/>
          <w:highlight w:val="none"/>
          <w:lang w:val="en-US" w:eastAsia="zh-CN"/>
        </w:rPr>
        <w:t>八</w:t>
      </w:r>
      <w:r>
        <w:rPr>
          <w:rFonts w:hint="eastAsia"/>
          <w:color w:val="auto"/>
          <w:highlight w:val="none"/>
        </w:rPr>
        <w:t>章   投标文件格式</w:t>
      </w:r>
      <w:bookmarkEnd w:id="1444"/>
    </w:p>
    <w:p w14:paraId="08CDA23F">
      <w:pPr>
        <w:adjustRightInd w:val="0"/>
        <w:snapToGrid w:val="0"/>
        <w:spacing w:line="560" w:lineRule="exact"/>
        <w:rPr>
          <w:rFonts w:hint="eastAsia"/>
          <w:color w:val="auto"/>
          <w:highlight w:val="none"/>
        </w:rPr>
      </w:pPr>
    </w:p>
    <w:p w14:paraId="0147A34B">
      <w:pPr>
        <w:adjustRightInd w:val="0"/>
        <w:snapToGrid w:val="0"/>
        <w:spacing w:line="560" w:lineRule="exact"/>
        <w:rPr>
          <w:rFonts w:hint="eastAsia"/>
          <w:color w:val="auto"/>
          <w:highlight w:val="none"/>
        </w:rPr>
      </w:pPr>
    </w:p>
    <w:p w14:paraId="36F5852D">
      <w:pPr>
        <w:adjustRightInd w:val="0"/>
        <w:snapToGrid w:val="0"/>
        <w:spacing w:line="560" w:lineRule="exact"/>
        <w:rPr>
          <w:rFonts w:hint="eastAsia"/>
          <w:color w:val="auto"/>
          <w:highlight w:val="none"/>
        </w:rPr>
      </w:pPr>
    </w:p>
    <w:p w14:paraId="27D355EB">
      <w:pPr>
        <w:adjustRightInd w:val="0"/>
        <w:snapToGrid w:val="0"/>
        <w:spacing w:line="560" w:lineRule="exact"/>
        <w:jc w:val="center"/>
        <w:rPr>
          <w:rFonts w:hint="eastAsia" w:eastAsia="黑体"/>
          <w:color w:val="auto"/>
          <w:sz w:val="20"/>
          <w:szCs w:val="20"/>
          <w:highlight w:val="none"/>
        </w:rPr>
      </w:pPr>
      <w:r>
        <w:rPr>
          <w:rFonts w:hint="eastAsia" w:eastAsia="黑体"/>
          <w:color w:val="auto"/>
          <w:sz w:val="28"/>
          <w:szCs w:val="28"/>
          <w:highlight w:val="none"/>
          <w:u w:val="single"/>
        </w:rPr>
        <w:t xml:space="preserve"> </w:t>
      </w:r>
      <w:bookmarkStart w:id="1445" w:name="_Toc506107339"/>
      <w:bookmarkStart w:id="1446" w:name="_Toc60061573"/>
      <w:bookmarkStart w:id="1447" w:name="_Toc484173788"/>
      <w:bookmarkStart w:id="1448" w:name="_Toc15058933"/>
      <w:r>
        <w:rPr>
          <w:rFonts w:hint="eastAsia" w:eastAsia="黑体"/>
          <w:color w:val="auto"/>
          <w:sz w:val="28"/>
          <w:szCs w:val="28"/>
          <w:highlight w:val="none"/>
          <w:u w:val="single"/>
        </w:rPr>
        <w:t xml:space="preserve">            </w:t>
      </w:r>
      <w:bookmarkEnd w:id="1445"/>
      <w:bookmarkEnd w:id="1446"/>
      <w:bookmarkEnd w:id="1447"/>
      <w:bookmarkEnd w:id="1448"/>
      <w:r>
        <w:rPr>
          <w:rFonts w:hint="eastAsia" w:eastAsia="黑体"/>
          <w:color w:val="auto"/>
          <w:sz w:val="28"/>
          <w:szCs w:val="28"/>
          <w:highlight w:val="none"/>
          <w:u w:val="single"/>
        </w:rPr>
        <w:t xml:space="preserve">   </w:t>
      </w:r>
      <w:r>
        <w:rPr>
          <w:rFonts w:eastAsia="黑体"/>
          <w:color w:val="auto"/>
          <w:sz w:val="28"/>
          <w:szCs w:val="28"/>
          <w:highlight w:val="none"/>
        </w:rPr>
        <w:t>（项目名称</w:t>
      </w:r>
      <w:bookmarkStart w:id="1449" w:name="_Toc246997097"/>
      <w:bookmarkStart w:id="1450" w:name="_Toc144974855"/>
      <w:bookmarkStart w:id="1451" w:name="_Toc247085872"/>
      <w:bookmarkStart w:id="1452" w:name="_Toc152042575"/>
      <w:bookmarkStart w:id="1453" w:name="_Toc179632806"/>
      <w:bookmarkStart w:id="1454" w:name="_Toc152045786"/>
      <w:bookmarkStart w:id="1455" w:name="_Toc246996354"/>
      <w:r>
        <w:rPr>
          <w:rFonts w:eastAsia="黑体"/>
          <w:color w:val="auto"/>
          <w:sz w:val="28"/>
          <w:szCs w:val="28"/>
          <w:highlight w:val="none"/>
        </w:rPr>
        <w:t>）</w:t>
      </w:r>
      <w:bookmarkStart w:id="1456" w:name="_Toc15058934"/>
      <w:bookmarkStart w:id="1457" w:name="_Toc324404888"/>
      <w:bookmarkStart w:id="1458" w:name="_Toc60061574"/>
      <w:bookmarkStart w:id="1459" w:name="_Toc506107340"/>
    </w:p>
    <w:p w14:paraId="4480497B">
      <w:pPr>
        <w:adjustRightInd w:val="0"/>
        <w:snapToGrid w:val="0"/>
        <w:spacing w:line="560" w:lineRule="exact"/>
        <w:jc w:val="center"/>
        <w:rPr>
          <w:rFonts w:hint="eastAsia" w:eastAsia="黑体"/>
          <w:color w:val="auto"/>
          <w:sz w:val="20"/>
          <w:szCs w:val="20"/>
          <w:highlight w:val="none"/>
        </w:rPr>
      </w:pPr>
    </w:p>
    <w:p w14:paraId="09BA0450">
      <w:pPr>
        <w:adjustRightInd w:val="0"/>
        <w:snapToGrid w:val="0"/>
        <w:spacing w:line="560" w:lineRule="exact"/>
        <w:jc w:val="center"/>
        <w:rPr>
          <w:rFonts w:hint="eastAsia" w:eastAsia="黑体"/>
          <w:color w:val="auto"/>
          <w:sz w:val="20"/>
          <w:szCs w:val="20"/>
          <w:highlight w:val="none"/>
        </w:rPr>
      </w:pPr>
    </w:p>
    <w:p w14:paraId="2D6F7A77">
      <w:pPr>
        <w:adjustRightInd w:val="0"/>
        <w:snapToGrid w:val="0"/>
        <w:spacing w:line="560" w:lineRule="exact"/>
        <w:jc w:val="center"/>
        <w:rPr>
          <w:rFonts w:hint="eastAsia" w:eastAsia="黑体"/>
          <w:color w:val="auto"/>
          <w:sz w:val="20"/>
          <w:szCs w:val="20"/>
          <w:highlight w:val="none"/>
        </w:rPr>
      </w:pPr>
    </w:p>
    <w:p w14:paraId="4FC82D2E">
      <w:pPr>
        <w:adjustRightInd w:val="0"/>
        <w:snapToGrid w:val="0"/>
        <w:spacing w:line="560" w:lineRule="exact"/>
        <w:rPr>
          <w:rFonts w:hint="eastAsia" w:eastAsia="黑体"/>
          <w:color w:val="auto"/>
          <w:sz w:val="20"/>
          <w:szCs w:val="20"/>
          <w:highlight w:val="none"/>
        </w:rPr>
      </w:pPr>
    </w:p>
    <w:p w14:paraId="7188DB2B">
      <w:pPr>
        <w:adjustRightInd w:val="0"/>
        <w:snapToGrid w:val="0"/>
        <w:spacing w:line="560" w:lineRule="exact"/>
        <w:jc w:val="center"/>
        <w:rPr>
          <w:rFonts w:hint="eastAsia" w:eastAsia="黑体"/>
          <w:color w:val="auto"/>
          <w:sz w:val="44"/>
          <w:szCs w:val="44"/>
          <w:highlight w:val="none"/>
        </w:rPr>
      </w:pPr>
      <w:r>
        <w:rPr>
          <w:rFonts w:eastAsia="黑体"/>
          <w:color w:val="auto"/>
          <w:sz w:val="44"/>
          <w:szCs w:val="44"/>
          <w:highlight w:val="none"/>
        </w:rPr>
        <w:t>投  标  文</w:t>
      </w:r>
      <w:bookmarkEnd w:id="1449"/>
      <w:bookmarkEnd w:id="1450"/>
      <w:bookmarkEnd w:id="1451"/>
      <w:bookmarkEnd w:id="1452"/>
      <w:bookmarkEnd w:id="1453"/>
      <w:bookmarkEnd w:id="1454"/>
      <w:bookmarkEnd w:id="1455"/>
      <w:bookmarkEnd w:id="1456"/>
      <w:bookmarkEnd w:id="1457"/>
      <w:bookmarkEnd w:id="1458"/>
      <w:bookmarkEnd w:id="1459"/>
      <w:r>
        <w:rPr>
          <w:rFonts w:eastAsia="黑体"/>
          <w:color w:val="auto"/>
          <w:sz w:val="44"/>
          <w:szCs w:val="44"/>
          <w:highlight w:val="none"/>
        </w:rPr>
        <w:t xml:space="preserve">  件</w:t>
      </w:r>
      <w:r>
        <w:rPr>
          <w:rFonts w:hint="eastAsia" w:eastAsia="黑体"/>
          <w:color w:val="auto"/>
          <w:sz w:val="44"/>
          <w:szCs w:val="44"/>
          <w:highlight w:val="none"/>
        </w:rPr>
        <w:t xml:space="preserve"> </w:t>
      </w:r>
    </w:p>
    <w:p w14:paraId="1C917D45">
      <w:pPr>
        <w:adjustRightInd w:val="0"/>
        <w:snapToGrid w:val="0"/>
        <w:spacing w:line="560" w:lineRule="exact"/>
        <w:jc w:val="center"/>
        <w:rPr>
          <w:rFonts w:hint="eastAsia" w:eastAsia="黑体"/>
          <w:color w:val="auto"/>
          <w:sz w:val="44"/>
          <w:szCs w:val="44"/>
          <w:highlight w:val="none"/>
        </w:rPr>
      </w:pPr>
      <w:r>
        <w:rPr>
          <w:rFonts w:hint="eastAsia" w:eastAsia="黑体"/>
          <w:color w:val="auto"/>
          <w:sz w:val="44"/>
          <w:szCs w:val="44"/>
          <w:highlight w:val="none"/>
        </w:rPr>
        <w:t>（商务文件）</w:t>
      </w:r>
    </w:p>
    <w:p w14:paraId="1ED81492">
      <w:pPr>
        <w:adjustRightInd w:val="0"/>
        <w:snapToGrid w:val="0"/>
        <w:spacing w:line="560" w:lineRule="exact"/>
        <w:rPr>
          <w:rFonts w:hint="eastAsia" w:eastAsia="黑体"/>
          <w:color w:val="auto"/>
          <w:sz w:val="28"/>
          <w:szCs w:val="28"/>
          <w:highlight w:val="none"/>
        </w:rPr>
      </w:pPr>
    </w:p>
    <w:p w14:paraId="472ECB33">
      <w:pPr>
        <w:adjustRightInd w:val="0"/>
        <w:snapToGrid w:val="0"/>
        <w:spacing w:line="560" w:lineRule="exact"/>
        <w:rPr>
          <w:rFonts w:eastAsia="黑体"/>
          <w:color w:val="auto"/>
          <w:sz w:val="28"/>
          <w:szCs w:val="28"/>
          <w:highlight w:val="none"/>
        </w:rPr>
      </w:pPr>
    </w:p>
    <w:p w14:paraId="044216D0">
      <w:pPr>
        <w:adjustRightInd w:val="0"/>
        <w:snapToGrid w:val="0"/>
        <w:spacing w:line="560" w:lineRule="exact"/>
        <w:rPr>
          <w:rFonts w:eastAsia="黑体"/>
          <w:color w:val="auto"/>
          <w:sz w:val="28"/>
          <w:szCs w:val="28"/>
          <w:highlight w:val="none"/>
        </w:rPr>
      </w:pPr>
    </w:p>
    <w:p w14:paraId="632A855D">
      <w:pPr>
        <w:adjustRightInd w:val="0"/>
        <w:snapToGrid w:val="0"/>
        <w:spacing w:line="560" w:lineRule="exact"/>
        <w:rPr>
          <w:rFonts w:eastAsia="黑体"/>
          <w:color w:val="auto"/>
          <w:sz w:val="28"/>
          <w:szCs w:val="28"/>
          <w:highlight w:val="none"/>
        </w:rPr>
      </w:pPr>
    </w:p>
    <w:p w14:paraId="511527A9">
      <w:pPr>
        <w:adjustRightInd w:val="0"/>
        <w:snapToGrid w:val="0"/>
        <w:spacing w:line="560" w:lineRule="exact"/>
        <w:rPr>
          <w:rFonts w:hint="eastAsia" w:eastAsia="黑体"/>
          <w:color w:val="auto"/>
          <w:sz w:val="28"/>
          <w:szCs w:val="28"/>
          <w:highlight w:val="none"/>
        </w:rPr>
      </w:pPr>
    </w:p>
    <w:p w14:paraId="246EC727">
      <w:pPr>
        <w:adjustRightInd w:val="0"/>
        <w:snapToGrid w:val="0"/>
        <w:spacing w:line="560" w:lineRule="exact"/>
        <w:rPr>
          <w:rFonts w:hint="eastAsia" w:eastAsia="黑体"/>
          <w:color w:val="auto"/>
          <w:sz w:val="28"/>
          <w:szCs w:val="28"/>
          <w:highlight w:val="none"/>
        </w:rPr>
      </w:pPr>
    </w:p>
    <w:p w14:paraId="3A76714E">
      <w:pPr>
        <w:adjustRightInd w:val="0"/>
        <w:snapToGrid w:val="0"/>
        <w:spacing w:line="560" w:lineRule="exact"/>
        <w:rPr>
          <w:rFonts w:eastAsia="黑体"/>
          <w:color w:val="auto"/>
          <w:sz w:val="28"/>
          <w:szCs w:val="28"/>
          <w:highlight w:val="none"/>
        </w:rPr>
      </w:pPr>
    </w:p>
    <w:p w14:paraId="682758CF">
      <w:pPr>
        <w:adjustRightInd w:val="0"/>
        <w:snapToGrid w:val="0"/>
        <w:spacing w:line="560" w:lineRule="exact"/>
        <w:rPr>
          <w:rFonts w:eastAsia="黑体"/>
          <w:color w:val="auto"/>
          <w:sz w:val="28"/>
          <w:szCs w:val="28"/>
          <w:highlight w:val="none"/>
        </w:rPr>
      </w:pPr>
    </w:p>
    <w:p w14:paraId="0E3CBE9E">
      <w:pPr>
        <w:adjustRightInd w:val="0"/>
        <w:snapToGrid w:val="0"/>
        <w:spacing w:line="560" w:lineRule="exact"/>
        <w:jc w:val="center"/>
        <w:rPr>
          <w:rFonts w:eastAsia="黑体"/>
          <w:color w:val="auto"/>
          <w:sz w:val="28"/>
          <w:szCs w:val="28"/>
          <w:highlight w:val="none"/>
          <w:u w:val="single"/>
        </w:rPr>
      </w:pPr>
      <w:r>
        <w:rPr>
          <w:rFonts w:eastAsia="黑体"/>
          <w:color w:val="auto"/>
          <w:sz w:val="28"/>
          <w:szCs w:val="28"/>
          <w:highlight w:val="none"/>
        </w:rPr>
        <w:t>投标人：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w:t>
      </w:r>
      <w:r>
        <w:rPr>
          <w:rFonts w:eastAsia="黑体"/>
          <w:color w:val="auto"/>
          <w:sz w:val="28"/>
          <w:szCs w:val="28"/>
          <w:highlight w:val="none"/>
        </w:rPr>
        <w:t>章）</w:t>
      </w:r>
    </w:p>
    <w:p w14:paraId="3AF67648">
      <w:pPr>
        <w:adjustRightInd w:val="0"/>
        <w:snapToGrid w:val="0"/>
        <w:spacing w:line="560" w:lineRule="exact"/>
        <w:jc w:val="center"/>
        <w:rPr>
          <w:rFonts w:eastAsia="黑体"/>
          <w:color w:val="auto"/>
          <w:sz w:val="28"/>
          <w:szCs w:val="28"/>
          <w:highlight w:val="none"/>
        </w:rPr>
      </w:pPr>
      <w:r>
        <w:rPr>
          <w:rFonts w:eastAsia="黑体"/>
          <w:color w:val="auto"/>
          <w:sz w:val="28"/>
          <w:szCs w:val="28"/>
          <w:highlight w:val="none"/>
        </w:rPr>
        <w:t>法定代表人：</w:t>
      </w:r>
      <w:r>
        <w:rPr>
          <w:rFonts w:eastAsia="黑体"/>
          <w:color w:val="auto"/>
          <w:sz w:val="28"/>
          <w:szCs w:val="28"/>
          <w:highlight w:val="none"/>
          <w:u w:val="single"/>
        </w:rPr>
        <w:t xml:space="preserve">                </w:t>
      </w:r>
      <w:r>
        <w:rPr>
          <w:rFonts w:eastAsia="黑体"/>
          <w:color w:val="auto"/>
          <w:sz w:val="28"/>
          <w:szCs w:val="28"/>
          <w:highlight w:val="none"/>
        </w:rPr>
        <w:t>（签</w:t>
      </w:r>
      <w:r>
        <w:rPr>
          <w:rFonts w:hint="eastAsia" w:eastAsia="黑体"/>
          <w:color w:val="auto"/>
          <w:sz w:val="28"/>
          <w:szCs w:val="28"/>
          <w:highlight w:val="none"/>
        </w:rPr>
        <w:t>章</w:t>
      </w:r>
      <w:r>
        <w:rPr>
          <w:rFonts w:eastAsia="黑体"/>
          <w:color w:val="auto"/>
          <w:sz w:val="28"/>
          <w:szCs w:val="28"/>
          <w:highlight w:val="none"/>
        </w:rPr>
        <w:t>）</w:t>
      </w:r>
    </w:p>
    <w:p w14:paraId="3001FEDC">
      <w:pPr>
        <w:adjustRightInd w:val="0"/>
        <w:snapToGrid w:val="0"/>
        <w:spacing w:line="560" w:lineRule="exact"/>
        <w:jc w:val="center"/>
        <w:rPr>
          <w:rFonts w:hint="eastAsia"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4D9E8890">
      <w:pPr>
        <w:rPr>
          <w:rFonts w:hint="eastAsia"/>
          <w:color w:val="auto"/>
          <w:highlight w:val="none"/>
        </w:rPr>
      </w:pPr>
      <w:bookmarkStart w:id="1460" w:name="_Toc95223532"/>
      <w:bookmarkStart w:id="1461" w:name="_Toc296602622"/>
      <w:bookmarkStart w:id="1462" w:name="_Toc247085892"/>
      <w:bookmarkStart w:id="1463" w:name="_Toc144974881"/>
      <w:bookmarkStart w:id="1464" w:name="_Toc152045813"/>
      <w:bookmarkStart w:id="1465" w:name="_Toc179632833"/>
      <w:bookmarkStart w:id="1466" w:name="_Toc246996374"/>
      <w:bookmarkStart w:id="1467" w:name="_Toc246997117"/>
      <w:bookmarkStart w:id="1468" w:name="_Toc152042602"/>
      <w:r>
        <w:rPr>
          <w:rFonts w:hint="eastAsia"/>
          <w:color w:val="auto"/>
          <w:highlight w:val="none"/>
        </w:rPr>
        <w:br w:type="page"/>
      </w:r>
    </w:p>
    <w:p w14:paraId="5BA28EC1">
      <w:pPr>
        <w:pStyle w:val="3"/>
        <w:keepNext/>
        <w:keepLines/>
        <w:pageBreakBefore w:val="0"/>
        <w:widowControl w:val="0"/>
        <w:kinsoku/>
        <w:wordWrap/>
        <w:overflowPunct/>
        <w:topLinePunct w:val="0"/>
        <w:autoSpaceDE/>
        <w:autoSpaceDN/>
        <w:bidi w:val="0"/>
        <w:adjustRightInd/>
        <w:snapToGrid/>
        <w:spacing w:before="0" w:beforeLines="0" w:after="0" w:afterLines="0" w:line="500" w:lineRule="exact"/>
        <w:textAlignment w:val="auto"/>
        <w:rPr>
          <w:rFonts w:hint="eastAsia"/>
          <w:color w:val="auto"/>
          <w:highlight w:val="none"/>
        </w:rPr>
      </w:pPr>
      <w:r>
        <w:rPr>
          <w:rFonts w:hint="eastAsia"/>
          <w:color w:val="auto"/>
          <w:highlight w:val="none"/>
        </w:rPr>
        <w:t>商务文件文件目录</w:t>
      </w:r>
      <w:bookmarkEnd w:id="1460"/>
    </w:p>
    <w:p w14:paraId="23E1E4A5">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（1）投标人基本情况表</w:t>
      </w:r>
      <w:r>
        <w:rPr>
          <w:rFonts w:hint="eastAsia" w:ascii="宋体" w:hAnsi="宋体" w:cs="宋体"/>
          <w:color w:val="auto"/>
          <w:szCs w:val="21"/>
          <w:highlight w:val="none"/>
        </w:rPr>
        <w:t>（联合体投标的，联合体各方均须提供）</w:t>
      </w:r>
      <w:r>
        <w:rPr>
          <w:rFonts w:hint="eastAsia" w:ascii="宋体" w:hAnsi="宋体" w:cs="宋体"/>
          <w:color w:val="auto"/>
          <w:highlight w:val="none"/>
        </w:rPr>
        <w:t>；</w:t>
      </w:r>
    </w:p>
    <w:p w14:paraId="458C5EBC">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（2）近年财务状况表</w:t>
      </w:r>
      <w:r>
        <w:rPr>
          <w:rFonts w:hint="eastAsia" w:ascii="宋体" w:hAnsi="宋体" w:cs="宋体"/>
          <w:color w:val="auto"/>
          <w:szCs w:val="21"/>
          <w:highlight w:val="none"/>
        </w:rPr>
        <w:t>（</w:t>
      </w:r>
      <w:r>
        <w:rPr>
          <w:rFonts w:hint="eastAsia" w:ascii="宋体" w:hAnsi="宋体" w:cs="宋体"/>
          <w:color w:val="auto"/>
          <w:highlight w:val="none"/>
          <w:lang w:val="en-US" w:eastAsia="zh-CN"/>
        </w:rPr>
        <w:t>本项目不采用</w:t>
      </w:r>
      <w:r>
        <w:rPr>
          <w:rFonts w:hint="eastAsia" w:ascii="宋体" w:hAnsi="宋体" w:cs="宋体"/>
          <w:color w:val="auto"/>
          <w:szCs w:val="21"/>
          <w:highlight w:val="none"/>
        </w:rPr>
        <w:t>）</w:t>
      </w:r>
      <w:r>
        <w:rPr>
          <w:rFonts w:hint="eastAsia" w:ascii="宋体" w:hAnsi="宋体" w:cs="宋体"/>
          <w:color w:val="auto"/>
          <w:highlight w:val="none"/>
        </w:rPr>
        <w:t>；</w:t>
      </w:r>
    </w:p>
    <w:p w14:paraId="14F20649">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（3）近年完成的类似项目情况表</w:t>
      </w:r>
      <w:r>
        <w:rPr>
          <w:rFonts w:hint="eastAsia" w:ascii="宋体" w:hAnsi="宋体" w:cs="宋体"/>
          <w:color w:val="auto"/>
          <w:szCs w:val="21"/>
          <w:highlight w:val="none"/>
        </w:rPr>
        <w:t>（</w:t>
      </w:r>
      <w:r>
        <w:rPr>
          <w:rFonts w:hint="eastAsia" w:ascii="宋体" w:hAnsi="宋体" w:cs="宋体"/>
          <w:color w:val="auto"/>
          <w:highlight w:val="none"/>
          <w:lang w:val="en-US" w:eastAsia="zh-CN"/>
        </w:rPr>
        <w:t>本项目不采用</w:t>
      </w:r>
      <w:r>
        <w:rPr>
          <w:rFonts w:hint="eastAsia" w:ascii="宋体" w:hAnsi="宋体" w:cs="宋体"/>
          <w:color w:val="auto"/>
          <w:szCs w:val="21"/>
          <w:highlight w:val="none"/>
        </w:rPr>
        <w:t>）</w:t>
      </w:r>
      <w:r>
        <w:rPr>
          <w:rFonts w:hint="eastAsia" w:ascii="宋体" w:hAnsi="宋体" w:cs="宋体"/>
          <w:color w:val="auto"/>
          <w:highlight w:val="none"/>
        </w:rPr>
        <w:t>；</w:t>
      </w:r>
    </w:p>
    <w:p w14:paraId="09BD9CEA">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（4）正在实施的和新承接的项目情况表</w:t>
      </w:r>
      <w:r>
        <w:rPr>
          <w:rFonts w:hint="eastAsia" w:ascii="宋体" w:hAnsi="宋体" w:cs="宋体"/>
          <w:color w:val="auto"/>
          <w:szCs w:val="21"/>
          <w:highlight w:val="none"/>
        </w:rPr>
        <w:t>（</w:t>
      </w:r>
      <w:r>
        <w:rPr>
          <w:rFonts w:hint="eastAsia" w:ascii="宋体" w:hAnsi="宋体" w:cs="宋体"/>
          <w:color w:val="auto"/>
          <w:highlight w:val="none"/>
          <w:lang w:val="en-US" w:eastAsia="zh-CN"/>
        </w:rPr>
        <w:t>本项目不采用</w:t>
      </w:r>
      <w:r>
        <w:rPr>
          <w:rFonts w:hint="eastAsia" w:ascii="宋体" w:hAnsi="宋体" w:cs="宋体"/>
          <w:color w:val="auto"/>
          <w:szCs w:val="21"/>
          <w:highlight w:val="none"/>
        </w:rPr>
        <w:t>）</w:t>
      </w:r>
      <w:r>
        <w:rPr>
          <w:rFonts w:hint="eastAsia" w:ascii="宋体" w:hAnsi="宋体" w:cs="宋体"/>
          <w:color w:val="auto"/>
          <w:highlight w:val="none"/>
        </w:rPr>
        <w:t>；</w:t>
      </w:r>
    </w:p>
    <w:p w14:paraId="345D244E">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（5）联合体协议书 （如有）；</w:t>
      </w:r>
    </w:p>
    <w:p w14:paraId="32116861">
      <w:pPr>
        <w:adjustRightInd w:val="0"/>
        <w:snapToGrid w:val="0"/>
        <w:spacing w:line="560" w:lineRule="exact"/>
        <w:ind w:firstLine="420" w:firstLineChars="200"/>
        <w:rPr>
          <w:rFonts w:hint="eastAsia"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6</w:t>
      </w:r>
      <w:r>
        <w:rPr>
          <w:rFonts w:hint="eastAsia" w:ascii="宋体" w:hAnsi="宋体" w:cs="宋体"/>
          <w:color w:val="auto"/>
          <w:highlight w:val="none"/>
        </w:rPr>
        <w:t>）</w:t>
      </w:r>
      <w:r>
        <w:rPr>
          <w:rFonts w:hint="eastAsia" w:ascii="宋体" w:hAnsi="宋体" w:cs="宋体"/>
          <w:bCs/>
          <w:snapToGrid w:val="0"/>
          <w:color w:val="auto"/>
          <w:kern w:val="0"/>
          <w:szCs w:val="21"/>
          <w:highlight w:val="none"/>
        </w:rPr>
        <w:t>拟分包项目情况表</w:t>
      </w:r>
      <w:r>
        <w:rPr>
          <w:rFonts w:hint="eastAsia" w:ascii="宋体" w:hAnsi="宋体" w:cs="宋体"/>
          <w:color w:val="auto"/>
          <w:highlight w:val="none"/>
        </w:rPr>
        <w:t xml:space="preserve"> （如有）；</w:t>
      </w:r>
    </w:p>
    <w:p w14:paraId="00035D37">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7</w:t>
      </w:r>
      <w:r>
        <w:rPr>
          <w:rFonts w:hint="eastAsia" w:ascii="宋体" w:hAnsi="宋体" w:cs="宋体"/>
          <w:color w:val="auto"/>
          <w:highlight w:val="none"/>
        </w:rPr>
        <w:t>）</w:t>
      </w:r>
      <w:r>
        <w:rPr>
          <w:rFonts w:ascii="宋体" w:hAnsi="宋体" w:cs="宋体"/>
          <w:color w:val="auto"/>
          <w:highlight w:val="none"/>
        </w:rPr>
        <w:t>项目管理机构</w:t>
      </w:r>
      <w:r>
        <w:rPr>
          <w:rFonts w:hint="eastAsia" w:ascii="宋体" w:hAnsi="宋体" w:cs="宋体"/>
          <w:color w:val="auto"/>
          <w:highlight w:val="none"/>
        </w:rPr>
        <w:t>；</w:t>
      </w:r>
    </w:p>
    <w:p w14:paraId="18581A1D">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8</w:t>
      </w:r>
      <w:r>
        <w:rPr>
          <w:rFonts w:hint="eastAsia" w:ascii="宋体" w:hAnsi="宋体" w:cs="宋体"/>
          <w:color w:val="auto"/>
          <w:highlight w:val="none"/>
        </w:rPr>
        <w:t>）其他资格审查资料（由以下材料</w:t>
      </w:r>
      <w:r>
        <w:rPr>
          <w:rFonts w:hint="eastAsia" w:ascii="宋体" w:hAnsi="宋体" w:cs="宋体"/>
          <w:color w:val="auto"/>
          <w:szCs w:val="21"/>
          <w:highlight w:val="none"/>
        </w:rPr>
        <w:t>组成</w:t>
      </w:r>
      <w:r>
        <w:rPr>
          <w:rFonts w:hint="eastAsia" w:ascii="宋体" w:hAnsi="宋体" w:cs="宋体"/>
          <w:color w:val="auto"/>
          <w:highlight w:val="none"/>
        </w:rPr>
        <w:t>）：</w:t>
      </w:r>
    </w:p>
    <w:p w14:paraId="2AD81A6B">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①法定代表人身份证明和本人身份证(或法定代表人授权委托书和委托代理人身份证)</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联合体投标均须提供）</w:t>
      </w:r>
      <w:r>
        <w:rPr>
          <w:rFonts w:hint="eastAsia" w:ascii="宋体" w:hAnsi="宋体" w:cs="宋体"/>
          <w:color w:val="auto"/>
          <w:szCs w:val="21"/>
          <w:highlight w:val="none"/>
        </w:rPr>
        <w:t>（联合体投标的，联合体各方均须提供）；</w:t>
      </w:r>
    </w:p>
    <w:p w14:paraId="52FC0FF6">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②诚信投标承诺书(或《公共信用信息报告（无违法违规证明版或核查版）》)（联合体投标的，联合体各方均须提供）；</w:t>
      </w:r>
    </w:p>
    <w:p w14:paraId="1A2FA9CE">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③企业法人营业执照（联合体投标的，联合体各方均须提供）；</w:t>
      </w:r>
    </w:p>
    <w:p w14:paraId="7A51E557">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④企业资质证书（联合体投标的，联合体各方均须提供）；</w:t>
      </w:r>
    </w:p>
    <w:p w14:paraId="0549FE53">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⑤企业安全生产许可证（联合体投标的，联合体各方均须提供）；</w:t>
      </w:r>
    </w:p>
    <w:p w14:paraId="3B986DEC">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⑥建造师（拟任项目经理（建造师））身份证、建造师注册证书以及安全生产考核合格证书（B证）；</w:t>
      </w:r>
    </w:p>
    <w:p w14:paraId="6EDC79D4">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⑦拟任项目经理（建造师）须持有社保部门出具的本单位为其缴纳的2026年4月至2026年7月范围内任意连续三个月的养老保险证明。</w:t>
      </w:r>
    </w:p>
    <w:p w14:paraId="05EA2DF4">
      <w:pPr>
        <w:keepNext w:val="0"/>
        <w:keepLines w:val="0"/>
        <w:pageBreakBefore w:val="0"/>
        <w:kinsoku/>
        <w:wordWrap/>
        <w:overflowPunct/>
        <w:topLinePunct w:val="0"/>
        <w:autoSpaceDE/>
        <w:autoSpaceDN/>
        <w:bidi w:val="0"/>
        <w:adjustRightInd w:val="0"/>
        <w:snapToGrid w:val="0"/>
        <w:spacing w:line="500" w:lineRule="exact"/>
        <w:ind w:firstLine="422" w:firstLineChars="200"/>
        <w:textAlignment w:val="auto"/>
        <w:rPr>
          <w:rFonts w:hint="eastAsia" w:ascii="宋体" w:hAnsi="宋体" w:cs="宋体"/>
          <w:color w:val="auto"/>
          <w:szCs w:val="21"/>
          <w:highlight w:val="none"/>
        </w:rPr>
      </w:pPr>
      <w:r>
        <w:rPr>
          <w:rFonts w:hint="eastAsia" w:ascii="宋体" w:hAnsi="宋体" w:cs="宋体"/>
          <w:b/>
          <w:bCs/>
          <w:color w:val="auto"/>
          <w:szCs w:val="21"/>
          <w:highlight w:val="none"/>
        </w:rPr>
        <w:t xml:space="preserve">注：1、投标人是事业单位的，暂未缴纳养老保险的，须由其主管部门出具证明。2、如拟派项目经理为退休人员（包括提前退休人员，年龄在国家规定证书使用年限之前，执业年限应能覆盖项⽬⼯期），无法提供社保证明的，投标人应提供拟派项目经理的退休证及投标人企业聘用合同。提交的注册执业证书中聘用企业名称必须与投标人企业名称一致（联合体投标，如提供项目经理（建造师）B岗的，还须提供项目经理（建造师）B岗的养老保险证明（要求同上）。） </w:t>
      </w:r>
      <w:r>
        <w:rPr>
          <w:rFonts w:hint="eastAsia" w:ascii="宋体" w:hAnsi="宋体" w:cs="宋体"/>
          <w:b/>
          <w:bCs/>
          <w:color w:val="auto"/>
          <w:szCs w:val="21"/>
          <w:highlight w:val="none"/>
          <w:lang w:val="en-US" w:eastAsia="zh-CN"/>
        </w:rPr>
        <w:t xml:space="preserve"> </w:t>
      </w:r>
      <w:r>
        <w:rPr>
          <w:rFonts w:hint="eastAsia" w:ascii="宋体" w:hAnsi="宋体" w:cs="宋体"/>
          <w:color w:val="auto"/>
          <w:szCs w:val="21"/>
          <w:highlight w:val="none"/>
          <w:lang w:val="en-US" w:eastAsia="zh-CN"/>
        </w:rPr>
        <w:t xml:space="preserve">  </w:t>
      </w:r>
    </w:p>
    <w:p w14:paraId="63904BA7">
      <w:pPr>
        <w:keepNext w:val="0"/>
        <w:keepLines w:val="0"/>
        <w:pageBreakBefore w:val="0"/>
        <w:widowControl/>
        <w:kinsoku/>
        <w:wordWrap/>
        <w:overflowPunct/>
        <w:topLinePunct w:val="0"/>
        <w:autoSpaceDE/>
        <w:autoSpaceDN/>
        <w:bidi w:val="0"/>
        <w:adjustRightInd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⑧</w:t>
      </w:r>
      <w:r>
        <w:rPr>
          <w:rFonts w:hint="eastAsia" w:ascii="宋体" w:hAnsi="宋体" w:cs="宋体"/>
          <w:color w:val="auto"/>
          <w:highlight w:val="none"/>
        </w:rPr>
        <w:t>资信评审业绩、得分业绩等证明和投标人认为需要的其它证明材料</w:t>
      </w:r>
      <w:r>
        <w:rPr>
          <w:rFonts w:hint="eastAsia" w:ascii="宋体" w:hAnsi="宋体" w:cs="宋体"/>
          <w:color w:val="auto"/>
          <w:szCs w:val="21"/>
          <w:highlight w:val="none"/>
        </w:rPr>
        <w:t>；</w:t>
      </w:r>
    </w:p>
    <w:p w14:paraId="388C9F06">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color w:val="auto"/>
          <w:highlight w:val="none"/>
        </w:rPr>
      </w:pPr>
      <w:r>
        <w:rPr>
          <w:rFonts w:hint="eastAsia" w:ascii="宋体" w:hAnsi="宋体" w:cs="宋体"/>
          <w:color w:val="auto"/>
          <w:highlight w:val="none"/>
        </w:rPr>
        <w:t>⑨资信评审业绩、得分业绩清单一览表（项目评审如有）</w:t>
      </w:r>
      <w:r>
        <w:rPr>
          <w:rFonts w:hint="eastAsia" w:eastAsia="黑体"/>
          <w:color w:val="auto"/>
          <w:sz w:val="20"/>
          <w:szCs w:val="20"/>
          <w:highlight w:val="none"/>
        </w:rPr>
        <w:t xml:space="preserve">。 </w:t>
      </w:r>
    </w:p>
    <w:p w14:paraId="0A705F87">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eastAsia="宋体"/>
          <w:color w:val="auto"/>
          <w:highlight w:val="none"/>
          <w:lang w:eastAsia="zh-CN"/>
        </w:rPr>
        <w:sectPr>
          <w:headerReference r:id="rId6" w:type="default"/>
          <w:pgSz w:w="11910" w:h="16840"/>
          <w:pgMar w:top="1060" w:right="660" w:bottom="1020" w:left="1120" w:header="0" w:footer="833" w:gutter="0"/>
          <w:pgNumType w:fmt="decimal"/>
          <w:cols w:space="720" w:num="1"/>
        </w:sectPr>
      </w:pPr>
      <w:bookmarkStart w:id="1469" w:name="_Toc95223533"/>
      <w:r>
        <w:rPr>
          <w:rFonts w:hint="eastAsia" w:ascii="宋体" w:hAnsi="宋体" w:cs="宋体"/>
          <w:color w:val="auto"/>
          <w:highlight w:val="none"/>
        </w:rPr>
        <w:t>（</w:t>
      </w: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highlight w:val="none"/>
          <w:lang w:val="en-US" w:eastAsia="zh-CN"/>
        </w:rPr>
        <w:t>定标材料</w:t>
      </w:r>
      <w:r>
        <w:rPr>
          <w:rFonts w:hint="eastAsia" w:ascii="宋体" w:hAnsi="宋体" w:cs="宋体"/>
          <w:color w:val="auto"/>
          <w:highlight w:val="none"/>
        </w:rPr>
        <w:t>（</w:t>
      </w:r>
      <w:r>
        <w:rPr>
          <w:rFonts w:hint="eastAsia" w:ascii="宋体" w:hAnsi="宋体" w:cs="宋体"/>
          <w:color w:val="auto"/>
          <w:highlight w:val="none"/>
          <w:lang w:val="en-US" w:eastAsia="zh-CN"/>
        </w:rPr>
        <w:t>如有</w:t>
      </w:r>
      <w:r>
        <w:rPr>
          <w:rFonts w:hint="eastAsia" w:ascii="宋体" w:hAnsi="宋体" w:cs="宋体"/>
          <w:color w:val="auto"/>
          <w:highlight w:val="none"/>
        </w:rPr>
        <w:t>）</w:t>
      </w:r>
      <w:r>
        <w:rPr>
          <w:rFonts w:hint="eastAsia" w:ascii="宋体" w:hAnsi="宋体" w:cs="宋体"/>
          <w:color w:val="auto"/>
          <w:highlight w:val="none"/>
          <w:lang w:eastAsia="zh-CN"/>
        </w:rPr>
        <w:t>。</w:t>
      </w:r>
    </w:p>
    <w:p w14:paraId="10BC84DB">
      <w:pPr>
        <w:pStyle w:val="4"/>
        <w:pageBreakBefore/>
        <w:adjustRightInd w:val="0"/>
        <w:snapToGrid w:val="0"/>
        <w:spacing w:before="0" w:after="0" w:line="560" w:lineRule="exact"/>
        <w:jc w:val="center"/>
        <w:rPr>
          <w:rFonts w:hint="eastAsia"/>
          <w:color w:val="auto"/>
          <w:highlight w:val="none"/>
        </w:rPr>
      </w:pPr>
      <w:r>
        <w:rPr>
          <w:color w:val="auto"/>
          <w:highlight w:val="none"/>
        </w:rPr>
        <w:t>（</w:t>
      </w:r>
      <w:r>
        <w:rPr>
          <w:rFonts w:hint="eastAsia"/>
          <w:color w:val="auto"/>
          <w:highlight w:val="none"/>
        </w:rPr>
        <w:t>1</w:t>
      </w:r>
      <w:r>
        <w:rPr>
          <w:color w:val="auto"/>
          <w:highlight w:val="none"/>
        </w:rPr>
        <w:t>）投标人基本情况表</w:t>
      </w:r>
      <w:bookmarkEnd w:id="1469"/>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93"/>
        <w:gridCol w:w="1036"/>
        <w:gridCol w:w="1096"/>
        <w:gridCol w:w="969"/>
        <w:gridCol w:w="484"/>
        <w:gridCol w:w="359"/>
        <w:gridCol w:w="1243"/>
        <w:gridCol w:w="565"/>
        <w:gridCol w:w="991"/>
        <w:gridCol w:w="1144"/>
      </w:tblGrid>
      <w:tr w14:paraId="723A16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75913E89">
            <w:pPr>
              <w:topLinePunct/>
              <w:adjustRightInd w:val="0"/>
              <w:snapToGrid w:val="0"/>
              <w:spacing w:line="560" w:lineRule="exact"/>
              <w:jc w:val="center"/>
              <w:rPr>
                <w:color w:val="auto"/>
                <w:szCs w:val="21"/>
                <w:highlight w:val="none"/>
              </w:rPr>
            </w:pPr>
            <w:r>
              <w:rPr>
                <w:color w:val="auto"/>
                <w:szCs w:val="21"/>
                <w:highlight w:val="none"/>
              </w:rPr>
              <w:t>投标人名称</w:t>
            </w:r>
          </w:p>
        </w:tc>
        <w:tc>
          <w:tcPr>
            <w:tcW w:w="7887" w:type="dxa"/>
            <w:gridSpan w:val="9"/>
            <w:tcBorders>
              <w:top w:val="single" w:color="auto" w:sz="4" w:space="0"/>
              <w:left w:val="single" w:color="auto" w:sz="4" w:space="0"/>
              <w:bottom w:val="single" w:color="auto" w:sz="4" w:space="0"/>
              <w:right w:val="single" w:color="auto" w:sz="4" w:space="0"/>
            </w:tcBorders>
            <w:noWrap w:val="0"/>
            <w:vAlign w:val="center"/>
          </w:tcPr>
          <w:p w14:paraId="19B76719">
            <w:pPr>
              <w:topLinePunct/>
              <w:adjustRightInd w:val="0"/>
              <w:snapToGrid w:val="0"/>
              <w:spacing w:line="560" w:lineRule="exact"/>
              <w:jc w:val="center"/>
              <w:rPr>
                <w:color w:val="auto"/>
                <w:szCs w:val="21"/>
                <w:highlight w:val="none"/>
              </w:rPr>
            </w:pPr>
          </w:p>
        </w:tc>
      </w:tr>
      <w:tr w14:paraId="4D002C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211D6B28">
            <w:pPr>
              <w:topLinePunct/>
              <w:adjustRightInd w:val="0"/>
              <w:snapToGrid w:val="0"/>
              <w:spacing w:line="560" w:lineRule="exact"/>
              <w:jc w:val="center"/>
              <w:rPr>
                <w:color w:val="auto"/>
                <w:szCs w:val="21"/>
                <w:highlight w:val="none"/>
              </w:rPr>
            </w:pPr>
            <w:r>
              <w:rPr>
                <w:color w:val="auto"/>
                <w:szCs w:val="21"/>
                <w:highlight w:val="none"/>
              </w:rPr>
              <w:t>注册地址</w:t>
            </w:r>
          </w:p>
        </w:tc>
        <w:tc>
          <w:tcPr>
            <w:tcW w:w="3944" w:type="dxa"/>
            <w:gridSpan w:val="5"/>
            <w:tcBorders>
              <w:top w:val="single" w:color="auto" w:sz="4" w:space="0"/>
              <w:left w:val="single" w:color="auto" w:sz="4" w:space="0"/>
              <w:bottom w:val="single" w:color="auto" w:sz="4" w:space="0"/>
              <w:right w:val="single" w:color="auto" w:sz="4" w:space="0"/>
            </w:tcBorders>
            <w:noWrap w:val="0"/>
            <w:vAlign w:val="center"/>
          </w:tcPr>
          <w:p w14:paraId="6D225F50">
            <w:pPr>
              <w:topLinePunct/>
              <w:adjustRightInd w:val="0"/>
              <w:snapToGrid w:val="0"/>
              <w:spacing w:line="560" w:lineRule="exact"/>
              <w:jc w:val="center"/>
              <w:rPr>
                <w:color w:val="auto"/>
                <w:szCs w:val="21"/>
                <w:highlight w:val="none"/>
              </w:rPr>
            </w:pPr>
          </w:p>
        </w:tc>
        <w:tc>
          <w:tcPr>
            <w:tcW w:w="1243" w:type="dxa"/>
            <w:tcBorders>
              <w:top w:val="single" w:color="auto" w:sz="4" w:space="0"/>
              <w:left w:val="single" w:color="auto" w:sz="4" w:space="0"/>
              <w:bottom w:val="single" w:color="auto" w:sz="4" w:space="0"/>
              <w:right w:val="single" w:color="auto" w:sz="4" w:space="0"/>
            </w:tcBorders>
            <w:noWrap w:val="0"/>
            <w:vAlign w:val="center"/>
          </w:tcPr>
          <w:p w14:paraId="63A2EF29">
            <w:pPr>
              <w:topLinePunct/>
              <w:adjustRightInd w:val="0"/>
              <w:snapToGrid w:val="0"/>
              <w:spacing w:line="560" w:lineRule="exact"/>
              <w:jc w:val="center"/>
              <w:rPr>
                <w:color w:val="auto"/>
                <w:szCs w:val="21"/>
                <w:highlight w:val="none"/>
              </w:rPr>
            </w:pPr>
            <w:r>
              <w:rPr>
                <w:color w:val="auto"/>
                <w:szCs w:val="21"/>
                <w:highlight w:val="none"/>
              </w:rPr>
              <w:t>邮政编码</w:t>
            </w:r>
          </w:p>
        </w:tc>
        <w:tc>
          <w:tcPr>
            <w:tcW w:w="2700" w:type="dxa"/>
            <w:gridSpan w:val="3"/>
            <w:tcBorders>
              <w:top w:val="single" w:color="auto" w:sz="4" w:space="0"/>
              <w:left w:val="single" w:color="auto" w:sz="4" w:space="0"/>
              <w:bottom w:val="single" w:color="auto" w:sz="4" w:space="0"/>
              <w:right w:val="single" w:color="auto" w:sz="4" w:space="0"/>
            </w:tcBorders>
            <w:noWrap w:val="0"/>
            <w:vAlign w:val="center"/>
          </w:tcPr>
          <w:p w14:paraId="293E7639">
            <w:pPr>
              <w:topLinePunct/>
              <w:adjustRightInd w:val="0"/>
              <w:snapToGrid w:val="0"/>
              <w:spacing w:line="560" w:lineRule="exact"/>
              <w:jc w:val="center"/>
              <w:rPr>
                <w:color w:val="auto"/>
                <w:szCs w:val="21"/>
                <w:highlight w:val="none"/>
              </w:rPr>
            </w:pPr>
          </w:p>
        </w:tc>
        <w:bookmarkStart w:id="1470" w:name="_Toc144974876"/>
        <w:bookmarkStart w:id="1471" w:name="_Toc179632828"/>
        <w:bookmarkStart w:id="1472" w:name="_Toc324404889"/>
        <w:bookmarkStart w:id="1473" w:name="_Toc152042597"/>
        <w:bookmarkStart w:id="1474" w:name="_Toc246997116"/>
        <w:bookmarkStart w:id="1475" w:name="_Toc247085891"/>
        <w:bookmarkStart w:id="1476" w:name="_Toc296602618"/>
        <w:bookmarkStart w:id="1477" w:name="_Toc246996373"/>
        <w:bookmarkStart w:id="1478" w:name="_Toc152045808"/>
      </w:tr>
      <w:tr w14:paraId="510BD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8" w:hRule="atLeast"/>
          <w:jc w:val="center"/>
        </w:trPr>
        <w:tc>
          <w:tcPr>
            <w:tcW w:w="1993" w:type="dxa"/>
            <w:vMerge w:val="restart"/>
            <w:tcBorders>
              <w:top w:val="single" w:color="auto" w:sz="4" w:space="0"/>
              <w:left w:val="single" w:color="auto" w:sz="4" w:space="0"/>
              <w:bottom w:val="single" w:color="auto" w:sz="4" w:space="0"/>
              <w:right w:val="single" w:color="auto" w:sz="4" w:space="0"/>
            </w:tcBorders>
            <w:noWrap w:val="0"/>
            <w:vAlign w:val="center"/>
          </w:tcPr>
          <w:p w14:paraId="0C5D5A1D">
            <w:pPr>
              <w:topLinePunct/>
              <w:adjustRightInd w:val="0"/>
              <w:snapToGrid w:val="0"/>
              <w:spacing w:line="560" w:lineRule="exact"/>
              <w:jc w:val="center"/>
              <w:rPr>
                <w:color w:val="auto"/>
                <w:szCs w:val="21"/>
                <w:highlight w:val="none"/>
              </w:rPr>
            </w:pPr>
            <w:r>
              <w:rPr>
                <w:color w:val="auto"/>
                <w:szCs w:val="21"/>
                <w:highlight w:val="none"/>
              </w:rPr>
              <w:t>联系方式</w:t>
            </w:r>
            <w:bookmarkStart w:id="1479" w:name="_Toc16718"/>
          </w:p>
        </w:tc>
        <w:tc>
          <w:tcPr>
            <w:tcW w:w="1036" w:type="dxa"/>
            <w:tcBorders>
              <w:top w:val="single" w:color="auto" w:sz="4" w:space="0"/>
              <w:left w:val="single" w:color="auto" w:sz="4" w:space="0"/>
              <w:bottom w:val="single" w:color="auto" w:sz="4" w:space="0"/>
              <w:right w:val="single" w:color="auto" w:sz="4" w:space="0"/>
            </w:tcBorders>
            <w:noWrap w:val="0"/>
            <w:vAlign w:val="center"/>
          </w:tcPr>
          <w:p w14:paraId="4E577E38">
            <w:pPr>
              <w:topLinePunct/>
              <w:adjustRightInd w:val="0"/>
              <w:snapToGrid w:val="0"/>
              <w:spacing w:line="560" w:lineRule="exact"/>
              <w:jc w:val="center"/>
              <w:rPr>
                <w:color w:val="auto"/>
                <w:szCs w:val="21"/>
                <w:highlight w:val="none"/>
              </w:rPr>
            </w:pPr>
            <w:bookmarkStart w:id="1480" w:name="_Toc15058935"/>
            <w:bookmarkStart w:id="1481" w:name="_Toc506107341"/>
            <w:bookmarkStart w:id="1482" w:name="_Toc60061575"/>
            <w:bookmarkStart w:id="1483" w:name="_Toc58229116"/>
            <w:r>
              <w:rPr>
                <w:color w:val="auto"/>
                <w:szCs w:val="21"/>
                <w:highlight w:val="none"/>
              </w:rPr>
              <w:t>联系人</w:t>
            </w:r>
          </w:p>
        </w:tc>
        <w:tc>
          <w:tcPr>
            <w:tcW w:w="2908" w:type="dxa"/>
            <w:gridSpan w:val="4"/>
            <w:tcBorders>
              <w:top w:val="single" w:color="auto" w:sz="4" w:space="0"/>
              <w:left w:val="single" w:color="auto" w:sz="4" w:space="0"/>
              <w:bottom w:val="single" w:color="auto" w:sz="4" w:space="0"/>
              <w:right w:val="single" w:color="auto" w:sz="4" w:space="0"/>
            </w:tcBorders>
            <w:noWrap w:val="0"/>
            <w:vAlign w:val="center"/>
          </w:tcPr>
          <w:p w14:paraId="79F65AA3">
            <w:pPr>
              <w:topLinePunct/>
              <w:adjustRightInd w:val="0"/>
              <w:snapToGrid w:val="0"/>
              <w:spacing w:line="560" w:lineRule="exact"/>
              <w:jc w:val="center"/>
              <w:rPr>
                <w:color w:val="auto"/>
                <w:szCs w:val="21"/>
                <w:highlight w:val="none"/>
              </w:rPr>
            </w:pPr>
          </w:p>
        </w:tc>
        <w:tc>
          <w:tcPr>
            <w:tcW w:w="1243" w:type="dxa"/>
            <w:tcBorders>
              <w:top w:val="single" w:color="auto" w:sz="4" w:space="0"/>
              <w:left w:val="single" w:color="auto" w:sz="4" w:space="0"/>
              <w:bottom w:val="single" w:color="auto" w:sz="4" w:space="0"/>
              <w:right w:val="single" w:color="auto" w:sz="4" w:space="0"/>
            </w:tcBorders>
            <w:noWrap w:val="0"/>
            <w:vAlign w:val="center"/>
          </w:tcPr>
          <w:p w14:paraId="5144014D">
            <w:pPr>
              <w:topLinePunct/>
              <w:adjustRightInd w:val="0"/>
              <w:snapToGrid w:val="0"/>
              <w:spacing w:line="560" w:lineRule="exact"/>
              <w:jc w:val="center"/>
              <w:rPr>
                <w:color w:val="auto"/>
                <w:szCs w:val="21"/>
                <w:highlight w:val="none"/>
              </w:rPr>
            </w:pPr>
            <w:r>
              <w:rPr>
                <w:color w:val="auto"/>
                <w:szCs w:val="21"/>
                <w:highlight w:val="none"/>
              </w:rPr>
              <w:t>电 话</w:t>
            </w:r>
          </w:p>
        </w:tc>
        <w:tc>
          <w:tcPr>
            <w:tcW w:w="2700" w:type="dxa"/>
            <w:gridSpan w:val="3"/>
            <w:tcBorders>
              <w:top w:val="single" w:color="auto" w:sz="4" w:space="0"/>
              <w:left w:val="single" w:color="auto" w:sz="4" w:space="0"/>
              <w:bottom w:val="single" w:color="auto" w:sz="4" w:space="0"/>
              <w:right w:val="single" w:color="auto" w:sz="4" w:space="0"/>
            </w:tcBorders>
            <w:noWrap w:val="0"/>
            <w:vAlign w:val="center"/>
          </w:tcPr>
          <w:p w14:paraId="78E8A88B">
            <w:pPr>
              <w:topLinePunct/>
              <w:adjustRightInd w:val="0"/>
              <w:snapToGrid w:val="0"/>
              <w:spacing w:line="560" w:lineRule="exact"/>
              <w:jc w:val="center"/>
              <w:rPr>
                <w:color w:val="auto"/>
                <w:szCs w:val="21"/>
                <w:highlight w:val="none"/>
              </w:rPr>
            </w:pPr>
          </w:p>
        </w:tc>
      </w:t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tr w14:paraId="271F9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7" w:hRule="atLeast"/>
          <w:jc w:val="center"/>
        </w:trPr>
        <w:tc>
          <w:tcPr>
            <w:tcW w:w="1993" w:type="dxa"/>
            <w:vMerge w:val="continue"/>
            <w:tcBorders>
              <w:top w:val="single" w:color="auto" w:sz="4" w:space="0"/>
              <w:left w:val="single" w:color="auto" w:sz="4" w:space="0"/>
              <w:bottom w:val="single" w:color="auto" w:sz="4" w:space="0"/>
              <w:right w:val="single" w:color="auto" w:sz="4" w:space="0"/>
            </w:tcBorders>
            <w:noWrap w:val="0"/>
            <w:vAlign w:val="center"/>
          </w:tcPr>
          <w:p w14:paraId="5FDE258F">
            <w:pPr>
              <w:topLinePunct/>
              <w:adjustRightInd w:val="0"/>
              <w:snapToGrid w:val="0"/>
              <w:spacing w:line="560" w:lineRule="exact"/>
              <w:jc w:val="center"/>
              <w:rPr>
                <w:color w:val="auto"/>
                <w:szCs w:val="21"/>
                <w:highlight w:val="none"/>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14:paraId="187A80D8">
            <w:pPr>
              <w:topLinePunct/>
              <w:adjustRightInd w:val="0"/>
              <w:snapToGrid w:val="0"/>
              <w:spacing w:line="560" w:lineRule="exact"/>
              <w:jc w:val="center"/>
              <w:rPr>
                <w:color w:val="auto"/>
                <w:szCs w:val="21"/>
                <w:highlight w:val="none"/>
              </w:rPr>
            </w:pPr>
            <w:r>
              <w:rPr>
                <w:color w:val="auto"/>
                <w:szCs w:val="21"/>
                <w:highlight w:val="none"/>
              </w:rPr>
              <w:t>传  真</w:t>
            </w:r>
          </w:p>
        </w:tc>
        <w:tc>
          <w:tcPr>
            <w:tcW w:w="2908" w:type="dxa"/>
            <w:gridSpan w:val="4"/>
            <w:tcBorders>
              <w:top w:val="single" w:color="auto" w:sz="4" w:space="0"/>
              <w:left w:val="single" w:color="auto" w:sz="4" w:space="0"/>
              <w:bottom w:val="single" w:color="auto" w:sz="4" w:space="0"/>
              <w:right w:val="single" w:color="auto" w:sz="4" w:space="0"/>
            </w:tcBorders>
            <w:noWrap w:val="0"/>
            <w:vAlign w:val="center"/>
          </w:tcPr>
          <w:p w14:paraId="5C276571">
            <w:pPr>
              <w:topLinePunct/>
              <w:adjustRightInd w:val="0"/>
              <w:snapToGrid w:val="0"/>
              <w:spacing w:line="560" w:lineRule="exact"/>
              <w:jc w:val="center"/>
              <w:rPr>
                <w:color w:val="auto"/>
                <w:szCs w:val="21"/>
                <w:highlight w:val="none"/>
              </w:rPr>
            </w:pPr>
          </w:p>
        </w:tc>
        <w:tc>
          <w:tcPr>
            <w:tcW w:w="1243" w:type="dxa"/>
            <w:tcBorders>
              <w:top w:val="single" w:color="auto" w:sz="4" w:space="0"/>
              <w:left w:val="single" w:color="auto" w:sz="4" w:space="0"/>
              <w:bottom w:val="single" w:color="auto" w:sz="4" w:space="0"/>
              <w:right w:val="single" w:color="auto" w:sz="4" w:space="0"/>
            </w:tcBorders>
            <w:noWrap w:val="0"/>
            <w:vAlign w:val="center"/>
          </w:tcPr>
          <w:p w14:paraId="7F0A1AF3">
            <w:pPr>
              <w:topLinePunct/>
              <w:adjustRightInd w:val="0"/>
              <w:snapToGrid w:val="0"/>
              <w:spacing w:line="560" w:lineRule="exact"/>
              <w:jc w:val="center"/>
              <w:rPr>
                <w:color w:val="auto"/>
                <w:szCs w:val="21"/>
                <w:highlight w:val="none"/>
              </w:rPr>
            </w:pPr>
            <w:r>
              <w:rPr>
                <w:color w:val="auto"/>
                <w:szCs w:val="21"/>
                <w:highlight w:val="none"/>
              </w:rPr>
              <w:t>网 址</w:t>
            </w:r>
          </w:p>
        </w:tc>
        <w:tc>
          <w:tcPr>
            <w:tcW w:w="2700" w:type="dxa"/>
            <w:gridSpan w:val="3"/>
            <w:tcBorders>
              <w:top w:val="single" w:color="auto" w:sz="4" w:space="0"/>
              <w:left w:val="single" w:color="auto" w:sz="4" w:space="0"/>
              <w:bottom w:val="single" w:color="auto" w:sz="4" w:space="0"/>
              <w:right w:val="single" w:color="auto" w:sz="4" w:space="0"/>
            </w:tcBorders>
            <w:noWrap w:val="0"/>
            <w:vAlign w:val="center"/>
          </w:tcPr>
          <w:p w14:paraId="7F5BD0CF">
            <w:pPr>
              <w:topLinePunct/>
              <w:adjustRightInd w:val="0"/>
              <w:snapToGrid w:val="0"/>
              <w:spacing w:line="560" w:lineRule="exact"/>
              <w:jc w:val="center"/>
              <w:rPr>
                <w:color w:val="auto"/>
                <w:szCs w:val="21"/>
                <w:highlight w:val="none"/>
              </w:rPr>
            </w:pPr>
          </w:p>
        </w:tc>
      </w:tr>
      <w:tr w14:paraId="6C46D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9"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77732220">
            <w:pPr>
              <w:topLinePunct/>
              <w:adjustRightInd w:val="0"/>
              <w:snapToGrid w:val="0"/>
              <w:spacing w:line="560" w:lineRule="exact"/>
              <w:jc w:val="center"/>
              <w:rPr>
                <w:color w:val="auto"/>
                <w:szCs w:val="21"/>
                <w:highlight w:val="none"/>
              </w:rPr>
            </w:pPr>
            <w:r>
              <w:rPr>
                <w:color w:val="auto"/>
                <w:szCs w:val="21"/>
                <w:highlight w:val="none"/>
              </w:rPr>
              <w:t>组织结构</w:t>
            </w:r>
          </w:p>
        </w:tc>
        <w:tc>
          <w:tcPr>
            <w:tcW w:w="7887" w:type="dxa"/>
            <w:gridSpan w:val="9"/>
            <w:tcBorders>
              <w:top w:val="single" w:color="auto" w:sz="4" w:space="0"/>
              <w:left w:val="single" w:color="auto" w:sz="4" w:space="0"/>
              <w:bottom w:val="single" w:color="auto" w:sz="4" w:space="0"/>
              <w:right w:val="single" w:color="auto" w:sz="4" w:space="0"/>
            </w:tcBorders>
            <w:noWrap w:val="0"/>
            <w:vAlign w:val="center"/>
          </w:tcPr>
          <w:p w14:paraId="2D36A559">
            <w:pPr>
              <w:topLinePunct/>
              <w:adjustRightInd w:val="0"/>
              <w:snapToGrid w:val="0"/>
              <w:spacing w:line="560" w:lineRule="exact"/>
              <w:jc w:val="center"/>
              <w:rPr>
                <w:color w:val="auto"/>
                <w:szCs w:val="21"/>
                <w:highlight w:val="none"/>
              </w:rPr>
            </w:pPr>
          </w:p>
        </w:tc>
      </w:tr>
      <w:tr w14:paraId="499498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0081DA7E">
            <w:pPr>
              <w:topLinePunct/>
              <w:adjustRightInd w:val="0"/>
              <w:snapToGrid w:val="0"/>
              <w:spacing w:line="560" w:lineRule="exact"/>
              <w:jc w:val="center"/>
              <w:rPr>
                <w:color w:val="auto"/>
                <w:szCs w:val="21"/>
                <w:highlight w:val="none"/>
              </w:rPr>
            </w:pPr>
            <w:r>
              <w:rPr>
                <w:color w:val="auto"/>
                <w:szCs w:val="21"/>
                <w:highlight w:val="none"/>
              </w:rPr>
              <w:t>法定代表人</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400C4B65">
            <w:pPr>
              <w:topLinePunct/>
              <w:adjustRightInd w:val="0"/>
              <w:snapToGrid w:val="0"/>
              <w:spacing w:line="560" w:lineRule="exact"/>
              <w:jc w:val="center"/>
              <w:rPr>
                <w:color w:val="auto"/>
                <w:szCs w:val="21"/>
                <w:highlight w:val="none"/>
              </w:rPr>
            </w:pPr>
            <w:r>
              <w:rPr>
                <w:color w:val="auto"/>
                <w:szCs w:val="21"/>
                <w:highlight w:val="none"/>
              </w:rPr>
              <w:t>姓名</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0F4307B3">
            <w:pPr>
              <w:topLinePunct/>
              <w:adjustRightInd w:val="0"/>
              <w:snapToGrid w:val="0"/>
              <w:spacing w:line="560" w:lineRule="exact"/>
              <w:jc w:val="center"/>
              <w:rPr>
                <w:color w:val="auto"/>
                <w:szCs w:val="21"/>
                <w:highlight w:val="none"/>
              </w:rPr>
            </w:pPr>
          </w:p>
        </w:tc>
        <w:tc>
          <w:tcPr>
            <w:tcW w:w="1453" w:type="dxa"/>
            <w:gridSpan w:val="2"/>
            <w:tcBorders>
              <w:top w:val="single" w:color="auto" w:sz="4" w:space="0"/>
              <w:left w:val="single" w:color="auto" w:sz="4" w:space="0"/>
              <w:bottom w:val="single" w:color="auto" w:sz="4" w:space="0"/>
              <w:right w:val="single" w:color="auto" w:sz="4" w:space="0"/>
            </w:tcBorders>
            <w:noWrap w:val="0"/>
            <w:vAlign w:val="center"/>
          </w:tcPr>
          <w:p w14:paraId="16DADCBB">
            <w:pPr>
              <w:topLinePunct/>
              <w:adjustRightInd w:val="0"/>
              <w:snapToGrid w:val="0"/>
              <w:spacing w:line="560" w:lineRule="exact"/>
              <w:jc w:val="center"/>
              <w:rPr>
                <w:color w:val="auto"/>
                <w:szCs w:val="21"/>
                <w:highlight w:val="none"/>
              </w:rPr>
            </w:pPr>
            <w:r>
              <w:rPr>
                <w:color w:val="auto"/>
                <w:szCs w:val="21"/>
                <w:highlight w:val="none"/>
              </w:rPr>
              <w:t>技术职称</w:t>
            </w:r>
          </w:p>
        </w:tc>
        <w:tc>
          <w:tcPr>
            <w:tcW w:w="2167" w:type="dxa"/>
            <w:gridSpan w:val="3"/>
            <w:tcBorders>
              <w:top w:val="single" w:color="auto" w:sz="4" w:space="0"/>
              <w:left w:val="single" w:color="auto" w:sz="4" w:space="0"/>
              <w:bottom w:val="single" w:color="auto" w:sz="4" w:space="0"/>
              <w:right w:val="single" w:color="auto" w:sz="4" w:space="0"/>
            </w:tcBorders>
            <w:noWrap w:val="0"/>
            <w:vAlign w:val="center"/>
          </w:tcPr>
          <w:p w14:paraId="4303D4BF">
            <w:pPr>
              <w:topLinePunct/>
              <w:adjustRightInd w:val="0"/>
              <w:snapToGrid w:val="0"/>
              <w:spacing w:line="560" w:lineRule="exact"/>
              <w:jc w:val="center"/>
              <w:rPr>
                <w:color w:val="auto"/>
                <w:szCs w:val="21"/>
                <w:highlight w:val="none"/>
              </w:rPr>
            </w:pPr>
          </w:p>
        </w:tc>
        <w:tc>
          <w:tcPr>
            <w:tcW w:w="991" w:type="dxa"/>
            <w:tcBorders>
              <w:top w:val="single" w:color="auto" w:sz="4" w:space="0"/>
              <w:left w:val="single" w:color="auto" w:sz="4" w:space="0"/>
              <w:bottom w:val="single" w:color="auto" w:sz="4" w:space="0"/>
              <w:right w:val="single" w:color="auto" w:sz="4" w:space="0"/>
            </w:tcBorders>
            <w:noWrap w:val="0"/>
            <w:vAlign w:val="center"/>
          </w:tcPr>
          <w:p w14:paraId="33EC8FDC">
            <w:pPr>
              <w:topLinePunct/>
              <w:adjustRightInd w:val="0"/>
              <w:snapToGrid w:val="0"/>
              <w:spacing w:line="560" w:lineRule="exact"/>
              <w:jc w:val="center"/>
              <w:rPr>
                <w:color w:val="auto"/>
                <w:szCs w:val="21"/>
                <w:highlight w:val="none"/>
              </w:rPr>
            </w:pPr>
            <w:r>
              <w:rPr>
                <w:color w:val="auto"/>
                <w:szCs w:val="21"/>
                <w:highlight w:val="none"/>
              </w:rPr>
              <w:t>电话</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01A9FD9F">
            <w:pPr>
              <w:topLinePunct/>
              <w:adjustRightInd w:val="0"/>
              <w:snapToGrid w:val="0"/>
              <w:spacing w:line="560" w:lineRule="exact"/>
              <w:jc w:val="center"/>
              <w:rPr>
                <w:color w:val="auto"/>
                <w:szCs w:val="21"/>
                <w:highlight w:val="none"/>
              </w:rPr>
            </w:pPr>
          </w:p>
        </w:tc>
      </w:tr>
      <w:tr w14:paraId="3B8B20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4"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7C65DA0F">
            <w:pPr>
              <w:topLinePunct/>
              <w:adjustRightInd w:val="0"/>
              <w:snapToGrid w:val="0"/>
              <w:spacing w:line="560" w:lineRule="exact"/>
              <w:jc w:val="center"/>
              <w:rPr>
                <w:color w:val="auto"/>
                <w:szCs w:val="21"/>
                <w:highlight w:val="none"/>
              </w:rPr>
            </w:pPr>
            <w:r>
              <w:rPr>
                <w:color w:val="auto"/>
                <w:szCs w:val="21"/>
                <w:highlight w:val="none"/>
              </w:rPr>
              <w:t>技术负责人</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4A1C3A68">
            <w:pPr>
              <w:topLinePunct/>
              <w:adjustRightInd w:val="0"/>
              <w:snapToGrid w:val="0"/>
              <w:spacing w:line="560" w:lineRule="exact"/>
              <w:jc w:val="center"/>
              <w:rPr>
                <w:color w:val="auto"/>
                <w:szCs w:val="21"/>
                <w:highlight w:val="none"/>
              </w:rPr>
            </w:pPr>
            <w:r>
              <w:rPr>
                <w:color w:val="auto"/>
                <w:szCs w:val="21"/>
                <w:highlight w:val="none"/>
              </w:rPr>
              <w:t>姓名</w:t>
            </w:r>
          </w:p>
        </w:tc>
        <w:tc>
          <w:tcPr>
            <w:tcW w:w="1096" w:type="dxa"/>
            <w:tcBorders>
              <w:top w:val="single" w:color="auto" w:sz="4" w:space="0"/>
              <w:left w:val="single" w:color="auto" w:sz="4" w:space="0"/>
              <w:bottom w:val="single" w:color="auto" w:sz="4" w:space="0"/>
              <w:right w:val="single" w:color="auto" w:sz="4" w:space="0"/>
            </w:tcBorders>
            <w:noWrap w:val="0"/>
            <w:vAlign w:val="center"/>
          </w:tcPr>
          <w:p w14:paraId="22130D40">
            <w:pPr>
              <w:topLinePunct/>
              <w:adjustRightInd w:val="0"/>
              <w:snapToGrid w:val="0"/>
              <w:spacing w:line="560" w:lineRule="exact"/>
              <w:jc w:val="center"/>
              <w:rPr>
                <w:color w:val="auto"/>
                <w:szCs w:val="21"/>
                <w:highlight w:val="none"/>
              </w:rPr>
            </w:pPr>
          </w:p>
        </w:tc>
        <w:tc>
          <w:tcPr>
            <w:tcW w:w="1453" w:type="dxa"/>
            <w:gridSpan w:val="2"/>
            <w:tcBorders>
              <w:top w:val="single" w:color="auto" w:sz="4" w:space="0"/>
              <w:left w:val="single" w:color="auto" w:sz="4" w:space="0"/>
              <w:bottom w:val="single" w:color="auto" w:sz="4" w:space="0"/>
              <w:right w:val="single" w:color="auto" w:sz="4" w:space="0"/>
            </w:tcBorders>
            <w:noWrap w:val="0"/>
            <w:vAlign w:val="center"/>
          </w:tcPr>
          <w:p w14:paraId="0DB3DA69">
            <w:pPr>
              <w:topLinePunct/>
              <w:adjustRightInd w:val="0"/>
              <w:snapToGrid w:val="0"/>
              <w:spacing w:line="560" w:lineRule="exact"/>
              <w:jc w:val="center"/>
              <w:rPr>
                <w:color w:val="auto"/>
                <w:szCs w:val="21"/>
                <w:highlight w:val="none"/>
              </w:rPr>
            </w:pPr>
            <w:r>
              <w:rPr>
                <w:color w:val="auto"/>
                <w:szCs w:val="21"/>
                <w:highlight w:val="none"/>
              </w:rPr>
              <w:t>技术职称</w:t>
            </w:r>
          </w:p>
        </w:tc>
        <w:tc>
          <w:tcPr>
            <w:tcW w:w="2167" w:type="dxa"/>
            <w:gridSpan w:val="3"/>
            <w:tcBorders>
              <w:top w:val="single" w:color="auto" w:sz="4" w:space="0"/>
              <w:left w:val="single" w:color="auto" w:sz="4" w:space="0"/>
              <w:bottom w:val="single" w:color="auto" w:sz="4" w:space="0"/>
              <w:right w:val="single" w:color="auto" w:sz="4" w:space="0"/>
            </w:tcBorders>
            <w:noWrap w:val="0"/>
            <w:vAlign w:val="center"/>
          </w:tcPr>
          <w:p w14:paraId="14B6208F">
            <w:pPr>
              <w:topLinePunct/>
              <w:adjustRightInd w:val="0"/>
              <w:snapToGrid w:val="0"/>
              <w:spacing w:line="560" w:lineRule="exact"/>
              <w:jc w:val="center"/>
              <w:rPr>
                <w:color w:val="auto"/>
                <w:szCs w:val="21"/>
                <w:highlight w:val="none"/>
              </w:rPr>
            </w:pPr>
          </w:p>
        </w:tc>
        <w:tc>
          <w:tcPr>
            <w:tcW w:w="991" w:type="dxa"/>
            <w:tcBorders>
              <w:top w:val="single" w:color="auto" w:sz="4" w:space="0"/>
              <w:left w:val="single" w:color="auto" w:sz="4" w:space="0"/>
              <w:bottom w:val="single" w:color="auto" w:sz="4" w:space="0"/>
              <w:right w:val="single" w:color="auto" w:sz="4" w:space="0"/>
            </w:tcBorders>
            <w:noWrap w:val="0"/>
            <w:vAlign w:val="center"/>
          </w:tcPr>
          <w:p w14:paraId="39FFF498">
            <w:pPr>
              <w:topLinePunct/>
              <w:adjustRightInd w:val="0"/>
              <w:snapToGrid w:val="0"/>
              <w:spacing w:line="560" w:lineRule="exact"/>
              <w:jc w:val="center"/>
              <w:rPr>
                <w:color w:val="auto"/>
                <w:szCs w:val="21"/>
                <w:highlight w:val="none"/>
              </w:rPr>
            </w:pPr>
            <w:r>
              <w:rPr>
                <w:color w:val="auto"/>
                <w:szCs w:val="21"/>
                <w:highlight w:val="none"/>
              </w:rPr>
              <w:t>电话</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0ABD80AF">
            <w:pPr>
              <w:topLinePunct/>
              <w:adjustRightInd w:val="0"/>
              <w:snapToGrid w:val="0"/>
              <w:spacing w:line="560" w:lineRule="exact"/>
              <w:jc w:val="center"/>
              <w:rPr>
                <w:color w:val="auto"/>
                <w:szCs w:val="21"/>
                <w:highlight w:val="none"/>
              </w:rPr>
            </w:pPr>
          </w:p>
        </w:tc>
      </w:tr>
      <w:tr w14:paraId="762C8B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096ACADA">
            <w:pPr>
              <w:topLinePunct/>
              <w:adjustRightInd w:val="0"/>
              <w:snapToGrid w:val="0"/>
              <w:spacing w:line="560" w:lineRule="exact"/>
              <w:jc w:val="center"/>
              <w:rPr>
                <w:color w:val="auto"/>
                <w:szCs w:val="21"/>
                <w:highlight w:val="none"/>
              </w:rPr>
            </w:pPr>
            <w:r>
              <w:rPr>
                <w:color w:val="auto"/>
                <w:szCs w:val="21"/>
                <w:highlight w:val="none"/>
              </w:rPr>
              <w:t>成立时间</w:t>
            </w:r>
          </w:p>
        </w:tc>
        <w:tc>
          <w:tcPr>
            <w:tcW w:w="2132" w:type="dxa"/>
            <w:gridSpan w:val="2"/>
            <w:tcBorders>
              <w:top w:val="single" w:color="auto" w:sz="4" w:space="0"/>
              <w:left w:val="single" w:color="auto" w:sz="4" w:space="0"/>
              <w:bottom w:val="single" w:color="auto" w:sz="4" w:space="0"/>
              <w:right w:val="single" w:color="auto" w:sz="4" w:space="0"/>
            </w:tcBorders>
            <w:noWrap w:val="0"/>
            <w:vAlign w:val="center"/>
          </w:tcPr>
          <w:p w14:paraId="1A5F589B">
            <w:pPr>
              <w:topLinePunct/>
              <w:adjustRightInd w:val="0"/>
              <w:snapToGrid w:val="0"/>
              <w:spacing w:line="560" w:lineRule="exact"/>
              <w:jc w:val="center"/>
              <w:rPr>
                <w:color w:val="auto"/>
                <w:szCs w:val="21"/>
                <w:highlight w:val="none"/>
              </w:rPr>
            </w:pPr>
          </w:p>
        </w:tc>
        <w:tc>
          <w:tcPr>
            <w:tcW w:w="5755" w:type="dxa"/>
            <w:gridSpan w:val="7"/>
            <w:tcBorders>
              <w:top w:val="single" w:color="auto" w:sz="4" w:space="0"/>
              <w:left w:val="single" w:color="auto" w:sz="4" w:space="0"/>
              <w:bottom w:val="single" w:color="auto" w:sz="4" w:space="0"/>
              <w:right w:val="single" w:color="auto" w:sz="4" w:space="0"/>
            </w:tcBorders>
            <w:noWrap w:val="0"/>
            <w:vAlign w:val="center"/>
          </w:tcPr>
          <w:p w14:paraId="1CD3A17D">
            <w:pPr>
              <w:topLinePunct/>
              <w:adjustRightInd w:val="0"/>
              <w:snapToGrid w:val="0"/>
              <w:spacing w:line="560" w:lineRule="exact"/>
              <w:ind w:firstLine="105" w:firstLineChars="50"/>
              <w:jc w:val="center"/>
              <w:rPr>
                <w:color w:val="auto"/>
                <w:szCs w:val="21"/>
                <w:highlight w:val="none"/>
              </w:rPr>
            </w:pPr>
            <w:r>
              <w:rPr>
                <w:color w:val="auto"/>
                <w:szCs w:val="21"/>
                <w:highlight w:val="none"/>
              </w:rPr>
              <w:t>员工总人数：</w:t>
            </w:r>
          </w:p>
        </w:tc>
      </w:tr>
      <w:tr w14:paraId="7391F1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2"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1C59ECDB">
            <w:pPr>
              <w:topLinePunct/>
              <w:adjustRightInd w:val="0"/>
              <w:snapToGrid w:val="0"/>
              <w:spacing w:line="560" w:lineRule="exact"/>
              <w:jc w:val="center"/>
              <w:rPr>
                <w:color w:val="auto"/>
                <w:szCs w:val="21"/>
                <w:highlight w:val="none"/>
              </w:rPr>
            </w:pPr>
            <w:r>
              <w:rPr>
                <w:color w:val="auto"/>
                <w:szCs w:val="21"/>
                <w:highlight w:val="none"/>
              </w:rPr>
              <w:t>企业资质等级</w:t>
            </w:r>
          </w:p>
        </w:tc>
        <w:tc>
          <w:tcPr>
            <w:tcW w:w="2132" w:type="dxa"/>
            <w:gridSpan w:val="2"/>
            <w:tcBorders>
              <w:top w:val="single" w:color="auto" w:sz="4" w:space="0"/>
              <w:left w:val="single" w:color="auto" w:sz="4" w:space="0"/>
              <w:bottom w:val="single" w:color="auto" w:sz="4" w:space="0"/>
              <w:right w:val="single" w:color="auto" w:sz="4" w:space="0"/>
            </w:tcBorders>
            <w:noWrap w:val="0"/>
            <w:vAlign w:val="center"/>
          </w:tcPr>
          <w:p w14:paraId="05052F49">
            <w:pPr>
              <w:topLinePunct/>
              <w:adjustRightInd w:val="0"/>
              <w:snapToGrid w:val="0"/>
              <w:spacing w:line="560" w:lineRule="exact"/>
              <w:jc w:val="center"/>
              <w:rPr>
                <w:color w:val="auto"/>
                <w:szCs w:val="21"/>
                <w:highlight w:val="none"/>
              </w:rPr>
            </w:pPr>
          </w:p>
        </w:tc>
        <w:tc>
          <w:tcPr>
            <w:tcW w:w="969" w:type="dxa"/>
            <w:vMerge w:val="restart"/>
            <w:tcBorders>
              <w:top w:val="single" w:color="auto" w:sz="4" w:space="0"/>
              <w:left w:val="single" w:color="auto" w:sz="4" w:space="0"/>
              <w:bottom w:val="single" w:color="auto" w:sz="4" w:space="0"/>
              <w:right w:val="single" w:color="auto" w:sz="4" w:space="0"/>
            </w:tcBorders>
            <w:noWrap w:val="0"/>
            <w:vAlign w:val="center"/>
          </w:tcPr>
          <w:p w14:paraId="67F34341">
            <w:pPr>
              <w:topLinePunct/>
              <w:adjustRightInd w:val="0"/>
              <w:snapToGrid w:val="0"/>
              <w:spacing w:line="560" w:lineRule="exact"/>
              <w:jc w:val="center"/>
              <w:rPr>
                <w:color w:val="auto"/>
                <w:szCs w:val="21"/>
                <w:highlight w:val="none"/>
              </w:rPr>
            </w:pPr>
            <w:r>
              <w:rPr>
                <w:color w:val="auto"/>
                <w:szCs w:val="21"/>
                <w:highlight w:val="none"/>
              </w:rPr>
              <w:t>其中</w:t>
            </w:r>
          </w:p>
        </w:tc>
        <w:tc>
          <w:tcPr>
            <w:tcW w:w="2651" w:type="dxa"/>
            <w:gridSpan w:val="4"/>
            <w:tcBorders>
              <w:top w:val="single" w:color="auto" w:sz="4" w:space="0"/>
              <w:left w:val="single" w:color="auto" w:sz="4" w:space="0"/>
              <w:bottom w:val="single" w:color="auto" w:sz="4" w:space="0"/>
              <w:right w:val="single" w:color="auto" w:sz="4" w:space="0"/>
            </w:tcBorders>
            <w:noWrap w:val="0"/>
            <w:vAlign w:val="center"/>
          </w:tcPr>
          <w:p w14:paraId="14266020">
            <w:pPr>
              <w:topLinePunct/>
              <w:adjustRightInd w:val="0"/>
              <w:snapToGrid w:val="0"/>
              <w:spacing w:line="560" w:lineRule="exact"/>
              <w:jc w:val="center"/>
              <w:rPr>
                <w:color w:val="auto"/>
                <w:szCs w:val="21"/>
                <w:highlight w:val="none"/>
              </w:rPr>
            </w:pPr>
            <w:r>
              <w:rPr>
                <w:color w:val="auto"/>
                <w:szCs w:val="21"/>
                <w:highlight w:val="none"/>
              </w:rPr>
              <w:t>项目经理（建造师）</w:t>
            </w:r>
          </w:p>
        </w:tc>
        <w:tc>
          <w:tcPr>
            <w:tcW w:w="2135" w:type="dxa"/>
            <w:gridSpan w:val="2"/>
            <w:tcBorders>
              <w:top w:val="single" w:color="auto" w:sz="4" w:space="0"/>
              <w:left w:val="single" w:color="auto" w:sz="4" w:space="0"/>
              <w:bottom w:val="single" w:color="auto" w:sz="4" w:space="0"/>
              <w:right w:val="single" w:color="auto" w:sz="4" w:space="0"/>
            </w:tcBorders>
            <w:noWrap w:val="0"/>
            <w:vAlign w:val="center"/>
          </w:tcPr>
          <w:p w14:paraId="5806D660">
            <w:pPr>
              <w:topLinePunct/>
              <w:adjustRightInd w:val="0"/>
              <w:snapToGrid w:val="0"/>
              <w:spacing w:line="560" w:lineRule="exact"/>
              <w:jc w:val="center"/>
              <w:rPr>
                <w:color w:val="auto"/>
                <w:szCs w:val="21"/>
                <w:highlight w:val="none"/>
              </w:rPr>
            </w:pPr>
          </w:p>
        </w:tc>
      </w:tr>
      <w:tr w14:paraId="35011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15511B15">
            <w:pPr>
              <w:topLinePunct/>
              <w:adjustRightInd w:val="0"/>
              <w:snapToGrid w:val="0"/>
              <w:spacing w:line="560" w:lineRule="exact"/>
              <w:jc w:val="center"/>
              <w:rPr>
                <w:color w:val="auto"/>
                <w:szCs w:val="21"/>
                <w:highlight w:val="none"/>
              </w:rPr>
            </w:pPr>
            <w:r>
              <w:rPr>
                <w:color w:val="auto"/>
                <w:szCs w:val="21"/>
                <w:highlight w:val="none"/>
              </w:rPr>
              <w:t>营业执照号</w:t>
            </w:r>
          </w:p>
        </w:tc>
        <w:tc>
          <w:tcPr>
            <w:tcW w:w="2132" w:type="dxa"/>
            <w:gridSpan w:val="2"/>
            <w:tcBorders>
              <w:top w:val="single" w:color="auto" w:sz="4" w:space="0"/>
              <w:left w:val="single" w:color="auto" w:sz="4" w:space="0"/>
              <w:bottom w:val="single" w:color="auto" w:sz="4" w:space="0"/>
              <w:right w:val="single" w:color="auto" w:sz="4" w:space="0"/>
            </w:tcBorders>
            <w:noWrap w:val="0"/>
            <w:vAlign w:val="center"/>
          </w:tcPr>
          <w:p w14:paraId="53D7139D">
            <w:pPr>
              <w:topLinePunct/>
              <w:adjustRightInd w:val="0"/>
              <w:snapToGrid w:val="0"/>
              <w:spacing w:line="560" w:lineRule="exact"/>
              <w:jc w:val="center"/>
              <w:rPr>
                <w:color w:val="auto"/>
                <w:szCs w:val="21"/>
                <w:highlight w:val="none"/>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14:paraId="6C89D088">
            <w:pPr>
              <w:topLinePunct/>
              <w:adjustRightInd w:val="0"/>
              <w:snapToGrid w:val="0"/>
              <w:spacing w:line="560" w:lineRule="exact"/>
              <w:jc w:val="center"/>
              <w:rPr>
                <w:color w:val="auto"/>
                <w:szCs w:val="21"/>
                <w:highlight w:val="none"/>
              </w:rPr>
            </w:pPr>
          </w:p>
        </w:tc>
        <w:tc>
          <w:tcPr>
            <w:tcW w:w="2651" w:type="dxa"/>
            <w:gridSpan w:val="4"/>
            <w:tcBorders>
              <w:top w:val="single" w:color="auto" w:sz="4" w:space="0"/>
              <w:left w:val="single" w:color="auto" w:sz="4" w:space="0"/>
              <w:bottom w:val="single" w:color="auto" w:sz="4" w:space="0"/>
              <w:right w:val="single" w:color="auto" w:sz="4" w:space="0"/>
            </w:tcBorders>
            <w:noWrap w:val="0"/>
            <w:vAlign w:val="center"/>
          </w:tcPr>
          <w:p w14:paraId="409F8AA7">
            <w:pPr>
              <w:topLinePunct/>
              <w:adjustRightInd w:val="0"/>
              <w:snapToGrid w:val="0"/>
              <w:spacing w:line="560" w:lineRule="exact"/>
              <w:jc w:val="center"/>
              <w:rPr>
                <w:color w:val="auto"/>
                <w:szCs w:val="21"/>
                <w:highlight w:val="none"/>
              </w:rPr>
            </w:pPr>
            <w:r>
              <w:rPr>
                <w:color w:val="auto"/>
                <w:szCs w:val="21"/>
                <w:highlight w:val="none"/>
              </w:rPr>
              <w:t>高级职称人员</w:t>
            </w:r>
          </w:p>
        </w:tc>
        <w:tc>
          <w:tcPr>
            <w:tcW w:w="2135" w:type="dxa"/>
            <w:gridSpan w:val="2"/>
            <w:tcBorders>
              <w:top w:val="single" w:color="auto" w:sz="4" w:space="0"/>
              <w:left w:val="single" w:color="auto" w:sz="4" w:space="0"/>
              <w:bottom w:val="single" w:color="auto" w:sz="4" w:space="0"/>
              <w:right w:val="single" w:color="auto" w:sz="4" w:space="0"/>
            </w:tcBorders>
            <w:noWrap w:val="0"/>
            <w:vAlign w:val="center"/>
          </w:tcPr>
          <w:p w14:paraId="688C7933">
            <w:pPr>
              <w:topLinePunct/>
              <w:adjustRightInd w:val="0"/>
              <w:snapToGrid w:val="0"/>
              <w:spacing w:line="560" w:lineRule="exact"/>
              <w:jc w:val="center"/>
              <w:rPr>
                <w:color w:val="auto"/>
                <w:szCs w:val="21"/>
                <w:highlight w:val="none"/>
              </w:rPr>
            </w:pPr>
          </w:p>
        </w:tc>
      </w:tr>
      <w:tr w14:paraId="0C24D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5546F6BD">
            <w:pPr>
              <w:topLinePunct/>
              <w:adjustRightInd w:val="0"/>
              <w:snapToGrid w:val="0"/>
              <w:spacing w:line="560" w:lineRule="exact"/>
              <w:jc w:val="center"/>
              <w:rPr>
                <w:color w:val="auto"/>
                <w:szCs w:val="21"/>
                <w:highlight w:val="none"/>
              </w:rPr>
            </w:pPr>
            <w:r>
              <w:rPr>
                <w:color w:val="auto"/>
                <w:szCs w:val="21"/>
                <w:highlight w:val="none"/>
              </w:rPr>
              <w:t>注册资金</w:t>
            </w:r>
          </w:p>
        </w:tc>
        <w:tc>
          <w:tcPr>
            <w:tcW w:w="2132" w:type="dxa"/>
            <w:gridSpan w:val="2"/>
            <w:tcBorders>
              <w:top w:val="single" w:color="auto" w:sz="4" w:space="0"/>
              <w:left w:val="single" w:color="auto" w:sz="4" w:space="0"/>
              <w:bottom w:val="single" w:color="auto" w:sz="4" w:space="0"/>
              <w:right w:val="single" w:color="auto" w:sz="4" w:space="0"/>
            </w:tcBorders>
            <w:noWrap w:val="0"/>
            <w:vAlign w:val="center"/>
          </w:tcPr>
          <w:p w14:paraId="517A0B26">
            <w:pPr>
              <w:topLinePunct/>
              <w:adjustRightInd w:val="0"/>
              <w:snapToGrid w:val="0"/>
              <w:spacing w:line="560" w:lineRule="exact"/>
              <w:jc w:val="center"/>
              <w:rPr>
                <w:color w:val="auto"/>
                <w:szCs w:val="21"/>
                <w:highlight w:val="none"/>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14:paraId="10F1DA5B">
            <w:pPr>
              <w:topLinePunct/>
              <w:adjustRightInd w:val="0"/>
              <w:snapToGrid w:val="0"/>
              <w:spacing w:line="560" w:lineRule="exact"/>
              <w:jc w:val="center"/>
              <w:rPr>
                <w:color w:val="auto"/>
                <w:szCs w:val="21"/>
                <w:highlight w:val="none"/>
              </w:rPr>
            </w:pPr>
          </w:p>
        </w:tc>
        <w:tc>
          <w:tcPr>
            <w:tcW w:w="2651" w:type="dxa"/>
            <w:gridSpan w:val="4"/>
            <w:tcBorders>
              <w:top w:val="single" w:color="auto" w:sz="4" w:space="0"/>
              <w:left w:val="single" w:color="auto" w:sz="4" w:space="0"/>
              <w:bottom w:val="single" w:color="auto" w:sz="4" w:space="0"/>
              <w:right w:val="single" w:color="auto" w:sz="4" w:space="0"/>
            </w:tcBorders>
            <w:noWrap w:val="0"/>
            <w:vAlign w:val="center"/>
          </w:tcPr>
          <w:p w14:paraId="68DB8CF7">
            <w:pPr>
              <w:topLinePunct/>
              <w:adjustRightInd w:val="0"/>
              <w:snapToGrid w:val="0"/>
              <w:spacing w:line="560" w:lineRule="exact"/>
              <w:jc w:val="center"/>
              <w:rPr>
                <w:color w:val="auto"/>
                <w:szCs w:val="21"/>
                <w:highlight w:val="none"/>
              </w:rPr>
            </w:pPr>
            <w:r>
              <w:rPr>
                <w:color w:val="auto"/>
                <w:szCs w:val="21"/>
                <w:highlight w:val="none"/>
              </w:rPr>
              <w:t>中级职称人员</w:t>
            </w:r>
          </w:p>
        </w:tc>
        <w:tc>
          <w:tcPr>
            <w:tcW w:w="2135" w:type="dxa"/>
            <w:gridSpan w:val="2"/>
            <w:tcBorders>
              <w:top w:val="single" w:color="auto" w:sz="4" w:space="0"/>
              <w:left w:val="single" w:color="auto" w:sz="4" w:space="0"/>
              <w:bottom w:val="single" w:color="auto" w:sz="4" w:space="0"/>
              <w:right w:val="single" w:color="auto" w:sz="4" w:space="0"/>
            </w:tcBorders>
            <w:noWrap w:val="0"/>
            <w:vAlign w:val="center"/>
          </w:tcPr>
          <w:p w14:paraId="17B37A93">
            <w:pPr>
              <w:topLinePunct/>
              <w:adjustRightInd w:val="0"/>
              <w:snapToGrid w:val="0"/>
              <w:spacing w:line="560" w:lineRule="exact"/>
              <w:jc w:val="center"/>
              <w:rPr>
                <w:color w:val="auto"/>
                <w:szCs w:val="21"/>
                <w:highlight w:val="none"/>
              </w:rPr>
            </w:pPr>
          </w:p>
        </w:tc>
      </w:tr>
      <w:tr w14:paraId="36811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3"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31C40E2B">
            <w:pPr>
              <w:topLinePunct/>
              <w:adjustRightInd w:val="0"/>
              <w:snapToGrid w:val="0"/>
              <w:spacing w:line="560" w:lineRule="exact"/>
              <w:jc w:val="center"/>
              <w:rPr>
                <w:color w:val="auto"/>
                <w:szCs w:val="21"/>
                <w:highlight w:val="none"/>
              </w:rPr>
            </w:pPr>
            <w:r>
              <w:rPr>
                <w:color w:val="auto"/>
                <w:szCs w:val="21"/>
                <w:highlight w:val="none"/>
              </w:rPr>
              <w:t>开户银行</w:t>
            </w:r>
          </w:p>
        </w:tc>
        <w:tc>
          <w:tcPr>
            <w:tcW w:w="2132" w:type="dxa"/>
            <w:gridSpan w:val="2"/>
            <w:tcBorders>
              <w:top w:val="single" w:color="auto" w:sz="4" w:space="0"/>
              <w:left w:val="single" w:color="auto" w:sz="4" w:space="0"/>
              <w:bottom w:val="single" w:color="auto" w:sz="4" w:space="0"/>
              <w:right w:val="single" w:color="auto" w:sz="4" w:space="0"/>
            </w:tcBorders>
            <w:noWrap w:val="0"/>
            <w:vAlign w:val="center"/>
          </w:tcPr>
          <w:p w14:paraId="37C8F2B7">
            <w:pPr>
              <w:topLinePunct/>
              <w:adjustRightInd w:val="0"/>
              <w:snapToGrid w:val="0"/>
              <w:spacing w:line="560" w:lineRule="exact"/>
              <w:jc w:val="center"/>
              <w:rPr>
                <w:color w:val="auto"/>
                <w:szCs w:val="21"/>
                <w:highlight w:val="none"/>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14:paraId="55EE19B7">
            <w:pPr>
              <w:topLinePunct/>
              <w:adjustRightInd w:val="0"/>
              <w:snapToGrid w:val="0"/>
              <w:spacing w:line="560" w:lineRule="exact"/>
              <w:jc w:val="center"/>
              <w:rPr>
                <w:color w:val="auto"/>
                <w:szCs w:val="21"/>
                <w:highlight w:val="none"/>
              </w:rPr>
            </w:pPr>
          </w:p>
        </w:tc>
        <w:tc>
          <w:tcPr>
            <w:tcW w:w="2651" w:type="dxa"/>
            <w:gridSpan w:val="4"/>
            <w:tcBorders>
              <w:top w:val="single" w:color="auto" w:sz="4" w:space="0"/>
              <w:left w:val="single" w:color="auto" w:sz="4" w:space="0"/>
              <w:bottom w:val="single" w:color="auto" w:sz="4" w:space="0"/>
              <w:right w:val="single" w:color="auto" w:sz="4" w:space="0"/>
            </w:tcBorders>
            <w:noWrap w:val="0"/>
            <w:vAlign w:val="center"/>
          </w:tcPr>
          <w:p w14:paraId="6E7CC933">
            <w:pPr>
              <w:topLinePunct/>
              <w:adjustRightInd w:val="0"/>
              <w:snapToGrid w:val="0"/>
              <w:spacing w:line="560" w:lineRule="exact"/>
              <w:jc w:val="center"/>
              <w:rPr>
                <w:color w:val="auto"/>
                <w:szCs w:val="21"/>
                <w:highlight w:val="none"/>
              </w:rPr>
            </w:pPr>
            <w:r>
              <w:rPr>
                <w:color w:val="auto"/>
                <w:szCs w:val="21"/>
                <w:highlight w:val="none"/>
              </w:rPr>
              <w:t>初级职称人员</w:t>
            </w:r>
          </w:p>
        </w:tc>
        <w:tc>
          <w:tcPr>
            <w:tcW w:w="2135" w:type="dxa"/>
            <w:gridSpan w:val="2"/>
            <w:tcBorders>
              <w:top w:val="single" w:color="auto" w:sz="4" w:space="0"/>
              <w:left w:val="single" w:color="auto" w:sz="4" w:space="0"/>
              <w:bottom w:val="single" w:color="auto" w:sz="4" w:space="0"/>
              <w:right w:val="single" w:color="auto" w:sz="4" w:space="0"/>
            </w:tcBorders>
            <w:noWrap w:val="0"/>
            <w:vAlign w:val="center"/>
          </w:tcPr>
          <w:p w14:paraId="772CE5BB">
            <w:pPr>
              <w:topLinePunct/>
              <w:adjustRightInd w:val="0"/>
              <w:snapToGrid w:val="0"/>
              <w:spacing w:line="560" w:lineRule="exact"/>
              <w:jc w:val="center"/>
              <w:rPr>
                <w:color w:val="auto"/>
                <w:szCs w:val="21"/>
                <w:highlight w:val="none"/>
              </w:rPr>
            </w:pPr>
          </w:p>
        </w:tc>
      </w:tr>
      <w:tr w14:paraId="774339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9"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3A18CC53">
            <w:pPr>
              <w:topLinePunct/>
              <w:adjustRightInd w:val="0"/>
              <w:snapToGrid w:val="0"/>
              <w:spacing w:line="560" w:lineRule="exact"/>
              <w:jc w:val="center"/>
              <w:rPr>
                <w:color w:val="auto"/>
                <w:szCs w:val="21"/>
                <w:highlight w:val="none"/>
              </w:rPr>
            </w:pPr>
            <w:r>
              <w:rPr>
                <w:color w:val="auto"/>
                <w:szCs w:val="21"/>
                <w:highlight w:val="none"/>
              </w:rPr>
              <w:t>账号</w:t>
            </w:r>
          </w:p>
        </w:tc>
        <w:tc>
          <w:tcPr>
            <w:tcW w:w="2132" w:type="dxa"/>
            <w:gridSpan w:val="2"/>
            <w:tcBorders>
              <w:top w:val="single" w:color="auto" w:sz="4" w:space="0"/>
              <w:left w:val="single" w:color="auto" w:sz="4" w:space="0"/>
              <w:bottom w:val="single" w:color="auto" w:sz="4" w:space="0"/>
              <w:right w:val="single" w:color="auto" w:sz="4" w:space="0"/>
            </w:tcBorders>
            <w:noWrap w:val="0"/>
            <w:vAlign w:val="center"/>
          </w:tcPr>
          <w:p w14:paraId="196F5874">
            <w:pPr>
              <w:topLinePunct/>
              <w:adjustRightInd w:val="0"/>
              <w:snapToGrid w:val="0"/>
              <w:spacing w:line="560" w:lineRule="exact"/>
              <w:jc w:val="center"/>
              <w:rPr>
                <w:color w:val="auto"/>
                <w:szCs w:val="21"/>
                <w:highlight w:val="none"/>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14:paraId="301CC24C">
            <w:pPr>
              <w:topLinePunct/>
              <w:adjustRightInd w:val="0"/>
              <w:snapToGrid w:val="0"/>
              <w:spacing w:line="560" w:lineRule="exact"/>
              <w:jc w:val="center"/>
              <w:rPr>
                <w:color w:val="auto"/>
                <w:szCs w:val="21"/>
                <w:highlight w:val="none"/>
              </w:rPr>
            </w:pPr>
          </w:p>
        </w:tc>
        <w:tc>
          <w:tcPr>
            <w:tcW w:w="2651" w:type="dxa"/>
            <w:gridSpan w:val="4"/>
            <w:tcBorders>
              <w:top w:val="single" w:color="auto" w:sz="4" w:space="0"/>
              <w:left w:val="single" w:color="auto" w:sz="4" w:space="0"/>
              <w:bottom w:val="single" w:color="auto" w:sz="4" w:space="0"/>
              <w:right w:val="single" w:color="auto" w:sz="4" w:space="0"/>
            </w:tcBorders>
            <w:noWrap w:val="0"/>
            <w:vAlign w:val="center"/>
          </w:tcPr>
          <w:p w14:paraId="0BEB06C6">
            <w:pPr>
              <w:topLinePunct/>
              <w:adjustRightInd w:val="0"/>
              <w:snapToGrid w:val="0"/>
              <w:spacing w:line="560" w:lineRule="exact"/>
              <w:jc w:val="center"/>
              <w:rPr>
                <w:color w:val="auto"/>
                <w:highlight w:val="none"/>
              </w:rPr>
            </w:pPr>
            <w:r>
              <w:rPr>
                <w:color w:val="auto"/>
                <w:szCs w:val="21"/>
                <w:highlight w:val="none"/>
              </w:rPr>
              <w:t>技</w:t>
            </w:r>
            <w:r>
              <w:rPr>
                <w:rFonts w:hint="eastAsia"/>
                <w:color w:val="auto"/>
                <w:szCs w:val="21"/>
                <w:highlight w:val="none"/>
              </w:rPr>
              <w:t xml:space="preserve">  </w:t>
            </w:r>
            <w:r>
              <w:rPr>
                <w:color w:val="auto"/>
                <w:szCs w:val="21"/>
                <w:highlight w:val="none"/>
              </w:rPr>
              <w:t>工</w:t>
            </w:r>
          </w:p>
        </w:tc>
        <w:tc>
          <w:tcPr>
            <w:tcW w:w="2135" w:type="dxa"/>
            <w:gridSpan w:val="2"/>
            <w:tcBorders>
              <w:top w:val="single" w:color="auto" w:sz="4" w:space="0"/>
              <w:left w:val="single" w:color="auto" w:sz="4" w:space="0"/>
              <w:bottom w:val="single" w:color="auto" w:sz="4" w:space="0"/>
              <w:right w:val="single" w:color="auto" w:sz="4" w:space="0"/>
            </w:tcBorders>
            <w:noWrap w:val="0"/>
            <w:vAlign w:val="center"/>
          </w:tcPr>
          <w:p w14:paraId="015967A0">
            <w:pPr>
              <w:topLinePunct/>
              <w:adjustRightInd w:val="0"/>
              <w:snapToGrid w:val="0"/>
              <w:spacing w:line="560" w:lineRule="exact"/>
              <w:jc w:val="center"/>
              <w:rPr>
                <w:color w:val="auto"/>
                <w:szCs w:val="21"/>
                <w:highlight w:val="none"/>
              </w:rPr>
            </w:pPr>
          </w:p>
        </w:tc>
      </w:tr>
      <w:tr w14:paraId="3E87D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9" w:hRule="atLeast"/>
          <w:jc w:val="center"/>
        </w:trPr>
        <w:tc>
          <w:tcPr>
            <w:tcW w:w="1993" w:type="dxa"/>
            <w:tcBorders>
              <w:top w:val="single" w:color="auto" w:sz="4" w:space="0"/>
              <w:left w:val="single" w:color="auto" w:sz="4" w:space="0"/>
              <w:right w:val="single" w:color="auto" w:sz="4" w:space="0"/>
            </w:tcBorders>
            <w:noWrap w:val="0"/>
            <w:vAlign w:val="center"/>
          </w:tcPr>
          <w:p w14:paraId="13A358A6">
            <w:pPr>
              <w:topLinePunct/>
              <w:adjustRightInd w:val="0"/>
              <w:snapToGrid w:val="0"/>
              <w:spacing w:line="560" w:lineRule="exact"/>
              <w:ind w:firstLine="210" w:firstLineChars="100"/>
              <w:jc w:val="center"/>
              <w:rPr>
                <w:color w:val="auto"/>
                <w:szCs w:val="21"/>
                <w:highlight w:val="none"/>
              </w:rPr>
            </w:pPr>
            <w:r>
              <w:rPr>
                <w:color w:val="auto"/>
                <w:szCs w:val="21"/>
                <w:highlight w:val="none"/>
              </w:rPr>
              <w:t>经营范围</w:t>
            </w:r>
          </w:p>
        </w:tc>
        <w:tc>
          <w:tcPr>
            <w:tcW w:w="7887" w:type="dxa"/>
            <w:gridSpan w:val="9"/>
            <w:tcBorders>
              <w:top w:val="single" w:color="auto" w:sz="4" w:space="0"/>
              <w:left w:val="single" w:color="auto" w:sz="4" w:space="0"/>
              <w:right w:val="single" w:color="auto" w:sz="4" w:space="0"/>
            </w:tcBorders>
            <w:noWrap w:val="0"/>
            <w:vAlign w:val="center"/>
          </w:tcPr>
          <w:p w14:paraId="7E46B82D">
            <w:pPr>
              <w:topLinePunct/>
              <w:adjustRightInd w:val="0"/>
              <w:snapToGrid w:val="0"/>
              <w:spacing w:line="560" w:lineRule="exact"/>
              <w:rPr>
                <w:color w:val="auto"/>
                <w:szCs w:val="21"/>
                <w:highlight w:val="none"/>
              </w:rPr>
            </w:pPr>
          </w:p>
        </w:tc>
      </w:tr>
      <w:tr w14:paraId="74C8E8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4323D92D">
            <w:pPr>
              <w:topLinePunct/>
              <w:adjustRightInd w:val="0"/>
              <w:snapToGrid w:val="0"/>
              <w:spacing w:line="560" w:lineRule="exact"/>
              <w:jc w:val="center"/>
              <w:rPr>
                <w:color w:val="auto"/>
                <w:szCs w:val="21"/>
                <w:highlight w:val="none"/>
              </w:rPr>
            </w:pPr>
            <w:r>
              <w:rPr>
                <w:color w:val="auto"/>
                <w:szCs w:val="21"/>
                <w:highlight w:val="none"/>
              </w:rPr>
              <w:t>备注</w:t>
            </w:r>
          </w:p>
        </w:tc>
        <w:tc>
          <w:tcPr>
            <w:tcW w:w="7887" w:type="dxa"/>
            <w:gridSpan w:val="9"/>
            <w:tcBorders>
              <w:top w:val="single" w:color="auto" w:sz="4" w:space="0"/>
              <w:left w:val="single" w:color="auto" w:sz="4" w:space="0"/>
              <w:bottom w:val="single" w:color="auto" w:sz="4" w:space="0"/>
              <w:right w:val="single" w:color="auto" w:sz="4" w:space="0"/>
            </w:tcBorders>
            <w:noWrap w:val="0"/>
            <w:vAlign w:val="center"/>
          </w:tcPr>
          <w:p w14:paraId="1A88295A">
            <w:pPr>
              <w:topLinePunct/>
              <w:adjustRightInd w:val="0"/>
              <w:snapToGrid w:val="0"/>
              <w:spacing w:line="560" w:lineRule="exact"/>
              <w:jc w:val="center"/>
              <w:rPr>
                <w:color w:val="auto"/>
                <w:szCs w:val="21"/>
                <w:highlight w:val="none"/>
              </w:rPr>
            </w:pPr>
          </w:p>
        </w:tc>
      </w:tr>
    </w:tbl>
    <w:p w14:paraId="0CAC2E4F">
      <w:pPr>
        <w:pStyle w:val="4"/>
        <w:adjustRightInd w:val="0"/>
        <w:snapToGrid w:val="0"/>
        <w:spacing w:before="0" w:after="0" w:line="560" w:lineRule="exact"/>
        <w:jc w:val="center"/>
        <w:rPr>
          <w:rFonts w:hint="eastAsia"/>
          <w:color w:val="auto"/>
          <w:highlight w:val="none"/>
        </w:rPr>
      </w:pPr>
      <w:bookmarkStart w:id="1484" w:name="_Toc95223534"/>
      <w:r>
        <w:rPr>
          <w:color w:val="auto"/>
          <w:highlight w:val="none"/>
        </w:rPr>
        <w:t>（</w:t>
      </w:r>
      <w:r>
        <w:rPr>
          <w:rFonts w:hint="eastAsia"/>
          <w:color w:val="auto"/>
          <w:highlight w:val="none"/>
        </w:rPr>
        <w:t>2</w:t>
      </w:r>
      <w:r>
        <w:rPr>
          <w:color w:val="auto"/>
          <w:highlight w:val="none"/>
        </w:rPr>
        <w:t>）近年财务状况表</w:t>
      </w:r>
      <w:bookmarkEnd w:id="1484"/>
      <w:r>
        <w:rPr>
          <w:rFonts w:hint="eastAsia"/>
          <w:color w:val="auto"/>
          <w:highlight w:val="none"/>
          <w:lang w:eastAsia="zh-CN"/>
        </w:rPr>
        <w:t>（</w:t>
      </w:r>
      <w:r>
        <w:rPr>
          <w:rFonts w:hint="eastAsia"/>
          <w:color w:val="auto"/>
          <w:highlight w:val="none"/>
          <w:lang w:val="en-US" w:eastAsia="zh-CN"/>
        </w:rPr>
        <w:t>格式自拟）</w:t>
      </w:r>
    </w:p>
    <w:p w14:paraId="3BC5D670">
      <w:pPr>
        <w:pStyle w:val="4"/>
        <w:adjustRightInd w:val="0"/>
        <w:snapToGrid w:val="0"/>
        <w:spacing w:before="0" w:after="0" w:line="560" w:lineRule="exact"/>
        <w:jc w:val="center"/>
        <w:rPr>
          <w:rFonts w:eastAsia="黑体"/>
          <w:color w:val="auto"/>
          <w:sz w:val="23"/>
          <w:szCs w:val="23"/>
          <w:highlight w:val="none"/>
        </w:rPr>
      </w:pPr>
      <w:bookmarkStart w:id="1485" w:name="_Toc95223535"/>
      <w:r>
        <w:rPr>
          <w:color w:val="auto"/>
          <w:highlight w:val="none"/>
        </w:rPr>
        <w:t>（</w:t>
      </w:r>
      <w:r>
        <w:rPr>
          <w:rFonts w:hint="eastAsia"/>
          <w:color w:val="auto"/>
          <w:highlight w:val="none"/>
        </w:rPr>
        <w:t>3</w:t>
      </w:r>
      <w:r>
        <w:rPr>
          <w:color w:val="auto"/>
          <w:highlight w:val="none"/>
        </w:rPr>
        <w:t>）近年完成的类似项目情况表</w:t>
      </w:r>
      <w:bookmarkEnd w:id="1485"/>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8"/>
        <w:gridCol w:w="6912"/>
      </w:tblGrid>
      <w:tr w14:paraId="74E30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508" w:type="dxa"/>
            <w:noWrap w:val="0"/>
            <w:vAlign w:val="center"/>
          </w:tcPr>
          <w:p w14:paraId="388E4D03">
            <w:pPr>
              <w:topLinePunct/>
              <w:adjustRightInd w:val="0"/>
              <w:snapToGrid w:val="0"/>
              <w:spacing w:line="560" w:lineRule="exact"/>
              <w:jc w:val="center"/>
              <w:rPr>
                <w:color w:val="auto"/>
                <w:szCs w:val="21"/>
                <w:highlight w:val="none"/>
              </w:rPr>
            </w:pPr>
            <w:r>
              <w:rPr>
                <w:color w:val="auto"/>
                <w:szCs w:val="21"/>
                <w:highlight w:val="none"/>
              </w:rPr>
              <w:t>项目名</w:t>
            </w:r>
            <w:bookmarkStart w:id="1486" w:name="_Toc247527849"/>
            <w:bookmarkStart w:id="1487" w:name="_Toc247514301"/>
            <w:bookmarkStart w:id="1488" w:name="_Toc26734"/>
            <w:bookmarkStart w:id="1489" w:name="_Toc15058936"/>
            <w:bookmarkStart w:id="1490" w:name="_Toc296602619"/>
            <w:bookmarkStart w:id="1491" w:name="_Toc265953295"/>
            <w:bookmarkStart w:id="1492" w:name="_Toc324404890"/>
            <w:bookmarkStart w:id="1493" w:name="_Toc152042598"/>
            <w:bookmarkStart w:id="1494" w:name="_Toc144974877"/>
            <w:bookmarkStart w:id="1495" w:name="_Toc506107342"/>
            <w:bookmarkStart w:id="1496" w:name="_Toc152045809"/>
            <w:bookmarkStart w:id="1497" w:name="_Toc60061576"/>
            <w:bookmarkStart w:id="1498" w:name="_Toc58229117"/>
            <w:r>
              <w:rPr>
                <w:color w:val="auto"/>
                <w:szCs w:val="21"/>
                <w:highlight w:val="none"/>
              </w:rPr>
              <w:t>称</w:t>
            </w:r>
          </w:p>
        </w:tc>
        <w:tc>
          <w:tcPr>
            <w:tcW w:w="6912" w:type="dxa"/>
            <w:noWrap w:val="0"/>
            <w:vAlign w:val="top"/>
          </w:tcPr>
          <w:p w14:paraId="0B0F21E7">
            <w:pPr>
              <w:topLinePunct/>
              <w:adjustRightInd w:val="0"/>
              <w:snapToGrid w:val="0"/>
              <w:spacing w:line="560" w:lineRule="exact"/>
              <w:rPr>
                <w:color w:val="auto"/>
                <w:szCs w:val="21"/>
                <w:highlight w:val="none"/>
              </w:rPr>
            </w:pPr>
          </w:p>
        </w:tc>
      </w:tr>
      <w:tr w14:paraId="2813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8" w:hRule="atLeast"/>
          <w:jc w:val="center"/>
        </w:trPr>
        <w:tc>
          <w:tcPr>
            <w:tcW w:w="2508" w:type="dxa"/>
            <w:noWrap w:val="0"/>
            <w:vAlign w:val="center"/>
          </w:tcPr>
          <w:p w14:paraId="3C52E171">
            <w:pPr>
              <w:topLinePunct/>
              <w:adjustRightInd w:val="0"/>
              <w:snapToGrid w:val="0"/>
              <w:spacing w:line="560" w:lineRule="exact"/>
              <w:jc w:val="center"/>
              <w:rPr>
                <w:color w:val="auto"/>
                <w:szCs w:val="21"/>
                <w:highlight w:val="none"/>
              </w:rPr>
            </w:pPr>
            <w:r>
              <w:rPr>
                <w:color w:val="auto"/>
                <w:szCs w:val="21"/>
                <w:highlight w:val="none"/>
              </w:rPr>
              <w:t>项目所在地</w:t>
            </w:r>
          </w:p>
          <w:bookmarkEnd w:id="1486"/>
          <w:bookmarkEnd w:id="1487"/>
          <w:bookmarkEnd w:id="1488"/>
          <w:bookmarkEnd w:id="1489"/>
          <w:bookmarkEnd w:id="1490"/>
          <w:bookmarkEnd w:id="1491"/>
          <w:bookmarkEnd w:id="1492"/>
          <w:bookmarkEnd w:id="1493"/>
          <w:bookmarkEnd w:id="1494"/>
          <w:bookmarkEnd w:id="1495"/>
          <w:bookmarkEnd w:id="1496"/>
        </w:tc>
        <w:tc>
          <w:tcPr>
            <w:tcW w:w="6912" w:type="dxa"/>
            <w:noWrap w:val="0"/>
            <w:vAlign w:val="top"/>
          </w:tcPr>
          <w:p w14:paraId="384B9A6A">
            <w:pPr>
              <w:topLinePunct/>
              <w:adjustRightInd w:val="0"/>
              <w:snapToGrid w:val="0"/>
              <w:spacing w:line="560" w:lineRule="exact"/>
              <w:rPr>
                <w:color w:val="auto"/>
                <w:szCs w:val="21"/>
                <w:highlight w:val="none"/>
              </w:rPr>
            </w:pPr>
          </w:p>
        </w:tc>
      </w:tr>
      <w:tr w14:paraId="09BD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2508" w:type="dxa"/>
            <w:noWrap w:val="0"/>
            <w:vAlign w:val="center"/>
          </w:tcPr>
          <w:p w14:paraId="75718125">
            <w:pPr>
              <w:topLinePunct/>
              <w:adjustRightInd w:val="0"/>
              <w:snapToGrid w:val="0"/>
              <w:spacing w:line="560" w:lineRule="exact"/>
              <w:jc w:val="center"/>
              <w:rPr>
                <w:color w:val="auto"/>
                <w:szCs w:val="21"/>
                <w:highlight w:val="none"/>
              </w:rPr>
            </w:pPr>
            <w:r>
              <w:rPr>
                <w:color w:val="auto"/>
                <w:szCs w:val="21"/>
                <w:highlight w:val="none"/>
              </w:rPr>
              <w:t>发包人名称</w:t>
            </w:r>
          </w:p>
          <w:bookmarkEnd w:id="1497"/>
          <w:bookmarkEnd w:id="1498"/>
        </w:tc>
        <w:tc>
          <w:tcPr>
            <w:tcW w:w="6912" w:type="dxa"/>
            <w:noWrap w:val="0"/>
            <w:vAlign w:val="top"/>
          </w:tcPr>
          <w:p w14:paraId="6B2BA944">
            <w:pPr>
              <w:topLinePunct/>
              <w:adjustRightInd w:val="0"/>
              <w:snapToGrid w:val="0"/>
              <w:spacing w:line="560" w:lineRule="exact"/>
              <w:rPr>
                <w:color w:val="auto"/>
                <w:szCs w:val="21"/>
                <w:highlight w:val="none"/>
              </w:rPr>
            </w:pPr>
          </w:p>
        </w:tc>
        <w:bookmarkStart w:id="1499" w:name="_Toc296602620"/>
        <w:bookmarkStart w:id="1500" w:name="_Toc152042599"/>
        <w:bookmarkStart w:id="1501" w:name="_Toc265953296"/>
        <w:bookmarkStart w:id="1502" w:name="_Toc58229118"/>
        <w:bookmarkStart w:id="1503" w:name="_Toc324404891"/>
        <w:bookmarkStart w:id="1504" w:name="_Toc11124"/>
        <w:bookmarkStart w:id="1505" w:name="_Toc506107343"/>
        <w:bookmarkStart w:id="1506" w:name="_Toc144974878"/>
        <w:bookmarkStart w:id="1507" w:name="_Toc247527850"/>
        <w:bookmarkStart w:id="1508" w:name="_Toc247514302"/>
        <w:bookmarkStart w:id="1509" w:name="_Toc152045810"/>
        <w:bookmarkStart w:id="1510" w:name="_Toc60061577"/>
        <w:bookmarkStart w:id="1511" w:name="_Toc15058937"/>
      </w:tr>
      <w:tr w14:paraId="650B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jc w:val="center"/>
        </w:trPr>
        <w:tc>
          <w:tcPr>
            <w:tcW w:w="2508" w:type="dxa"/>
            <w:noWrap w:val="0"/>
            <w:vAlign w:val="center"/>
          </w:tcPr>
          <w:p w14:paraId="3999F265">
            <w:pPr>
              <w:topLinePunct/>
              <w:adjustRightInd w:val="0"/>
              <w:snapToGrid w:val="0"/>
              <w:spacing w:line="560" w:lineRule="exact"/>
              <w:jc w:val="center"/>
              <w:rPr>
                <w:color w:val="auto"/>
                <w:szCs w:val="21"/>
                <w:highlight w:val="none"/>
              </w:rPr>
            </w:pPr>
            <w:r>
              <w:rPr>
                <w:color w:val="auto"/>
                <w:szCs w:val="21"/>
                <w:highlight w:val="none"/>
              </w:rPr>
              <w:t>发包人地址</w:t>
            </w:r>
          </w:p>
        </w:tc>
        <w:tc>
          <w:tcPr>
            <w:tcW w:w="6912" w:type="dxa"/>
            <w:noWrap w:val="0"/>
            <w:vAlign w:val="top"/>
          </w:tcPr>
          <w:p w14:paraId="24E42802">
            <w:pPr>
              <w:topLinePunct/>
              <w:adjustRightInd w:val="0"/>
              <w:snapToGrid w:val="0"/>
              <w:spacing w:line="560" w:lineRule="exact"/>
              <w:rPr>
                <w:color w:val="auto"/>
                <w:szCs w:val="21"/>
                <w:highlight w:val="none"/>
              </w:rPr>
            </w:pPr>
          </w:p>
        </w:tc>
      </w:tr>
      <w:tr w14:paraId="0933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2508" w:type="dxa"/>
            <w:noWrap w:val="0"/>
            <w:vAlign w:val="center"/>
          </w:tcPr>
          <w:p w14:paraId="6C6CC183">
            <w:pPr>
              <w:topLinePunct/>
              <w:adjustRightInd w:val="0"/>
              <w:snapToGrid w:val="0"/>
              <w:spacing w:line="560" w:lineRule="exact"/>
              <w:jc w:val="center"/>
              <w:rPr>
                <w:color w:val="auto"/>
                <w:szCs w:val="21"/>
                <w:highlight w:val="none"/>
              </w:rPr>
            </w:pPr>
            <w:r>
              <w:rPr>
                <w:color w:val="auto"/>
                <w:szCs w:val="21"/>
                <w:highlight w:val="none"/>
              </w:rPr>
              <w:t>发包人电话</w:t>
            </w:r>
          </w:p>
          <w:bookmarkEnd w:id="1499"/>
          <w:bookmarkEnd w:id="1500"/>
          <w:bookmarkEnd w:id="1501"/>
          <w:bookmarkEnd w:id="1502"/>
          <w:bookmarkEnd w:id="1503"/>
          <w:bookmarkEnd w:id="1504"/>
          <w:bookmarkEnd w:id="1505"/>
          <w:bookmarkEnd w:id="1506"/>
          <w:bookmarkEnd w:id="1507"/>
          <w:bookmarkEnd w:id="1508"/>
          <w:bookmarkEnd w:id="1509"/>
          <w:bookmarkEnd w:id="1510"/>
          <w:bookmarkEnd w:id="1511"/>
        </w:tc>
        <w:tc>
          <w:tcPr>
            <w:tcW w:w="6912" w:type="dxa"/>
            <w:noWrap w:val="0"/>
            <w:vAlign w:val="top"/>
          </w:tcPr>
          <w:p w14:paraId="0C84838E">
            <w:pPr>
              <w:topLinePunct/>
              <w:adjustRightInd w:val="0"/>
              <w:snapToGrid w:val="0"/>
              <w:spacing w:line="560" w:lineRule="exact"/>
              <w:rPr>
                <w:color w:val="auto"/>
                <w:szCs w:val="21"/>
                <w:highlight w:val="none"/>
              </w:rPr>
            </w:pPr>
          </w:p>
        </w:tc>
      </w:tr>
      <w:tr w14:paraId="12A4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3" w:hRule="atLeast"/>
          <w:jc w:val="center"/>
        </w:trPr>
        <w:tc>
          <w:tcPr>
            <w:tcW w:w="2508" w:type="dxa"/>
            <w:noWrap w:val="0"/>
            <w:vAlign w:val="center"/>
          </w:tcPr>
          <w:p w14:paraId="732D051D">
            <w:pPr>
              <w:topLinePunct/>
              <w:adjustRightInd w:val="0"/>
              <w:snapToGrid w:val="0"/>
              <w:spacing w:line="560" w:lineRule="exact"/>
              <w:jc w:val="center"/>
              <w:rPr>
                <w:color w:val="auto"/>
                <w:szCs w:val="21"/>
                <w:highlight w:val="none"/>
              </w:rPr>
            </w:pPr>
            <w:r>
              <w:rPr>
                <w:color w:val="auto"/>
                <w:szCs w:val="21"/>
                <w:highlight w:val="none"/>
              </w:rPr>
              <w:t>合同价格</w:t>
            </w:r>
          </w:p>
        </w:tc>
        <w:tc>
          <w:tcPr>
            <w:tcW w:w="6912" w:type="dxa"/>
            <w:noWrap w:val="0"/>
            <w:vAlign w:val="top"/>
          </w:tcPr>
          <w:p w14:paraId="5CC2B11E">
            <w:pPr>
              <w:topLinePunct/>
              <w:adjustRightInd w:val="0"/>
              <w:snapToGrid w:val="0"/>
              <w:spacing w:line="560" w:lineRule="exact"/>
              <w:rPr>
                <w:color w:val="auto"/>
                <w:szCs w:val="21"/>
                <w:highlight w:val="none"/>
              </w:rPr>
            </w:pPr>
          </w:p>
        </w:tc>
      </w:tr>
      <w:tr w14:paraId="73C2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2508" w:type="dxa"/>
            <w:noWrap w:val="0"/>
            <w:vAlign w:val="center"/>
          </w:tcPr>
          <w:p w14:paraId="42DF6247">
            <w:pPr>
              <w:topLinePunct/>
              <w:adjustRightInd w:val="0"/>
              <w:snapToGrid w:val="0"/>
              <w:spacing w:line="560" w:lineRule="exact"/>
              <w:jc w:val="center"/>
              <w:rPr>
                <w:color w:val="auto"/>
                <w:szCs w:val="21"/>
                <w:highlight w:val="none"/>
              </w:rPr>
            </w:pPr>
            <w:r>
              <w:rPr>
                <w:color w:val="auto"/>
                <w:szCs w:val="21"/>
                <w:highlight w:val="none"/>
              </w:rPr>
              <w:t>开工日期</w:t>
            </w:r>
          </w:p>
        </w:tc>
        <w:tc>
          <w:tcPr>
            <w:tcW w:w="6912" w:type="dxa"/>
            <w:noWrap w:val="0"/>
            <w:vAlign w:val="top"/>
          </w:tcPr>
          <w:p w14:paraId="37DE7561">
            <w:pPr>
              <w:topLinePunct/>
              <w:adjustRightInd w:val="0"/>
              <w:snapToGrid w:val="0"/>
              <w:spacing w:line="560" w:lineRule="exact"/>
              <w:rPr>
                <w:color w:val="auto"/>
                <w:szCs w:val="21"/>
                <w:highlight w:val="none"/>
              </w:rPr>
            </w:pPr>
          </w:p>
        </w:tc>
      </w:tr>
      <w:tr w14:paraId="0FCA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2508" w:type="dxa"/>
            <w:noWrap w:val="0"/>
            <w:vAlign w:val="center"/>
          </w:tcPr>
          <w:p w14:paraId="2B6A548C">
            <w:pPr>
              <w:topLinePunct/>
              <w:adjustRightInd w:val="0"/>
              <w:snapToGrid w:val="0"/>
              <w:spacing w:line="560" w:lineRule="exact"/>
              <w:jc w:val="center"/>
              <w:rPr>
                <w:color w:val="auto"/>
                <w:szCs w:val="21"/>
                <w:highlight w:val="none"/>
              </w:rPr>
            </w:pPr>
            <w:r>
              <w:rPr>
                <w:rFonts w:hint="eastAsia"/>
                <w:color w:val="auto"/>
                <w:highlight w:val="none"/>
              </w:rPr>
              <w:t>竣工</w:t>
            </w:r>
            <w:r>
              <w:rPr>
                <w:color w:val="auto"/>
                <w:szCs w:val="21"/>
                <w:highlight w:val="none"/>
              </w:rPr>
              <w:t>日期</w:t>
            </w:r>
          </w:p>
        </w:tc>
        <w:tc>
          <w:tcPr>
            <w:tcW w:w="6912" w:type="dxa"/>
            <w:noWrap w:val="0"/>
            <w:vAlign w:val="top"/>
          </w:tcPr>
          <w:p w14:paraId="555C4D12">
            <w:pPr>
              <w:topLinePunct/>
              <w:adjustRightInd w:val="0"/>
              <w:snapToGrid w:val="0"/>
              <w:spacing w:line="560" w:lineRule="exact"/>
              <w:rPr>
                <w:color w:val="auto"/>
                <w:szCs w:val="21"/>
                <w:highlight w:val="none"/>
              </w:rPr>
            </w:pPr>
          </w:p>
        </w:tc>
      </w:tr>
      <w:tr w14:paraId="0CE6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2508" w:type="dxa"/>
            <w:noWrap w:val="0"/>
            <w:vAlign w:val="center"/>
          </w:tcPr>
          <w:p w14:paraId="79F8F4AF">
            <w:pPr>
              <w:topLinePunct/>
              <w:adjustRightInd w:val="0"/>
              <w:snapToGrid w:val="0"/>
              <w:spacing w:line="560" w:lineRule="exact"/>
              <w:jc w:val="center"/>
              <w:rPr>
                <w:color w:val="auto"/>
                <w:szCs w:val="21"/>
                <w:highlight w:val="none"/>
              </w:rPr>
            </w:pPr>
            <w:r>
              <w:rPr>
                <w:color w:val="auto"/>
                <w:szCs w:val="21"/>
                <w:highlight w:val="none"/>
              </w:rPr>
              <w:t>承担的工作</w:t>
            </w:r>
          </w:p>
        </w:tc>
        <w:tc>
          <w:tcPr>
            <w:tcW w:w="6912" w:type="dxa"/>
            <w:noWrap w:val="0"/>
            <w:vAlign w:val="top"/>
          </w:tcPr>
          <w:p w14:paraId="6AC2F404">
            <w:pPr>
              <w:topLinePunct/>
              <w:adjustRightInd w:val="0"/>
              <w:snapToGrid w:val="0"/>
              <w:spacing w:line="560" w:lineRule="exact"/>
              <w:rPr>
                <w:color w:val="auto"/>
                <w:szCs w:val="21"/>
                <w:highlight w:val="none"/>
              </w:rPr>
            </w:pPr>
          </w:p>
        </w:tc>
      </w:tr>
      <w:tr w14:paraId="2394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2508" w:type="dxa"/>
            <w:noWrap w:val="0"/>
            <w:vAlign w:val="center"/>
          </w:tcPr>
          <w:p w14:paraId="1A4289DF">
            <w:pPr>
              <w:topLinePunct/>
              <w:adjustRightInd w:val="0"/>
              <w:snapToGrid w:val="0"/>
              <w:spacing w:line="560" w:lineRule="exact"/>
              <w:jc w:val="center"/>
              <w:rPr>
                <w:color w:val="auto"/>
                <w:szCs w:val="21"/>
                <w:highlight w:val="none"/>
              </w:rPr>
            </w:pPr>
            <w:r>
              <w:rPr>
                <w:color w:val="auto"/>
                <w:szCs w:val="21"/>
                <w:highlight w:val="none"/>
              </w:rPr>
              <w:t>工程质量</w:t>
            </w:r>
          </w:p>
        </w:tc>
        <w:tc>
          <w:tcPr>
            <w:tcW w:w="6912" w:type="dxa"/>
            <w:noWrap w:val="0"/>
            <w:vAlign w:val="top"/>
          </w:tcPr>
          <w:p w14:paraId="0166C508">
            <w:pPr>
              <w:topLinePunct/>
              <w:adjustRightInd w:val="0"/>
              <w:snapToGrid w:val="0"/>
              <w:spacing w:line="560" w:lineRule="exact"/>
              <w:rPr>
                <w:color w:val="auto"/>
                <w:szCs w:val="21"/>
                <w:highlight w:val="none"/>
              </w:rPr>
            </w:pPr>
          </w:p>
        </w:tc>
      </w:tr>
      <w:tr w14:paraId="48DF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2" w:hRule="atLeast"/>
          <w:jc w:val="center"/>
        </w:trPr>
        <w:tc>
          <w:tcPr>
            <w:tcW w:w="2508" w:type="dxa"/>
            <w:noWrap w:val="0"/>
            <w:vAlign w:val="center"/>
          </w:tcPr>
          <w:p w14:paraId="1F50EC69">
            <w:pPr>
              <w:topLinePunct/>
              <w:adjustRightInd w:val="0"/>
              <w:snapToGrid w:val="0"/>
              <w:spacing w:line="560" w:lineRule="exact"/>
              <w:jc w:val="center"/>
              <w:rPr>
                <w:color w:val="auto"/>
                <w:szCs w:val="21"/>
                <w:highlight w:val="none"/>
              </w:rPr>
            </w:pPr>
            <w:r>
              <w:rPr>
                <w:color w:val="auto"/>
                <w:szCs w:val="21"/>
                <w:highlight w:val="none"/>
              </w:rPr>
              <w:t>项目经理（建造师）</w:t>
            </w:r>
          </w:p>
        </w:tc>
        <w:tc>
          <w:tcPr>
            <w:tcW w:w="6912" w:type="dxa"/>
            <w:noWrap w:val="0"/>
            <w:vAlign w:val="top"/>
          </w:tcPr>
          <w:p w14:paraId="54BC9EC3">
            <w:pPr>
              <w:topLinePunct/>
              <w:adjustRightInd w:val="0"/>
              <w:snapToGrid w:val="0"/>
              <w:spacing w:line="560" w:lineRule="exact"/>
              <w:rPr>
                <w:color w:val="auto"/>
                <w:szCs w:val="21"/>
                <w:highlight w:val="none"/>
              </w:rPr>
            </w:pPr>
          </w:p>
        </w:tc>
      </w:tr>
      <w:tr w14:paraId="7FDD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2508" w:type="dxa"/>
            <w:noWrap w:val="0"/>
            <w:vAlign w:val="center"/>
          </w:tcPr>
          <w:p w14:paraId="652BD236">
            <w:pPr>
              <w:topLinePunct/>
              <w:adjustRightInd w:val="0"/>
              <w:snapToGrid w:val="0"/>
              <w:spacing w:line="560" w:lineRule="exact"/>
              <w:jc w:val="center"/>
              <w:rPr>
                <w:color w:val="auto"/>
                <w:szCs w:val="21"/>
                <w:highlight w:val="none"/>
              </w:rPr>
            </w:pPr>
            <w:r>
              <w:rPr>
                <w:color w:val="auto"/>
                <w:szCs w:val="21"/>
                <w:highlight w:val="none"/>
              </w:rPr>
              <w:t>技术负责人</w:t>
            </w:r>
          </w:p>
        </w:tc>
        <w:tc>
          <w:tcPr>
            <w:tcW w:w="6912" w:type="dxa"/>
            <w:noWrap w:val="0"/>
            <w:vAlign w:val="top"/>
          </w:tcPr>
          <w:p w14:paraId="2B515BF4">
            <w:pPr>
              <w:topLinePunct/>
              <w:adjustRightInd w:val="0"/>
              <w:snapToGrid w:val="0"/>
              <w:spacing w:line="560" w:lineRule="exact"/>
              <w:rPr>
                <w:color w:val="auto"/>
                <w:szCs w:val="21"/>
                <w:highlight w:val="none"/>
              </w:rPr>
            </w:pPr>
          </w:p>
        </w:tc>
      </w:tr>
      <w:tr w14:paraId="7E0D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2508" w:type="dxa"/>
            <w:noWrap w:val="0"/>
            <w:vAlign w:val="center"/>
          </w:tcPr>
          <w:p w14:paraId="1413A741">
            <w:pPr>
              <w:topLinePunct/>
              <w:adjustRightInd w:val="0"/>
              <w:snapToGrid w:val="0"/>
              <w:spacing w:line="560" w:lineRule="exact"/>
              <w:jc w:val="center"/>
              <w:rPr>
                <w:color w:val="auto"/>
                <w:szCs w:val="21"/>
                <w:highlight w:val="none"/>
              </w:rPr>
            </w:pPr>
            <w:r>
              <w:rPr>
                <w:color w:val="auto"/>
                <w:szCs w:val="21"/>
                <w:highlight w:val="none"/>
              </w:rPr>
              <w:t>项目描述</w:t>
            </w:r>
          </w:p>
        </w:tc>
        <w:tc>
          <w:tcPr>
            <w:tcW w:w="6912" w:type="dxa"/>
            <w:noWrap w:val="0"/>
            <w:vAlign w:val="top"/>
          </w:tcPr>
          <w:p w14:paraId="014A5C57">
            <w:pPr>
              <w:topLinePunct/>
              <w:adjustRightInd w:val="0"/>
              <w:snapToGrid w:val="0"/>
              <w:spacing w:line="560" w:lineRule="exact"/>
              <w:rPr>
                <w:color w:val="auto"/>
                <w:szCs w:val="21"/>
                <w:highlight w:val="none"/>
              </w:rPr>
            </w:pPr>
          </w:p>
          <w:p w14:paraId="15D626C0">
            <w:pPr>
              <w:topLinePunct/>
              <w:adjustRightInd w:val="0"/>
              <w:snapToGrid w:val="0"/>
              <w:spacing w:line="560" w:lineRule="exact"/>
              <w:rPr>
                <w:color w:val="auto"/>
                <w:szCs w:val="21"/>
                <w:highlight w:val="none"/>
              </w:rPr>
            </w:pPr>
          </w:p>
          <w:p w14:paraId="2C4675BF">
            <w:pPr>
              <w:topLinePunct/>
              <w:adjustRightInd w:val="0"/>
              <w:snapToGrid w:val="0"/>
              <w:spacing w:line="560" w:lineRule="exact"/>
              <w:rPr>
                <w:rFonts w:hint="eastAsia"/>
                <w:color w:val="auto"/>
                <w:szCs w:val="21"/>
                <w:highlight w:val="none"/>
              </w:rPr>
            </w:pPr>
          </w:p>
        </w:tc>
      </w:tr>
      <w:tr w14:paraId="7A3B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2508" w:type="dxa"/>
            <w:noWrap w:val="0"/>
            <w:vAlign w:val="center"/>
          </w:tcPr>
          <w:p w14:paraId="6A1CFD95">
            <w:pPr>
              <w:topLinePunct/>
              <w:adjustRightInd w:val="0"/>
              <w:snapToGrid w:val="0"/>
              <w:spacing w:line="560" w:lineRule="exact"/>
              <w:jc w:val="center"/>
              <w:rPr>
                <w:color w:val="auto"/>
                <w:szCs w:val="21"/>
                <w:highlight w:val="none"/>
              </w:rPr>
            </w:pPr>
            <w:r>
              <w:rPr>
                <w:color w:val="auto"/>
                <w:szCs w:val="21"/>
                <w:highlight w:val="none"/>
              </w:rPr>
              <w:t>备注</w:t>
            </w:r>
          </w:p>
        </w:tc>
        <w:tc>
          <w:tcPr>
            <w:tcW w:w="6912" w:type="dxa"/>
            <w:noWrap w:val="0"/>
            <w:vAlign w:val="top"/>
          </w:tcPr>
          <w:p w14:paraId="35D7C585">
            <w:pPr>
              <w:topLinePunct/>
              <w:adjustRightInd w:val="0"/>
              <w:snapToGrid w:val="0"/>
              <w:spacing w:line="560" w:lineRule="exact"/>
              <w:rPr>
                <w:color w:val="auto"/>
                <w:szCs w:val="21"/>
                <w:highlight w:val="none"/>
              </w:rPr>
            </w:pPr>
          </w:p>
        </w:tc>
      </w:tr>
    </w:tbl>
    <w:p w14:paraId="2EF5D4C1">
      <w:pPr>
        <w:pStyle w:val="4"/>
        <w:adjustRightInd w:val="0"/>
        <w:snapToGrid w:val="0"/>
        <w:spacing w:before="0" w:after="0" w:line="560" w:lineRule="exact"/>
        <w:jc w:val="center"/>
        <w:rPr>
          <w:color w:val="auto"/>
          <w:highlight w:val="none"/>
        </w:rPr>
      </w:pPr>
      <w:bookmarkStart w:id="1512" w:name="_Toc95223536"/>
      <w:r>
        <w:rPr>
          <w:color w:val="auto"/>
          <w:highlight w:val="none"/>
        </w:rPr>
        <w:t>（</w:t>
      </w:r>
      <w:r>
        <w:rPr>
          <w:rFonts w:hint="eastAsia"/>
          <w:color w:val="auto"/>
          <w:highlight w:val="none"/>
        </w:rPr>
        <w:t>4</w:t>
      </w:r>
      <w:r>
        <w:rPr>
          <w:color w:val="auto"/>
          <w:highlight w:val="none"/>
        </w:rPr>
        <w:t>）正在</w:t>
      </w:r>
      <w:r>
        <w:rPr>
          <w:rFonts w:hint="eastAsia"/>
          <w:color w:val="auto"/>
          <w:highlight w:val="none"/>
        </w:rPr>
        <w:t>实施</w:t>
      </w:r>
      <w:r>
        <w:rPr>
          <w:color w:val="auto"/>
          <w:highlight w:val="none"/>
        </w:rPr>
        <w:t>的和新承接的项目情况表</w:t>
      </w:r>
      <w:bookmarkEnd w:id="1512"/>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2"/>
        <w:gridCol w:w="7408"/>
      </w:tblGrid>
      <w:tr w14:paraId="0937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452" w:type="dxa"/>
            <w:noWrap w:val="0"/>
            <w:vAlign w:val="center"/>
          </w:tcPr>
          <w:p w14:paraId="35366CCF">
            <w:pPr>
              <w:topLinePunct/>
              <w:adjustRightInd w:val="0"/>
              <w:snapToGrid w:val="0"/>
              <w:spacing w:line="560" w:lineRule="exact"/>
              <w:jc w:val="center"/>
              <w:rPr>
                <w:color w:val="auto"/>
                <w:szCs w:val="21"/>
                <w:highlight w:val="none"/>
              </w:rPr>
            </w:pPr>
            <w:r>
              <w:rPr>
                <w:color w:val="auto"/>
                <w:szCs w:val="21"/>
                <w:highlight w:val="none"/>
              </w:rPr>
              <w:t>项目名称</w:t>
            </w:r>
          </w:p>
        </w:tc>
        <w:tc>
          <w:tcPr>
            <w:tcW w:w="7408" w:type="dxa"/>
            <w:noWrap w:val="0"/>
            <w:vAlign w:val="top"/>
          </w:tcPr>
          <w:p w14:paraId="3EF95162">
            <w:pPr>
              <w:topLinePunct/>
              <w:adjustRightInd w:val="0"/>
              <w:snapToGrid w:val="0"/>
              <w:spacing w:line="560" w:lineRule="exact"/>
              <w:rPr>
                <w:color w:val="auto"/>
                <w:szCs w:val="21"/>
                <w:highlight w:val="none"/>
              </w:rPr>
            </w:pPr>
          </w:p>
        </w:tc>
      </w:tr>
      <w:tr w14:paraId="483F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452" w:type="dxa"/>
            <w:noWrap w:val="0"/>
            <w:vAlign w:val="center"/>
          </w:tcPr>
          <w:p w14:paraId="34130D8D">
            <w:pPr>
              <w:topLinePunct/>
              <w:adjustRightInd w:val="0"/>
              <w:snapToGrid w:val="0"/>
              <w:spacing w:line="560" w:lineRule="exact"/>
              <w:jc w:val="center"/>
              <w:rPr>
                <w:color w:val="auto"/>
                <w:szCs w:val="21"/>
                <w:highlight w:val="none"/>
              </w:rPr>
            </w:pPr>
            <w:r>
              <w:rPr>
                <w:color w:val="auto"/>
                <w:szCs w:val="21"/>
                <w:highlight w:val="none"/>
              </w:rPr>
              <w:t>项目所在地</w:t>
            </w:r>
          </w:p>
        </w:tc>
        <w:tc>
          <w:tcPr>
            <w:tcW w:w="7408" w:type="dxa"/>
            <w:noWrap w:val="0"/>
            <w:vAlign w:val="top"/>
          </w:tcPr>
          <w:p w14:paraId="0B993820">
            <w:pPr>
              <w:topLinePunct/>
              <w:adjustRightInd w:val="0"/>
              <w:snapToGrid w:val="0"/>
              <w:spacing w:line="560" w:lineRule="exact"/>
              <w:rPr>
                <w:color w:val="auto"/>
                <w:szCs w:val="21"/>
                <w:highlight w:val="none"/>
              </w:rPr>
            </w:pPr>
          </w:p>
        </w:tc>
      </w:tr>
      <w:tr w14:paraId="6F39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2452" w:type="dxa"/>
            <w:noWrap w:val="0"/>
            <w:vAlign w:val="center"/>
          </w:tcPr>
          <w:p w14:paraId="7D65560A">
            <w:pPr>
              <w:topLinePunct/>
              <w:adjustRightInd w:val="0"/>
              <w:snapToGrid w:val="0"/>
              <w:spacing w:line="560" w:lineRule="exact"/>
              <w:jc w:val="center"/>
              <w:rPr>
                <w:color w:val="auto"/>
                <w:szCs w:val="21"/>
                <w:highlight w:val="none"/>
              </w:rPr>
            </w:pPr>
            <w:r>
              <w:rPr>
                <w:color w:val="auto"/>
                <w:szCs w:val="21"/>
                <w:highlight w:val="none"/>
              </w:rPr>
              <w:t>发包人名</w:t>
            </w:r>
            <w:bookmarkStart w:id="1513" w:name="_Toc152045811"/>
            <w:bookmarkStart w:id="1514" w:name="_Toc58229119"/>
            <w:bookmarkStart w:id="1515" w:name="_Toc296602621"/>
            <w:bookmarkStart w:id="1516" w:name="_Toc247527851"/>
            <w:bookmarkStart w:id="1517" w:name="_Toc247514303"/>
            <w:bookmarkStart w:id="1518" w:name="_Toc324404892"/>
            <w:bookmarkStart w:id="1519" w:name="_Toc60061578"/>
            <w:bookmarkStart w:id="1520" w:name="_Toc15058938"/>
            <w:bookmarkStart w:id="1521" w:name="_Toc152042600"/>
            <w:bookmarkStart w:id="1522" w:name="_Toc265953297"/>
            <w:bookmarkStart w:id="1523" w:name="_Toc506107344"/>
            <w:bookmarkStart w:id="1524" w:name="_Toc144974879"/>
            <w:bookmarkStart w:id="1525" w:name="_Toc30815"/>
            <w:r>
              <w:rPr>
                <w:color w:val="auto"/>
                <w:szCs w:val="21"/>
                <w:highlight w:val="none"/>
              </w:rPr>
              <w:t>称</w:t>
            </w:r>
          </w:p>
        </w:tc>
        <w:tc>
          <w:tcPr>
            <w:tcW w:w="7408" w:type="dxa"/>
            <w:noWrap w:val="0"/>
            <w:vAlign w:val="top"/>
          </w:tcPr>
          <w:p w14:paraId="3EC9C8DD">
            <w:pPr>
              <w:topLinePunct/>
              <w:adjustRightInd w:val="0"/>
              <w:snapToGrid w:val="0"/>
              <w:spacing w:line="560" w:lineRule="exact"/>
              <w:rPr>
                <w:color w:val="auto"/>
                <w:szCs w:val="21"/>
                <w:highlight w:val="none"/>
              </w:rPr>
            </w:pPr>
          </w:p>
        </w:tc>
      </w:tr>
      <w:tr w14:paraId="7CB9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2" w:hRule="atLeast"/>
          <w:jc w:val="center"/>
        </w:trPr>
        <w:tc>
          <w:tcPr>
            <w:tcW w:w="2452" w:type="dxa"/>
            <w:noWrap w:val="0"/>
            <w:vAlign w:val="center"/>
          </w:tcPr>
          <w:p w14:paraId="0D023FEB">
            <w:pPr>
              <w:topLinePunct/>
              <w:adjustRightInd w:val="0"/>
              <w:snapToGrid w:val="0"/>
              <w:spacing w:line="560" w:lineRule="exact"/>
              <w:jc w:val="center"/>
              <w:rPr>
                <w:color w:val="auto"/>
                <w:szCs w:val="21"/>
                <w:highlight w:val="none"/>
              </w:rPr>
            </w:pPr>
            <w:r>
              <w:rPr>
                <w:color w:val="auto"/>
                <w:szCs w:val="21"/>
                <w:highlight w:val="none"/>
              </w:rPr>
              <w:t>发包人地址</w:t>
            </w:r>
          </w:p>
        </w:tc>
        <w:tc>
          <w:tcPr>
            <w:tcW w:w="7408" w:type="dxa"/>
            <w:noWrap w:val="0"/>
            <w:vAlign w:val="top"/>
          </w:tcPr>
          <w:p w14:paraId="062B0FFC">
            <w:pPr>
              <w:topLinePunct/>
              <w:adjustRightInd w:val="0"/>
              <w:snapToGrid w:val="0"/>
              <w:spacing w:line="560" w:lineRule="exact"/>
              <w:rPr>
                <w:color w:val="auto"/>
                <w:szCs w:val="21"/>
                <w:highlight w:val="none"/>
              </w:rPr>
            </w:pPr>
          </w:p>
        </w:tc>
      </w:tr>
      <w:tr w14:paraId="2CA0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1" w:hRule="atLeast"/>
          <w:jc w:val="center"/>
        </w:trPr>
        <w:tc>
          <w:tcPr>
            <w:tcW w:w="2452" w:type="dxa"/>
            <w:noWrap w:val="0"/>
            <w:vAlign w:val="center"/>
          </w:tcPr>
          <w:p w14:paraId="4EEA3A9E">
            <w:pPr>
              <w:topLinePunct/>
              <w:adjustRightInd w:val="0"/>
              <w:snapToGrid w:val="0"/>
              <w:spacing w:line="560" w:lineRule="exact"/>
              <w:jc w:val="center"/>
              <w:rPr>
                <w:color w:val="auto"/>
                <w:szCs w:val="21"/>
                <w:highlight w:val="none"/>
              </w:rPr>
            </w:pPr>
            <w:r>
              <w:rPr>
                <w:color w:val="auto"/>
                <w:szCs w:val="21"/>
                <w:highlight w:val="none"/>
              </w:rPr>
              <w:t>发包人电话</w:t>
            </w:r>
          </w:p>
          <w:bookmarkEnd w:id="1513"/>
          <w:bookmarkEnd w:id="1514"/>
          <w:bookmarkEnd w:id="1515"/>
          <w:bookmarkEnd w:id="1516"/>
          <w:bookmarkEnd w:id="1517"/>
          <w:bookmarkEnd w:id="1518"/>
          <w:bookmarkEnd w:id="1519"/>
          <w:bookmarkEnd w:id="1520"/>
          <w:bookmarkEnd w:id="1521"/>
          <w:bookmarkEnd w:id="1522"/>
          <w:bookmarkEnd w:id="1523"/>
          <w:bookmarkEnd w:id="1524"/>
          <w:bookmarkEnd w:id="1525"/>
        </w:tc>
        <w:tc>
          <w:tcPr>
            <w:tcW w:w="7408" w:type="dxa"/>
            <w:noWrap w:val="0"/>
            <w:vAlign w:val="top"/>
          </w:tcPr>
          <w:p w14:paraId="5C95A7E2">
            <w:pPr>
              <w:topLinePunct/>
              <w:adjustRightInd w:val="0"/>
              <w:snapToGrid w:val="0"/>
              <w:spacing w:line="560" w:lineRule="exact"/>
              <w:rPr>
                <w:color w:val="auto"/>
                <w:szCs w:val="21"/>
                <w:highlight w:val="none"/>
              </w:rPr>
            </w:pPr>
          </w:p>
        </w:tc>
      </w:tr>
      <w:tr w14:paraId="1415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2452" w:type="dxa"/>
            <w:noWrap w:val="0"/>
            <w:vAlign w:val="center"/>
          </w:tcPr>
          <w:p w14:paraId="436F856E">
            <w:pPr>
              <w:topLinePunct/>
              <w:adjustRightInd w:val="0"/>
              <w:snapToGrid w:val="0"/>
              <w:spacing w:line="560" w:lineRule="exact"/>
              <w:jc w:val="center"/>
              <w:rPr>
                <w:color w:val="auto"/>
                <w:szCs w:val="21"/>
                <w:highlight w:val="none"/>
              </w:rPr>
            </w:pPr>
            <w:r>
              <w:rPr>
                <w:color w:val="auto"/>
                <w:szCs w:val="21"/>
                <w:highlight w:val="none"/>
              </w:rPr>
              <w:t>签约合同价</w:t>
            </w:r>
          </w:p>
        </w:tc>
        <w:tc>
          <w:tcPr>
            <w:tcW w:w="7408" w:type="dxa"/>
            <w:noWrap w:val="0"/>
            <w:vAlign w:val="top"/>
          </w:tcPr>
          <w:p w14:paraId="25D6A171">
            <w:pPr>
              <w:topLinePunct/>
              <w:adjustRightInd w:val="0"/>
              <w:snapToGrid w:val="0"/>
              <w:spacing w:line="560" w:lineRule="exact"/>
              <w:rPr>
                <w:color w:val="auto"/>
                <w:szCs w:val="21"/>
                <w:highlight w:val="none"/>
              </w:rPr>
            </w:pPr>
          </w:p>
        </w:tc>
      </w:tr>
      <w:tr w14:paraId="138A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7" w:hRule="atLeast"/>
          <w:jc w:val="center"/>
        </w:trPr>
        <w:tc>
          <w:tcPr>
            <w:tcW w:w="2452" w:type="dxa"/>
            <w:noWrap w:val="0"/>
            <w:vAlign w:val="center"/>
          </w:tcPr>
          <w:p w14:paraId="455CBCDC">
            <w:pPr>
              <w:topLinePunct/>
              <w:adjustRightInd w:val="0"/>
              <w:snapToGrid w:val="0"/>
              <w:spacing w:line="560" w:lineRule="exact"/>
              <w:jc w:val="center"/>
              <w:rPr>
                <w:color w:val="auto"/>
                <w:szCs w:val="21"/>
                <w:highlight w:val="none"/>
              </w:rPr>
            </w:pPr>
            <w:r>
              <w:rPr>
                <w:color w:val="auto"/>
                <w:szCs w:val="21"/>
                <w:highlight w:val="none"/>
              </w:rPr>
              <w:t>开工日期</w:t>
            </w:r>
          </w:p>
        </w:tc>
        <w:tc>
          <w:tcPr>
            <w:tcW w:w="7408" w:type="dxa"/>
            <w:noWrap w:val="0"/>
            <w:vAlign w:val="top"/>
          </w:tcPr>
          <w:p w14:paraId="0E51C639">
            <w:pPr>
              <w:topLinePunct/>
              <w:adjustRightInd w:val="0"/>
              <w:snapToGrid w:val="0"/>
              <w:spacing w:line="560" w:lineRule="exact"/>
              <w:rPr>
                <w:color w:val="auto"/>
                <w:szCs w:val="21"/>
                <w:highlight w:val="none"/>
              </w:rPr>
            </w:pPr>
          </w:p>
        </w:tc>
      </w:tr>
      <w:tr w14:paraId="3A70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452" w:type="dxa"/>
            <w:noWrap w:val="0"/>
            <w:vAlign w:val="center"/>
          </w:tcPr>
          <w:p w14:paraId="6B85914A">
            <w:pPr>
              <w:topLinePunct/>
              <w:adjustRightInd w:val="0"/>
              <w:snapToGrid w:val="0"/>
              <w:spacing w:line="560" w:lineRule="exact"/>
              <w:jc w:val="center"/>
              <w:rPr>
                <w:color w:val="auto"/>
                <w:szCs w:val="21"/>
                <w:highlight w:val="none"/>
              </w:rPr>
            </w:pPr>
            <w:r>
              <w:rPr>
                <w:color w:val="auto"/>
                <w:szCs w:val="21"/>
                <w:highlight w:val="none"/>
              </w:rPr>
              <w:t>计划</w:t>
            </w:r>
            <w:r>
              <w:rPr>
                <w:rFonts w:hint="eastAsia"/>
                <w:color w:val="auto"/>
                <w:highlight w:val="none"/>
              </w:rPr>
              <w:t>竣工</w:t>
            </w:r>
            <w:r>
              <w:rPr>
                <w:color w:val="auto"/>
                <w:szCs w:val="21"/>
                <w:highlight w:val="none"/>
              </w:rPr>
              <w:t>日期</w:t>
            </w:r>
          </w:p>
        </w:tc>
        <w:tc>
          <w:tcPr>
            <w:tcW w:w="7408" w:type="dxa"/>
            <w:noWrap w:val="0"/>
            <w:vAlign w:val="top"/>
          </w:tcPr>
          <w:p w14:paraId="040A3221">
            <w:pPr>
              <w:topLinePunct/>
              <w:adjustRightInd w:val="0"/>
              <w:snapToGrid w:val="0"/>
              <w:spacing w:line="560" w:lineRule="exact"/>
              <w:rPr>
                <w:color w:val="auto"/>
                <w:szCs w:val="21"/>
                <w:highlight w:val="none"/>
              </w:rPr>
            </w:pPr>
          </w:p>
        </w:tc>
      </w:tr>
      <w:tr w14:paraId="21D5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1" w:hRule="atLeast"/>
          <w:jc w:val="center"/>
        </w:trPr>
        <w:tc>
          <w:tcPr>
            <w:tcW w:w="2452" w:type="dxa"/>
            <w:noWrap w:val="0"/>
            <w:vAlign w:val="center"/>
          </w:tcPr>
          <w:p w14:paraId="19951684">
            <w:pPr>
              <w:topLinePunct/>
              <w:adjustRightInd w:val="0"/>
              <w:snapToGrid w:val="0"/>
              <w:spacing w:line="560" w:lineRule="exact"/>
              <w:jc w:val="center"/>
              <w:rPr>
                <w:color w:val="auto"/>
                <w:szCs w:val="21"/>
                <w:highlight w:val="none"/>
              </w:rPr>
            </w:pPr>
            <w:r>
              <w:rPr>
                <w:color w:val="auto"/>
                <w:szCs w:val="21"/>
                <w:highlight w:val="none"/>
              </w:rPr>
              <w:t>承担的工作</w:t>
            </w:r>
          </w:p>
        </w:tc>
        <w:tc>
          <w:tcPr>
            <w:tcW w:w="7408" w:type="dxa"/>
            <w:noWrap w:val="0"/>
            <w:vAlign w:val="top"/>
          </w:tcPr>
          <w:p w14:paraId="105CA6FD">
            <w:pPr>
              <w:topLinePunct/>
              <w:adjustRightInd w:val="0"/>
              <w:snapToGrid w:val="0"/>
              <w:spacing w:line="560" w:lineRule="exact"/>
              <w:rPr>
                <w:color w:val="auto"/>
                <w:szCs w:val="21"/>
                <w:highlight w:val="none"/>
              </w:rPr>
            </w:pPr>
          </w:p>
        </w:tc>
      </w:tr>
      <w:tr w14:paraId="410C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2452" w:type="dxa"/>
            <w:noWrap w:val="0"/>
            <w:vAlign w:val="center"/>
          </w:tcPr>
          <w:p w14:paraId="3985E396">
            <w:pPr>
              <w:topLinePunct/>
              <w:adjustRightInd w:val="0"/>
              <w:snapToGrid w:val="0"/>
              <w:spacing w:line="560" w:lineRule="exact"/>
              <w:jc w:val="center"/>
              <w:rPr>
                <w:color w:val="auto"/>
                <w:szCs w:val="21"/>
                <w:highlight w:val="none"/>
              </w:rPr>
            </w:pPr>
            <w:r>
              <w:rPr>
                <w:color w:val="auto"/>
                <w:szCs w:val="21"/>
                <w:highlight w:val="none"/>
              </w:rPr>
              <w:t>工程质量</w:t>
            </w:r>
          </w:p>
        </w:tc>
        <w:tc>
          <w:tcPr>
            <w:tcW w:w="7408" w:type="dxa"/>
            <w:noWrap w:val="0"/>
            <w:vAlign w:val="top"/>
          </w:tcPr>
          <w:p w14:paraId="75737887">
            <w:pPr>
              <w:topLinePunct/>
              <w:adjustRightInd w:val="0"/>
              <w:snapToGrid w:val="0"/>
              <w:spacing w:line="560" w:lineRule="exact"/>
              <w:rPr>
                <w:color w:val="auto"/>
                <w:szCs w:val="21"/>
                <w:highlight w:val="none"/>
              </w:rPr>
            </w:pPr>
          </w:p>
        </w:tc>
      </w:tr>
      <w:tr w14:paraId="18B2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3" w:hRule="atLeast"/>
          <w:jc w:val="center"/>
        </w:trPr>
        <w:tc>
          <w:tcPr>
            <w:tcW w:w="2452" w:type="dxa"/>
            <w:noWrap w:val="0"/>
            <w:vAlign w:val="center"/>
          </w:tcPr>
          <w:p w14:paraId="41457898">
            <w:pPr>
              <w:topLinePunct/>
              <w:adjustRightInd w:val="0"/>
              <w:snapToGrid w:val="0"/>
              <w:spacing w:line="560" w:lineRule="exact"/>
              <w:jc w:val="center"/>
              <w:rPr>
                <w:color w:val="auto"/>
                <w:szCs w:val="21"/>
                <w:highlight w:val="none"/>
              </w:rPr>
            </w:pPr>
            <w:r>
              <w:rPr>
                <w:color w:val="auto"/>
                <w:szCs w:val="21"/>
                <w:highlight w:val="none"/>
              </w:rPr>
              <w:t>项目经理（建造师）</w:t>
            </w:r>
          </w:p>
        </w:tc>
        <w:tc>
          <w:tcPr>
            <w:tcW w:w="7408" w:type="dxa"/>
            <w:noWrap w:val="0"/>
            <w:vAlign w:val="top"/>
          </w:tcPr>
          <w:p w14:paraId="16DD06CA">
            <w:pPr>
              <w:topLinePunct/>
              <w:adjustRightInd w:val="0"/>
              <w:snapToGrid w:val="0"/>
              <w:spacing w:line="560" w:lineRule="exact"/>
              <w:rPr>
                <w:color w:val="auto"/>
                <w:szCs w:val="21"/>
                <w:highlight w:val="none"/>
              </w:rPr>
            </w:pPr>
          </w:p>
        </w:tc>
      </w:tr>
      <w:tr w14:paraId="520D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2452" w:type="dxa"/>
            <w:noWrap w:val="0"/>
            <w:vAlign w:val="center"/>
          </w:tcPr>
          <w:p w14:paraId="4038B9BA">
            <w:pPr>
              <w:topLinePunct/>
              <w:adjustRightInd w:val="0"/>
              <w:snapToGrid w:val="0"/>
              <w:spacing w:line="560" w:lineRule="exact"/>
              <w:jc w:val="center"/>
              <w:rPr>
                <w:color w:val="auto"/>
                <w:szCs w:val="21"/>
                <w:highlight w:val="none"/>
              </w:rPr>
            </w:pPr>
            <w:r>
              <w:rPr>
                <w:color w:val="auto"/>
                <w:szCs w:val="21"/>
                <w:highlight w:val="none"/>
              </w:rPr>
              <w:t>技术负责人</w:t>
            </w:r>
          </w:p>
        </w:tc>
        <w:tc>
          <w:tcPr>
            <w:tcW w:w="7408" w:type="dxa"/>
            <w:noWrap w:val="0"/>
            <w:vAlign w:val="top"/>
          </w:tcPr>
          <w:p w14:paraId="3E67610D">
            <w:pPr>
              <w:topLinePunct/>
              <w:adjustRightInd w:val="0"/>
              <w:snapToGrid w:val="0"/>
              <w:spacing w:line="560" w:lineRule="exact"/>
              <w:rPr>
                <w:color w:val="auto"/>
                <w:szCs w:val="21"/>
                <w:highlight w:val="none"/>
              </w:rPr>
            </w:pPr>
          </w:p>
        </w:tc>
      </w:tr>
      <w:tr w14:paraId="0C34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jc w:val="center"/>
        </w:trPr>
        <w:tc>
          <w:tcPr>
            <w:tcW w:w="2452" w:type="dxa"/>
            <w:noWrap w:val="0"/>
            <w:vAlign w:val="center"/>
          </w:tcPr>
          <w:p w14:paraId="77451C2B">
            <w:pPr>
              <w:topLinePunct/>
              <w:adjustRightInd w:val="0"/>
              <w:snapToGrid w:val="0"/>
              <w:spacing w:line="560" w:lineRule="exact"/>
              <w:jc w:val="center"/>
              <w:rPr>
                <w:color w:val="auto"/>
                <w:szCs w:val="21"/>
                <w:highlight w:val="none"/>
              </w:rPr>
            </w:pPr>
            <w:r>
              <w:rPr>
                <w:color w:val="auto"/>
                <w:szCs w:val="21"/>
                <w:highlight w:val="none"/>
              </w:rPr>
              <w:t>项目描述</w:t>
            </w:r>
          </w:p>
        </w:tc>
        <w:tc>
          <w:tcPr>
            <w:tcW w:w="7408" w:type="dxa"/>
            <w:noWrap w:val="0"/>
            <w:vAlign w:val="top"/>
          </w:tcPr>
          <w:p w14:paraId="431866F1">
            <w:pPr>
              <w:topLinePunct/>
              <w:adjustRightInd w:val="0"/>
              <w:snapToGrid w:val="0"/>
              <w:spacing w:line="560" w:lineRule="exact"/>
              <w:rPr>
                <w:color w:val="auto"/>
                <w:szCs w:val="21"/>
                <w:highlight w:val="none"/>
              </w:rPr>
            </w:pPr>
          </w:p>
          <w:p w14:paraId="7F75BC3F">
            <w:pPr>
              <w:topLinePunct/>
              <w:adjustRightInd w:val="0"/>
              <w:snapToGrid w:val="0"/>
              <w:spacing w:line="560" w:lineRule="exact"/>
              <w:rPr>
                <w:color w:val="auto"/>
                <w:szCs w:val="21"/>
                <w:highlight w:val="none"/>
              </w:rPr>
            </w:pPr>
          </w:p>
          <w:p w14:paraId="413F20D6">
            <w:pPr>
              <w:topLinePunct/>
              <w:adjustRightInd w:val="0"/>
              <w:snapToGrid w:val="0"/>
              <w:spacing w:line="560" w:lineRule="exact"/>
              <w:rPr>
                <w:color w:val="auto"/>
                <w:szCs w:val="21"/>
                <w:highlight w:val="none"/>
              </w:rPr>
            </w:pPr>
          </w:p>
          <w:p w14:paraId="4AFA276F">
            <w:pPr>
              <w:topLinePunct/>
              <w:adjustRightInd w:val="0"/>
              <w:snapToGrid w:val="0"/>
              <w:spacing w:line="560" w:lineRule="exact"/>
              <w:rPr>
                <w:color w:val="auto"/>
                <w:szCs w:val="21"/>
                <w:highlight w:val="none"/>
              </w:rPr>
            </w:pPr>
          </w:p>
          <w:p w14:paraId="77FFD653">
            <w:pPr>
              <w:topLinePunct/>
              <w:adjustRightInd w:val="0"/>
              <w:snapToGrid w:val="0"/>
              <w:spacing w:line="560" w:lineRule="exact"/>
              <w:rPr>
                <w:color w:val="auto"/>
                <w:szCs w:val="21"/>
                <w:highlight w:val="none"/>
              </w:rPr>
            </w:pPr>
          </w:p>
          <w:p w14:paraId="315FBA50">
            <w:pPr>
              <w:topLinePunct/>
              <w:adjustRightInd w:val="0"/>
              <w:snapToGrid w:val="0"/>
              <w:spacing w:line="560" w:lineRule="exact"/>
              <w:rPr>
                <w:color w:val="auto"/>
                <w:szCs w:val="21"/>
                <w:highlight w:val="none"/>
              </w:rPr>
            </w:pPr>
          </w:p>
          <w:p w14:paraId="211A6979">
            <w:pPr>
              <w:topLinePunct/>
              <w:adjustRightInd w:val="0"/>
              <w:snapToGrid w:val="0"/>
              <w:spacing w:line="560" w:lineRule="exact"/>
              <w:rPr>
                <w:color w:val="auto"/>
                <w:szCs w:val="21"/>
                <w:highlight w:val="none"/>
              </w:rPr>
            </w:pPr>
          </w:p>
        </w:tc>
      </w:tr>
      <w:tr w14:paraId="7DD8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452" w:type="dxa"/>
            <w:noWrap w:val="0"/>
            <w:vAlign w:val="center"/>
          </w:tcPr>
          <w:p w14:paraId="6114DA1D">
            <w:pPr>
              <w:topLinePunct/>
              <w:adjustRightInd w:val="0"/>
              <w:snapToGrid w:val="0"/>
              <w:spacing w:line="560" w:lineRule="exact"/>
              <w:jc w:val="center"/>
              <w:rPr>
                <w:color w:val="auto"/>
                <w:szCs w:val="21"/>
                <w:highlight w:val="none"/>
              </w:rPr>
            </w:pPr>
            <w:r>
              <w:rPr>
                <w:color w:val="auto"/>
                <w:szCs w:val="21"/>
                <w:highlight w:val="none"/>
              </w:rPr>
              <w:t>备注</w:t>
            </w:r>
          </w:p>
        </w:tc>
        <w:tc>
          <w:tcPr>
            <w:tcW w:w="7408" w:type="dxa"/>
            <w:noWrap w:val="0"/>
            <w:vAlign w:val="top"/>
          </w:tcPr>
          <w:p w14:paraId="0A1FE8CC">
            <w:pPr>
              <w:topLinePunct/>
              <w:adjustRightInd w:val="0"/>
              <w:snapToGrid w:val="0"/>
              <w:spacing w:line="560" w:lineRule="exact"/>
              <w:rPr>
                <w:color w:val="auto"/>
                <w:szCs w:val="21"/>
                <w:highlight w:val="none"/>
              </w:rPr>
            </w:pPr>
          </w:p>
        </w:tc>
      </w:tr>
    </w:tbl>
    <w:p w14:paraId="5063966F">
      <w:pPr>
        <w:pStyle w:val="4"/>
        <w:adjustRightInd w:val="0"/>
        <w:snapToGrid w:val="0"/>
        <w:spacing w:before="0" w:after="0" w:line="560" w:lineRule="exact"/>
        <w:jc w:val="center"/>
        <w:rPr>
          <w:rFonts w:hint="eastAsia"/>
          <w:color w:val="auto"/>
          <w:highlight w:val="none"/>
        </w:rPr>
      </w:pPr>
      <w:bookmarkStart w:id="1526" w:name="_Toc95223537"/>
      <w:r>
        <w:rPr>
          <w:rFonts w:hint="eastAsia"/>
          <w:color w:val="auto"/>
          <w:highlight w:val="none"/>
        </w:rPr>
        <w:t>（5）联合体协议书（如有）</w:t>
      </w:r>
      <w:bookmarkEnd w:id="1526"/>
    </w:p>
    <w:p w14:paraId="5263EC55">
      <w:pPr>
        <w:adjustRightInd w:val="0"/>
        <w:snapToGrid w:val="0"/>
        <w:spacing w:line="520" w:lineRule="exact"/>
        <w:ind w:firstLine="422" w:firstLineChars="200"/>
        <w:jc w:val="left"/>
        <w:rPr>
          <w:rFonts w:hint="eastAsia" w:ascii="宋体" w:hAnsi="宋体"/>
          <w:color w:val="auto"/>
          <w:szCs w:val="21"/>
          <w:highlight w:val="none"/>
        </w:rPr>
      </w:pPr>
      <w:r>
        <w:rPr>
          <w:rFonts w:hint="eastAsia" w:ascii="宋体" w:hAnsi="宋体"/>
          <w:b/>
          <w:color w:val="auto"/>
          <w:szCs w:val="21"/>
          <w:highlight w:val="none"/>
          <w:u w:val="single"/>
        </w:rPr>
        <w:t xml:space="preserve">                </w:t>
      </w:r>
      <w:r>
        <w:rPr>
          <w:rFonts w:hint="eastAsia" w:ascii="宋体" w:hAnsi="宋体"/>
          <w:color w:val="auto"/>
          <w:szCs w:val="21"/>
          <w:highlight w:val="none"/>
        </w:rPr>
        <w:t>（所有成员单位名</w:t>
      </w:r>
      <w:bookmarkStart w:id="1527" w:name="_Toc506107345"/>
      <w:bookmarkStart w:id="1528" w:name="_Toc58229120"/>
      <w:bookmarkStart w:id="1529" w:name="_Toc60061579"/>
      <w:bookmarkStart w:id="1530" w:name="_Toc15058939"/>
      <w:bookmarkStart w:id="1531" w:name="_Toc144974871"/>
      <w:bookmarkStart w:id="1532" w:name="_Toc152042592"/>
      <w:bookmarkStart w:id="1533" w:name="_Toc152045803"/>
      <w:bookmarkStart w:id="1534" w:name="_Toc179632823"/>
      <w:r>
        <w:rPr>
          <w:rFonts w:hint="eastAsia" w:ascii="宋体" w:hAnsi="宋体"/>
          <w:color w:val="auto"/>
          <w:szCs w:val="21"/>
          <w:highlight w:val="none"/>
        </w:rPr>
        <w:t xml:space="preserve">称）自愿组成 </w:t>
      </w:r>
      <w:r>
        <w:rPr>
          <w:rFonts w:hint="eastAsia" w:ascii="宋体" w:hAnsi="宋体"/>
          <w:color w:val="auto"/>
          <w:szCs w:val="21"/>
          <w:highlight w:val="none"/>
          <w:u w:val="single"/>
        </w:rPr>
        <w:t xml:space="preserve">  </w:t>
      </w:r>
      <w:bookmarkEnd w:id="1527"/>
      <w:r>
        <w:rPr>
          <w:rFonts w:hint="eastAsia" w:ascii="宋体" w:hAnsi="宋体"/>
          <w:color w:val="auto"/>
          <w:szCs w:val="21"/>
          <w:highlight w:val="none"/>
          <w:u w:val="single"/>
        </w:rPr>
        <w:t xml:space="preserve">    </w:t>
      </w:r>
      <w:bookmarkEnd w:id="1528"/>
      <w:bookmarkEnd w:id="1529"/>
      <w:bookmarkEnd w:id="1530"/>
      <w:r>
        <w:rPr>
          <w:rFonts w:hint="eastAsia" w:ascii="宋体" w:hAnsi="宋体"/>
          <w:color w:val="auto"/>
          <w:szCs w:val="21"/>
          <w:highlight w:val="none"/>
          <w:u w:val="single"/>
        </w:rPr>
        <w:t xml:space="preserve">   </w:t>
      </w:r>
      <w:r>
        <w:rPr>
          <w:rFonts w:hint="eastAsia" w:ascii="宋体" w:hAnsi="宋体"/>
          <w:color w:val="auto"/>
          <w:szCs w:val="21"/>
          <w:highlight w:val="none"/>
        </w:rPr>
        <w:t>（联合体名称）联合体，共同参加</w:t>
      </w:r>
      <w:r>
        <w:rPr>
          <w:rFonts w:hint="eastAsia" w:ascii="宋体" w:hAnsi="宋体"/>
          <w:b/>
          <w:color w:val="auto"/>
          <w:szCs w:val="21"/>
          <w:highlight w:val="none"/>
          <w:u w:val="single"/>
        </w:rPr>
        <w:t xml:space="preserve">             </w:t>
      </w: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标段施工投标。现就联合体投标事宜订立如下协议：</w:t>
      </w:r>
    </w:p>
    <w:p w14:paraId="0F7E0059">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7F150F68">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议工作。</w:t>
      </w:r>
    </w:p>
    <w:p w14:paraId="42075118">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3.联合体将严格按照招标文件的各项要求，递交投标文件，履行合同，并对外承担连带责任。</w:t>
      </w:r>
    </w:p>
    <w:p w14:paraId="57FB4B9C">
      <w:pPr>
        <w:adjustRightInd w:val="0"/>
        <w:snapToGrid w:val="0"/>
        <w:spacing w:line="52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4.联合体各成员单位内部的职责分工如下：</w:t>
      </w:r>
    </w:p>
    <w:p w14:paraId="2A6606D4">
      <w:pPr>
        <w:pStyle w:val="40"/>
        <w:snapToGrid w:val="0"/>
        <w:spacing w:line="520" w:lineRule="exact"/>
        <w:ind w:firstLine="525" w:firstLineChars="250"/>
        <w:rPr>
          <w:rFonts w:cs="Times New Roman"/>
          <w:color w:val="auto"/>
          <w:sz w:val="21"/>
          <w:szCs w:val="21"/>
          <w:highlight w:val="none"/>
        </w:rPr>
      </w:pPr>
      <w:r>
        <w:rPr>
          <w:rFonts w:cs="Times New Roman"/>
          <w:color w:val="auto"/>
          <w:sz w:val="21"/>
          <w:szCs w:val="21"/>
          <w:highlight w:val="none"/>
        </w:rPr>
        <w:t>牵头人</w:t>
      </w:r>
      <w:r>
        <w:rPr>
          <w:rFonts w:hint="eastAsia" w:cs="Times New Roman"/>
          <w:color w:val="auto"/>
          <w:sz w:val="21"/>
          <w:szCs w:val="21"/>
          <w:highlight w:val="none"/>
        </w:rPr>
        <w:t>（成员一）</w:t>
      </w:r>
      <w:r>
        <w:rPr>
          <w:rFonts w:cs="Times New Roman"/>
          <w:color w:val="auto"/>
          <w:sz w:val="21"/>
          <w:szCs w:val="21"/>
          <w:highlight w:val="none"/>
        </w:rPr>
        <w:t>名称</w:t>
      </w:r>
      <w:r>
        <w:rPr>
          <w:rFonts w:cs="Times New Roman"/>
          <w:color w:val="auto"/>
          <w:sz w:val="21"/>
          <w:szCs w:val="21"/>
          <w:highlight w:val="none"/>
          <w:u w:val="single"/>
        </w:rPr>
        <w:t>：</w:t>
      </w:r>
      <w:r>
        <w:rPr>
          <w:rFonts w:hint="eastAsia" w:cs="Times New Roman"/>
          <w:color w:val="auto"/>
          <w:sz w:val="21"/>
          <w:szCs w:val="21"/>
          <w:highlight w:val="none"/>
          <w:u w:val="single"/>
        </w:rPr>
        <w:t xml:space="preserve">           </w:t>
      </w:r>
      <w:r>
        <w:rPr>
          <w:rFonts w:cs="Times New Roman"/>
          <w:color w:val="auto"/>
          <w:sz w:val="21"/>
          <w:szCs w:val="21"/>
          <w:highlight w:val="none"/>
          <w:u w:val="single"/>
        </w:rPr>
        <w:t xml:space="preserve"> </w:t>
      </w:r>
      <w:r>
        <w:rPr>
          <w:rFonts w:cs="Times New Roman"/>
          <w:color w:val="auto"/>
          <w:sz w:val="21"/>
          <w:szCs w:val="21"/>
          <w:highlight w:val="none"/>
        </w:rPr>
        <w:t>，具有</w:t>
      </w:r>
      <w:r>
        <w:rPr>
          <w:rFonts w:cs="Times New Roman"/>
          <w:color w:val="auto"/>
          <w:sz w:val="21"/>
          <w:szCs w:val="21"/>
          <w:highlight w:val="none"/>
          <w:u w:val="single"/>
        </w:rPr>
        <w:t xml:space="preserve"> </w:t>
      </w:r>
      <w:r>
        <w:rPr>
          <w:rFonts w:hint="eastAsia" w:cs="Times New Roman"/>
          <w:color w:val="auto"/>
          <w:sz w:val="21"/>
          <w:szCs w:val="21"/>
          <w:highlight w:val="none"/>
          <w:u w:val="single"/>
        </w:rPr>
        <w:t xml:space="preserve">           </w:t>
      </w:r>
      <w:r>
        <w:rPr>
          <w:rFonts w:cs="Times New Roman"/>
          <w:color w:val="auto"/>
          <w:sz w:val="21"/>
          <w:szCs w:val="21"/>
          <w:highlight w:val="none"/>
          <w:u w:val="single"/>
        </w:rPr>
        <w:t>资</w:t>
      </w:r>
      <w:r>
        <w:rPr>
          <w:rFonts w:cs="Times New Roman"/>
          <w:color w:val="auto"/>
          <w:sz w:val="21"/>
          <w:szCs w:val="21"/>
          <w:highlight w:val="none"/>
        </w:rPr>
        <w:t>格，</w:t>
      </w:r>
      <w:r>
        <w:rPr>
          <w:rFonts w:hint="eastAsia" w:cs="Times New Roman"/>
          <w:color w:val="auto"/>
          <w:sz w:val="21"/>
          <w:szCs w:val="21"/>
          <w:highlight w:val="none"/>
        </w:rPr>
        <w:t>负责</w:t>
      </w:r>
      <w:r>
        <w:rPr>
          <w:rFonts w:cs="Times New Roman"/>
          <w:color w:val="auto"/>
          <w:sz w:val="21"/>
          <w:szCs w:val="21"/>
          <w:highlight w:val="none"/>
        </w:rPr>
        <w:t>承担</w:t>
      </w:r>
      <w:r>
        <w:rPr>
          <w:rFonts w:cs="Times New Roman"/>
          <w:color w:val="auto"/>
          <w:sz w:val="21"/>
          <w:szCs w:val="21"/>
          <w:highlight w:val="none"/>
          <w:u w:val="single"/>
        </w:rPr>
        <w:t xml:space="preserve"> </w:t>
      </w:r>
      <w:r>
        <w:rPr>
          <w:rFonts w:hint="eastAsia" w:cs="Times New Roman"/>
          <w:color w:val="auto"/>
          <w:sz w:val="21"/>
          <w:szCs w:val="21"/>
          <w:highlight w:val="none"/>
          <w:u w:val="single"/>
        </w:rPr>
        <w:t xml:space="preserve">       部分</w:t>
      </w:r>
      <w:r>
        <w:rPr>
          <w:rFonts w:cs="Times New Roman"/>
          <w:color w:val="auto"/>
          <w:sz w:val="21"/>
          <w:szCs w:val="21"/>
          <w:highlight w:val="none"/>
        </w:rPr>
        <w:t>专业工程</w:t>
      </w:r>
      <w:r>
        <w:rPr>
          <w:rFonts w:hint="eastAsia" w:cs="Times New Roman"/>
          <w:color w:val="auto"/>
          <w:sz w:val="21"/>
          <w:szCs w:val="21"/>
          <w:highlight w:val="none"/>
        </w:rPr>
        <w:t>施工</w:t>
      </w:r>
      <w:r>
        <w:rPr>
          <w:rFonts w:hint="eastAsia" w:cs="Times New Roman"/>
          <w:color w:val="auto"/>
          <w:sz w:val="21"/>
          <w:szCs w:val="21"/>
          <w:highlight w:val="none"/>
          <w:u w:val="single"/>
        </w:rPr>
        <w:t>，</w:t>
      </w:r>
      <w:r>
        <w:rPr>
          <w:rFonts w:hint="eastAsia" w:cs="Times New Roman"/>
          <w:color w:val="auto"/>
          <w:sz w:val="21"/>
          <w:szCs w:val="21"/>
          <w:highlight w:val="none"/>
        </w:rPr>
        <w:t>负责内容的合同金额占总合同金额的百分比</w:t>
      </w:r>
      <w:r>
        <w:rPr>
          <w:rFonts w:hint="eastAsia" w:cs="Times New Roman"/>
          <w:color w:val="auto"/>
          <w:sz w:val="21"/>
          <w:szCs w:val="21"/>
          <w:highlight w:val="none"/>
          <w:u w:val="single"/>
        </w:rPr>
        <w:t xml:space="preserve">      </w:t>
      </w:r>
      <w:r>
        <w:rPr>
          <w:rFonts w:hint="eastAsia"/>
          <w:color w:val="auto"/>
          <w:szCs w:val="21"/>
          <w:highlight w:val="none"/>
        </w:rPr>
        <w:t>%</w:t>
      </w:r>
      <w:r>
        <w:rPr>
          <w:color w:val="auto"/>
          <w:szCs w:val="21"/>
          <w:highlight w:val="none"/>
        </w:rPr>
        <w:t>；</w:t>
      </w:r>
      <w:r>
        <w:rPr>
          <w:rFonts w:cs="Times New Roman"/>
          <w:color w:val="auto"/>
          <w:sz w:val="21"/>
          <w:szCs w:val="21"/>
          <w:highlight w:val="none"/>
        </w:rPr>
        <w:t xml:space="preserve"> </w:t>
      </w:r>
    </w:p>
    <w:p w14:paraId="32DBC0C7">
      <w:pPr>
        <w:adjustRightInd w:val="0"/>
        <w:snapToGrid w:val="0"/>
        <w:spacing w:line="520" w:lineRule="exact"/>
        <w:ind w:firstLine="630" w:firstLineChars="300"/>
        <w:rPr>
          <w:rFonts w:hint="eastAsia" w:ascii="宋体" w:hAnsi="宋体"/>
          <w:color w:val="auto"/>
          <w:szCs w:val="21"/>
          <w:highlight w:val="none"/>
        </w:rPr>
      </w:pPr>
      <w:r>
        <w:rPr>
          <w:color w:val="auto"/>
          <w:szCs w:val="21"/>
          <w:highlight w:val="none"/>
        </w:rPr>
        <w:t>成员</w:t>
      </w:r>
      <w:r>
        <w:rPr>
          <w:rFonts w:hint="eastAsia"/>
          <w:color w:val="auto"/>
          <w:szCs w:val="21"/>
          <w:highlight w:val="none"/>
        </w:rPr>
        <w:t>二</w:t>
      </w:r>
      <w:r>
        <w:rPr>
          <w:color w:val="auto"/>
          <w:szCs w:val="21"/>
          <w:highlight w:val="none"/>
        </w:rPr>
        <w:t>名称</w:t>
      </w:r>
      <w:r>
        <w:rPr>
          <w:color w:val="auto"/>
          <w:szCs w:val="21"/>
          <w:highlight w:val="none"/>
          <w:u w:val="single"/>
        </w:rPr>
        <w:t>：</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，具有</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资</w:t>
      </w:r>
      <w:r>
        <w:rPr>
          <w:color w:val="auto"/>
          <w:szCs w:val="21"/>
          <w:highlight w:val="none"/>
        </w:rPr>
        <w:t>格，</w:t>
      </w:r>
      <w:r>
        <w:rPr>
          <w:rFonts w:hint="eastAsia"/>
          <w:color w:val="auto"/>
          <w:szCs w:val="21"/>
          <w:highlight w:val="none"/>
        </w:rPr>
        <w:t>负责</w:t>
      </w:r>
      <w:r>
        <w:rPr>
          <w:color w:val="auto"/>
          <w:szCs w:val="21"/>
          <w:highlight w:val="none"/>
        </w:rPr>
        <w:t>承</w:t>
      </w:r>
      <w:r>
        <w:rPr>
          <w:color w:val="auto"/>
          <w:szCs w:val="21"/>
          <w:highlight w:val="none"/>
          <w:u w:val="single"/>
        </w:rPr>
        <w:t xml:space="preserve">担 </w:t>
      </w:r>
      <w:r>
        <w:rPr>
          <w:rFonts w:hint="eastAsia"/>
          <w:color w:val="auto"/>
          <w:szCs w:val="21"/>
          <w:highlight w:val="none"/>
          <w:u w:val="single"/>
        </w:rPr>
        <w:t xml:space="preserve">          部分</w:t>
      </w:r>
      <w:r>
        <w:rPr>
          <w:color w:val="auto"/>
          <w:szCs w:val="21"/>
          <w:highlight w:val="none"/>
          <w:u w:val="single"/>
        </w:rPr>
        <w:t>专业</w:t>
      </w:r>
      <w:r>
        <w:rPr>
          <w:color w:val="auto"/>
          <w:szCs w:val="21"/>
          <w:highlight w:val="none"/>
        </w:rPr>
        <w:t>工程</w:t>
      </w:r>
      <w:r>
        <w:rPr>
          <w:rFonts w:hint="eastAsia"/>
          <w:color w:val="auto"/>
          <w:szCs w:val="21"/>
          <w:highlight w:val="none"/>
        </w:rPr>
        <w:t>施工，负责内容的合同金额占总合同金额的百分比</w:t>
      </w:r>
      <w:r>
        <w:rPr>
          <w:rFonts w:hint="eastAsia"/>
          <w:color w:val="auto"/>
          <w:szCs w:val="21"/>
          <w:highlight w:val="none"/>
          <w:u w:val="single"/>
        </w:rPr>
        <w:t xml:space="preserve">    </w:t>
      </w:r>
      <w:r>
        <w:rPr>
          <w:rFonts w:hint="eastAsia"/>
          <w:color w:val="auto"/>
          <w:szCs w:val="21"/>
          <w:highlight w:val="none"/>
        </w:rPr>
        <w:t>%</w:t>
      </w:r>
      <w:r>
        <w:rPr>
          <w:color w:val="auto"/>
          <w:szCs w:val="21"/>
          <w:highlight w:val="none"/>
        </w:rPr>
        <w:t>；</w:t>
      </w:r>
      <w:r>
        <w:rPr>
          <w:rFonts w:hint="eastAsia" w:ascii="宋体" w:hAnsi="宋体"/>
          <w:color w:val="auto"/>
          <w:szCs w:val="21"/>
          <w:highlight w:val="none"/>
        </w:rPr>
        <w:t xml:space="preserve">                 </w:t>
      </w:r>
    </w:p>
    <w:p w14:paraId="18AF70A1">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5.本协议书自签署之日起生效，合同履行完毕后自动失效。</w:t>
      </w:r>
    </w:p>
    <w:p w14:paraId="4B800F1B">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6.联合体中标后，本联合体协议是合同的附件，对联合体各成员单位有合同约束力。</w:t>
      </w:r>
    </w:p>
    <w:p w14:paraId="1C2DC9BF">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份，联合体成员和招标人各执一份。</w:t>
      </w:r>
    </w:p>
    <w:p w14:paraId="79468C22">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注：本协议由委托代理人签字的，应附法定代表人签字的授权委托书。</w:t>
      </w:r>
    </w:p>
    <w:p w14:paraId="444E5F58">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牵头人（成员一）名称：</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5422151B">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3926C643">
      <w:pPr>
        <w:adjustRightInd w:val="0"/>
        <w:snapToGrid w:val="0"/>
        <w:spacing w:line="520" w:lineRule="exact"/>
        <w:ind w:firstLine="420" w:firstLineChars="200"/>
        <w:rPr>
          <w:rFonts w:hint="eastAsia" w:ascii="宋体" w:hAnsi="宋体"/>
          <w:color w:val="auto"/>
          <w:szCs w:val="21"/>
          <w:highlight w:val="none"/>
        </w:rPr>
      </w:pPr>
    </w:p>
    <w:p w14:paraId="0BD9E6C0">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成员二名称：</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41492B36">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46A564E9">
      <w:pPr>
        <w:adjustRightInd w:val="0"/>
        <w:snapToGrid w:val="0"/>
        <w:spacing w:line="520" w:lineRule="exact"/>
        <w:ind w:firstLine="420" w:firstLineChars="200"/>
        <w:rPr>
          <w:rFonts w:hint="eastAsia" w:ascii="宋体" w:hAnsi="宋体"/>
          <w:color w:val="auto"/>
          <w:szCs w:val="21"/>
          <w:highlight w:val="none"/>
        </w:rPr>
      </w:pPr>
    </w:p>
    <w:p w14:paraId="6F0C6501">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p>
    <w:p w14:paraId="5C577AAB">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p>
    <w:p w14:paraId="20B47393">
      <w:pPr>
        <w:adjustRightInd w:val="0"/>
        <w:snapToGrid w:val="0"/>
        <w:spacing w:line="560" w:lineRule="exact"/>
        <w:ind w:firstLine="5775" w:firstLineChars="27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062398A">
      <w:pPr>
        <w:rPr>
          <w:rFonts w:hint="eastAsia"/>
          <w:color w:val="auto"/>
          <w:highlight w:val="none"/>
        </w:rPr>
      </w:pPr>
      <w:r>
        <w:rPr>
          <w:rFonts w:hint="eastAsia"/>
          <w:color w:val="auto"/>
          <w:highlight w:val="none"/>
        </w:rPr>
        <w:br w:type="page"/>
      </w:r>
    </w:p>
    <w:p w14:paraId="49FD7C8B">
      <w:pPr>
        <w:pStyle w:val="4"/>
        <w:adjustRightInd w:val="0"/>
        <w:snapToGrid w:val="0"/>
        <w:spacing w:before="0" w:after="0" w:line="560" w:lineRule="exact"/>
        <w:jc w:val="center"/>
        <w:rPr>
          <w:rFonts w:hint="eastAsia" w:ascii="Times New Roman" w:hAnsi="Times New Roman" w:cs="Times New Roman"/>
          <w:b/>
          <w:bCs/>
          <w:color w:val="auto"/>
          <w:highlight w:val="none"/>
        </w:rPr>
      </w:pPr>
      <w:bookmarkStart w:id="1535" w:name="_Toc6158"/>
      <w:r>
        <w:rPr>
          <w:rFonts w:hint="eastAsia" w:ascii="Times New Roman" w:hAnsi="Times New Roman" w:cs="Times New Roman"/>
          <w:b/>
          <w:bCs/>
          <w:color w:val="auto"/>
          <w:highlight w:val="none"/>
        </w:rPr>
        <w:t>（</w:t>
      </w:r>
      <w:r>
        <w:rPr>
          <w:rFonts w:hint="eastAsia" w:ascii="Times New Roman" w:hAnsi="Times New Roman" w:cs="Times New Roman"/>
          <w:b/>
          <w:bCs/>
          <w:color w:val="auto"/>
          <w:highlight w:val="none"/>
          <w:lang w:val="en-US" w:eastAsia="zh-CN"/>
        </w:rPr>
        <w:t>6</w:t>
      </w:r>
      <w:r>
        <w:rPr>
          <w:rFonts w:hint="eastAsia" w:ascii="Times New Roman" w:hAnsi="Times New Roman" w:cs="Times New Roman"/>
          <w:b/>
          <w:bCs/>
          <w:color w:val="auto"/>
          <w:highlight w:val="none"/>
        </w:rPr>
        <w:t>）拟分包项目情况表（如有）</w:t>
      </w:r>
      <w:bookmarkEnd w:id="1535"/>
    </w:p>
    <w:tbl>
      <w:tblPr>
        <w:tblStyle w:val="20"/>
        <w:tblW w:w="4840" w:type="pct"/>
        <w:jc w:val="center"/>
        <w:tblLayout w:type="autofit"/>
        <w:tblCellMar>
          <w:top w:w="28" w:type="dxa"/>
          <w:left w:w="108" w:type="dxa"/>
          <w:bottom w:w="28" w:type="dxa"/>
          <w:right w:w="108" w:type="dxa"/>
        </w:tblCellMar>
      </w:tblPr>
      <w:tblGrid>
        <w:gridCol w:w="2849"/>
        <w:gridCol w:w="2420"/>
        <w:gridCol w:w="2369"/>
        <w:gridCol w:w="2183"/>
      </w:tblGrid>
      <w:tr w14:paraId="05E19209">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7657686">
            <w:pPr>
              <w:ind w:left="105" w:leftChars="50" w:right="105" w:rightChars="50"/>
              <w:jc w:val="center"/>
              <w:rPr>
                <w:rFonts w:ascii="Times New Roman" w:hAnsi="Times New Roman"/>
                <w:snapToGrid w:val="0"/>
                <w:color w:val="auto"/>
                <w:kern w:val="0"/>
                <w:sz w:val="24"/>
                <w:szCs w:val="20"/>
                <w:highlight w:val="none"/>
              </w:rPr>
            </w:pPr>
            <w:r>
              <w:rPr>
                <w:rFonts w:ascii="Times New Roman" w:hAnsi="Times New Roman"/>
                <w:snapToGrid w:val="0"/>
                <w:color w:val="auto"/>
                <w:kern w:val="0"/>
                <w:sz w:val="24"/>
                <w:szCs w:val="20"/>
                <w:highlight w:val="none"/>
              </w:rPr>
              <w:t>拟分包的工程项目</w:t>
            </w: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3803430">
            <w:pPr>
              <w:ind w:left="105" w:leftChars="50" w:right="105" w:rightChars="50"/>
              <w:jc w:val="center"/>
              <w:rPr>
                <w:rFonts w:ascii="Times New Roman" w:hAnsi="Times New Roman"/>
                <w:snapToGrid w:val="0"/>
                <w:color w:val="auto"/>
                <w:kern w:val="0"/>
                <w:sz w:val="24"/>
                <w:szCs w:val="20"/>
                <w:highlight w:val="none"/>
              </w:rPr>
            </w:pPr>
            <w:r>
              <w:rPr>
                <w:rFonts w:ascii="Times New Roman" w:hAnsi="Times New Roman"/>
                <w:snapToGrid w:val="0"/>
                <w:color w:val="auto"/>
                <w:kern w:val="0"/>
                <w:sz w:val="24"/>
                <w:szCs w:val="20"/>
                <w:highlight w:val="none"/>
              </w:rPr>
              <w:t>主要工程内容</w:t>
            </w: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17FE322">
            <w:pPr>
              <w:ind w:left="105" w:leftChars="50" w:right="105" w:rightChars="50"/>
              <w:jc w:val="center"/>
              <w:rPr>
                <w:rFonts w:ascii="Times New Roman" w:hAnsi="Times New Roman"/>
                <w:snapToGrid w:val="0"/>
                <w:color w:val="auto"/>
                <w:kern w:val="0"/>
                <w:sz w:val="24"/>
                <w:szCs w:val="20"/>
                <w:highlight w:val="none"/>
              </w:rPr>
            </w:pPr>
            <w:r>
              <w:rPr>
                <w:rFonts w:ascii="Times New Roman" w:hAnsi="Times New Roman"/>
                <w:snapToGrid w:val="0"/>
                <w:color w:val="auto"/>
                <w:kern w:val="0"/>
                <w:sz w:val="24"/>
                <w:szCs w:val="20"/>
                <w:highlight w:val="none"/>
              </w:rPr>
              <w:t>预计造价（万元）</w:t>
            </w:r>
          </w:p>
        </w:tc>
        <w:tc>
          <w:tcPr>
            <w:tcW w:w="111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0C19657">
            <w:pPr>
              <w:ind w:left="105" w:leftChars="50" w:right="105" w:rightChars="50"/>
              <w:jc w:val="center"/>
              <w:rPr>
                <w:rFonts w:ascii="Times New Roman" w:hAnsi="Times New Roman"/>
                <w:snapToGrid w:val="0"/>
                <w:color w:val="auto"/>
                <w:kern w:val="0"/>
                <w:sz w:val="24"/>
                <w:szCs w:val="20"/>
                <w:highlight w:val="none"/>
              </w:rPr>
            </w:pPr>
            <w:r>
              <w:rPr>
                <w:rFonts w:ascii="Times New Roman" w:hAnsi="Times New Roman"/>
                <w:snapToGrid w:val="0"/>
                <w:color w:val="auto"/>
                <w:kern w:val="0"/>
                <w:sz w:val="24"/>
                <w:szCs w:val="20"/>
                <w:highlight w:val="none"/>
              </w:rPr>
              <w:t>备注</w:t>
            </w:r>
          </w:p>
        </w:tc>
      </w:tr>
      <w:tr w14:paraId="58CADDB8">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E449679">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7E9B9A7">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87DA290">
            <w:pPr>
              <w:ind w:left="105" w:leftChars="50" w:right="105" w:rightChars="50"/>
              <w:jc w:val="center"/>
              <w:rPr>
                <w:rFonts w:ascii="Times New Roman" w:hAnsi="Times New Roman"/>
                <w:snapToGrid w:val="0"/>
                <w:color w:val="auto"/>
                <w:kern w:val="0"/>
                <w:sz w:val="24"/>
                <w:szCs w:val="21"/>
                <w:highlight w:val="none"/>
              </w:rPr>
            </w:pPr>
          </w:p>
        </w:tc>
        <w:tc>
          <w:tcPr>
            <w:tcW w:w="1111" w:type="pct"/>
            <w:vMerge w:val="restar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2D5A712">
            <w:pPr>
              <w:ind w:left="101" w:leftChars="45" w:right="105" w:rightChars="50" w:hanging="7" w:hangingChars="3"/>
              <w:jc w:val="both"/>
              <w:rPr>
                <w:rFonts w:ascii="Times New Roman" w:hAnsi="Times New Roman" w:eastAsia="宋体" w:cs="Times New Roman"/>
                <w:snapToGrid w:val="0"/>
                <w:color w:val="auto"/>
                <w:kern w:val="0"/>
                <w:sz w:val="24"/>
                <w:szCs w:val="21"/>
                <w:highlight w:val="none"/>
              </w:rPr>
            </w:pPr>
            <w:r>
              <w:rPr>
                <w:rFonts w:ascii="Times New Roman" w:hAnsi="Times New Roman" w:eastAsia="宋体" w:cs="Times New Roman"/>
                <w:snapToGrid w:val="0"/>
                <w:color w:val="auto"/>
                <w:kern w:val="0"/>
                <w:sz w:val="24"/>
                <w:szCs w:val="21"/>
                <w:highlight w:val="none"/>
              </w:rPr>
              <w:t>注：</w:t>
            </w:r>
            <w:r>
              <w:rPr>
                <w:rFonts w:hint="eastAsia" w:ascii="Times New Roman" w:hAnsi="Times New Roman" w:eastAsia="宋体" w:cs="Times New Roman"/>
                <w:snapToGrid w:val="0"/>
                <w:color w:val="auto"/>
                <w:kern w:val="0"/>
                <w:sz w:val="24"/>
                <w:szCs w:val="21"/>
                <w:highlight w:val="none"/>
              </w:rPr>
              <w:t>投标人如有分包计划，应明确拟分包的工程及规模，且投标人中标后的分包应满足合同条款的相关要求。</w:t>
            </w:r>
          </w:p>
          <w:p w14:paraId="16CB9775">
            <w:pPr>
              <w:ind w:left="105" w:leftChars="50" w:right="105" w:rightChars="50"/>
              <w:jc w:val="center"/>
              <w:rPr>
                <w:rFonts w:ascii="Times New Roman" w:hAnsi="Times New Roman"/>
                <w:snapToGrid w:val="0"/>
                <w:color w:val="auto"/>
                <w:kern w:val="0"/>
                <w:sz w:val="24"/>
                <w:szCs w:val="21"/>
                <w:highlight w:val="none"/>
              </w:rPr>
            </w:pPr>
          </w:p>
        </w:tc>
      </w:tr>
      <w:tr w14:paraId="5E796A34">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79FF7AB">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575012B">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86CBCF3">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111" w:type="pct"/>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162592D">
            <w:pPr>
              <w:spacing w:line="440" w:lineRule="exact"/>
              <w:ind w:left="105" w:leftChars="50" w:right="105" w:rightChars="50"/>
              <w:jc w:val="center"/>
              <w:rPr>
                <w:rFonts w:ascii="Times New Roman" w:hAnsi="Times New Roman"/>
                <w:snapToGrid w:val="0"/>
                <w:color w:val="auto"/>
                <w:kern w:val="0"/>
                <w:sz w:val="24"/>
                <w:szCs w:val="21"/>
                <w:highlight w:val="none"/>
              </w:rPr>
            </w:pPr>
          </w:p>
        </w:tc>
      </w:tr>
      <w:tr w14:paraId="4DB1FB57">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E6E4043">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ECBE9B4">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BC58259">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111" w:type="pct"/>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B12A3ED">
            <w:pPr>
              <w:spacing w:line="440" w:lineRule="exact"/>
              <w:ind w:left="105" w:leftChars="50" w:right="105" w:rightChars="50"/>
              <w:jc w:val="center"/>
              <w:rPr>
                <w:rFonts w:ascii="Times New Roman" w:hAnsi="Times New Roman"/>
                <w:snapToGrid w:val="0"/>
                <w:color w:val="auto"/>
                <w:kern w:val="0"/>
                <w:sz w:val="24"/>
                <w:szCs w:val="21"/>
                <w:highlight w:val="none"/>
              </w:rPr>
            </w:pPr>
          </w:p>
        </w:tc>
      </w:tr>
      <w:tr w14:paraId="62710B91">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8FE0963">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5A1CA5D">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2513FA6">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111" w:type="pct"/>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75C9157">
            <w:pPr>
              <w:spacing w:line="440" w:lineRule="exact"/>
              <w:ind w:left="105" w:leftChars="50" w:right="105" w:rightChars="50"/>
              <w:jc w:val="center"/>
              <w:rPr>
                <w:rFonts w:ascii="Times New Roman" w:hAnsi="Times New Roman"/>
                <w:snapToGrid w:val="0"/>
                <w:color w:val="auto"/>
                <w:kern w:val="0"/>
                <w:sz w:val="24"/>
                <w:szCs w:val="21"/>
                <w:highlight w:val="none"/>
              </w:rPr>
            </w:pPr>
          </w:p>
        </w:tc>
      </w:tr>
      <w:tr w14:paraId="33C39D23">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AA4A588">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DD52F2A">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EA0B3F8">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111" w:type="pct"/>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AAC094C">
            <w:pPr>
              <w:spacing w:line="440" w:lineRule="exact"/>
              <w:ind w:left="105" w:leftChars="50" w:right="105" w:rightChars="50"/>
              <w:jc w:val="center"/>
              <w:rPr>
                <w:rFonts w:ascii="Times New Roman" w:hAnsi="Times New Roman"/>
                <w:snapToGrid w:val="0"/>
                <w:color w:val="auto"/>
                <w:kern w:val="0"/>
                <w:sz w:val="24"/>
                <w:szCs w:val="21"/>
                <w:highlight w:val="none"/>
              </w:rPr>
            </w:pPr>
          </w:p>
        </w:tc>
      </w:tr>
      <w:tr w14:paraId="5E0EE874">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0B668D3">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BA7B4BA">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6A06062">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111" w:type="pct"/>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95A2BDF">
            <w:pPr>
              <w:spacing w:line="440" w:lineRule="exact"/>
              <w:ind w:left="105" w:leftChars="50" w:right="105" w:rightChars="50"/>
              <w:jc w:val="center"/>
              <w:rPr>
                <w:rFonts w:ascii="Times New Roman" w:hAnsi="Times New Roman"/>
                <w:snapToGrid w:val="0"/>
                <w:color w:val="auto"/>
                <w:kern w:val="0"/>
                <w:sz w:val="24"/>
                <w:szCs w:val="21"/>
                <w:highlight w:val="none"/>
              </w:rPr>
            </w:pPr>
          </w:p>
        </w:tc>
      </w:tr>
      <w:tr w14:paraId="597B7BCD">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61589B6">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056BE1A">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7BF0D1F">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111" w:type="pct"/>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27C5DB4">
            <w:pPr>
              <w:spacing w:line="440" w:lineRule="exact"/>
              <w:ind w:left="105" w:leftChars="50" w:right="105" w:rightChars="50"/>
              <w:jc w:val="center"/>
              <w:rPr>
                <w:rFonts w:ascii="Times New Roman" w:hAnsi="Times New Roman"/>
                <w:snapToGrid w:val="0"/>
                <w:color w:val="auto"/>
                <w:kern w:val="0"/>
                <w:sz w:val="24"/>
                <w:szCs w:val="21"/>
                <w:highlight w:val="none"/>
              </w:rPr>
            </w:pPr>
          </w:p>
        </w:tc>
      </w:tr>
      <w:tr w14:paraId="45227E78">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6E69744">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7D6F567">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444F625">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111" w:type="pct"/>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1B65ED8">
            <w:pPr>
              <w:spacing w:line="440" w:lineRule="exact"/>
              <w:ind w:left="105" w:leftChars="50" w:right="105" w:rightChars="50"/>
              <w:jc w:val="center"/>
              <w:rPr>
                <w:rFonts w:ascii="Times New Roman" w:hAnsi="Times New Roman"/>
                <w:snapToGrid w:val="0"/>
                <w:color w:val="auto"/>
                <w:kern w:val="0"/>
                <w:sz w:val="24"/>
                <w:szCs w:val="21"/>
                <w:highlight w:val="none"/>
              </w:rPr>
            </w:pPr>
          </w:p>
        </w:tc>
      </w:tr>
      <w:tr w14:paraId="6A42996A">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267B540">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27B43AC">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1253553">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111" w:type="pct"/>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474FF6D">
            <w:pPr>
              <w:spacing w:line="440" w:lineRule="exact"/>
              <w:ind w:left="105" w:leftChars="50" w:right="105" w:rightChars="50"/>
              <w:jc w:val="center"/>
              <w:rPr>
                <w:rFonts w:ascii="Times New Roman" w:hAnsi="Times New Roman"/>
                <w:snapToGrid w:val="0"/>
                <w:color w:val="auto"/>
                <w:kern w:val="0"/>
                <w:sz w:val="24"/>
                <w:szCs w:val="21"/>
                <w:highlight w:val="none"/>
              </w:rPr>
            </w:pPr>
          </w:p>
        </w:tc>
      </w:tr>
      <w:tr w14:paraId="57B7DF6D">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B462565">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12C2FBF">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4A9C3B7">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111" w:type="pct"/>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C9A885F">
            <w:pPr>
              <w:spacing w:line="440" w:lineRule="exact"/>
              <w:ind w:left="105" w:leftChars="50" w:right="105" w:rightChars="50"/>
              <w:jc w:val="center"/>
              <w:rPr>
                <w:rFonts w:ascii="Times New Roman" w:hAnsi="Times New Roman"/>
                <w:snapToGrid w:val="0"/>
                <w:color w:val="auto"/>
                <w:kern w:val="0"/>
                <w:sz w:val="24"/>
                <w:szCs w:val="21"/>
                <w:highlight w:val="none"/>
              </w:rPr>
            </w:pPr>
          </w:p>
        </w:tc>
      </w:tr>
      <w:tr w14:paraId="091ED5D6">
        <w:tblPrEx>
          <w:tblCellMar>
            <w:top w:w="28" w:type="dxa"/>
            <w:left w:w="108" w:type="dxa"/>
            <w:bottom w:w="28" w:type="dxa"/>
            <w:right w:w="108" w:type="dxa"/>
          </w:tblCellMar>
        </w:tblPrEx>
        <w:trPr>
          <w:trHeight w:val="567" w:hRule="atLeast"/>
          <w:jc w:val="center"/>
        </w:trPr>
        <w:tc>
          <w:tcPr>
            <w:tcW w:w="1450"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9B50DE8">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31"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3924FE5">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587E943">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111" w:type="pct"/>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311FCA1">
            <w:pPr>
              <w:spacing w:line="440" w:lineRule="exact"/>
              <w:ind w:left="105" w:leftChars="50" w:right="105" w:rightChars="50"/>
              <w:jc w:val="center"/>
              <w:rPr>
                <w:rFonts w:ascii="Times New Roman" w:hAnsi="Times New Roman"/>
                <w:snapToGrid w:val="0"/>
                <w:color w:val="auto"/>
                <w:kern w:val="0"/>
                <w:sz w:val="24"/>
                <w:szCs w:val="21"/>
                <w:highlight w:val="none"/>
              </w:rPr>
            </w:pPr>
          </w:p>
        </w:tc>
      </w:tr>
      <w:tr w14:paraId="064979D9">
        <w:tblPrEx>
          <w:tblCellMar>
            <w:top w:w="28" w:type="dxa"/>
            <w:left w:w="108" w:type="dxa"/>
            <w:bottom w:w="28" w:type="dxa"/>
            <w:right w:w="108" w:type="dxa"/>
          </w:tblCellMar>
        </w:tblPrEx>
        <w:trPr>
          <w:trHeight w:val="567" w:hRule="atLeast"/>
          <w:jc w:val="center"/>
        </w:trPr>
        <w:tc>
          <w:tcPr>
            <w:tcW w:w="2682" w:type="pct"/>
            <w:gridSpan w:val="2"/>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3C9C0F4">
            <w:pPr>
              <w:spacing w:line="440" w:lineRule="exact"/>
              <w:ind w:left="105" w:leftChars="50" w:right="105" w:rightChars="50"/>
              <w:jc w:val="center"/>
              <w:rPr>
                <w:rFonts w:ascii="Times New Roman" w:hAnsi="Times New Roman"/>
                <w:snapToGrid w:val="0"/>
                <w:color w:val="auto"/>
                <w:kern w:val="0"/>
                <w:sz w:val="24"/>
                <w:szCs w:val="21"/>
                <w:highlight w:val="none"/>
              </w:rPr>
            </w:pPr>
            <w:r>
              <w:rPr>
                <w:rFonts w:ascii="Times New Roman" w:hAnsi="Times New Roman"/>
                <w:snapToGrid w:val="0"/>
                <w:color w:val="auto"/>
                <w:kern w:val="0"/>
                <w:sz w:val="24"/>
                <w:szCs w:val="21"/>
                <w:highlight w:val="none"/>
              </w:rPr>
              <w:t>拟分包工程造价合计（万元）</w:t>
            </w:r>
          </w:p>
        </w:tc>
        <w:tc>
          <w:tcPr>
            <w:tcW w:w="12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B1B2562">
            <w:pPr>
              <w:spacing w:line="440" w:lineRule="exact"/>
              <w:ind w:left="105" w:leftChars="50" w:right="105" w:rightChars="50"/>
              <w:jc w:val="center"/>
              <w:rPr>
                <w:rFonts w:ascii="Times New Roman" w:hAnsi="Times New Roman"/>
                <w:snapToGrid w:val="0"/>
                <w:color w:val="auto"/>
                <w:kern w:val="0"/>
                <w:sz w:val="24"/>
                <w:szCs w:val="21"/>
                <w:highlight w:val="none"/>
              </w:rPr>
            </w:pPr>
          </w:p>
        </w:tc>
        <w:tc>
          <w:tcPr>
            <w:tcW w:w="1111" w:type="pct"/>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542B0A3">
            <w:pPr>
              <w:spacing w:line="440" w:lineRule="exact"/>
              <w:ind w:left="105" w:leftChars="50" w:right="105" w:rightChars="50"/>
              <w:jc w:val="center"/>
              <w:rPr>
                <w:rFonts w:ascii="Times New Roman" w:hAnsi="Times New Roman"/>
                <w:snapToGrid w:val="0"/>
                <w:color w:val="auto"/>
                <w:kern w:val="0"/>
                <w:sz w:val="24"/>
                <w:szCs w:val="21"/>
                <w:highlight w:val="none"/>
              </w:rPr>
            </w:pPr>
          </w:p>
        </w:tc>
      </w:tr>
    </w:tbl>
    <w:p w14:paraId="2B90622F">
      <w:pPr>
        <w:pStyle w:val="4"/>
        <w:adjustRightInd w:val="0"/>
        <w:snapToGrid w:val="0"/>
        <w:spacing w:before="0" w:after="0" w:line="560" w:lineRule="exact"/>
        <w:jc w:val="center"/>
        <w:rPr>
          <w:rFonts w:hint="eastAsia"/>
          <w:color w:val="auto"/>
          <w:highlight w:val="none"/>
        </w:rPr>
      </w:pPr>
    </w:p>
    <w:p w14:paraId="482E702E">
      <w:pPr>
        <w:rPr>
          <w:rFonts w:hint="eastAsia"/>
          <w:color w:val="auto"/>
          <w:highlight w:val="none"/>
        </w:rPr>
      </w:pPr>
    </w:p>
    <w:p w14:paraId="25D603B7">
      <w:pPr>
        <w:rPr>
          <w:rFonts w:hint="eastAsia"/>
          <w:color w:val="auto"/>
          <w:highlight w:val="none"/>
        </w:rPr>
      </w:pPr>
    </w:p>
    <w:bookmarkEnd w:id="1531"/>
    <w:bookmarkEnd w:id="1532"/>
    <w:bookmarkEnd w:id="1533"/>
    <w:bookmarkEnd w:id="1534"/>
    <w:p w14:paraId="23B60E62">
      <w:pPr>
        <w:rPr>
          <w:rFonts w:hint="eastAsia"/>
          <w:color w:val="auto"/>
          <w:highlight w:val="none"/>
        </w:rPr>
      </w:pPr>
      <w:bookmarkStart w:id="1536" w:name="_Toc95223538"/>
      <w:r>
        <w:rPr>
          <w:rFonts w:hint="eastAsia"/>
          <w:color w:val="auto"/>
          <w:highlight w:val="none"/>
        </w:rPr>
        <w:br w:type="page"/>
      </w:r>
    </w:p>
    <w:p w14:paraId="32FF4FAA">
      <w:pPr>
        <w:pStyle w:val="4"/>
        <w:adjustRightInd w:val="0"/>
        <w:snapToGrid w:val="0"/>
        <w:spacing w:before="0" w:after="0" w:line="560" w:lineRule="exact"/>
        <w:jc w:val="center"/>
        <w:rPr>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w:t>
      </w:r>
      <w:r>
        <w:rPr>
          <w:color w:val="auto"/>
          <w:highlight w:val="none"/>
        </w:rPr>
        <w:t>项目管理机构</w:t>
      </w:r>
    </w:p>
    <w:p w14:paraId="29D64156">
      <w:pPr>
        <w:pStyle w:val="5"/>
        <w:jc w:val="center"/>
        <w:rPr>
          <w:color w:val="auto"/>
          <w:highlight w:val="none"/>
        </w:rPr>
      </w:pPr>
      <w:r>
        <w:rPr>
          <w:rFonts w:hint="eastAsia"/>
          <w:color w:val="auto"/>
          <w:highlight w:val="none"/>
        </w:rPr>
        <w:t>附表1：</w:t>
      </w:r>
      <w:r>
        <w:rPr>
          <w:color w:val="auto"/>
          <w:highlight w:val="none"/>
        </w:rPr>
        <w:t>项目管理机构</w:t>
      </w:r>
      <w:r>
        <w:rPr>
          <w:rFonts w:hint="eastAsia"/>
          <w:color w:val="auto"/>
          <w:highlight w:val="none"/>
        </w:rPr>
        <w:t>主要人员</w:t>
      </w:r>
      <w:r>
        <w:rPr>
          <w:color w:val="auto"/>
          <w:highlight w:val="none"/>
        </w:rPr>
        <w:t>组成表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944"/>
        <w:gridCol w:w="812"/>
        <w:gridCol w:w="1220"/>
        <w:gridCol w:w="812"/>
        <w:gridCol w:w="814"/>
        <w:gridCol w:w="811"/>
        <w:gridCol w:w="2848"/>
        <w:gridCol w:w="759"/>
      </w:tblGrid>
      <w:tr w14:paraId="4A0D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616" w:type="dxa"/>
            <w:vMerge w:val="restart"/>
            <w:noWrap w:val="0"/>
            <w:vAlign w:val="center"/>
          </w:tcPr>
          <w:p w14:paraId="0FFDF628">
            <w:pPr>
              <w:adjustRightInd w:val="0"/>
              <w:snapToGrid w:val="0"/>
              <w:spacing w:line="560" w:lineRule="exact"/>
              <w:jc w:val="center"/>
              <w:rPr>
                <w:color w:val="auto"/>
                <w:szCs w:val="21"/>
                <w:highlight w:val="none"/>
              </w:rPr>
            </w:pPr>
            <w:r>
              <w:rPr>
                <w:color w:val="auto"/>
                <w:szCs w:val="21"/>
                <w:highlight w:val="none"/>
              </w:rPr>
              <w:t>职务</w:t>
            </w:r>
          </w:p>
        </w:tc>
        <w:tc>
          <w:tcPr>
            <w:tcW w:w="944" w:type="dxa"/>
            <w:vMerge w:val="restart"/>
            <w:noWrap w:val="0"/>
            <w:vAlign w:val="center"/>
          </w:tcPr>
          <w:p w14:paraId="5FAB145F">
            <w:pPr>
              <w:adjustRightInd w:val="0"/>
              <w:snapToGrid w:val="0"/>
              <w:spacing w:line="560" w:lineRule="exact"/>
              <w:jc w:val="center"/>
              <w:rPr>
                <w:color w:val="auto"/>
                <w:szCs w:val="21"/>
                <w:highlight w:val="none"/>
              </w:rPr>
            </w:pPr>
            <w:r>
              <w:rPr>
                <w:color w:val="auto"/>
                <w:szCs w:val="21"/>
                <w:highlight w:val="none"/>
              </w:rPr>
              <w:t>姓名</w:t>
            </w:r>
          </w:p>
        </w:tc>
        <w:tc>
          <w:tcPr>
            <w:tcW w:w="812" w:type="dxa"/>
            <w:vMerge w:val="restart"/>
            <w:noWrap w:val="0"/>
            <w:vAlign w:val="center"/>
          </w:tcPr>
          <w:p w14:paraId="450D1A4F">
            <w:pPr>
              <w:adjustRightInd w:val="0"/>
              <w:snapToGrid w:val="0"/>
              <w:spacing w:line="560" w:lineRule="exact"/>
              <w:jc w:val="center"/>
              <w:rPr>
                <w:color w:val="auto"/>
                <w:szCs w:val="21"/>
                <w:highlight w:val="none"/>
              </w:rPr>
            </w:pPr>
            <w:r>
              <w:rPr>
                <w:color w:val="auto"/>
                <w:szCs w:val="21"/>
                <w:highlight w:val="none"/>
              </w:rPr>
              <w:t>职称</w:t>
            </w:r>
          </w:p>
        </w:tc>
        <w:tc>
          <w:tcPr>
            <w:tcW w:w="6505" w:type="dxa"/>
            <w:gridSpan w:val="5"/>
            <w:noWrap w:val="0"/>
            <w:vAlign w:val="center"/>
          </w:tcPr>
          <w:p w14:paraId="3C12A3AA">
            <w:pPr>
              <w:adjustRightInd w:val="0"/>
              <w:snapToGrid w:val="0"/>
              <w:spacing w:line="560" w:lineRule="exact"/>
              <w:jc w:val="center"/>
              <w:rPr>
                <w:color w:val="auto"/>
                <w:szCs w:val="21"/>
                <w:highlight w:val="none"/>
              </w:rPr>
            </w:pPr>
            <w:r>
              <w:rPr>
                <w:color w:val="auto"/>
                <w:szCs w:val="21"/>
                <w:highlight w:val="none"/>
              </w:rPr>
              <w:t>执业或职业资格证明</w:t>
            </w:r>
          </w:p>
        </w:tc>
        <w:tc>
          <w:tcPr>
            <w:tcW w:w="759" w:type="dxa"/>
            <w:noWrap w:val="0"/>
            <w:vAlign w:val="center"/>
          </w:tcPr>
          <w:p w14:paraId="0B32F4C7">
            <w:pPr>
              <w:adjustRightInd w:val="0"/>
              <w:snapToGrid w:val="0"/>
              <w:spacing w:line="560" w:lineRule="exact"/>
              <w:jc w:val="center"/>
              <w:rPr>
                <w:color w:val="auto"/>
                <w:szCs w:val="21"/>
                <w:highlight w:val="none"/>
              </w:rPr>
            </w:pPr>
            <w:r>
              <w:rPr>
                <w:color w:val="auto"/>
                <w:szCs w:val="21"/>
                <w:highlight w:val="none"/>
              </w:rPr>
              <w:t>备注</w:t>
            </w:r>
          </w:p>
        </w:tc>
      </w:tr>
      <w:tr w14:paraId="0DA7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616" w:type="dxa"/>
            <w:vMerge w:val="continue"/>
            <w:noWrap w:val="0"/>
            <w:vAlign w:val="center"/>
          </w:tcPr>
          <w:p w14:paraId="59EB3513">
            <w:pPr>
              <w:adjustRightInd w:val="0"/>
              <w:snapToGrid w:val="0"/>
              <w:spacing w:line="560" w:lineRule="exact"/>
              <w:jc w:val="center"/>
              <w:rPr>
                <w:color w:val="auto"/>
                <w:szCs w:val="21"/>
                <w:highlight w:val="none"/>
              </w:rPr>
            </w:pPr>
          </w:p>
        </w:tc>
        <w:tc>
          <w:tcPr>
            <w:tcW w:w="944" w:type="dxa"/>
            <w:vMerge w:val="continue"/>
            <w:noWrap w:val="0"/>
            <w:vAlign w:val="center"/>
          </w:tcPr>
          <w:p w14:paraId="7FAF2AAA">
            <w:pPr>
              <w:adjustRightInd w:val="0"/>
              <w:snapToGrid w:val="0"/>
              <w:spacing w:line="560" w:lineRule="exact"/>
              <w:jc w:val="center"/>
              <w:rPr>
                <w:color w:val="auto"/>
                <w:szCs w:val="21"/>
                <w:highlight w:val="none"/>
              </w:rPr>
            </w:pPr>
          </w:p>
        </w:tc>
        <w:tc>
          <w:tcPr>
            <w:tcW w:w="812" w:type="dxa"/>
            <w:vMerge w:val="continue"/>
            <w:noWrap w:val="0"/>
            <w:vAlign w:val="center"/>
          </w:tcPr>
          <w:p w14:paraId="205610CE">
            <w:pPr>
              <w:adjustRightInd w:val="0"/>
              <w:snapToGrid w:val="0"/>
              <w:spacing w:line="560" w:lineRule="exact"/>
              <w:jc w:val="center"/>
              <w:rPr>
                <w:color w:val="auto"/>
                <w:szCs w:val="21"/>
                <w:highlight w:val="none"/>
              </w:rPr>
            </w:pPr>
          </w:p>
        </w:tc>
        <w:tc>
          <w:tcPr>
            <w:tcW w:w="1220" w:type="dxa"/>
            <w:noWrap w:val="0"/>
            <w:vAlign w:val="center"/>
          </w:tcPr>
          <w:p w14:paraId="4A4C7A7C">
            <w:pPr>
              <w:adjustRightInd w:val="0"/>
              <w:snapToGrid w:val="0"/>
              <w:spacing w:line="560" w:lineRule="exact"/>
              <w:jc w:val="center"/>
              <w:rPr>
                <w:color w:val="auto"/>
                <w:szCs w:val="21"/>
                <w:highlight w:val="none"/>
              </w:rPr>
            </w:pPr>
            <w:r>
              <w:rPr>
                <w:color w:val="auto"/>
                <w:szCs w:val="21"/>
                <w:highlight w:val="none"/>
              </w:rPr>
              <w:t>证书名称</w:t>
            </w:r>
          </w:p>
        </w:tc>
        <w:tc>
          <w:tcPr>
            <w:tcW w:w="812" w:type="dxa"/>
            <w:noWrap w:val="0"/>
            <w:vAlign w:val="center"/>
          </w:tcPr>
          <w:p w14:paraId="125ED1F1">
            <w:pPr>
              <w:adjustRightInd w:val="0"/>
              <w:snapToGrid w:val="0"/>
              <w:spacing w:line="560" w:lineRule="exact"/>
              <w:jc w:val="center"/>
              <w:rPr>
                <w:color w:val="auto"/>
                <w:szCs w:val="21"/>
                <w:highlight w:val="none"/>
              </w:rPr>
            </w:pPr>
            <w:r>
              <w:rPr>
                <w:color w:val="auto"/>
                <w:szCs w:val="21"/>
                <w:highlight w:val="none"/>
              </w:rPr>
              <w:t>级别</w:t>
            </w:r>
          </w:p>
        </w:tc>
        <w:tc>
          <w:tcPr>
            <w:tcW w:w="814" w:type="dxa"/>
            <w:noWrap w:val="0"/>
            <w:vAlign w:val="center"/>
          </w:tcPr>
          <w:p w14:paraId="2496B913">
            <w:pPr>
              <w:adjustRightInd w:val="0"/>
              <w:snapToGrid w:val="0"/>
              <w:spacing w:line="560" w:lineRule="exact"/>
              <w:jc w:val="center"/>
              <w:rPr>
                <w:color w:val="auto"/>
                <w:szCs w:val="21"/>
                <w:highlight w:val="none"/>
              </w:rPr>
            </w:pPr>
            <w:r>
              <w:rPr>
                <w:color w:val="auto"/>
                <w:szCs w:val="21"/>
                <w:highlight w:val="none"/>
              </w:rPr>
              <w:t>证号</w:t>
            </w:r>
          </w:p>
        </w:tc>
        <w:tc>
          <w:tcPr>
            <w:tcW w:w="811" w:type="dxa"/>
            <w:noWrap w:val="0"/>
            <w:vAlign w:val="center"/>
          </w:tcPr>
          <w:p w14:paraId="055B3064">
            <w:pPr>
              <w:adjustRightInd w:val="0"/>
              <w:snapToGrid w:val="0"/>
              <w:spacing w:line="560" w:lineRule="exact"/>
              <w:jc w:val="center"/>
              <w:rPr>
                <w:color w:val="auto"/>
                <w:szCs w:val="21"/>
                <w:highlight w:val="none"/>
              </w:rPr>
            </w:pPr>
            <w:r>
              <w:rPr>
                <w:color w:val="auto"/>
                <w:szCs w:val="21"/>
                <w:highlight w:val="none"/>
              </w:rPr>
              <w:t>专业</w:t>
            </w:r>
          </w:p>
        </w:tc>
        <w:tc>
          <w:tcPr>
            <w:tcW w:w="2848" w:type="dxa"/>
            <w:noWrap w:val="0"/>
            <w:vAlign w:val="center"/>
          </w:tcPr>
          <w:p w14:paraId="38222DFC">
            <w:pPr>
              <w:adjustRightInd w:val="0"/>
              <w:snapToGrid w:val="0"/>
              <w:spacing w:line="560" w:lineRule="exact"/>
              <w:jc w:val="center"/>
              <w:rPr>
                <w:color w:val="auto"/>
                <w:szCs w:val="21"/>
                <w:highlight w:val="none"/>
              </w:rPr>
            </w:pPr>
            <w:r>
              <w:rPr>
                <w:color w:val="auto"/>
                <w:szCs w:val="21"/>
                <w:highlight w:val="none"/>
              </w:rPr>
              <w:t>养老保险</w:t>
            </w:r>
          </w:p>
        </w:tc>
        <w:tc>
          <w:tcPr>
            <w:tcW w:w="759" w:type="dxa"/>
            <w:noWrap w:val="0"/>
            <w:vAlign w:val="center"/>
          </w:tcPr>
          <w:p w14:paraId="2791B055">
            <w:pPr>
              <w:adjustRightInd w:val="0"/>
              <w:snapToGrid w:val="0"/>
              <w:spacing w:line="560" w:lineRule="exact"/>
              <w:jc w:val="center"/>
              <w:rPr>
                <w:color w:val="auto"/>
                <w:szCs w:val="21"/>
                <w:highlight w:val="none"/>
              </w:rPr>
            </w:pPr>
          </w:p>
        </w:tc>
      </w:tr>
      <w:tr w14:paraId="3986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616" w:type="dxa"/>
            <w:noWrap w:val="0"/>
            <w:vAlign w:val="center"/>
          </w:tcPr>
          <w:p w14:paraId="2A9E28D4">
            <w:pPr>
              <w:adjustRightInd w:val="0"/>
              <w:snapToGrid w:val="0"/>
              <w:spacing w:line="560" w:lineRule="exact"/>
              <w:jc w:val="center"/>
              <w:rPr>
                <w:color w:val="auto"/>
                <w:szCs w:val="21"/>
                <w:highlight w:val="none"/>
              </w:rPr>
            </w:pPr>
            <w:r>
              <w:rPr>
                <w:rFonts w:hint="eastAsia"/>
                <w:color w:val="auto"/>
                <w:szCs w:val="21"/>
                <w:highlight w:val="none"/>
              </w:rPr>
              <w:t>项目经理</w:t>
            </w:r>
            <w:r>
              <w:rPr>
                <w:rFonts w:hint="eastAsia"/>
                <w:color w:val="auto"/>
                <w:szCs w:val="21"/>
                <w:highlight w:val="none"/>
                <w:lang w:val="en-US" w:eastAsia="zh-CN"/>
              </w:rPr>
              <w:t>A岗</w:t>
            </w:r>
            <w:r>
              <w:rPr>
                <w:rFonts w:hint="eastAsia"/>
                <w:color w:val="auto"/>
                <w:szCs w:val="21"/>
                <w:highlight w:val="none"/>
              </w:rPr>
              <w:t>（建造师）</w:t>
            </w:r>
          </w:p>
        </w:tc>
        <w:tc>
          <w:tcPr>
            <w:tcW w:w="944" w:type="dxa"/>
            <w:noWrap w:val="0"/>
            <w:vAlign w:val="center"/>
          </w:tcPr>
          <w:p w14:paraId="027EA9DC">
            <w:pPr>
              <w:adjustRightInd w:val="0"/>
              <w:snapToGrid w:val="0"/>
              <w:spacing w:line="560" w:lineRule="exact"/>
              <w:jc w:val="center"/>
              <w:rPr>
                <w:color w:val="auto"/>
                <w:szCs w:val="21"/>
                <w:highlight w:val="none"/>
              </w:rPr>
            </w:pPr>
          </w:p>
        </w:tc>
        <w:tc>
          <w:tcPr>
            <w:tcW w:w="812" w:type="dxa"/>
            <w:noWrap w:val="0"/>
            <w:vAlign w:val="center"/>
          </w:tcPr>
          <w:p w14:paraId="11DD3AF4">
            <w:pPr>
              <w:adjustRightInd w:val="0"/>
              <w:snapToGrid w:val="0"/>
              <w:spacing w:line="560" w:lineRule="exact"/>
              <w:jc w:val="center"/>
              <w:rPr>
                <w:color w:val="auto"/>
                <w:szCs w:val="21"/>
                <w:highlight w:val="none"/>
              </w:rPr>
            </w:pPr>
          </w:p>
        </w:tc>
        <w:tc>
          <w:tcPr>
            <w:tcW w:w="1220" w:type="dxa"/>
            <w:noWrap w:val="0"/>
            <w:vAlign w:val="center"/>
          </w:tcPr>
          <w:p w14:paraId="190C7D97">
            <w:pPr>
              <w:adjustRightInd w:val="0"/>
              <w:snapToGrid w:val="0"/>
              <w:spacing w:line="560" w:lineRule="exact"/>
              <w:jc w:val="center"/>
              <w:rPr>
                <w:color w:val="auto"/>
                <w:szCs w:val="21"/>
                <w:highlight w:val="none"/>
              </w:rPr>
            </w:pPr>
          </w:p>
        </w:tc>
        <w:tc>
          <w:tcPr>
            <w:tcW w:w="812" w:type="dxa"/>
            <w:noWrap w:val="0"/>
            <w:vAlign w:val="center"/>
          </w:tcPr>
          <w:p w14:paraId="6FD88BF5">
            <w:pPr>
              <w:adjustRightInd w:val="0"/>
              <w:snapToGrid w:val="0"/>
              <w:spacing w:line="560" w:lineRule="exact"/>
              <w:jc w:val="center"/>
              <w:rPr>
                <w:color w:val="auto"/>
                <w:szCs w:val="21"/>
                <w:highlight w:val="none"/>
              </w:rPr>
            </w:pPr>
          </w:p>
        </w:tc>
        <w:tc>
          <w:tcPr>
            <w:tcW w:w="814" w:type="dxa"/>
            <w:noWrap w:val="0"/>
            <w:vAlign w:val="center"/>
          </w:tcPr>
          <w:p w14:paraId="57EF6879">
            <w:pPr>
              <w:adjustRightInd w:val="0"/>
              <w:snapToGrid w:val="0"/>
              <w:spacing w:line="560" w:lineRule="exact"/>
              <w:jc w:val="center"/>
              <w:rPr>
                <w:color w:val="auto"/>
                <w:szCs w:val="21"/>
                <w:highlight w:val="none"/>
              </w:rPr>
            </w:pPr>
          </w:p>
        </w:tc>
        <w:tc>
          <w:tcPr>
            <w:tcW w:w="811" w:type="dxa"/>
            <w:noWrap w:val="0"/>
            <w:vAlign w:val="center"/>
          </w:tcPr>
          <w:p w14:paraId="1997D00C">
            <w:pPr>
              <w:adjustRightInd w:val="0"/>
              <w:snapToGrid w:val="0"/>
              <w:spacing w:line="560" w:lineRule="exact"/>
              <w:jc w:val="center"/>
              <w:rPr>
                <w:color w:val="auto"/>
                <w:szCs w:val="21"/>
                <w:highlight w:val="none"/>
              </w:rPr>
            </w:pPr>
          </w:p>
        </w:tc>
        <w:tc>
          <w:tcPr>
            <w:tcW w:w="2848" w:type="dxa"/>
            <w:noWrap w:val="0"/>
            <w:vAlign w:val="center"/>
          </w:tcPr>
          <w:p w14:paraId="73818C56">
            <w:pPr>
              <w:adjustRightInd w:val="0"/>
              <w:snapToGrid w:val="0"/>
              <w:spacing w:line="560" w:lineRule="exact"/>
              <w:jc w:val="center"/>
              <w:rPr>
                <w:color w:val="auto"/>
                <w:szCs w:val="21"/>
                <w:highlight w:val="none"/>
              </w:rPr>
            </w:pPr>
          </w:p>
        </w:tc>
        <w:tc>
          <w:tcPr>
            <w:tcW w:w="759" w:type="dxa"/>
            <w:noWrap w:val="0"/>
            <w:vAlign w:val="center"/>
          </w:tcPr>
          <w:p w14:paraId="23162047">
            <w:pPr>
              <w:adjustRightInd w:val="0"/>
              <w:snapToGrid w:val="0"/>
              <w:spacing w:line="560" w:lineRule="exact"/>
              <w:jc w:val="center"/>
              <w:rPr>
                <w:color w:val="auto"/>
                <w:szCs w:val="21"/>
                <w:highlight w:val="none"/>
              </w:rPr>
            </w:pPr>
          </w:p>
        </w:tc>
      </w:tr>
      <w:tr w14:paraId="5E64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616" w:type="dxa"/>
            <w:noWrap w:val="0"/>
            <w:vAlign w:val="center"/>
          </w:tcPr>
          <w:p w14:paraId="20C6BB8E">
            <w:pPr>
              <w:adjustRightInd w:val="0"/>
              <w:snapToGrid w:val="0"/>
              <w:spacing w:line="560" w:lineRule="exact"/>
              <w:jc w:val="center"/>
              <w:rPr>
                <w:rFonts w:hint="eastAsia"/>
                <w:color w:val="auto"/>
                <w:szCs w:val="21"/>
                <w:highlight w:val="none"/>
              </w:rPr>
            </w:pPr>
            <w:r>
              <w:rPr>
                <w:rFonts w:hint="eastAsia"/>
                <w:color w:val="auto"/>
                <w:szCs w:val="21"/>
                <w:highlight w:val="none"/>
              </w:rPr>
              <w:t>项目经理</w:t>
            </w:r>
            <w:r>
              <w:rPr>
                <w:rFonts w:hint="eastAsia"/>
                <w:color w:val="auto"/>
                <w:szCs w:val="21"/>
                <w:highlight w:val="none"/>
                <w:lang w:val="en-US" w:eastAsia="zh-CN"/>
              </w:rPr>
              <w:t>B岗</w:t>
            </w:r>
            <w:r>
              <w:rPr>
                <w:rFonts w:hint="eastAsia"/>
                <w:color w:val="auto"/>
                <w:szCs w:val="21"/>
                <w:highlight w:val="none"/>
              </w:rPr>
              <w:t>（建造师）</w:t>
            </w:r>
          </w:p>
          <w:p w14:paraId="10E39422">
            <w:pPr>
              <w:adjustRightInd w:val="0"/>
              <w:snapToGrid w:val="0"/>
              <w:spacing w:line="560" w:lineRule="exact"/>
              <w:jc w:val="center"/>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如有）</w:t>
            </w:r>
          </w:p>
        </w:tc>
        <w:tc>
          <w:tcPr>
            <w:tcW w:w="944" w:type="dxa"/>
            <w:noWrap w:val="0"/>
            <w:vAlign w:val="center"/>
          </w:tcPr>
          <w:p w14:paraId="28813350">
            <w:pPr>
              <w:adjustRightInd w:val="0"/>
              <w:snapToGrid w:val="0"/>
              <w:spacing w:line="560" w:lineRule="exact"/>
              <w:jc w:val="center"/>
              <w:rPr>
                <w:color w:val="auto"/>
                <w:szCs w:val="21"/>
                <w:highlight w:val="none"/>
              </w:rPr>
            </w:pPr>
          </w:p>
        </w:tc>
        <w:tc>
          <w:tcPr>
            <w:tcW w:w="812" w:type="dxa"/>
            <w:noWrap w:val="0"/>
            <w:vAlign w:val="center"/>
          </w:tcPr>
          <w:p w14:paraId="3374DE2D">
            <w:pPr>
              <w:adjustRightInd w:val="0"/>
              <w:snapToGrid w:val="0"/>
              <w:spacing w:line="560" w:lineRule="exact"/>
              <w:jc w:val="center"/>
              <w:rPr>
                <w:color w:val="auto"/>
                <w:szCs w:val="21"/>
                <w:highlight w:val="none"/>
              </w:rPr>
            </w:pPr>
          </w:p>
        </w:tc>
        <w:tc>
          <w:tcPr>
            <w:tcW w:w="1220" w:type="dxa"/>
            <w:noWrap w:val="0"/>
            <w:vAlign w:val="center"/>
          </w:tcPr>
          <w:p w14:paraId="25BD7B55">
            <w:pPr>
              <w:adjustRightInd w:val="0"/>
              <w:snapToGrid w:val="0"/>
              <w:spacing w:line="560" w:lineRule="exact"/>
              <w:jc w:val="center"/>
              <w:rPr>
                <w:color w:val="auto"/>
                <w:szCs w:val="21"/>
                <w:highlight w:val="none"/>
              </w:rPr>
            </w:pPr>
          </w:p>
        </w:tc>
        <w:tc>
          <w:tcPr>
            <w:tcW w:w="812" w:type="dxa"/>
            <w:noWrap w:val="0"/>
            <w:vAlign w:val="center"/>
          </w:tcPr>
          <w:p w14:paraId="00B135DC">
            <w:pPr>
              <w:adjustRightInd w:val="0"/>
              <w:snapToGrid w:val="0"/>
              <w:spacing w:line="560" w:lineRule="exact"/>
              <w:jc w:val="center"/>
              <w:rPr>
                <w:color w:val="auto"/>
                <w:szCs w:val="21"/>
                <w:highlight w:val="none"/>
              </w:rPr>
            </w:pPr>
          </w:p>
        </w:tc>
        <w:tc>
          <w:tcPr>
            <w:tcW w:w="814" w:type="dxa"/>
            <w:noWrap w:val="0"/>
            <w:vAlign w:val="center"/>
          </w:tcPr>
          <w:p w14:paraId="7992634F">
            <w:pPr>
              <w:adjustRightInd w:val="0"/>
              <w:snapToGrid w:val="0"/>
              <w:spacing w:line="560" w:lineRule="exact"/>
              <w:jc w:val="center"/>
              <w:rPr>
                <w:color w:val="auto"/>
                <w:szCs w:val="21"/>
                <w:highlight w:val="none"/>
              </w:rPr>
            </w:pPr>
          </w:p>
        </w:tc>
        <w:tc>
          <w:tcPr>
            <w:tcW w:w="811" w:type="dxa"/>
            <w:noWrap w:val="0"/>
            <w:vAlign w:val="center"/>
          </w:tcPr>
          <w:p w14:paraId="5055A6A2">
            <w:pPr>
              <w:adjustRightInd w:val="0"/>
              <w:snapToGrid w:val="0"/>
              <w:spacing w:line="560" w:lineRule="exact"/>
              <w:jc w:val="center"/>
              <w:rPr>
                <w:color w:val="auto"/>
                <w:szCs w:val="21"/>
                <w:highlight w:val="none"/>
              </w:rPr>
            </w:pPr>
          </w:p>
        </w:tc>
        <w:tc>
          <w:tcPr>
            <w:tcW w:w="2848" w:type="dxa"/>
            <w:noWrap w:val="0"/>
            <w:vAlign w:val="center"/>
          </w:tcPr>
          <w:p w14:paraId="785D218C">
            <w:pPr>
              <w:adjustRightInd w:val="0"/>
              <w:snapToGrid w:val="0"/>
              <w:spacing w:line="560" w:lineRule="exact"/>
              <w:jc w:val="center"/>
              <w:rPr>
                <w:color w:val="auto"/>
                <w:szCs w:val="21"/>
                <w:highlight w:val="none"/>
              </w:rPr>
            </w:pPr>
          </w:p>
        </w:tc>
        <w:tc>
          <w:tcPr>
            <w:tcW w:w="759" w:type="dxa"/>
            <w:noWrap w:val="0"/>
            <w:vAlign w:val="center"/>
          </w:tcPr>
          <w:p w14:paraId="30F0EF91">
            <w:pPr>
              <w:adjustRightInd w:val="0"/>
              <w:snapToGrid w:val="0"/>
              <w:spacing w:line="560" w:lineRule="exact"/>
              <w:jc w:val="center"/>
              <w:rPr>
                <w:color w:val="auto"/>
                <w:szCs w:val="21"/>
                <w:highlight w:val="none"/>
              </w:rPr>
            </w:pPr>
          </w:p>
        </w:tc>
      </w:tr>
      <w:tr w14:paraId="3CAC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616" w:type="dxa"/>
            <w:noWrap w:val="0"/>
            <w:vAlign w:val="top"/>
          </w:tcPr>
          <w:p w14:paraId="655A03D4">
            <w:pPr>
              <w:adjustRightInd w:val="0"/>
              <w:snapToGrid w:val="0"/>
              <w:spacing w:line="560" w:lineRule="exact"/>
              <w:jc w:val="center"/>
              <w:rPr>
                <w:color w:val="auto"/>
                <w:szCs w:val="21"/>
                <w:highlight w:val="none"/>
              </w:rPr>
            </w:pPr>
            <w:r>
              <w:rPr>
                <w:rFonts w:hint="eastAsia"/>
                <w:color w:val="auto"/>
                <w:szCs w:val="21"/>
                <w:highlight w:val="none"/>
              </w:rPr>
              <w:t>技术负责人</w:t>
            </w:r>
          </w:p>
        </w:tc>
        <w:tc>
          <w:tcPr>
            <w:tcW w:w="944" w:type="dxa"/>
            <w:noWrap w:val="0"/>
            <w:vAlign w:val="top"/>
          </w:tcPr>
          <w:p w14:paraId="399F2855">
            <w:pPr>
              <w:adjustRightInd w:val="0"/>
              <w:snapToGrid w:val="0"/>
              <w:spacing w:line="560" w:lineRule="exact"/>
              <w:jc w:val="center"/>
              <w:rPr>
                <w:color w:val="auto"/>
                <w:szCs w:val="21"/>
                <w:highlight w:val="none"/>
              </w:rPr>
            </w:pPr>
          </w:p>
        </w:tc>
        <w:tc>
          <w:tcPr>
            <w:tcW w:w="812" w:type="dxa"/>
            <w:noWrap w:val="0"/>
            <w:vAlign w:val="top"/>
          </w:tcPr>
          <w:p w14:paraId="6D1D47E5">
            <w:pPr>
              <w:adjustRightInd w:val="0"/>
              <w:snapToGrid w:val="0"/>
              <w:spacing w:line="560" w:lineRule="exact"/>
              <w:jc w:val="center"/>
              <w:rPr>
                <w:color w:val="auto"/>
                <w:szCs w:val="21"/>
                <w:highlight w:val="none"/>
              </w:rPr>
            </w:pPr>
          </w:p>
        </w:tc>
        <w:tc>
          <w:tcPr>
            <w:tcW w:w="1220" w:type="dxa"/>
            <w:noWrap w:val="0"/>
            <w:vAlign w:val="top"/>
          </w:tcPr>
          <w:p w14:paraId="16FE7FF8">
            <w:pPr>
              <w:adjustRightInd w:val="0"/>
              <w:snapToGrid w:val="0"/>
              <w:spacing w:line="560" w:lineRule="exact"/>
              <w:jc w:val="center"/>
              <w:rPr>
                <w:color w:val="auto"/>
                <w:szCs w:val="21"/>
                <w:highlight w:val="none"/>
              </w:rPr>
            </w:pPr>
          </w:p>
        </w:tc>
        <w:tc>
          <w:tcPr>
            <w:tcW w:w="812" w:type="dxa"/>
            <w:noWrap w:val="0"/>
            <w:vAlign w:val="top"/>
          </w:tcPr>
          <w:p w14:paraId="372A8552">
            <w:pPr>
              <w:adjustRightInd w:val="0"/>
              <w:snapToGrid w:val="0"/>
              <w:spacing w:line="560" w:lineRule="exact"/>
              <w:jc w:val="center"/>
              <w:rPr>
                <w:color w:val="auto"/>
                <w:szCs w:val="21"/>
                <w:highlight w:val="none"/>
              </w:rPr>
            </w:pPr>
          </w:p>
        </w:tc>
        <w:tc>
          <w:tcPr>
            <w:tcW w:w="814" w:type="dxa"/>
            <w:noWrap w:val="0"/>
            <w:vAlign w:val="top"/>
          </w:tcPr>
          <w:p w14:paraId="4208F2BB">
            <w:pPr>
              <w:adjustRightInd w:val="0"/>
              <w:snapToGrid w:val="0"/>
              <w:spacing w:line="560" w:lineRule="exact"/>
              <w:jc w:val="center"/>
              <w:rPr>
                <w:color w:val="auto"/>
                <w:szCs w:val="21"/>
                <w:highlight w:val="none"/>
              </w:rPr>
            </w:pPr>
          </w:p>
        </w:tc>
        <w:tc>
          <w:tcPr>
            <w:tcW w:w="811" w:type="dxa"/>
            <w:noWrap w:val="0"/>
            <w:vAlign w:val="top"/>
          </w:tcPr>
          <w:p w14:paraId="7E40376F">
            <w:pPr>
              <w:adjustRightInd w:val="0"/>
              <w:snapToGrid w:val="0"/>
              <w:spacing w:line="560" w:lineRule="exact"/>
              <w:jc w:val="center"/>
              <w:rPr>
                <w:color w:val="auto"/>
                <w:szCs w:val="21"/>
                <w:highlight w:val="none"/>
              </w:rPr>
            </w:pPr>
          </w:p>
        </w:tc>
        <w:tc>
          <w:tcPr>
            <w:tcW w:w="2848" w:type="dxa"/>
            <w:noWrap w:val="0"/>
            <w:vAlign w:val="top"/>
          </w:tcPr>
          <w:p w14:paraId="133239F7">
            <w:pPr>
              <w:adjustRightInd w:val="0"/>
              <w:snapToGrid w:val="0"/>
              <w:spacing w:line="560" w:lineRule="exact"/>
              <w:jc w:val="center"/>
              <w:rPr>
                <w:color w:val="auto"/>
                <w:szCs w:val="21"/>
                <w:highlight w:val="none"/>
              </w:rPr>
            </w:pPr>
          </w:p>
        </w:tc>
        <w:tc>
          <w:tcPr>
            <w:tcW w:w="759" w:type="dxa"/>
            <w:noWrap w:val="0"/>
            <w:vAlign w:val="top"/>
          </w:tcPr>
          <w:p w14:paraId="0BBFC809">
            <w:pPr>
              <w:adjustRightInd w:val="0"/>
              <w:snapToGrid w:val="0"/>
              <w:spacing w:line="560" w:lineRule="exact"/>
              <w:jc w:val="center"/>
              <w:rPr>
                <w:color w:val="auto"/>
                <w:szCs w:val="21"/>
                <w:highlight w:val="none"/>
              </w:rPr>
            </w:pPr>
          </w:p>
        </w:tc>
      </w:tr>
      <w:tr w14:paraId="451F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616" w:type="dxa"/>
            <w:noWrap w:val="0"/>
            <w:vAlign w:val="top"/>
          </w:tcPr>
          <w:p w14:paraId="4997558C">
            <w:pPr>
              <w:adjustRightInd w:val="0"/>
              <w:snapToGrid w:val="0"/>
              <w:spacing w:line="560" w:lineRule="exact"/>
              <w:jc w:val="center"/>
              <w:rPr>
                <w:color w:val="auto"/>
                <w:szCs w:val="21"/>
                <w:highlight w:val="none"/>
              </w:rPr>
            </w:pPr>
          </w:p>
        </w:tc>
        <w:tc>
          <w:tcPr>
            <w:tcW w:w="944" w:type="dxa"/>
            <w:noWrap w:val="0"/>
            <w:vAlign w:val="top"/>
          </w:tcPr>
          <w:p w14:paraId="0D33355F">
            <w:pPr>
              <w:adjustRightInd w:val="0"/>
              <w:snapToGrid w:val="0"/>
              <w:spacing w:line="560" w:lineRule="exact"/>
              <w:jc w:val="center"/>
              <w:rPr>
                <w:color w:val="auto"/>
                <w:szCs w:val="21"/>
                <w:highlight w:val="none"/>
              </w:rPr>
            </w:pPr>
          </w:p>
        </w:tc>
        <w:tc>
          <w:tcPr>
            <w:tcW w:w="812" w:type="dxa"/>
            <w:noWrap w:val="0"/>
            <w:vAlign w:val="top"/>
          </w:tcPr>
          <w:p w14:paraId="2F4815D6">
            <w:pPr>
              <w:adjustRightInd w:val="0"/>
              <w:snapToGrid w:val="0"/>
              <w:spacing w:line="560" w:lineRule="exact"/>
              <w:jc w:val="center"/>
              <w:rPr>
                <w:color w:val="auto"/>
                <w:szCs w:val="21"/>
                <w:highlight w:val="none"/>
              </w:rPr>
            </w:pPr>
          </w:p>
        </w:tc>
        <w:tc>
          <w:tcPr>
            <w:tcW w:w="1220" w:type="dxa"/>
            <w:noWrap w:val="0"/>
            <w:vAlign w:val="top"/>
          </w:tcPr>
          <w:p w14:paraId="22E4CF1B">
            <w:pPr>
              <w:adjustRightInd w:val="0"/>
              <w:snapToGrid w:val="0"/>
              <w:spacing w:line="560" w:lineRule="exact"/>
              <w:jc w:val="center"/>
              <w:rPr>
                <w:color w:val="auto"/>
                <w:szCs w:val="21"/>
                <w:highlight w:val="none"/>
              </w:rPr>
            </w:pPr>
          </w:p>
        </w:tc>
        <w:tc>
          <w:tcPr>
            <w:tcW w:w="812" w:type="dxa"/>
            <w:noWrap w:val="0"/>
            <w:vAlign w:val="top"/>
          </w:tcPr>
          <w:p w14:paraId="7D11B544">
            <w:pPr>
              <w:adjustRightInd w:val="0"/>
              <w:snapToGrid w:val="0"/>
              <w:spacing w:line="560" w:lineRule="exact"/>
              <w:jc w:val="center"/>
              <w:rPr>
                <w:color w:val="auto"/>
                <w:szCs w:val="21"/>
                <w:highlight w:val="none"/>
              </w:rPr>
            </w:pPr>
          </w:p>
        </w:tc>
        <w:tc>
          <w:tcPr>
            <w:tcW w:w="814" w:type="dxa"/>
            <w:noWrap w:val="0"/>
            <w:vAlign w:val="top"/>
          </w:tcPr>
          <w:p w14:paraId="60D2E576">
            <w:pPr>
              <w:adjustRightInd w:val="0"/>
              <w:snapToGrid w:val="0"/>
              <w:spacing w:line="560" w:lineRule="exact"/>
              <w:jc w:val="center"/>
              <w:rPr>
                <w:color w:val="auto"/>
                <w:szCs w:val="21"/>
                <w:highlight w:val="none"/>
              </w:rPr>
            </w:pPr>
          </w:p>
        </w:tc>
        <w:tc>
          <w:tcPr>
            <w:tcW w:w="811" w:type="dxa"/>
            <w:noWrap w:val="0"/>
            <w:vAlign w:val="top"/>
          </w:tcPr>
          <w:p w14:paraId="5D7F8588">
            <w:pPr>
              <w:adjustRightInd w:val="0"/>
              <w:snapToGrid w:val="0"/>
              <w:spacing w:line="560" w:lineRule="exact"/>
              <w:jc w:val="center"/>
              <w:rPr>
                <w:color w:val="auto"/>
                <w:szCs w:val="21"/>
                <w:highlight w:val="none"/>
              </w:rPr>
            </w:pPr>
          </w:p>
        </w:tc>
        <w:tc>
          <w:tcPr>
            <w:tcW w:w="2848" w:type="dxa"/>
            <w:noWrap w:val="0"/>
            <w:vAlign w:val="top"/>
          </w:tcPr>
          <w:p w14:paraId="29B0EF80">
            <w:pPr>
              <w:adjustRightInd w:val="0"/>
              <w:snapToGrid w:val="0"/>
              <w:spacing w:line="560" w:lineRule="exact"/>
              <w:jc w:val="center"/>
              <w:rPr>
                <w:color w:val="auto"/>
                <w:szCs w:val="21"/>
                <w:highlight w:val="none"/>
              </w:rPr>
            </w:pPr>
          </w:p>
        </w:tc>
        <w:tc>
          <w:tcPr>
            <w:tcW w:w="759" w:type="dxa"/>
            <w:noWrap w:val="0"/>
            <w:vAlign w:val="top"/>
          </w:tcPr>
          <w:p w14:paraId="3F771544">
            <w:pPr>
              <w:adjustRightInd w:val="0"/>
              <w:snapToGrid w:val="0"/>
              <w:spacing w:line="560" w:lineRule="exact"/>
              <w:jc w:val="center"/>
              <w:rPr>
                <w:color w:val="auto"/>
                <w:szCs w:val="21"/>
                <w:highlight w:val="none"/>
              </w:rPr>
            </w:pPr>
          </w:p>
        </w:tc>
      </w:tr>
      <w:tr w14:paraId="2091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616" w:type="dxa"/>
            <w:noWrap w:val="0"/>
            <w:vAlign w:val="top"/>
          </w:tcPr>
          <w:p w14:paraId="4B4AE533">
            <w:pPr>
              <w:adjustRightInd w:val="0"/>
              <w:snapToGrid w:val="0"/>
              <w:spacing w:line="560" w:lineRule="exact"/>
              <w:jc w:val="center"/>
              <w:rPr>
                <w:color w:val="auto"/>
                <w:szCs w:val="21"/>
                <w:highlight w:val="none"/>
              </w:rPr>
            </w:pPr>
          </w:p>
        </w:tc>
        <w:tc>
          <w:tcPr>
            <w:tcW w:w="944" w:type="dxa"/>
            <w:noWrap w:val="0"/>
            <w:vAlign w:val="top"/>
          </w:tcPr>
          <w:p w14:paraId="70792822">
            <w:pPr>
              <w:adjustRightInd w:val="0"/>
              <w:snapToGrid w:val="0"/>
              <w:spacing w:line="560" w:lineRule="exact"/>
              <w:jc w:val="center"/>
              <w:rPr>
                <w:color w:val="auto"/>
                <w:szCs w:val="21"/>
                <w:highlight w:val="none"/>
              </w:rPr>
            </w:pPr>
          </w:p>
        </w:tc>
        <w:tc>
          <w:tcPr>
            <w:tcW w:w="812" w:type="dxa"/>
            <w:noWrap w:val="0"/>
            <w:vAlign w:val="top"/>
          </w:tcPr>
          <w:p w14:paraId="059E16DE">
            <w:pPr>
              <w:adjustRightInd w:val="0"/>
              <w:snapToGrid w:val="0"/>
              <w:spacing w:line="560" w:lineRule="exact"/>
              <w:jc w:val="center"/>
              <w:rPr>
                <w:color w:val="auto"/>
                <w:szCs w:val="21"/>
                <w:highlight w:val="none"/>
              </w:rPr>
            </w:pPr>
          </w:p>
        </w:tc>
        <w:tc>
          <w:tcPr>
            <w:tcW w:w="1220" w:type="dxa"/>
            <w:noWrap w:val="0"/>
            <w:vAlign w:val="top"/>
          </w:tcPr>
          <w:p w14:paraId="140098B9">
            <w:pPr>
              <w:adjustRightInd w:val="0"/>
              <w:snapToGrid w:val="0"/>
              <w:spacing w:line="560" w:lineRule="exact"/>
              <w:jc w:val="center"/>
              <w:rPr>
                <w:color w:val="auto"/>
                <w:szCs w:val="21"/>
                <w:highlight w:val="none"/>
              </w:rPr>
            </w:pPr>
          </w:p>
        </w:tc>
        <w:tc>
          <w:tcPr>
            <w:tcW w:w="812" w:type="dxa"/>
            <w:noWrap w:val="0"/>
            <w:vAlign w:val="top"/>
          </w:tcPr>
          <w:p w14:paraId="487A97F9">
            <w:pPr>
              <w:adjustRightInd w:val="0"/>
              <w:snapToGrid w:val="0"/>
              <w:spacing w:line="560" w:lineRule="exact"/>
              <w:jc w:val="center"/>
              <w:rPr>
                <w:color w:val="auto"/>
                <w:szCs w:val="21"/>
                <w:highlight w:val="none"/>
              </w:rPr>
            </w:pPr>
          </w:p>
        </w:tc>
        <w:tc>
          <w:tcPr>
            <w:tcW w:w="814" w:type="dxa"/>
            <w:noWrap w:val="0"/>
            <w:vAlign w:val="top"/>
          </w:tcPr>
          <w:p w14:paraId="4CB3F10F">
            <w:pPr>
              <w:adjustRightInd w:val="0"/>
              <w:snapToGrid w:val="0"/>
              <w:spacing w:line="560" w:lineRule="exact"/>
              <w:jc w:val="center"/>
              <w:rPr>
                <w:color w:val="auto"/>
                <w:szCs w:val="21"/>
                <w:highlight w:val="none"/>
              </w:rPr>
            </w:pPr>
          </w:p>
        </w:tc>
        <w:tc>
          <w:tcPr>
            <w:tcW w:w="811" w:type="dxa"/>
            <w:noWrap w:val="0"/>
            <w:vAlign w:val="top"/>
          </w:tcPr>
          <w:p w14:paraId="2AE8203A">
            <w:pPr>
              <w:adjustRightInd w:val="0"/>
              <w:snapToGrid w:val="0"/>
              <w:spacing w:line="560" w:lineRule="exact"/>
              <w:jc w:val="center"/>
              <w:rPr>
                <w:color w:val="auto"/>
                <w:szCs w:val="21"/>
                <w:highlight w:val="none"/>
              </w:rPr>
            </w:pPr>
          </w:p>
        </w:tc>
        <w:tc>
          <w:tcPr>
            <w:tcW w:w="2848" w:type="dxa"/>
            <w:noWrap w:val="0"/>
            <w:vAlign w:val="top"/>
          </w:tcPr>
          <w:p w14:paraId="722B7BEB">
            <w:pPr>
              <w:adjustRightInd w:val="0"/>
              <w:snapToGrid w:val="0"/>
              <w:spacing w:line="560" w:lineRule="exact"/>
              <w:jc w:val="center"/>
              <w:rPr>
                <w:color w:val="auto"/>
                <w:szCs w:val="21"/>
                <w:highlight w:val="none"/>
              </w:rPr>
            </w:pPr>
          </w:p>
        </w:tc>
        <w:tc>
          <w:tcPr>
            <w:tcW w:w="759" w:type="dxa"/>
            <w:noWrap w:val="0"/>
            <w:vAlign w:val="top"/>
          </w:tcPr>
          <w:p w14:paraId="7F844E7C">
            <w:pPr>
              <w:adjustRightInd w:val="0"/>
              <w:snapToGrid w:val="0"/>
              <w:spacing w:line="560" w:lineRule="exact"/>
              <w:jc w:val="center"/>
              <w:rPr>
                <w:color w:val="auto"/>
                <w:szCs w:val="21"/>
                <w:highlight w:val="none"/>
              </w:rPr>
            </w:pPr>
          </w:p>
        </w:tc>
      </w:tr>
      <w:tr w14:paraId="45C4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616" w:type="dxa"/>
            <w:noWrap w:val="0"/>
            <w:vAlign w:val="top"/>
          </w:tcPr>
          <w:p w14:paraId="018A19F3">
            <w:pPr>
              <w:adjustRightInd w:val="0"/>
              <w:snapToGrid w:val="0"/>
              <w:spacing w:line="560" w:lineRule="exact"/>
              <w:jc w:val="center"/>
              <w:rPr>
                <w:color w:val="auto"/>
                <w:szCs w:val="21"/>
                <w:highlight w:val="none"/>
              </w:rPr>
            </w:pPr>
          </w:p>
        </w:tc>
        <w:tc>
          <w:tcPr>
            <w:tcW w:w="944" w:type="dxa"/>
            <w:noWrap w:val="0"/>
            <w:vAlign w:val="top"/>
          </w:tcPr>
          <w:p w14:paraId="35D9BFE0">
            <w:pPr>
              <w:adjustRightInd w:val="0"/>
              <w:snapToGrid w:val="0"/>
              <w:spacing w:line="560" w:lineRule="exact"/>
              <w:jc w:val="center"/>
              <w:rPr>
                <w:color w:val="auto"/>
                <w:szCs w:val="21"/>
                <w:highlight w:val="none"/>
              </w:rPr>
            </w:pPr>
          </w:p>
        </w:tc>
        <w:tc>
          <w:tcPr>
            <w:tcW w:w="812" w:type="dxa"/>
            <w:noWrap w:val="0"/>
            <w:vAlign w:val="top"/>
          </w:tcPr>
          <w:p w14:paraId="5DC9C9C5">
            <w:pPr>
              <w:adjustRightInd w:val="0"/>
              <w:snapToGrid w:val="0"/>
              <w:spacing w:line="560" w:lineRule="exact"/>
              <w:jc w:val="center"/>
              <w:rPr>
                <w:color w:val="auto"/>
                <w:szCs w:val="21"/>
                <w:highlight w:val="none"/>
              </w:rPr>
            </w:pPr>
          </w:p>
        </w:tc>
        <w:tc>
          <w:tcPr>
            <w:tcW w:w="1220" w:type="dxa"/>
            <w:noWrap w:val="0"/>
            <w:vAlign w:val="top"/>
          </w:tcPr>
          <w:p w14:paraId="409FF62C">
            <w:pPr>
              <w:adjustRightInd w:val="0"/>
              <w:snapToGrid w:val="0"/>
              <w:spacing w:line="560" w:lineRule="exact"/>
              <w:jc w:val="center"/>
              <w:rPr>
                <w:color w:val="auto"/>
                <w:szCs w:val="21"/>
                <w:highlight w:val="none"/>
              </w:rPr>
            </w:pPr>
          </w:p>
        </w:tc>
        <w:tc>
          <w:tcPr>
            <w:tcW w:w="812" w:type="dxa"/>
            <w:noWrap w:val="0"/>
            <w:vAlign w:val="top"/>
          </w:tcPr>
          <w:p w14:paraId="6ECE1121">
            <w:pPr>
              <w:adjustRightInd w:val="0"/>
              <w:snapToGrid w:val="0"/>
              <w:spacing w:line="560" w:lineRule="exact"/>
              <w:jc w:val="center"/>
              <w:rPr>
                <w:color w:val="auto"/>
                <w:szCs w:val="21"/>
                <w:highlight w:val="none"/>
              </w:rPr>
            </w:pPr>
          </w:p>
        </w:tc>
        <w:tc>
          <w:tcPr>
            <w:tcW w:w="814" w:type="dxa"/>
            <w:noWrap w:val="0"/>
            <w:vAlign w:val="top"/>
          </w:tcPr>
          <w:p w14:paraId="0F833B47">
            <w:pPr>
              <w:adjustRightInd w:val="0"/>
              <w:snapToGrid w:val="0"/>
              <w:spacing w:line="560" w:lineRule="exact"/>
              <w:jc w:val="center"/>
              <w:rPr>
                <w:color w:val="auto"/>
                <w:szCs w:val="21"/>
                <w:highlight w:val="none"/>
              </w:rPr>
            </w:pPr>
          </w:p>
        </w:tc>
        <w:tc>
          <w:tcPr>
            <w:tcW w:w="811" w:type="dxa"/>
            <w:noWrap w:val="0"/>
            <w:vAlign w:val="top"/>
          </w:tcPr>
          <w:p w14:paraId="1E35C10D">
            <w:pPr>
              <w:adjustRightInd w:val="0"/>
              <w:snapToGrid w:val="0"/>
              <w:spacing w:line="560" w:lineRule="exact"/>
              <w:jc w:val="center"/>
              <w:rPr>
                <w:color w:val="auto"/>
                <w:szCs w:val="21"/>
                <w:highlight w:val="none"/>
              </w:rPr>
            </w:pPr>
          </w:p>
        </w:tc>
        <w:tc>
          <w:tcPr>
            <w:tcW w:w="2848" w:type="dxa"/>
            <w:noWrap w:val="0"/>
            <w:vAlign w:val="top"/>
          </w:tcPr>
          <w:p w14:paraId="553F4BEC">
            <w:pPr>
              <w:adjustRightInd w:val="0"/>
              <w:snapToGrid w:val="0"/>
              <w:spacing w:line="560" w:lineRule="exact"/>
              <w:jc w:val="center"/>
              <w:rPr>
                <w:color w:val="auto"/>
                <w:szCs w:val="21"/>
                <w:highlight w:val="none"/>
              </w:rPr>
            </w:pPr>
          </w:p>
        </w:tc>
        <w:tc>
          <w:tcPr>
            <w:tcW w:w="759" w:type="dxa"/>
            <w:noWrap w:val="0"/>
            <w:vAlign w:val="top"/>
          </w:tcPr>
          <w:p w14:paraId="12D998DE">
            <w:pPr>
              <w:adjustRightInd w:val="0"/>
              <w:snapToGrid w:val="0"/>
              <w:spacing w:line="560" w:lineRule="exact"/>
              <w:jc w:val="center"/>
              <w:rPr>
                <w:color w:val="auto"/>
                <w:szCs w:val="21"/>
                <w:highlight w:val="none"/>
              </w:rPr>
            </w:pPr>
          </w:p>
        </w:tc>
      </w:tr>
      <w:tr w14:paraId="6CEE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616" w:type="dxa"/>
            <w:tcBorders>
              <w:top w:val="single" w:color="auto" w:sz="4" w:space="0"/>
              <w:left w:val="single" w:color="auto" w:sz="4" w:space="0"/>
              <w:bottom w:val="single" w:color="auto" w:sz="4" w:space="0"/>
              <w:right w:val="single" w:color="auto" w:sz="4" w:space="0"/>
            </w:tcBorders>
            <w:noWrap w:val="0"/>
            <w:vAlign w:val="top"/>
          </w:tcPr>
          <w:p w14:paraId="5EF5B769">
            <w:pPr>
              <w:adjustRightInd w:val="0"/>
              <w:snapToGrid w:val="0"/>
              <w:spacing w:line="560" w:lineRule="exact"/>
              <w:jc w:val="center"/>
              <w:rPr>
                <w:color w:val="auto"/>
                <w:szCs w:val="21"/>
                <w:highlight w:val="none"/>
              </w:rPr>
            </w:pPr>
          </w:p>
        </w:tc>
        <w:tc>
          <w:tcPr>
            <w:tcW w:w="944" w:type="dxa"/>
            <w:tcBorders>
              <w:top w:val="single" w:color="auto" w:sz="4" w:space="0"/>
              <w:left w:val="single" w:color="auto" w:sz="4" w:space="0"/>
              <w:bottom w:val="single" w:color="auto" w:sz="4" w:space="0"/>
              <w:right w:val="single" w:color="auto" w:sz="4" w:space="0"/>
            </w:tcBorders>
            <w:noWrap w:val="0"/>
            <w:vAlign w:val="top"/>
          </w:tcPr>
          <w:p w14:paraId="31ECDFA0">
            <w:pPr>
              <w:adjustRightInd w:val="0"/>
              <w:snapToGrid w:val="0"/>
              <w:spacing w:line="560" w:lineRule="exact"/>
              <w:jc w:val="center"/>
              <w:rPr>
                <w:color w:val="auto"/>
                <w:szCs w:val="21"/>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top"/>
          </w:tcPr>
          <w:p w14:paraId="4ADE328D">
            <w:pPr>
              <w:adjustRightInd w:val="0"/>
              <w:snapToGrid w:val="0"/>
              <w:spacing w:line="560" w:lineRule="exact"/>
              <w:jc w:val="center"/>
              <w:rPr>
                <w:color w:val="auto"/>
                <w:szCs w:val="21"/>
                <w:highlight w:val="none"/>
              </w:rPr>
            </w:pPr>
          </w:p>
        </w:tc>
        <w:tc>
          <w:tcPr>
            <w:tcW w:w="1220" w:type="dxa"/>
            <w:tcBorders>
              <w:top w:val="single" w:color="auto" w:sz="4" w:space="0"/>
              <w:left w:val="single" w:color="auto" w:sz="4" w:space="0"/>
              <w:bottom w:val="single" w:color="auto" w:sz="4" w:space="0"/>
              <w:right w:val="single" w:color="auto" w:sz="4" w:space="0"/>
            </w:tcBorders>
            <w:noWrap w:val="0"/>
            <w:vAlign w:val="top"/>
          </w:tcPr>
          <w:p w14:paraId="01E64108">
            <w:pPr>
              <w:adjustRightInd w:val="0"/>
              <w:snapToGrid w:val="0"/>
              <w:spacing w:line="560" w:lineRule="exact"/>
              <w:jc w:val="center"/>
              <w:rPr>
                <w:color w:val="auto"/>
                <w:szCs w:val="21"/>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top"/>
          </w:tcPr>
          <w:p w14:paraId="631628DF">
            <w:pPr>
              <w:adjustRightInd w:val="0"/>
              <w:snapToGrid w:val="0"/>
              <w:spacing w:line="560" w:lineRule="exact"/>
              <w:jc w:val="center"/>
              <w:rPr>
                <w:color w:val="auto"/>
                <w:szCs w:val="21"/>
                <w:highlight w:val="none"/>
              </w:rPr>
            </w:pPr>
          </w:p>
        </w:tc>
        <w:tc>
          <w:tcPr>
            <w:tcW w:w="814" w:type="dxa"/>
            <w:tcBorders>
              <w:top w:val="single" w:color="auto" w:sz="4" w:space="0"/>
              <w:left w:val="single" w:color="auto" w:sz="4" w:space="0"/>
              <w:bottom w:val="single" w:color="auto" w:sz="4" w:space="0"/>
              <w:right w:val="single" w:color="auto" w:sz="4" w:space="0"/>
            </w:tcBorders>
            <w:noWrap w:val="0"/>
            <w:vAlign w:val="top"/>
          </w:tcPr>
          <w:p w14:paraId="3F7EF23F">
            <w:pPr>
              <w:adjustRightInd w:val="0"/>
              <w:snapToGrid w:val="0"/>
              <w:spacing w:line="560" w:lineRule="exact"/>
              <w:jc w:val="center"/>
              <w:rPr>
                <w:color w:val="auto"/>
                <w:szCs w:val="21"/>
                <w:highlight w:val="none"/>
              </w:rPr>
            </w:pPr>
          </w:p>
        </w:tc>
        <w:tc>
          <w:tcPr>
            <w:tcW w:w="811" w:type="dxa"/>
            <w:tcBorders>
              <w:top w:val="single" w:color="auto" w:sz="4" w:space="0"/>
              <w:left w:val="single" w:color="auto" w:sz="4" w:space="0"/>
              <w:bottom w:val="single" w:color="auto" w:sz="4" w:space="0"/>
              <w:right w:val="single" w:color="auto" w:sz="4" w:space="0"/>
            </w:tcBorders>
            <w:noWrap w:val="0"/>
            <w:vAlign w:val="top"/>
          </w:tcPr>
          <w:p w14:paraId="7A1F4FAC">
            <w:pPr>
              <w:adjustRightInd w:val="0"/>
              <w:snapToGrid w:val="0"/>
              <w:spacing w:line="560" w:lineRule="exact"/>
              <w:jc w:val="center"/>
              <w:rPr>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noWrap w:val="0"/>
            <w:vAlign w:val="top"/>
          </w:tcPr>
          <w:p w14:paraId="7FA20A02">
            <w:pPr>
              <w:adjustRightInd w:val="0"/>
              <w:snapToGrid w:val="0"/>
              <w:spacing w:line="560" w:lineRule="exact"/>
              <w:jc w:val="center"/>
              <w:rPr>
                <w:color w:val="auto"/>
                <w:szCs w:val="21"/>
                <w:highlight w:val="none"/>
              </w:rPr>
            </w:pPr>
          </w:p>
        </w:tc>
        <w:tc>
          <w:tcPr>
            <w:tcW w:w="759" w:type="dxa"/>
            <w:tcBorders>
              <w:top w:val="single" w:color="auto" w:sz="4" w:space="0"/>
              <w:left w:val="single" w:color="auto" w:sz="4" w:space="0"/>
              <w:bottom w:val="single" w:color="auto" w:sz="4" w:space="0"/>
              <w:right w:val="single" w:color="auto" w:sz="4" w:space="0"/>
            </w:tcBorders>
            <w:noWrap w:val="0"/>
            <w:vAlign w:val="top"/>
          </w:tcPr>
          <w:p w14:paraId="089F6528">
            <w:pPr>
              <w:adjustRightInd w:val="0"/>
              <w:snapToGrid w:val="0"/>
              <w:spacing w:line="560" w:lineRule="exact"/>
              <w:jc w:val="center"/>
              <w:rPr>
                <w:color w:val="auto"/>
                <w:szCs w:val="21"/>
                <w:highlight w:val="none"/>
              </w:rPr>
            </w:pPr>
          </w:p>
        </w:tc>
      </w:tr>
      <w:tr w14:paraId="0174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616" w:type="dxa"/>
            <w:tcBorders>
              <w:top w:val="single" w:color="auto" w:sz="4" w:space="0"/>
              <w:left w:val="single" w:color="auto" w:sz="4" w:space="0"/>
              <w:bottom w:val="single" w:color="auto" w:sz="4" w:space="0"/>
              <w:right w:val="single" w:color="auto" w:sz="4" w:space="0"/>
            </w:tcBorders>
            <w:noWrap w:val="0"/>
            <w:vAlign w:val="top"/>
          </w:tcPr>
          <w:p w14:paraId="222A10AA">
            <w:pPr>
              <w:adjustRightInd w:val="0"/>
              <w:snapToGrid w:val="0"/>
              <w:spacing w:line="560" w:lineRule="exact"/>
              <w:jc w:val="center"/>
              <w:rPr>
                <w:color w:val="auto"/>
                <w:szCs w:val="21"/>
                <w:highlight w:val="none"/>
              </w:rPr>
            </w:pPr>
          </w:p>
        </w:tc>
        <w:tc>
          <w:tcPr>
            <w:tcW w:w="944" w:type="dxa"/>
            <w:tcBorders>
              <w:top w:val="single" w:color="auto" w:sz="4" w:space="0"/>
              <w:left w:val="single" w:color="auto" w:sz="4" w:space="0"/>
              <w:bottom w:val="single" w:color="auto" w:sz="4" w:space="0"/>
              <w:right w:val="single" w:color="auto" w:sz="4" w:space="0"/>
            </w:tcBorders>
            <w:noWrap w:val="0"/>
            <w:vAlign w:val="top"/>
          </w:tcPr>
          <w:p w14:paraId="00C7D8E6">
            <w:pPr>
              <w:adjustRightInd w:val="0"/>
              <w:snapToGrid w:val="0"/>
              <w:spacing w:line="560" w:lineRule="exact"/>
              <w:jc w:val="center"/>
              <w:rPr>
                <w:color w:val="auto"/>
                <w:szCs w:val="21"/>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top"/>
          </w:tcPr>
          <w:p w14:paraId="26A7DDF0">
            <w:pPr>
              <w:adjustRightInd w:val="0"/>
              <w:snapToGrid w:val="0"/>
              <w:spacing w:line="560" w:lineRule="exact"/>
              <w:jc w:val="center"/>
              <w:rPr>
                <w:color w:val="auto"/>
                <w:szCs w:val="21"/>
                <w:highlight w:val="none"/>
              </w:rPr>
            </w:pPr>
          </w:p>
        </w:tc>
        <w:tc>
          <w:tcPr>
            <w:tcW w:w="1220" w:type="dxa"/>
            <w:tcBorders>
              <w:top w:val="single" w:color="auto" w:sz="4" w:space="0"/>
              <w:left w:val="single" w:color="auto" w:sz="4" w:space="0"/>
              <w:bottom w:val="single" w:color="auto" w:sz="4" w:space="0"/>
              <w:right w:val="single" w:color="auto" w:sz="4" w:space="0"/>
            </w:tcBorders>
            <w:noWrap w:val="0"/>
            <w:vAlign w:val="top"/>
          </w:tcPr>
          <w:p w14:paraId="53A5BACA">
            <w:pPr>
              <w:adjustRightInd w:val="0"/>
              <w:snapToGrid w:val="0"/>
              <w:spacing w:line="560" w:lineRule="exact"/>
              <w:jc w:val="center"/>
              <w:rPr>
                <w:color w:val="auto"/>
                <w:szCs w:val="21"/>
                <w:highlight w:val="none"/>
              </w:rPr>
            </w:pPr>
          </w:p>
        </w:tc>
        <w:tc>
          <w:tcPr>
            <w:tcW w:w="812" w:type="dxa"/>
            <w:tcBorders>
              <w:top w:val="single" w:color="auto" w:sz="4" w:space="0"/>
              <w:left w:val="single" w:color="auto" w:sz="4" w:space="0"/>
              <w:bottom w:val="single" w:color="auto" w:sz="4" w:space="0"/>
              <w:right w:val="single" w:color="auto" w:sz="4" w:space="0"/>
            </w:tcBorders>
            <w:noWrap w:val="0"/>
            <w:vAlign w:val="top"/>
          </w:tcPr>
          <w:p w14:paraId="07B73020">
            <w:pPr>
              <w:adjustRightInd w:val="0"/>
              <w:snapToGrid w:val="0"/>
              <w:spacing w:line="560" w:lineRule="exact"/>
              <w:jc w:val="center"/>
              <w:rPr>
                <w:color w:val="auto"/>
                <w:szCs w:val="21"/>
                <w:highlight w:val="none"/>
              </w:rPr>
            </w:pPr>
          </w:p>
        </w:tc>
        <w:tc>
          <w:tcPr>
            <w:tcW w:w="814" w:type="dxa"/>
            <w:tcBorders>
              <w:top w:val="single" w:color="auto" w:sz="4" w:space="0"/>
              <w:left w:val="single" w:color="auto" w:sz="4" w:space="0"/>
              <w:bottom w:val="single" w:color="auto" w:sz="4" w:space="0"/>
              <w:right w:val="single" w:color="auto" w:sz="4" w:space="0"/>
            </w:tcBorders>
            <w:noWrap w:val="0"/>
            <w:vAlign w:val="top"/>
          </w:tcPr>
          <w:p w14:paraId="2B7FC6E7">
            <w:pPr>
              <w:adjustRightInd w:val="0"/>
              <w:snapToGrid w:val="0"/>
              <w:spacing w:line="560" w:lineRule="exact"/>
              <w:jc w:val="center"/>
              <w:rPr>
                <w:color w:val="auto"/>
                <w:szCs w:val="21"/>
                <w:highlight w:val="none"/>
              </w:rPr>
            </w:pPr>
          </w:p>
        </w:tc>
        <w:tc>
          <w:tcPr>
            <w:tcW w:w="811" w:type="dxa"/>
            <w:tcBorders>
              <w:top w:val="single" w:color="auto" w:sz="4" w:space="0"/>
              <w:left w:val="single" w:color="auto" w:sz="4" w:space="0"/>
              <w:bottom w:val="single" w:color="auto" w:sz="4" w:space="0"/>
              <w:right w:val="single" w:color="auto" w:sz="4" w:space="0"/>
            </w:tcBorders>
            <w:noWrap w:val="0"/>
            <w:vAlign w:val="top"/>
          </w:tcPr>
          <w:p w14:paraId="4975EF40">
            <w:pPr>
              <w:adjustRightInd w:val="0"/>
              <w:snapToGrid w:val="0"/>
              <w:spacing w:line="560" w:lineRule="exact"/>
              <w:jc w:val="center"/>
              <w:rPr>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noWrap w:val="0"/>
            <w:vAlign w:val="top"/>
          </w:tcPr>
          <w:p w14:paraId="2384701D">
            <w:pPr>
              <w:adjustRightInd w:val="0"/>
              <w:snapToGrid w:val="0"/>
              <w:spacing w:line="560" w:lineRule="exact"/>
              <w:jc w:val="center"/>
              <w:rPr>
                <w:color w:val="auto"/>
                <w:szCs w:val="21"/>
                <w:highlight w:val="none"/>
              </w:rPr>
            </w:pPr>
          </w:p>
        </w:tc>
        <w:tc>
          <w:tcPr>
            <w:tcW w:w="759" w:type="dxa"/>
            <w:tcBorders>
              <w:top w:val="single" w:color="auto" w:sz="4" w:space="0"/>
              <w:left w:val="single" w:color="auto" w:sz="4" w:space="0"/>
              <w:bottom w:val="single" w:color="auto" w:sz="4" w:space="0"/>
              <w:right w:val="single" w:color="auto" w:sz="4" w:space="0"/>
            </w:tcBorders>
            <w:noWrap w:val="0"/>
            <w:vAlign w:val="top"/>
          </w:tcPr>
          <w:p w14:paraId="4CA02356">
            <w:pPr>
              <w:adjustRightInd w:val="0"/>
              <w:snapToGrid w:val="0"/>
              <w:spacing w:line="560" w:lineRule="exact"/>
              <w:jc w:val="center"/>
              <w:rPr>
                <w:color w:val="auto"/>
                <w:szCs w:val="21"/>
                <w:highlight w:val="none"/>
              </w:rPr>
            </w:pPr>
          </w:p>
        </w:tc>
      </w:tr>
    </w:tbl>
    <w:p w14:paraId="6628DEF6">
      <w:pPr>
        <w:adjustRightInd w:val="0"/>
        <w:snapToGrid w:val="0"/>
        <w:spacing w:line="560" w:lineRule="exact"/>
        <w:rPr>
          <w:rFonts w:hint="eastAsia"/>
          <w:color w:val="auto"/>
          <w:highlight w:val="none"/>
        </w:rPr>
      </w:pPr>
      <w:r>
        <w:rPr>
          <w:rFonts w:hint="eastAsia"/>
          <w:b/>
          <w:color w:val="auto"/>
          <w:szCs w:val="21"/>
          <w:highlight w:val="none"/>
        </w:rPr>
        <w:t>备注：</w:t>
      </w:r>
      <w:r>
        <w:rPr>
          <w:rFonts w:hint="eastAsia"/>
          <w:color w:val="auto"/>
          <w:highlight w:val="none"/>
        </w:rPr>
        <w:t>根据安徽省住房和城乡建设厅《关于调整招标投标活动中有关住房城乡建设领域现场专业人员证书要求的通知》（建市函〔2019〕1112 号）要求，不再将住房城乡建设领域现场专业技术人员（包括施工员、质量员、安全员、资料员、材料员、劳务员、机械员、标准员）及取样员持证情况列入招标投标文件，招标人或招标代理机构需按照住房和城乡建设部及安徽省相关标准规定 明确投标人需要配备其他主要管理人员和技术人员数量的最低要求。中标人和招标人在签订合同时应按照不低于上述人员配置的要求填写承包人主要施工管理人员表，并作为合同的附件之一。</w:t>
      </w:r>
    </w:p>
    <w:p w14:paraId="56023B39">
      <w:pPr>
        <w:spacing w:line="560" w:lineRule="exact"/>
        <w:rPr>
          <w:rFonts w:hint="eastAsia"/>
          <w:color w:val="auto"/>
          <w:highlight w:val="none"/>
        </w:rPr>
      </w:pPr>
    </w:p>
    <w:p w14:paraId="4F1E0A9A">
      <w:pPr>
        <w:pStyle w:val="5"/>
        <w:jc w:val="center"/>
        <w:rPr>
          <w:color w:val="auto"/>
          <w:sz w:val="23"/>
          <w:szCs w:val="23"/>
          <w:highlight w:val="none"/>
        </w:rPr>
      </w:pPr>
      <w:r>
        <w:rPr>
          <w:rFonts w:hint="eastAsia"/>
          <w:color w:val="auto"/>
          <w:highlight w:val="none"/>
        </w:rPr>
        <w:t>附表2：拟任项目经理（建造师）</w:t>
      </w:r>
      <w:r>
        <w:rPr>
          <w:color w:val="auto"/>
          <w:highlight w:val="none"/>
        </w:rPr>
        <w:t>简历表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394"/>
        <w:gridCol w:w="791"/>
        <w:gridCol w:w="1018"/>
        <w:gridCol w:w="1170"/>
        <w:gridCol w:w="777"/>
        <w:gridCol w:w="1385"/>
        <w:gridCol w:w="177"/>
        <w:gridCol w:w="2345"/>
      </w:tblGrid>
      <w:tr w14:paraId="19BC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03" w:type="dxa"/>
            <w:noWrap w:val="0"/>
            <w:vAlign w:val="center"/>
          </w:tcPr>
          <w:p w14:paraId="1CA252C5">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姓  名</w:t>
            </w:r>
          </w:p>
        </w:tc>
        <w:tc>
          <w:tcPr>
            <w:tcW w:w="1185" w:type="dxa"/>
            <w:gridSpan w:val="2"/>
            <w:noWrap w:val="0"/>
            <w:vAlign w:val="center"/>
          </w:tcPr>
          <w:p w14:paraId="039A8BB9">
            <w:pPr>
              <w:adjustRightInd w:val="0"/>
              <w:snapToGrid w:val="0"/>
              <w:spacing w:line="560" w:lineRule="exact"/>
              <w:jc w:val="center"/>
              <w:rPr>
                <w:rFonts w:ascii="宋体" w:hAnsi="宋体"/>
                <w:color w:val="auto"/>
                <w:szCs w:val="21"/>
                <w:highlight w:val="none"/>
              </w:rPr>
            </w:pPr>
          </w:p>
        </w:tc>
        <w:tc>
          <w:tcPr>
            <w:tcW w:w="1018" w:type="dxa"/>
            <w:noWrap w:val="0"/>
            <w:vAlign w:val="center"/>
          </w:tcPr>
          <w:p w14:paraId="52E1FE36">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年 龄</w:t>
            </w:r>
          </w:p>
        </w:tc>
        <w:tc>
          <w:tcPr>
            <w:tcW w:w="1170" w:type="dxa"/>
            <w:noWrap w:val="0"/>
            <w:vAlign w:val="center"/>
          </w:tcPr>
          <w:p w14:paraId="1F99B829">
            <w:pPr>
              <w:adjustRightInd w:val="0"/>
              <w:snapToGrid w:val="0"/>
              <w:spacing w:line="560" w:lineRule="exact"/>
              <w:jc w:val="center"/>
              <w:rPr>
                <w:rFonts w:ascii="宋体" w:hAnsi="宋体"/>
                <w:color w:val="auto"/>
                <w:szCs w:val="21"/>
                <w:highlight w:val="none"/>
              </w:rPr>
            </w:pPr>
          </w:p>
        </w:tc>
        <w:tc>
          <w:tcPr>
            <w:tcW w:w="2339" w:type="dxa"/>
            <w:gridSpan w:val="3"/>
            <w:noWrap w:val="0"/>
            <w:vAlign w:val="center"/>
          </w:tcPr>
          <w:p w14:paraId="0EF0DEF3">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学历</w:t>
            </w:r>
          </w:p>
        </w:tc>
        <w:tc>
          <w:tcPr>
            <w:tcW w:w="2345" w:type="dxa"/>
            <w:noWrap w:val="0"/>
            <w:vAlign w:val="center"/>
          </w:tcPr>
          <w:p w14:paraId="6AF6770B">
            <w:pPr>
              <w:adjustRightInd w:val="0"/>
              <w:snapToGrid w:val="0"/>
              <w:spacing w:line="560" w:lineRule="exact"/>
              <w:rPr>
                <w:rFonts w:ascii="宋体" w:hAnsi="宋体"/>
                <w:color w:val="auto"/>
                <w:szCs w:val="21"/>
                <w:highlight w:val="none"/>
              </w:rPr>
            </w:pPr>
          </w:p>
        </w:tc>
      </w:tr>
      <w:tr w14:paraId="6BE0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03" w:type="dxa"/>
            <w:noWrap w:val="0"/>
            <w:vAlign w:val="center"/>
          </w:tcPr>
          <w:p w14:paraId="7A6625B4">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职  称</w:t>
            </w:r>
          </w:p>
        </w:tc>
        <w:tc>
          <w:tcPr>
            <w:tcW w:w="1185" w:type="dxa"/>
            <w:gridSpan w:val="2"/>
            <w:noWrap w:val="0"/>
            <w:vAlign w:val="center"/>
          </w:tcPr>
          <w:p w14:paraId="10F0DB2F">
            <w:pPr>
              <w:adjustRightInd w:val="0"/>
              <w:snapToGrid w:val="0"/>
              <w:spacing w:line="560" w:lineRule="exact"/>
              <w:jc w:val="center"/>
              <w:rPr>
                <w:rFonts w:ascii="宋体" w:hAnsi="宋体"/>
                <w:color w:val="auto"/>
                <w:szCs w:val="21"/>
                <w:highlight w:val="none"/>
              </w:rPr>
            </w:pPr>
          </w:p>
        </w:tc>
        <w:tc>
          <w:tcPr>
            <w:tcW w:w="1018" w:type="dxa"/>
            <w:noWrap w:val="0"/>
            <w:vAlign w:val="center"/>
          </w:tcPr>
          <w:p w14:paraId="7D355E41">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职 务</w:t>
            </w:r>
          </w:p>
        </w:tc>
        <w:tc>
          <w:tcPr>
            <w:tcW w:w="1170" w:type="dxa"/>
            <w:noWrap w:val="0"/>
            <w:vAlign w:val="center"/>
          </w:tcPr>
          <w:p w14:paraId="57EE0B0F">
            <w:pPr>
              <w:adjustRightInd w:val="0"/>
              <w:snapToGrid w:val="0"/>
              <w:spacing w:line="560" w:lineRule="exact"/>
              <w:jc w:val="center"/>
              <w:rPr>
                <w:rFonts w:ascii="宋体" w:hAnsi="宋体"/>
                <w:color w:val="auto"/>
                <w:szCs w:val="21"/>
                <w:highlight w:val="none"/>
              </w:rPr>
            </w:pPr>
          </w:p>
        </w:tc>
        <w:tc>
          <w:tcPr>
            <w:tcW w:w="2339" w:type="dxa"/>
            <w:gridSpan w:val="3"/>
            <w:noWrap w:val="0"/>
            <w:vAlign w:val="center"/>
          </w:tcPr>
          <w:p w14:paraId="7B786F0C">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拟在本合同任职</w:t>
            </w:r>
          </w:p>
        </w:tc>
        <w:tc>
          <w:tcPr>
            <w:tcW w:w="2345" w:type="dxa"/>
            <w:noWrap w:val="0"/>
            <w:vAlign w:val="center"/>
          </w:tcPr>
          <w:p w14:paraId="0EF14EFA">
            <w:pPr>
              <w:adjustRightInd w:val="0"/>
              <w:snapToGrid w:val="0"/>
              <w:spacing w:line="560" w:lineRule="exact"/>
              <w:rPr>
                <w:rFonts w:ascii="宋体" w:hAnsi="宋体"/>
                <w:color w:val="auto"/>
                <w:szCs w:val="21"/>
                <w:highlight w:val="none"/>
              </w:rPr>
            </w:pPr>
          </w:p>
        </w:tc>
      </w:tr>
      <w:tr w14:paraId="45F1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03" w:type="dxa"/>
            <w:noWrap w:val="0"/>
            <w:vAlign w:val="center"/>
          </w:tcPr>
          <w:p w14:paraId="7DC491F8">
            <w:pPr>
              <w:adjustRightInd w:val="0"/>
              <w:snapToGrid w:val="0"/>
              <w:spacing w:line="560" w:lineRule="exact"/>
              <w:rPr>
                <w:rFonts w:ascii="宋体" w:hAnsi="宋体"/>
                <w:color w:val="auto"/>
                <w:szCs w:val="21"/>
                <w:highlight w:val="none"/>
              </w:rPr>
            </w:pPr>
            <w:r>
              <w:rPr>
                <w:rFonts w:ascii="宋体" w:hAnsi="宋体"/>
                <w:color w:val="auto"/>
                <w:szCs w:val="21"/>
                <w:highlight w:val="none"/>
              </w:rPr>
              <w:t>毕业学校</w:t>
            </w:r>
          </w:p>
        </w:tc>
        <w:tc>
          <w:tcPr>
            <w:tcW w:w="8057" w:type="dxa"/>
            <w:gridSpan w:val="8"/>
            <w:noWrap w:val="0"/>
            <w:vAlign w:val="top"/>
          </w:tcPr>
          <w:p w14:paraId="2E9FEA92">
            <w:pPr>
              <w:adjustRightInd w:val="0"/>
              <w:snapToGrid w:val="0"/>
              <w:spacing w:line="560" w:lineRule="exact"/>
              <w:rPr>
                <w:rFonts w:ascii="宋体" w:hAnsi="宋体"/>
                <w:color w:val="auto"/>
                <w:szCs w:val="21"/>
                <w:highlight w:val="none"/>
              </w:rPr>
            </w:pPr>
            <w:r>
              <w:rPr>
                <w:rFonts w:ascii="宋体" w:hAnsi="宋体"/>
                <w:color w:val="auto"/>
                <w:szCs w:val="21"/>
                <w:highlight w:val="none"/>
              </w:rPr>
              <w:t xml:space="preserve">      年毕业于            学校        专业</w:t>
            </w:r>
          </w:p>
        </w:tc>
      </w:tr>
      <w:tr w14:paraId="08E2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360" w:type="dxa"/>
            <w:gridSpan w:val="9"/>
            <w:noWrap w:val="0"/>
            <w:vAlign w:val="center"/>
          </w:tcPr>
          <w:p w14:paraId="1FACAF0E">
            <w:pPr>
              <w:adjustRightInd w:val="0"/>
              <w:snapToGrid w:val="0"/>
              <w:spacing w:line="560" w:lineRule="exact"/>
              <w:rPr>
                <w:rFonts w:ascii="宋体" w:hAnsi="宋体"/>
                <w:color w:val="auto"/>
                <w:szCs w:val="21"/>
                <w:highlight w:val="none"/>
              </w:rPr>
            </w:pPr>
            <w:r>
              <w:rPr>
                <w:rFonts w:ascii="宋体" w:hAnsi="宋体"/>
                <w:color w:val="auto"/>
                <w:szCs w:val="21"/>
                <w:highlight w:val="none"/>
              </w:rPr>
              <w:t>主要工作经历</w:t>
            </w:r>
          </w:p>
        </w:tc>
      </w:tr>
      <w:tr w14:paraId="2E2A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697" w:type="dxa"/>
            <w:gridSpan w:val="2"/>
            <w:noWrap w:val="0"/>
            <w:vAlign w:val="center"/>
          </w:tcPr>
          <w:p w14:paraId="13C319FB">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时  间</w:t>
            </w:r>
          </w:p>
        </w:tc>
        <w:tc>
          <w:tcPr>
            <w:tcW w:w="3756" w:type="dxa"/>
            <w:gridSpan w:val="4"/>
            <w:noWrap w:val="0"/>
            <w:vAlign w:val="center"/>
          </w:tcPr>
          <w:p w14:paraId="561C53DA">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参加过的类似项目</w:t>
            </w:r>
          </w:p>
        </w:tc>
        <w:tc>
          <w:tcPr>
            <w:tcW w:w="1385" w:type="dxa"/>
            <w:noWrap w:val="0"/>
            <w:vAlign w:val="center"/>
          </w:tcPr>
          <w:p w14:paraId="1B69198A">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担任职务</w:t>
            </w:r>
          </w:p>
        </w:tc>
        <w:tc>
          <w:tcPr>
            <w:tcW w:w="2522" w:type="dxa"/>
            <w:gridSpan w:val="2"/>
            <w:noWrap w:val="0"/>
            <w:vAlign w:val="center"/>
          </w:tcPr>
          <w:p w14:paraId="40E45AD9">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发包人及联系电话</w:t>
            </w:r>
          </w:p>
        </w:tc>
      </w:tr>
      <w:tr w14:paraId="61B3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noWrap w:val="0"/>
            <w:vAlign w:val="top"/>
          </w:tcPr>
          <w:p w14:paraId="0E10236E">
            <w:pPr>
              <w:adjustRightInd w:val="0"/>
              <w:snapToGrid w:val="0"/>
              <w:spacing w:line="560" w:lineRule="exact"/>
              <w:rPr>
                <w:rFonts w:eastAsia="黑体"/>
                <w:color w:val="auto"/>
                <w:szCs w:val="21"/>
                <w:highlight w:val="none"/>
              </w:rPr>
            </w:pPr>
          </w:p>
        </w:tc>
        <w:tc>
          <w:tcPr>
            <w:tcW w:w="3756" w:type="dxa"/>
            <w:gridSpan w:val="4"/>
            <w:noWrap w:val="0"/>
            <w:vAlign w:val="top"/>
          </w:tcPr>
          <w:p w14:paraId="2E086387">
            <w:pPr>
              <w:adjustRightInd w:val="0"/>
              <w:snapToGrid w:val="0"/>
              <w:spacing w:line="560" w:lineRule="exact"/>
              <w:rPr>
                <w:rFonts w:eastAsia="黑体"/>
                <w:color w:val="auto"/>
                <w:szCs w:val="21"/>
                <w:highlight w:val="none"/>
              </w:rPr>
            </w:pPr>
          </w:p>
        </w:tc>
        <w:tc>
          <w:tcPr>
            <w:tcW w:w="1385" w:type="dxa"/>
            <w:noWrap w:val="0"/>
            <w:vAlign w:val="top"/>
          </w:tcPr>
          <w:p w14:paraId="05936F52">
            <w:pPr>
              <w:adjustRightInd w:val="0"/>
              <w:snapToGrid w:val="0"/>
              <w:spacing w:line="560" w:lineRule="exact"/>
              <w:rPr>
                <w:rFonts w:eastAsia="黑体"/>
                <w:color w:val="auto"/>
                <w:szCs w:val="21"/>
                <w:highlight w:val="none"/>
              </w:rPr>
            </w:pPr>
          </w:p>
        </w:tc>
        <w:tc>
          <w:tcPr>
            <w:tcW w:w="2522" w:type="dxa"/>
            <w:gridSpan w:val="2"/>
            <w:noWrap w:val="0"/>
            <w:vAlign w:val="top"/>
          </w:tcPr>
          <w:p w14:paraId="15FC13F8">
            <w:pPr>
              <w:adjustRightInd w:val="0"/>
              <w:snapToGrid w:val="0"/>
              <w:spacing w:line="560" w:lineRule="exact"/>
              <w:rPr>
                <w:rFonts w:eastAsia="黑体"/>
                <w:color w:val="auto"/>
                <w:szCs w:val="21"/>
                <w:highlight w:val="none"/>
              </w:rPr>
            </w:pPr>
          </w:p>
        </w:tc>
      </w:tr>
      <w:tr w14:paraId="4825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noWrap w:val="0"/>
            <w:vAlign w:val="top"/>
          </w:tcPr>
          <w:p w14:paraId="0A249C2F">
            <w:pPr>
              <w:adjustRightInd w:val="0"/>
              <w:snapToGrid w:val="0"/>
              <w:spacing w:line="560" w:lineRule="exact"/>
              <w:rPr>
                <w:rFonts w:eastAsia="黑体"/>
                <w:color w:val="auto"/>
                <w:szCs w:val="21"/>
                <w:highlight w:val="none"/>
              </w:rPr>
            </w:pPr>
          </w:p>
        </w:tc>
        <w:tc>
          <w:tcPr>
            <w:tcW w:w="3756" w:type="dxa"/>
            <w:gridSpan w:val="4"/>
            <w:noWrap w:val="0"/>
            <w:vAlign w:val="top"/>
          </w:tcPr>
          <w:p w14:paraId="46364CAA">
            <w:pPr>
              <w:adjustRightInd w:val="0"/>
              <w:snapToGrid w:val="0"/>
              <w:spacing w:line="560" w:lineRule="exact"/>
              <w:rPr>
                <w:rFonts w:eastAsia="黑体"/>
                <w:color w:val="auto"/>
                <w:szCs w:val="21"/>
                <w:highlight w:val="none"/>
              </w:rPr>
            </w:pPr>
          </w:p>
        </w:tc>
        <w:tc>
          <w:tcPr>
            <w:tcW w:w="1385" w:type="dxa"/>
            <w:noWrap w:val="0"/>
            <w:vAlign w:val="top"/>
          </w:tcPr>
          <w:p w14:paraId="3F9239FE">
            <w:pPr>
              <w:adjustRightInd w:val="0"/>
              <w:snapToGrid w:val="0"/>
              <w:spacing w:line="560" w:lineRule="exact"/>
              <w:rPr>
                <w:rFonts w:eastAsia="黑体"/>
                <w:color w:val="auto"/>
                <w:szCs w:val="21"/>
                <w:highlight w:val="none"/>
              </w:rPr>
            </w:pPr>
          </w:p>
        </w:tc>
        <w:tc>
          <w:tcPr>
            <w:tcW w:w="2522" w:type="dxa"/>
            <w:gridSpan w:val="2"/>
            <w:noWrap w:val="0"/>
            <w:vAlign w:val="top"/>
          </w:tcPr>
          <w:p w14:paraId="18747D56">
            <w:pPr>
              <w:adjustRightInd w:val="0"/>
              <w:snapToGrid w:val="0"/>
              <w:spacing w:line="560" w:lineRule="exact"/>
              <w:rPr>
                <w:rFonts w:eastAsia="黑体"/>
                <w:color w:val="auto"/>
                <w:szCs w:val="21"/>
                <w:highlight w:val="none"/>
              </w:rPr>
            </w:pPr>
          </w:p>
        </w:tc>
      </w:tr>
      <w:tr w14:paraId="2FA5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noWrap w:val="0"/>
            <w:vAlign w:val="top"/>
          </w:tcPr>
          <w:p w14:paraId="3DFE7F9F">
            <w:pPr>
              <w:adjustRightInd w:val="0"/>
              <w:snapToGrid w:val="0"/>
              <w:spacing w:line="560" w:lineRule="exact"/>
              <w:rPr>
                <w:rFonts w:eastAsia="黑体"/>
                <w:color w:val="auto"/>
                <w:szCs w:val="21"/>
                <w:highlight w:val="none"/>
              </w:rPr>
            </w:pPr>
          </w:p>
        </w:tc>
        <w:tc>
          <w:tcPr>
            <w:tcW w:w="3756" w:type="dxa"/>
            <w:gridSpan w:val="4"/>
            <w:noWrap w:val="0"/>
            <w:vAlign w:val="top"/>
          </w:tcPr>
          <w:p w14:paraId="5896093D">
            <w:pPr>
              <w:adjustRightInd w:val="0"/>
              <w:snapToGrid w:val="0"/>
              <w:spacing w:line="560" w:lineRule="exact"/>
              <w:rPr>
                <w:rFonts w:eastAsia="黑体"/>
                <w:color w:val="auto"/>
                <w:szCs w:val="21"/>
                <w:highlight w:val="none"/>
              </w:rPr>
            </w:pPr>
          </w:p>
        </w:tc>
        <w:tc>
          <w:tcPr>
            <w:tcW w:w="1385" w:type="dxa"/>
            <w:noWrap w:val="0"/>
            <w:vAlign w:val="top"/>
          </w:tcPr>
          <w:p w14:paraId="13AD0F23">
            <w:pPr>
              <w:adjustRightInd w:val="0"/>
              <w:snapToGrid w:val="0"/>
              <w:spacing w:line="560" w:lineRule="exact"/>
              <w:rPr>
                <w:rFonts w:eastAsia="黑体"/>
                <w:color w:val="auto"/>
                <w:szCs w:val="21"/>
                <w:highlight w:val="none"/>
              </w:rPr>
            </w:pPr>
          </w:p>
        </w:tc>
        <w:tc>
          <w:tcPr>
            <w:tcW w:w="2522" w:type="dxa"/>
            <w:gridSpan w:val="2"/>
            <w:noWrap w:val="0"/>
            <w:vAlign w:val="top"/>
          </w:tcPr>
          <w:p w14:paraId="4F3B2E2B">
            <w:pPr>
              <w:adjustRightInd w:val="0"/>
              <w:snapToGrid w:val="0"/>
              <w:spacing w:line="560" w:lineRule="exact"/>
              <w:rPr>
                <w:rFonts w:eastAsia="黑体"/>
                <w:color w:val="auto"/>
                <w:szCs w:val="21"/>
                <w:highlight w:val="none"/>
              </w:rPr>
            </w:pPr>
          </w:p>
        </w:tc>
      </w:tr>
      <w:tr w14:paraId="30B7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noWrap w:val="0"/>
            <w:vAlign w:val="top"/>
          </w:tcPr>
          <w:p w14:paraId="44296895">
            <w:pPr>
              <w:adjustRightInd w:val="0"/>
              <w:snapToGrid w:val="0"/>
              <w:spacing w:line="560" w:lineRule="exact"/>
              <w:rPr>
                <w:rFonts w:eastAsia="黑体"/>
                <w:color w:val="auto"/>
                <w:szCs w:val="21"/>
                <w:highlight w:val="none"/>
              </w:rPr>
            </w:pPr>
          </w:p>
        </w:tc>
        <w:tc>
          <w:tcPr>
            <w:tcW w:w="3756" w:type="dxa"/>
            <w:gridSpan w:val="4"/>
            <w:noWrap w:val="0"/>
            <w:vAlign w:val="top"/>
          </w:tcPr>
          <w:p w14:paraId="709C10F1">
            <w:pPr>
              <w:adjustRightInd w:val="0"/>
              <w:snapToGrid w:val="0"/>
              <w:spacing w:line="560" w:lineRule="exact"/>
              <w:rPr>
                <w:rFonts w:eastAsia="黑体"/>
                <w:color w:val="auto"/>
                <w:szCs w:val="21"/>
                <w:highlight w:val="none"/>
              </w:rPr>
            </w:pPr>
          </w:p>
        </w:tc>
        <w:tc>
          <w:tcPr>
            <w:tcW w:w="1385" w:type="dxa"/>
            <w:noWrap w:val="0"/>
            <w:vAlign w:val="top"/>
          </w:tcPr>
          <w:p w14:paraId="4C02DAEC">
            <w:pPr>
              <w:adjustRightInd w:val="0"/>
              <w:snapToGrid w:val="0"/>
              <w:spacing w:line="560" w:lineRule="exact"/>
              <w:rPr>
                <w:rFonts w:eastAsia="黑体"/>
                <w:color w:val="auto"/>
                <w:szCs w:val="21"/>
                <w:highlight w:val="none"/>
              </w:rPr>
            </w:pPr>
          </w:p>
        </w:tc>
        <w:tc>
          <w:tcPr>
            <w:tcW w:w="2522" w:type="dxa"/>
            <w:gridSpan w:val="2"/>
            <w:noWrap w:val="0"/>
            <w:vAlign w:val="top"/>
          </w:tcPr>
          <w:p w14:paraId="0F2F2D7E">
            <w:pPr>
              <w:adjustRightInd w:val="0"/>
              <w:snapToGrid w:val="0"/>
              <w:spacing w:line="560" w:lineRule="exact"/>
              <w:rPr>
                <w:rFonts w:eastAsia="黑体"/>
                <w:color w:val="auto"/>
                <w:szCs w:val="21"/>
                <w:highlight w:val="none"/>
              </w:rPr>
            </w:pPr>
          </w:p>
        </w:tc>
      </w:tr>
      <w:tr w14:paraId="4E8E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noWrap w:val="0"/>
            <w:vAlign w:val="top"/>
          </w:tcPr>
          <w:p w14:paraId="42B1E7C2">
            <w:pPr>
              <w:adjustRightInd w:val="0"/>
              <w:snapToGrid w:val="0"/>
              <w:spacing w:line="560" w:lineRule="exact"/>
              <w:rPr>
                <w:rFonts w:eastAsia="黑体"/>
                <w:color w:val="auto"/>
                <w:szCs w:val="21"/>
                <w:highlight w:val="none"/>
              </w:rPr>
            </w:pPr>
          </w:p>
        </w:tc>
        <w:tc>
          <w:tcPr>
            <w:tcW w:w="3756" w:type="dxa"/>
            <w:gridSpan w:val="4"/>
            <w:noWrap w:val="0"/>
            <w:vAlign w:val="top"/>
          </w:tcPr>
          <w:p w14:paraId="58E218A6">
            <w:pPr>
              <w:adjustRightInd w:val="0"/>
              <w:snapToGrid w:val="0"/>
              <w:spacing w:line="560" w:lineRule="exact"/>
              <w:rPr>
                <w:rFonts w:eastAsia="黑体"/>
                <w:color w:val="auto"/>
                <w:szCs w:val="21"/>
                <w:highlight w:val="none"/>
              </w:rPr>
            </w:pPr>
          </w:p>
        </w:tc>
        <w:tc>
          <w:tcPr>
            <w:tcW w:w="1385" w:type="dxa"/>
            <w:noWrap w:val="0"/>
            <w:vAlign w:val="top"/>
          </w:tcPr>
          <w:p w14:paraId="38E38DFB">
            <w:pPr>
              <w:adjustRightInd w:val="0"/>
              <w:snapToGrid w:val="0"/>
              <w:spacing w:line="560" w:lineRule="exact"/>
              <w:rPr>
                <w:rFonts w:eastAsia="黑体"/>
                <w:color w:val="auto"/>
                <w:szCs w:val="21"/>
                <w:highlight w:val="none"/>
              </w:rPr>
            </w:pPr>
          </w:p>
        </w:tc>
        <w:tc>
          <w:tcPr>
            <w:tcW w:w="2522" w:type="dxa"/>
            <w:gridSpan w:val="2"/>
            <w:noWrap w:val="0"/>
            <w:vAlign w:val="top"/>
          </w:tcPr>
          <w:p w14:paraId="704671DD">
            <w:pPr>
              <w:adjustRightInd w:val="0"/>
              <w:snapToGrid w:val="0"/>
              <w:spacing w:line="560" w:lineRule="exact"/>
              <w:rPr>
                <w:rFonts w:eastAsia="黑体"/>
                <w:color w:val="auto"/>
                <w:szCs w:val="21"/>
                <w:highlight w:val="none"/>
              </w:rPr>
            </w:pPr>
          </w:p>
        </w:tc>
      </w:tr>
      <w:tr w14:paraId="3D9D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noWrap w:val="0"/>
            <w:vAlign w:val="top"/>
          </w:tcPr>
          <w:p w14:paraId="4EA0A451">
            <w:pPr>
              <w:adjustRightInd w:val="0"/>
              <w:snapToGrid w:val="0"/>
              <w:spacing w:line="560" w:lineRule="exact"/>
              <w:rPr>
                <w:rFonts w:eastAsia="黑体"/>
                <w:color w:val="auto"/>
                <w:szCs w:val="21"/>
                <w:highlight w:val="none"/>
              </w:rPr>
            </w:pPr>
          </w:p>
        </w:tc>
        <w:tc>
          <w:tcPr>
            <w:tcW w:w="3756" w:type="dxa"/>
            <w:gridSpan w:val="4"/>
            <w:noWrap w:val="0"/>
            <w:vAlign w:val="top"/>
          </w:tcPr>
          <w:p w14:paraId="6F784EE0">
            <w:pPr>
              <w:adjustRightInd w:val="0"/>
              <w:snapToGrid w:val="0"/>
              <w:spacing w:line="560" w:lineRule="exact"/>
              <w:rPr>
                <w:rFonts w:eastAsia="黑体"/>
                <w:color w:val="auto"/>
                <w:szCs w:val="21"/>
                <w:highlight w:val="none"/>
              </w:rPr>
            </w:pPr>
          </w:p>
        </w:tc>
        <w:tc>
          <w:tcPr>
            <w:tcW w:w="1385" w:type="dxa"/>
            <w:noWrap w:val="0"/>
            <w:vAlign w:val="top"/>
          </w:tcPr>
          <w:p w14:paraId="1A0AD3C7">
            <w:pPr>
              <w:adjustRightInd w:val="0"/>
              <w:snapToGrid w:val="0"/>
              <w:spacing w:line="560" w:lineRule="exact"/>
              <w:rPr>
                <w:rFonts w:eastAsia="黑体"/>
                <w:color w:val="auto"/>
                <w:szCs w:val="21"/>
                <w:highlight w:val="none"/>
              </w:rPr>
            </w:pPr>
          </w:p>
        </w:tc>
        <w:tc>
          <w:tcPr>
            <w:tcW w:w="2522" w:type="dxa"/>
            <w:gridSpan w:val="2"/>
            <w:noWrap w:val="0"/>
            <w:vAlign w:val="top"/>
          </w:tcPr>
          <w:p w14:paraId="45677FD2">
            <w:pPr>
              <w:adjustRightInd w:val="0"/>
              <w:snapToGrid w:val="0"/>
              <w:spacing w:line="560" w:lineRule="exact"/>
              <w:rPr>
                <w:rFonts w:eastAsia="黑体"/>
                <w:color w:val="auto"/>
                <w:szCs w:val="21"/>
                <w:highlight w:val="none"/>
              </w:rPr>
            </w:pPr>
          </w:p>
        </w:tc>
      </w:tr>
      <w:tr w14:paraId="155F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noWrap w:val="0"/>
            <w:vAlign w:val="top"/>
          </w:tcPr>
          <w:p w14:paraId="55A72BCC">
            <w:pPr>
              <w:adjustRightInd w:val="0"/>
              <w:snapToGrid w:val="0"/>
              <w:spacing w:line="560" w:lineRule="exact"/>
              <w:rPr>
                <w:rFonts w:eastAsia="黑体"/>
                <w:color w:val="auto"/>
                <w:szCs w:val="21"/>
                <w:highlight w:val="none"/>
              </w:rPr>
            </w:pPr>
          </w:p>
        </w:tc>
        <w:tc>
          <w:tcPr>
            <w:tcW w:w="3756" w:type="dxa"/>
            <w:gridSpan w:val="4"/>
            <w:noWrap w:val="0"/>
            <w:vAlign w:val="top"/>
          </w:tcPr>
          <w:p w14:paraId="2F47835D">
            <w:pPr>
              <w:adjustRightInd w:val="0"/>
              <w:snapToGrid w:val="0"/>
              <w:spacing w:line="560" w:lineRule="exact"/>
              <w:rPr>
                <w:rFonts w:eastAsia="黑体"/>
                <w:color w:val="auto"/>
                <w:szCs w:val="21"/>
                <w:highlight w:val="none"/>
              </w:rPr>
            </w:pPr>
          </w:p>
        </w:tc>
        <w:tc>
          <w:tcPr>
            <w:tcW w:w="1385" w:type="dxa"/>
            <w:noWrap w:val="0"/>
            <w:vAlign w:val="top"/>
          </w:tcPr>
          <w:p w14:paraId="68896CAD">
            <w:pPr>
              <w:adjustRightInd w:val="0"/>
              <w:snapToGrid w:val="0"/>
              <w:spacing w:line="560" w:lineRule="exact"/>
              <w:rPr>
                <w:rFonts w:eastAsia="黑体"/>
                <w:color w:val="auto"/>
                <w:szCs w:val="21"/>
                <w:highlight w:val="none"/>
              </w:rPr>
            </w:pPr>
          </w:p>
        </w:tc>
        <w:tc>
          <w:tcPr>
            <w:tcW w:w="2522" w:type="dxa"/>
            <w:gridSpan w:val="2"/>
            <w:noWrap w:val="0"/>
            <w:vAlign w:val="top"/>
          </w:tcPr>
          <w:p w14:paraId="0963C66C">
            <w:pPr>
              <w:adjustRightInd w:val="0"/>
              <w:snapToGrid w:val="0"/>
              <w:spacing w:line="560" w:lineRule="exact"/>
              <w:rPr>
                <w:rFonts w:eastAsia="黑体"/>
                <w:color w:val="auto"/>
                <w:szCs w:val="21"/>
                <w:highlight w:val="none"/>
              </w:rPr>
            </w:pPr>
          </w:p>
        </w:tc>
      </w:tr>
      <w:tr w14:paraId="0BBE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noWrap w:val="0"/>
            <w:vAlign w:val="top"/>
          </w:tcPr>
          <w:p w14:paraId="50BC79FA">
            <w:pPr>
              <w:adjustRightInd w:val="0"/>
              <w:snapToGrid w:val="0"/>
              <w:spacing w:line="560" w:lineRule="exact"/>
              <w:rPr>
                <w:rFonts w:eastAsia="黑体"/>
                <w:color w:val="auto"/>
                <w:szCs w:val="21"/>
                <w:highlight w:val="none"/>
              </w:rPr>
            </w:pPr>
          </w:p>
        </w:tc>
        <w:tc>
          <w:tcPr>
            <w:tcW w:w="3756" w:type="dxa"/>
            <w:gridSpan w:val="4"/>
            <w:noWrap w:val="0"/>
            <w:vAlign w:val="top"/>
          </w:tcPr>
          <w:p w14:paraId="755BE031">
            <w:pPr>
              <w:adjustRightInd w:val="0"/>
              <w:snapToGrid w:val="0"/>
              <w:spacing w:line="560" w:lineRule="exact"/>
              <w:rPr>
                <w:rFonts w:eastAsia="黑体"/>
                <w:color w:val="auto"/>
                <w:szCs w:val="21"/>
                <w:highlight w:val="none"/>
              </w:rPr>
            </w:pPr>
          </w:p>
        </w:tc>
        <w:tc>
          <w:tcPr>
            <w:tcW w:w="1385" w:type="dxa"/>
            <w:noWrap w:val="0"/>
            <w:vAlign w:val="top"/>
          </w:tcPr>
          <w:p w14:paraId="5C3A0AFB">
            <w:pPr>
              <w:adjustRightInd w:val="0"/>
              <w:snapToGrid w:val="0"/>
              <w:spacing w:line="560" w:lineRule="exact"/>
              <w:rPr>
                <w:rFonts w:eastAsia="黑体"/>
                <w:color w:val="auto"/>
                <w:szCs w:val="21"/>
                <w:highlight w:val="none"/>
              </w:rPr>
            </w:pPr>
          </w:p>
        </w:tc>
        <w:tc>
          <w:tcPr>
            <w:tcW w:w="2522" w:type="dxa"/>
            <w:gridSpan w:val="2"/>
            <w:noWrap w:val="0"/>
            <w:vAlign w:val="top"/>
          </w:tcPr>
          <w:p w14:paraId="220027D6">
            <w:pPr>
              <w:adjustRightInd w:val="0"/>
              <w:snapToGrid w:val="0"/>
              <w:spacing w:line="560" w:lineRule="exact"/>
              <w:rPr>
                <w:rFonts w:eastAsia="黑体"/>
                <w:color w:val="auto"/>
                <w:szCs w:val="21"/>
                <w:highlight w:val="none"/>
              </w:rPr>
            </w:pPr>
          </w:p>
        </w:tc>
      </w:tr>
      <w:tr w14:paraId="297A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noWrap w:val="0"/>
            <w:vAlign w:val="top"/>
          </w:tcPr>
          <w:p w14:paraId="7EAF1066">
            <w:pPr>
              <w:adjustRightInd w:val="0"/>
              <w:snapToGrid w:val="0"/>
              <w:spacing w:line="560" w:lineRule="exact"/>
              <w:rPr>
                <w:rFonts w:eastAsia="黑体"/>
                <w:color w:val="auto"/>
                <w:szCs w:val="21"/>
                <w:highlight w:val="none"/>
              </w:rPr>
            </w:pPr>
          </w:p>
        </w:tc>
        <w:tc>
          <w:tcPr>
            <w:tcW w:w="3756" w:type="dxa"/>
            <w:gridSpan w:val="4"/>
            <w:noWrap w:val="0"/>
            <w:vAlign w:val="top"/>
          </w:tcPr>
          <w:p w14:paraId="049C18E5">
            <w:pPr>
              <w:adjustRightInd w:val="0"/>
              <w:snapToGrid w:val="0"/>
              <w:spacing w:line="560" w:lineRule="exact"/>
              <w:rPr>
                <w:rFonts w:eastAsia="黑体"/>
                <w:color w:val="auto"/>
                <w:szCs w:val="21"/>
                <w:highlight w:val="none"/>
              </w:rPr>
            </w:pPr>
          </w:p>
        </w:tc>
        <w:tc>
          <w:tcPr>
            <w:tcW w:w="1385" w:type="dxa"/>
            <w:noWrap w:val="0"/>
            <w:vAlign w:val="top"/>
          </w:tcPr>
          <w:p w14:paraId="707EE684">
            <w:pPr>
              <w:adjustRightInd w:val="0"/>
              <w:snapToGrid w:val="0"/>
              <w:spacing w:line="560" w:lineRule="exact"/>
              <w:rPr>
                <w:rFonts w:eastAsia="黑体"/>
                <w:color w:val="auto"/>
                <w:szCs w:val="21"/>
                <w:highlight w:val="none"/>
              </w:rPr>
            </w:pPr>
          </w:p>
        </w:tc>
        <w:tc>
          <w:tcPr>
            <w:tcW w:w="2522" w:type="dxa"/>
            <w:gridSpan w:val="2"/>
            <w:noWrap w:val="0"/>
            <w:vAlign w:val="top"/>
          </w:tcPr>
          <w:p w14:paraId="24F202D6">
            <w:pPr>
              <w:adjustRightInd w:val="0"/>
              <w:snapToGrid w:val="0"/>
              <w:spacing w:line="560" w:lineRule="exact"/>
              <w:rPr>
                <w:rFonts w:eastAsia="黑体"/>
                <w:color w:val="auto"/>
                <w:szCs w:val="21"/>
                <w:highlight w:val="none"/>
              </w:rPr>
            </w:pPr>
          </w:p>
        </w:tc>
      </w:tr>
      <w:tr w14:paraId="761D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697" w:type="dxa"/>
            <w:gridSpan w:val="2"/>
            <w:noWrap w:val="0"/>
            <w:vAlign w:val="top"/>
          </w:tcPr>
          <w:p w14:paraId="44927192">
            <w:pPr>
              <w:adjustRightInd w:val="0"/>
              <w:snapToGrid w:val="0"/>
              <w:spacing w:line="560" w:lineRule="exact"/>
              <w:rPr>
                <w:rFonts w:eastAsia="黑体"/>
                <w:color w:val="auto"/>
                <w:szCs w:val="21"/>
                <w:highlight w:val="none"/>
              </w:rPr>
            </w:pPr>
          </w:p>
        </w:tc>
        <w:tc>
          <w:tcPr>
            <w:tcW w:w="3756" w:type="dxa"/>
            <w:gridSpan w:val="4"/>
            <w:noWrap w:val="0"/>
            <w:vAlign w:val="top"/>
          </w:tcPr>
          <w:p w14:paraId="1FB8DD40">
            <w:pPr>
              <w:adjustRightInd w:val="0"/>
              <w:snapToGrid w:val="0"/>
              <w:spacing w:line="560" w:lineRule="exact"/>
              <w:rPr>
                <w:rFonts w:eastAsia="黑体"/>
                <w:color w:val="auto"/>
                <w:szCs w:val="21"/>
                <w:highlight w:val="none"/>
              </w:rPr>
            </w:pPr>
          </w:p>
        </w:tc>
        <w:tc>
          <w:tcPr>
            <w:tcW w:w="1385" w:type="dxa"/>
            <w:noWrap w:val="0"/>
            <w:vAlign w:val="top"/>
          </w:tcPr>
          <w:p w14:paraId="63B3672A">
            <w:pPr>
              <w:adjustRightInd w:val="0"/>
              <w:snapToGrid w:val="0"/>
              <w:spacing w:line="560" w:lineRule="exact"/>
              <w:rPr>
                <w:rFonts w:eastAsia="黑体"/>
                <w:color w:val="auto"/>
                <w:szCs w:val="21"/>
                <w:highlight w:val="none"/>
              </w:rPr>
            </w:pPr>
          </w:p>
        </w:tc>
        <w:tc>
          <w:tcPr>
            <w:tcW w:w="2522" w:type="dxa"/>
            <w:gridSpan w:val="2"/>
            <w:noWrap w:val="0"/>
            <w:vAlign w:val="top"/>
          </w:tcPr>
          <w:p w14:paraId="75B96B77">
            <w:pPr>
              <w:adjustRightInd w:val="0"/>
              <w:snapToGrid w:val="0"/>
              <w:spacing w:line="560" w:lineRule="exact"/>
              <w:rPr>
                <w:rFonts w:eastAsia="黑体"/>
                <w:color w:val="auto"/>
                <w:szCs w:val="21"/>
                <w:highlight w:val="none"/>
              </w:rPr>
            </w:pPr>
          </w:p>
        </w:tc>
      </w:tr>
      <w:tr w14:paraId="525E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697" w:type="dxa"/>
            <w:gridSpan w:val="2"/>
            <w:noWrap w:val="0"/>
            <w:vAlign w:val="top"/>
          </w:tcPr>
          <w:p w14:paraId="1DE5ACC0">
            <w:pPr>
              <w:adjustRightInd w:val="0"/>
              <w:snapToGrid w:val="0"/>
              <w:spacing w:line="560" w:lineRule="exact"/>
              <w:rPr>
                <w:rFonts w:eastAsia="黑体"/>
                <w:color w:val="auto"/>
                <w:szCs w:val="21"/>
                <w:highlight w:val="none"/>
              </w:rPr>
            </w:pPr>
          </w:p>
        </w:tc>
        <w:tc>
          <w:tcPr>
            <w:tcW w:w="3756" w:type="dxa"/>
            <w:gridSpan w:val="4"/>
            <w:noWrap w:val="0"/>
            <w:vAlign w:val="top"/>
          </w:tcPr>
          <w:p w14:paraId="30815875">
            <w:pPr>
              <w:adjustRightInd w:val="0"/>
              <w:snapToGrid w:val="0"/>
              <w:spacing w:line="560" w:lineRule="exact"/>
              <w:rPr>
                <w:rFonts w:eastAsia="黑体"/>
                <w:color w:val="auto"/>
                <w:szCs w:val="21"/>
                <w:highlight w:val="none"/>
              </w:rPr>
            </w:pPr>
          </w:p>
        </w:tc>
        <w:tc>
          <w:tcPr>
            <w:tcW w:w="1385" w:type="dxa"/>
            <w:noWrap w:val="0"/>
            <w:vAlign w:val="top"/>
          </w:tcPr>
          <w:p w14:paraId="56BDFD61">
            <w:pPr>
              <w:adjustRightInd w:val="0"/>
              <w:snapToGrid w:val="0"/>
              <w:spacing w:line="560" w:lineRule="exact"/>
              <w:rPr>
                <w:rFonts w:eastAsia="黑体"/>
                <w:color w:val="auto"/>
                <w:szCs w:val="21"/>
                <w:highlight w:val="none"/>
              </w:rPr>
            </w:pPr>
          </w:p>
        </w:tc>
        <w:tc>
          <w:tcPr>
            <w:tcW w:w="2522" w:type="dxa"/>
            <w:gridSpan w:val="2"/>
            <w:noWrap w:val="0"/>
            <w:vAlign w:val="top"/>
          </w:tcPr>
          <w:p w14:paraId="2A575D01">
            <w:pPr>
              <w:adjustRightInd w:val="0"/>
              <w:snapToGrid w:val="0"/>
              <w:spacing w:line="560" w:lineRule="exact"/>
              <w:rPr>
                <w:rFonts w:eastAsia="黑体"/>
                <w:color w:val="auto"/>
                <w:szCs w:val="21"/>
                <w:highlight w:val="none"/>
              </w:rPr>
            </w:pPr>
          </w:p>
        </w:tc>
      </w:tr>
    </w:tbl>
    <w:p w14:paraId="174C8668">
      <w:pPr>
        <w:pStyle w:val="5"/>
        <w:jc w:val="center"/>
        <w:rPr>
          <w:color w:val="auto"/>
          <w:sz w:val="23"/>
          <w:szCs w:val="23"/>
          <w:highlight w:val="none"/>
        </w:rPr>
      </w:pPr>
      <w:r>
        <w:rPr>
          <w:rFonts w:hint="eastAsia"/>
          <w:color w:val="auto"/>
          <w:highlight w:val="none"/>
        </w:rPr>
        <w:t>附表3：拟任项目技术负责人简历表</w:t>
      </w:r>
    </w:p>
    <w:tbl>
      <w:tblPr>
        <w:tblStyle w:val="20"/>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396"/>
        <w:gridCol w:w="794"/>
        <w:gridCol w:w="1023"/>
        <w:gridCol w:w="1175"/>
        <w:gridCol w:w="781"/>
        <w:gridCol w:w="1390"/>
        <w:gridCol w:w="178"/>
        <w:gridCol w:w="2355"/>
      </w:tblGrid>
      <w:tr w14:paraId="0CD9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08" w:type="dxa"/>
            <w:noWrap w:val="0"/>
            <w:vAlign w:val="center"/>
          </w:tcPr>
          <w:p w14:paraId="21E9C45C">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姓  名</w:t>
            </w:r>
          </w:p>
        </w:tc>
        <w:tc>
          <w:tcPr>
            <w:tcW w:w="1190" w:type="dxa"/>
            <w:gridSpan w:val="2"/>
            <w:noWrap w:val="0"/>
            <w:vAlign w:val="center"/>
          </w:tcPr>
          <w:p w14:paraId="7B46253A">
            <w:pPr>
              <w:adjustRightInd w:val="0"/>
              <w:snapToGrid w:val="0"/>
              <w:spacing w:line="560" w:lineRule="exact"/>
              <w:jc w:val="center"/>
              <w:rPr>
                <w:rFonts w:ascii="宋体" w:hAnsi="宋体"/>
                <w:color w:val="auto"/>
                <w:szCs w:val="21"/>
                <w:highlight w:val="none"/>
              </w:rPr>
            </w:pPr>
          </w:p>
        </w:tc>
        <w:tc>
          <w:tcPr>
            <w:tcW w:w="1023" w:type="dxa"/>
            <w:noWrap w:val="0"/>
            <w:vAlign w:val="center"/>
          </w:tcPr>
          <w:p w14:paraId="6288D0BA">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年 龄</w:t>
            </w:r>
          </w:p>
        </w:tc>
        <w:tc>
          <w:tcPr>
            <w:tcW w:w="1175" w:type="dxa"/>
            <w:noWrap w:val="0"/>
            <w:vAlign w:val="center"/>
          </w:tcPr>
          <w:p w14:paraId="6617A8A5">
            <w:pPr>
              <w:adjustRightInd w:val="0"/>
              <w:snapToGrid w:val="0"/>
              <w:spacing w:line="560" w:lineRule="exact"/>
              <w:jc w:val="center"/>
              <w:rPr>
                <w:rFonts w:ascii="宋体" w:hAnsi="宋体"/>
                <w:color w:val="auto"/>
                <w:szCs w:val="21"/>
                <w:highlight w:val="none"/>
              </w:rPr>
            </w:pPr>
          </w:p>
        </w:tc>
        <w:tc>
          <w:tcPr>
            <w:tcW w:w="2349" w:type="dxa"/>
            <w:gridSpan w:val="3"/>
            <w:noWrap w:val="0"/>
            <w:vAlign w:val="center"/>
          </w:tcPr>
          <w:p w14:paraId="38157CA5">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学历</w:t>
            </w:r>
          </w:p>
        </w:tc>
        <w:tc>
          <w:tcPr>
            <w:tcW w:w="2355" w:type="dxa"/>
            <w:noWrap w:val="0"/>
            <w:vAlign w:val="center"/>
          </w:tcPr>
          <w:p w14:paraId="59087B78">
            <w:pPr>
              <w:adjustRightInd w:val="0"/>
              <w:snapToGrid w:val="0"/>
              <w:spacing w:line="560" w:lineRule="exact"/>
              <w:rPr>
                <w:rFonts w:ascii="宋体" w:hAnsi="宋体"/>
                <w:color w:val="auto"/>
                <w:szCs w:val="21"/>
                <w:highlight w:val="none"/>
              </w:rPr>
            </w:pPr>
          </w:p>
        </w:tc>
      </w:tr>
      <w:tr w14:paraId="493E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08" w:type="dxa"/>
            <w:noWrap w:val="0"/>
            <w:vAlign w:val="center"/>
          </w:tcPr>
          <w:p w14:paraId="7AB45AC9">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职  称</w:t>
            </w:r>
          </w:p>
        </w:tc>
        <w:tc>
          <w:tcPr>
            <w:tcW w:w="1190" w:type="dxa"/>
            <w:gridSpan w:val="2"/>
            <w:noWrap w:val="0"/>
            <w:vAlign w:val="center"/>
          </w:tcPr>
          <w:p w14:paraId="4FFBAC1F">
            <w:pPr>
              <w:adjustRightInd w:val="0"/>
              <w:snapToGrid w:val="0"/>
              <w:spacing w:line="560" w:lineRule="exact"/>
              <w:jc w:val="center"/>
              <w:rPr>
                <w:rFonts w:ascii="宋体" w:hAnsi="宋体"/>
                <w:color w:val="auto"/>
                <w:szCs w:val="21"/>
                <w:highlight w:val="none"/>
              </w:rPr>
            </w:pPr>
          </w:p>
        </w:tc>
        <w:tc>
          <w:tcPr>
            <w:tcW w:w="1023" w:type="dxa"/>
            <w:noWrap w:val="0"/>
            <w:vAlign w:val="center"/>
          </w:tcPr>
          <w:p w14:paraId="65411891">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职 务</w:t>
            </w:r>
          </w:p>
        </w:tc>
        <w:tc>
          <w:tcPr>
            <w:tcW w:w="1175" w:type="dxa"/>
            <w:noWrap w:val="0"/>
            <w:vAlign w:val="center"/>
          </w:tcPr>
          <w:p w14:paraId="5AB3C3C1">
            <w:pPr>
              <w:adjustRightInd w:val="0"/>
              <w:snapToGrid w:val="0"/>
              <w:spacing w:line="560" w:lineRule="exact"/>
              <w:jc w:val="center"/>
              <w:rPr>
                <w:rFonts w:ascii="宋体" w:hAnsi="宋体"/>
                <w:color w:val="auto"/>
                <w:szCs w:val="21"/>
                <w:highlight w:val="none"/>
              </w:rPr>
            </w:pPr>
          </w:p>
        </w:tc>
        <w:tc>
          <w:tcPr>
            <w:tcW w:w="2349" w:type="dxa"/>
            <w:gridSpan w:val="3"/>
            <w:noWrap w:val="0"/>
            <w:vAlign w:val="center"/>
          </w:tcPr>
          <w:p w14:paraId="3558A3E2">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拟在本合同任职</w:t>
            </w:r>
          </w:p>
        </w:tc>
        <w:tc>
          <w:tcPr>
            <w:tcW w:w="2355" w:type="dxa"/>
            <w:noWrap w:val="0"/>
            <w:vAlign w:val="center"/>
          </w:tcPr>
          <w:p w14:paraId="7774C2E9">
            <w:pPr>
              <w:adjustRightInd w:val="0"/>
              <w:snapToGrid w:val="0"/>
              <w:spacing w:line="560" w:lineRule="exact"/>
              <w:rPr>
                <w:rFonts w:ascii="宋体" w:hAnsi="宋体"/>
                <w:color w:val="auto"/>
                <w:szCs w:val="21"/>
                <w:highlight w:val="none"/>
              </w:rPr>
            </w:pPr>
          </w:p>
        </w:tc>
      </w:tr>
      <w:tr w14:paraId="2350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08" w:type="dxa"/>
            <w:noWrap w:val="0"/>
            <w:vAlign w:val="center"/>
          </w:tcPr>
          <w:p w14:paraId="49513D9F">
            <w:pPr>
              <w:adjustRightInd w:val="0"/>
              <w:snapToGrid w:val="0"/>
              <w:spacing w:line="560" w:lineRule="exact"/>
              <w:rPr>
                <w:rFonts w:ascii="宋体" w:hAnsi="宋体"/>
                <w:color w:val="auto"/>
                <w:szCs w:val="21"/>
                <w:highlight w:val="none"/>
              </w:rPr>
            </w:pPr>
            <w:r>
              <w:rPr>
                <w:rFonts w:ascii="宋体" w:hAnsi="宋体"/>
                <w:color w:val="auto"/>
                <w:szCs w:val="21"/>
                <w:highlight w:val="none"/>
              </w:rPr>
              <w:t>毕业学校</w:t>
            </w:r>
          </w:p>
        </w:tc>
        <w:tc>
          <w:tcPr>
            <w:tcW w:w="8092" w:type="dxa"/>
            <w:gridSpan w:val="8"/>
            <w:noWrap w:val="0"/>
            <w:vAlign w:val="top"/>
          </w:tcPr>
          <w:p w14:paraId="709C5CAE">
            <w:pPr>
              <w:adjustRightInd w:val="0"/>
              <w:snapToGrid w:val="0"/>
              <w:spacing w:line="560" w:lineRule="exact"/>
              <w:rPr>
                <w:rFonts w:ascii="宋体" w:hAnsi="宋体"/>
                <w:color w:val="auto"/>
                <w:szCs w:val="21"/>
                <w:highlight w:val="none"/>
              </w:rPr>
            </w:pPr>
            <w:r>
              <w:rPr>
                <w:rFonts w:ascii="宋体" w:hAnsi="宋体"/>
                <w:color w:val="auto"/>
                <w:szCs w:val="21"/>
                <w:highlight w:val="none"/>
              </w:rPr>
              <w:t xml:space="preserve">      年毕业于            学校        专业</w:t>
            </w:r>
          </w:p>
        </w:tc>
      </w:tr>
      <w:tr w14:paraId="7CBF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400" w:type="dxa"/>
            <w:gridSpan w:val="9"/>
            <w:noWrap w:val="0"/>
            <w:vAlign w:val="center"/>
          </w:tcPr>
          <w:p w14:paraId="1A3D874D">
            <w:pPr>
              <w:adjustRightInd w:val="0"/>
              <w:snapToGrid w:val="0"/>
              <w:spacing w:line="560" w:lineRule="exact"/>
              <w:rPr>
                <w:rFonts w:ascii="宋体" w:hAnsi="宋体"/>
                <w:color w:val="auto"/>
                <w:szCs w:val="21"/>
                <w:highlight w:val="none"/>
              </w:rPr>
            </w:pPr>
            <w:r>
              <w:rPr>
                <w:rFonts w:ascii="宋体" w:hAnsi="宋体"/>
                <w:color w:val="auto"/>
                <w:szCs w:val="21"/>
                <w:highlight w:val="none"/>
              </w:rPr>
              <w:t>主要工作经历</w:t>
            </w:r>
          </w:p>
        </w:tc>
      </w:tr>
      <w:tr w14:paraId="2B71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704" w:type="dxa"/>
            <w:gridSpan w:val="2"/>
            <w:noWrap w:val="0"/>
            <w:vAlign w:val="center"/>
          </w:tcPr>
          <w:p w14:paraId="102A637B">
            <w:pPr>
              <w:adjustRightInd w:val="0"/>
              <w:snapToGrid w:val="0"/>
              <w:spacing w:line="560" w:lineRule="exact"/>
              <w:rPr>
                <w:rFonts w:ascii="宋体" w:hAnsi="宋体"/>
                <w:color w:val="auto"/>
                <w:szCs w:val="21"/>
                <w:highlight w:val="none"/>
              </w:rPr>
            </w:pPr>
            <w:r>
              <w:rPr>
                <w:rFonts w:ascii="宋体" w:hAnsi="宋体"/>
                <w:color w:val="auto"/>
                <w:szCs w:val="21"/>
                <w:highlight w:val="none"/>
              </w:rPr>
              <w:t>时  间</w:t>
            </w:r>
          </w:p>
        </w:tc>
        <w:tc>
          <w:tcPr>
            <w:tcW w:w="3773" w:type="dxa"/>
            <w:gridSpan w:val="4"/>
            <w:noWrap w:val="0"/>
            <w:vAlign w:val="center"/>
          </w:tcPr>
          <w:p w14:paraId="0F3A02C9">
            <w:pPr>
              <w:adjustRightInd w:val="0"/>
              <w:snapToGrid w:val="0"/>
              <w:spacing w:line="560" w:lineRule="exact"/>
              <w:rPr>
                <w:rFonts w:ascii="宋体" w:hAnsi="宋体"/>
                <w:color w:val="auto"/>
                <w:szCs w:val="21"/>
                <w:highlight w:val="none"/>
              </w:rPr>
            </w:pPr>
            <w:r>
              <w:rPr>
                <w:rFonts w:ascii="宋体" w:hAnsi="宋体"/>
                <w:color w:val="auto"/>
                <w:szCs w:val="21"/>
                <w:highlight w:val="none"/>
              </w:rPr>
              <w:t>参加过的类似项目</w:t>
            </w:r>
          </w:p>
        </w:tc>
        <w:tc>
          <w:tcPr>
            <w:tcW w:w="1390" w:type="dxa"/>
            <w:noWrap w:val="0"/>
            <w:vAlign w:val="center"/>
          </w:tcPr>
          <w:p w14:paraId="67D9714C">
            <w:pPr>
              <w:adjustRightInd w:val="0"/>
              <w:snapToGrid w:val="0"/>
              <w:spacing w:line="560" w:lineRule="exact"/>
              <w:rPr>
                <w:rFonts w:ascii="宋体" w:hAnsi="宋体"/>
                <w:color w:val="auto"/>
                <w:szCs w:val="21"/>
                <w:highlight w:val="none"/>
              </w:rPr>
            </w:pPr>
            <w:r>
              <w:rPr>
                <w:rFonts w:ascii="宋体" w:hAnsi="宋体"/>
                <w:color w:val="auto"/>
                <w:szCs w:val="21"/>
                <w:highlight w:val="none"/>
              </w:rPr>
              <w:t>担任职务</w:t>
            </w:r>
          </w:p>
        </w:tc>
        <w:tc>
          <w:tcPr>
            <w:tcW w:w="2533" w:type="dxa"/>
            <w:gridSpan w:val="2"/>
            <w:noWrap w:val="0"/>
            <w:vAlign w:val="center"/>
          </w:tcPr>
          <w:p w14:paraId="481B901A">
            <w:pPr>
              <w:adjustRightInd w:val="0"/>
              <w:snapToGrid w:val="0"/>
              <w:spacing w:line="560" w:lineRule="exact"/>
              <w:rPr>
                <w:rFonts w:ascii="宋体" w:hAnsi="宋体"/>
                <w:color w:val="auto"/>
                <w:szCs w:val="21"/>
                <w:highlight w:val="none"/>
              </w:rPr>
            </w:pPr>
            <w:r>
              <w:rPr>
                <w:rFonts w:ascii="宋体" w:hAnsi="宋体"/>
                <w:color w:val="auto"/>
                <w:szCs w:val="21"/>
                <w:highlight w:val="none"/>
              </w:rPr>
              <w:t>发包人及联系电话</w:t>
            </w:r>
          </w:p>
        </w:tc>
      </w:tr>
      <w:tr w14:paraId="4B42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noWrap w:val="0"/>
            <w:vAlign w:val="top"/>
          </w:tcPr>
          <w:p w14:paraId="0D98BF30">
            <w:pPr>
              <w:adjustRightInd w:val="0"/>
              <w:snapToGrid w:val="0"/>
              <w:spacing w:line="560" w:lineRule="exact"/>
              <w:rPr>
                <w:rFonts w:eastAsia="黑体"/>
                <w:color w:val="auto"/>
                <w:szCs w:val="21"/>
                <w:highlight w:val="none"/>
              </w:rPr>
            </w:pPr>
          </w:p>
        </w:tc>
        <w:tc>
          <w:tcPr>
            <w:tcW w:w="3773" w:type="dxa"/>
            <w:gridSpan w:val="4"/>
            <w:noWrap w:val="0"/>
            <w:vAlign w:val="top"/>
          </w:tcPr>
          <w:p w14:paraId="15F148D6">
            <w:pPr>
              <w:adjustRightInd w:val="0"/>
              <w:snapToGrid w:val="0"/>
              <w:spacing w:line="560" w:lineRule="exact"/>
              <w:rPr>
                <w:rFonts w:eastAsia="黑体"/>
                <w:color w:val="auto"/>
                <w:szCs w:val="21"/>
                <w:highlight w:val="none"/>
              </w:rPr>
            </w:pPr>
          </w:p>
        </w:tc>
        <w:tc>
          <w:tcPr>
            <w:tcW w:w="1390" w:type="dxa"/>
            <w:noWrap w:val="0"/>
            <w:vAlign w:val="top"/>
          </w:tcPr>
          <w:p w14:paraId="2F69D5DD">
            <w:pPr>
              <w:adjustRightInd w:val="0"/>
              <w:snapToGrid w:val="0"/>
              <w:spacing w:line="560" w:lineRule="exact"/>
              <w:rPr>
                <w:rFonts w:eastAsia="黑体"/>
                <w:color w:val="auto"/>
                <w:szCs w:val="21"/>
                <w:highlight w:val="none"/>
              </w:rPr>
            </w:pPr>
          </w:p>
        </w:tc>
        <w:tc>
          <w:tcPr>
            <w:tcW w:w="2533" w:type="dxa"/>
            <w:gridSpan w:val="2"/>
            <w:noWrap w:val="0"/>
            <w:vAlign w:val="top"/>
          </w:tcPr>
          <w:p w14:paraId="411E4389">
            <w:pPr>
              <w:adjustRightInd w:val="0"/>
              <w:snapToGrid w:val="0"/>
              <w:spacing w:line="560" w:lineRule="exact"/>
              <w:rPr>
                <w:rFonts w:eastAsia="黑体"/>
                <w:color w:val="auto"/>
                <w:szCs w:val="21"/>
                <w:highlight w:val="none"/>
              </w:rPr>
            </w:pPr>
          </w:p>
        </w:tc>
      </w:tr>
      <w:tr w14:paraId="60A6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noWrap w:val="0"/>
            <w:vAlign w:val="top"/>
          </w:tcPr>
          <w:p w14:paraId="1F1D6A12">
            <w:pPr>
              <w:adjustRightInd w:val="0"/>
              <w:snapToGrid w:val="0"/>
              <w:spacing w:line="560" w:lineRule="exact"/>
              <w:rPr>
                <w:rFonts w:eastAsia="黑体"/>
                <w:color w:val="auto"/>
                <w:szCs w:val="21"/>
                <w:highlight w:val="none"/>
              </w:rPr>
            </w:pPr>
          </w:p>
        </w:tc>
        <w:tc>
          <w:tcPr>
            <w:tcW w:w="3773" w:type="dxa"/>
            <w:gridSpan w:val="4"/>
            <w:noWrap w:val="0"/>
            <w:vAlign w:val="top"/>
          </w:tcPr>
          <w:p w14:paraId="4EB896DB">
            <w:pPr>
              <w:adjustRightInd w:val="0"/>
              <w:snapToGrid w:val="0"/>
              <w:spacing w:line="560" w:lineRule="exact"/>
              <w:rPr>
                <w:rFonts w:eastAsia="黑体"/>
                <w:color w:val="auto"/>
                <w:szCs w:val="21"/>
                <w:highlight w:val="none"/>
              </w:rPr>
            </w:pPr>
          </w:p>
        </w:tc>
        <w:tc>
          <w:tcPr>
            <w:tcW w:w="1390" w:type="dxa"/>
            <w:noWrap w:val="0"/>
            <w:vAlign w:val="top"/>
          </w:tcPr>
          <w:p w14:paraId="6367F2DE">
            <w:pPr>
              <w:adjustRightInd w:val="0"/>
              <w:snapToGrid w:val="0"/>
              <w:spacing w:line="560" w:lineRule="exact"/>
              <w:rPr>
                <w:rFonts w:eastAsia="黑体"/>
                <w:color w:val="auto"/>
                <w:szCs w:val="21"/>
                <w:highlight w:val="none"/>
              </w:rPr>
            </w:pPr>
          </w:p>
        </w:tc>
        <w:tc>
          <w:tcPr>
            <w:tcW w:w="2533" w:type="dxa"/>
            <w:gridSpan w:val="2"/>
            <w:noWrap w:val="0"/>
            <w:vAlign w:val="top"/>
          </w:tcPr>
          <w:p w14:paraId="14FE3335">
            <w:pPr>
              <w:adjustRightInd w:val="0"/>
              <w:snapToGrid w:val="0"/>
              <w:spacing w:line="560" w:lineRule="exact"/>
              <w:rPr>
                <w:rFonts w:eastAsia="黑体"/>
                <w:color w:val="auto"/>
                <w:szCs w:val="21"/>
                <w:highlight w:val="none"/>
              </w:rPr>
            </w:pPr>
          </w:p>
        </w:tc>
      </w:tr>
      <w:tr w14:paraId="0D49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noWrap w:val="0"/>
            <w:vAlign w:val="top"/>
          </w:tcPr>
          <w:p w14:paraId="45C0E08F">
            <w:pPr>
              <w:adjustRightInd w:val="0"/>
              <w:snapToGrid w:val="0"/>
              <w:spacing w:line="560" w:lineRule="exact"/>
              <w:rPr>
                <w:rFonts w:eastAsia="黑体"/>
                <w:color w:val="auto"/>
                <w:szCs w:val="21"/>
                <w:highlight w:val="none"/>
              </w:rPr>
            </w:pPr>
          </w:p>
        </w:tc>
        <w:tc>
          <w:tcPr>
            <w:tcW w:w="3773" w:type="dxa"/>
            <w:gridSpan w:val="4"/>
            <w:noWrap w:val="0"/>
            <w:vAlign w:val="top"/>
          </w:tcPr>
          <w:p w14:paraId="3AA9DF6C">
            <w:pPr>
              <w:adjustRightInd w:val="0"/>
              <w:snapToGrid w:val="0"/>
              <w:spacing w:line="560" w:lineRule="exact"/>
              <w:rPr>
                <w:rFonts w:eastAsia="黑体"/>
                <w:color w:val="auto"/>
                <w:szCs w:val="21"/>
                <w:highlight w:val="none"/>
              </w:rPr>
            </w:pPr>
          </w:p>
        </w:tc>
        <w:tc>
          <w:tcPr>
            <w:tcW w:w="1390" w:type="dxa"/>
            <w:noWrap w:val="0"/>
            <w:vAlign w:val="top"/>
          </w:tcPr>
          <w:p w14:paraId="36FF8BC9">
            <w:pPr>
              <w:adjustRightInd w:val="0"/>
              <w:snapToGrid w:val="0"/>
              <w:spacing w:line="560" w:lineRule="exact"/>
              <w:rPr>
                <w:rFonts w:eastAsia="黑体"/>
                <w:color w:val="auto"/>
                <w:szCs w:val="21"/>
                <w:highlight w:val="none"/>
              </w:rPr>
            </w:pPr>
          </w:p>
        </w:tc>
        <w:tc>
          <w:tcPr>
            <w:tcW w:w="2533" w:type="dxa"/>
            <w:gridSpan w:val="2"/>
            <w:noWrap w:val="0"/>
            <w:vAlign w:val="top"/>
          </w:tcPr>
          <w:p w14:paraId="3B8D2A7D">
            <w:pPr>
              <w:adjustRightInd w:val="0"/>
              <w:snapToGrid w:val="0"/>
              <w:spacing w:line="560" w:lineRule="exact"/>
              <w:rPr>
                <w:rFonts w:eastAsia="黑体"/>
                <w:color w:val="auto"/>
                <w:szCs w:val="21"/>
                <w:highlight w:val="none"/>
              </w:rPr>
            </w:pPr>
          </w:p>
        </w:tc>
      </w:tr>
      <w:tr w14:paraId="57F3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noWrap w:val="0"/>
            <w:vAlign w:val="top"/>
          </w:tcPr>
          <w:p w14:paraId="5FFF4006">
            <w:pPr>
              <w:adjustRightInd w:val="0"/>
              <w:snapToGrid w:val="0"/>
              <w:spacing w:line="560" w:lineRule="exact"/>
              <w:rPr>
                <w:rFonts w:eastAsia="黑体"/>
                <w:color w:val="auto"/>
                <w:szCs w:val="21"/>
                <w:highlight w:val="none"/>
              </w:rPr>
            </w:pPr>
          </w:p>
        </w:tc>
        <w:tc>
          <w:tcPr>
            <w:tcW w:w="3773" w:type="dxa"/>
            <w:gridSpan w:val="4"/>
            <w:noWrap w:val="0"/>
            <w:vAlign w:val="top"/>
          </w:tcPr>
          <w:p w14:paraId="0E9E518D">
            <w:pPr>
              <w:adjustRightInd w:val="0"/>
              <w:snapToGrid w:val="0"/>
              <w:spacing w:line="560" w:lineRule="exact"/>
              <w:rPr>
                <w:rFonts w:eastAsia="黑体"/>
                <w:color w:val="auto"/>
                <w:szCs w:val="21"/>
                <w:highlight w:val="none"/>
              </w:rPr>
            </w:pPr>
          </w:p>
        </w:tc>
        <w:tc>
          <w:tcPr>
            <w:tcW w:w="1390" w:type="dxa"/>
            <w:noWrap w:val="0"/>
            <w:vAlign w:val="top"/>
          </w:tcPr>
          <w:p w14:paraId="2EC5C755">
            <w:pPr>
              <w:adjustRightInd w:val="0"/>
              <w:snapToGrid w:val="0"/>
              <w:spacing w:line="560" w:lineRule="exact"/>
              <w:rPr>
                <w:rFonts w:eastAsia="黑体"/>
                <w:color w:val="auto"/>
                <w:szCs w:val="21"/>
                <w:highlight w:val="none"/>
              </w:rPr>
            </w:pPr>
          </w:p>
        </w:tc>
        <w:tc>
          <w:tcPr>
            <w:tcW w:w="2533" w:type="dxa"/>
            <w:gridSpan w:val="2"/>
            <w:noWrap w:val="0"/>
            <w:vAlign w:val="top"/>
          </w:tcPr>
          <w:p w14:paraId="72844591">
            <w:pPr>
              <w:adjustRightInd w:val="0"/>
              <w:snapToGrid w:val="0"/>
              <w:spacing w:line="560" w:lineRule="exact"/>
              <w:rPr>
                <w:rFonts w:eastAsia="黑体"/>
                <w:color w:val="auto"/>
                <w:szCs w:val="21"/>
                <w:highlight w:val="none"/>
              </w:rPr>
            </w:pPr>
          </w:p>
        </w:tc>
      </w:tr>
      <w:tr w14:paraId="37CF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noWrap w:val="0"/>
            <w:vAlign w:val="top"/>
          </w:tcPr>
          <w:p w14:paraId="2CB1A57F">
            <w:pPr>
              <w:adjustRightInd w:val="0"/>
              <w:snapToGrid w:val="0"/>
              <w:spacing w:line="560" w:lineRule="exact"/>
              <w:rPr>
                <w:rFonts w:eastAsia="黑体"/>
                <w:color w:val="auto"/>
                <w:szCs w:val="21"/>
                <w:highlight w:val="none"/>
              </w:rPr>
            </w:pPr>
          </w:p>
        </w:tc>
        <w:tc>
          <w:tcPr>
            <w:tcW w:w="3773" w:type="dxa"/>
            <w:gridSpan w:val="4"/>
            <w:noWrap w:val="0"/>
            <w:vAlign w:val="top"/>
          </w:tcPr>
          <w:p w14:paraId="62ABC95D">
            <w:pPr>
              <w:adjustRightInd w:val="0"/>
              <w:snapToGrid w:val="0"/>
              <w:spacing w:line="560" w:lineRule="exact"/>
              <w:rPr>
                <w:rFonts w:eastAsia="黑体"/>
                <w:color w:val="auto"/>
                <w:szCs w:val="21"/>
                <w:highlight w:val="none"/>
              </w:rPr>
            </w:pPr>
          </w:p>
        </w:tc>
        <w:tc>
          <w:tcPr>
            <w:tcW w:w="1390" w:type="dxa"/>
            <w:noWrap w:val="0"/>
            <w:vAlign w:val="top"/>
          </w:tcPr>
          <w:p w14:paraId="7C064F47">
            <w:pPr>
              <w:adjustRightInd w:val="0"/>
              <w:snapToGrid w:val="0"/>
              <w:spacing w:line="560" w:lineRule="exact"/>
              <w:rPr>
                <w:rFonts w:eastAsia="黑体"/>
                <w:color w:val="auto"/>
                <w:szCs w:val="21"/>
                <w:highlight w:val="none"/>
              </w:rPr>
            </w:pPr>
          </w:p>
        </w:tc>
        <w:tc>
          <w:tcPr>
            <w:tcW w:w="2533" w:type="dxa"/>
            <w:gridSpan w:val="2"/>
            <w:noWrap w:val="0"/>
            <w:vAlign w:val="top"/>
          </w:tcPr>
          <w:p w14:paraId="26B532A4">
            <w:pPr>
              <w:adjustRightInd w:val="0"/>
              <w:snapToGrid w:val="0"/>
              <w:spacing w:line="560" w:lineRule="exact"/>
              <w:rPr>
                <w:rFonts w:eastAsia="黑体"/>
                <w:color w:val="auto"/>
                <w:szCs w:val="21"/>
                <w:highlight w:val="none"/>
              </w:rPr>
            </w:pPr>
          </w:p>
        </w:tc>
      </w:tr>
      <w:tr w14:paraId="7068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noWrap w:val="0"/>
            <w:vAlign w:val="top"/>
          </w:tcPr>
          <w:p w14:paraId="32109924">
            <w:pPr>
              <w:adjustRightInd w:val="0"/>
              <w:snapToGrid w:val="0"/>
              <w:spacing w:line="560" w:lineRule="exact"/>
              <w:rPr>
                <w:rFonts w:eastAsia="黑体"/>
                <w:color w:val="auto"/>
                <w:szCs w:val="21"/>
                <w:highlight w:val="none"/>
              </w:rPr>
            </w:pPr>
          </w:p>
        </w:tc>
        <w:tc>
          <w:tcPr>
            <w:tcW w:w="3773" w:type="dxa"/>
            <w:gridSpan w:val="4"/>
            <w:noWrap w:val="0"/>
            <w:vAlign w:val="top"/>
          </w:tcPr>
          <w:p w14:paraId="3E344162">
            <w:pPr>
              <w:adjustRightInd w:val="0"/>
              <w:snapToGrid w:val="0"/>
              <w:spacing w:line="560" w:lineRule="exact"/>
              <w:rPr>
                <w:rFonts w:eastAsia="黑体"/>
                <w:color w:val="auto"/>
                <w:szCs w:val="21"/>
                <w:highlight w:val="none"/>
              </w:rPr>
            </w:pPr>
          </w:p>
        </w:tc>
        <w:tc>
          <w:tcPr>
            <w:tcW w:w="1390" w:type="dxa"/>
            <w:noWrap w:val="0"/>
            <w:vAlign w:val="top"/>
          </w:tcPr>
          <w:p w14:paraId="46B4E575">
            <w:pPr>
              <w:adjustRightInd w:val="0"/>
              <w:snapToGrid w:val="0"/>
              <w:spacing w:line="560" w:lineRule="exact"/>
              <w:rPr>
                <w:rFonts w:eastAsia="黑体"/>
                <w:color w:val="auto"/>
                <w:szCs w:val="21"/>
                <w:highlight w:val="none"/>
              </w:rPr>
            </w:pPr>
          </w:p>
        </w:tc>
        <w:tc>
          <w:tcPr>
            <w:tcW w:w="2533" w:type="dxa"/>
            <w:gridSpan w:val="2"/>
            <w:noWrap w:val="0"/>
            <w:vAlign w:val="top"/>
          </w:tcPr>
          <w:p w14:paraId="13D10162">
            <w:pPr>
              <w:adjustRightInd w:val="0"/>
              <w:snapToGrid w:val="0"/>
              <w:spacing w:line="560" w:lineRule="exact"/>
              <w:rPr>
                <w:rFonts w:eastAsia="黑体"/>
                <w:color w:val="auto"/>
                <w:szCs w:val="21"/>
                <w:highlight w:val="none"/>
              </w:rPr>
            </w:pPr>
          </w:p>
        </w:tc>
      </w:tr>
      <w:tr w14:paraId="58B2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noWrap w:val="0"/>
            <w:vAlign w:val="top"/>
          </w:tcPr>
          <w:p w14:paraId="5E1D4BF2">
            <w:pPr>
              <w:adjustRightInd w:val="0"/>
              <w:snapToGrid w:val="0"/>
              <w:spacing w:line="560" w:lineRule="exact"/>
              <w:rPr>
                <w:rFonts w:eastAsia="黑体"/>
                <w:color w:val="auto"/>
                <w:szCs w:val="21"/>
                <w:highlight w:val="none"/>
              </w:rPr>
            </w:pPr>
          </w:p>
        </w:tc>
        <w:tc>
          <w:tcPr>
            <w:tcW w:w="3773" w:type="dxa"/>
            <w:gridSpan w:val="4"/>
            <w:noWrap w:val="0"/>
            <w:vAlign w:val="top"/>
          </w:tcPr>
          <w:p w14:paraId="73A54ED2">
            <w:pPr>
              <w:adjustRightInd w:val="0"/>
              <w:snapToGrid w:val="0"/>
              <w:spacing w:line="560" w:lineRule="exact"/>
              <w:rPr>
                <w:rFonts w:eastAsia="黑体"/>
                <w:color w:val="auto"/>
                <w:szCs w:val="21"/>
                <w:highlight w:val="none"/>
              </w:rPr>
            </w:pPr>
          </w:p>
        </w:tc>
        <w:tc>
          <w:tcPr>
            <w:tcW w:w="1390" w:type="dxa"/>
            <w:noWrap w:val="0"/>
            <w:vAlign w:val="top"/>
          </w:tcPr>
          <w:p w14:paraId="6DC849FA">
            <w:pPr>
              <w:adjustRightInd w:val="0"/>
              <w:snapToGrid w:val="0"/>
              <w:spacing w:line="560" w:lineRule="exact"/>
              <w:rPr>
                <w:rFonts w:eastAsia="黑体"/>
                <w:color w:val="auto"/>
                <w:szCs w:val="21"/>
                <w:highlight w:val="none"/>
              </w:rPr>
            </w:pPr>
          </w:p>
        </w:tc>
        <w:tc>
          <w:tcPr>
            <w:tcW w:w="2533" w:type="dxa"/>
            <w:gridSpan w:val="2"/>
            <w:noWrap w:val="0"/>
            <w:vAlign w:val="top"/>
          </w:tcPr>
          <w:p w14:paraId="1C4493DE">
            <w:pPr>
              <w:adjustRightInd w:val="0"/>
              <w:snapToGrid w:val="0"/>
              <w:spacing w:line="560" w:lineRule="exact"/>
              <w:rPr>
                <w:rFonts w:eastAsia="黑体"/>
                <w:color w:val="auto"/>
                <w:szCs w:val="21"/>
                <w:highlight w:val="none"/>
              </w:rPr>
            </w:pPr>
          </w:p>
        </w:tc>
      </w:tr>
      <w:tr w14:paraId="514D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noWrap w:val="0"/>
            <w:vAlign w:val="top"/>
          </w:tcPr>
          <w:p w14:paraId="35A379F4">
            <w:pPr>
              <w:adjustRightInd w:val="0"/>
              <w:snapToGrid w:val="0"/>
              <w:spacing w:line="560" w:lineRule="exact"/>
              <w:rPr>
                <w:rFonts w:eastAsia="黑体"/>
                <w:color w:val="auto"/>
                <w:szCs w:val="21"/>
                <w:highlight w:val="none"/>
              </w:rPr>
            </w:pPr>
          </w:p>
        </w:tc>
        <w:tc>
          <w:tcPr>
            <w:tcW w:w="3773" w:type="dxa"/>
            <w:gridSpan w:val="4"/>
            <w:noWrap w:val="0"/>
            <w:vAlign w:val="top"/>
          </w:tcPr>
          <w:p w14:paraId="00BBE3C7">
            <w:pPr>
              <w:adjustRightInd w:val="0"/>
              <w:snapToGrid w:val="0"/>
              <w:spacing w:line="560" w:lineRule="exact"/>
              <w:rPr>
                <w:rFonts w:eastAsia="黑体"/>
                <w:color w:val="auto"/>
                <w:szCs w:val="21"/>
                <w:highlight w:val="none"/>
              </w:rPr>
            </w:pPr>
          </w:p>
        </w:tc>
        <w:tc>
          <w:tcPr>
            <w:tcW w:w="1390" w:type="dxa"/>
            <w:noWrap w:val="0"/>
            <w:vAlign w:val="top"/>
          </w:tcPr>
          <w:p w14:paraId="0E1F558D">
            <w:pPr>
              <w:adjustRightInd w:val="0"/>
              <w:snapToGrid w:val="0"/>
              <w:spacing w:line="560" w:lineRule="exact"/>
              <w:rPr>
                <w:rFonts w:eastAsia="黑体"/>
                <w:color w:val="auto"/>
                <w:szCs w:val="21"/>
                <w:highlight w:val="none"/>
              </w:rPr>
            </w:pPr>
          </w:p>
        </w:tc>
        <w:tc>
          <w:tcPr>
            <w:tcW w:w="2533" w:type="dxa"/>
            <w:gridSpan w:val="2"/>
            <w:noWrap w:val="0"/>
            <w:vAlign w:val="top"/>
          </w:tcPr>
          <w:p w14:paraId="6FE38803">
            <w:pPr>
              <w:adjustRightInd w:val="0"/>
              <w:snapToGrid w:val="0"/>
              <w:spacing w:line="560" w:lineRule="exact"/>
              <w:rPr>
                <w:rFonts w:eastAsia="黑体"/>
                <w:color w:val="auto"/>
                <w:szCs w:val="21"/>
                <w:highlight w:val="none"/>
              </w:rPr>
            </w:pPr>
          </w:p>
        </w:tc>
      </w:tr>
    </w:tbl>
    <w:p w14:paraId="00A49FC0">
      <w:pPr>
        <w:rPr>
          <w:rFonts w:hint="eastAsia"/>
          <w:color w:val="auto"/>
          <w:highlight w:val="none"/>
        </w:rPr>
      </w:pPr>
      <w:r>
        <w:rPr>
          <w:rFonts w:hint="eastAsia"/>
          <w:color w:val="auto"/>
          <w:highlight w:val="none"/>
        </w:rPr>
        <w:br w:type="page"/>
      </w:r>
    </w:p>
    <w:p w14:paraId="66D2C81B">
      <w:pPr>
        <w:pStyle w:val="4"/>
        <w:adjustRightInd w:val="0"/>
        <w:snapToGrid w:val="0"/>
        <w:spacing w:before="0" w:after="0" w:line="560" w:lineRule="exact"/>
        <w:jc w:val="center"/>
        <w:rPr>
          <w:rFonts w:hint="eastAsia"/>
          <w:color w:val="auto"/>
          <w:highlight w:val="none"/>
        </w:rPr>
      </w:pPr>
      <w:r>
        <w:rPr>
          <w:rFonts w:hint="eastAsia"/>
          <w:color w:val="auto"/>
          <w:highlight w:val="none"/>
        </w:rPr>
        <w:t>（</w:t>
      </w:r>
      <w:r>
        <w:rPr>
          <w:rFonts w:hint="eastAsia"/>
          <w:color w:val="auto"/>
          <w:highlight w:val="none"/>
          <w:lang w:val="en-US" w:eastAsia="zh-CN"/>
        </w:rPr>
        <w:t>8</w:t>
      </w:r>
      <w:r>
        <w:rPr>
          <w:rFonts w:hint="eastAsia"/>
          <w:color w:val="auto"/>
          <w:highlight w:val="none"/>
        </w:rPr>
        <w:t>）其他资格审查资料</w:t>
      </w:r>
      <w:bookmarkEnd w:id="1536"/>
    </w:p>
    <w:p w14:paraId="3479064F">
      <w:pPr>
        <w:adjustRightInd w:val="0"/>
        <w:snapToGrid w:val="0"/>
        <w:spacing w:line="560" w:lineRule="exact"/>
        <w:jc w:val="center"/>
        <w:rPr>
          <w:rFonts w:hint="eastAsia" w:ascii="宋体"/>
          <w:b/>
          <w:color w:val="auto"/>
          <w:sz w:val="28"/>
          <w:szCs w:val="28"/>
          <w:highlight w:val="none"/>
        </w:rPr>
      </w:pPr>
      <w:bookmarkStart w:id="1537" w:name="_Toc506107353"/>
      <w:bookmarkStart w:id="1538" w:name="_Toc58229121"/>
      <w:bookmarkStart w:id="1539" w:name="_Toc499804616"/>
      <w:bookmarkStart w:id="1540" w:name="_Toc15058940"/>
      <w:bookmarkStart w:id="1541" w:name="_Toc60061581"/>
      <w:bookmarkStart w:id="1542" w:name="_Toc484173797"/>
      <w:bookmarkStart w:id="1543" w:name="_Toc324404893"/>
      <w:bookmarkStart w:id="1544" w:name="_Toc11719"/>
      <w:r>
        <w:rPr>
          <w:rFonts w:hint="eastAsia"/>
          <w:b/>
          <w:color w:val="auto"/>
          <w:sz w:val="28"/>
          <w:szCs w:val="28"/>
          <w:highlight w:val="none"/>
        </w:rPr>
        <w:t>①法定代表人身份证</w:t>
      </w:r>
      <w:bookmarkEnd w:id="1537"/>
      <w:bookmarkEnd w:id="1538"/>
      <w:bookmarkEnd w:id="1539"/>
      <w:bookmarkEnd w:id="1540"/>
      <w:bookmarkEnd w:id="1541"/>
      <w:bookmarkEnd w:id="1542"/>
      <w:r>
        <w:rPr>
          <w:rFonts w:hint="eastAsia"/>
          <w:b/>
          <w:color w:val="auto"/>
          <w:sz w:val="28"/>
          <w:szCs w:val="28"/>
          <w:highlight w:val="none"/>
        </w:rPr>
        <w:t>明或授权委托书</w:t>
      </w:r>
      <w:bookmarkEnd w:id="1461"/>
      <w:bookmarkEnd w:id="1462"/>
      <w:bookmarkEnd w:id="1463"/>
      <w:bookmarkEnd w:id="1464"/>
      <w:bookmarkEnd w:id="1465"/>
      <w:bookmarkEnd w:id="1466"/>
      <w:bookmarkEnd w:id="1467"/>
      <w:bookmarkEnd w:id="1468"/>
      <w:bookmarkEnd w:id="1543"/>
      <w:bookmarkEnd w:id="1544"/>
    </w:p>
    <w:p w14:paraId="10C01CDB">
      <w:pPr>
        <w:pStyle w:val="44"/>
        <w:adjustRightInd w:val="0"/>
        <w:snapToGrid w:val="0"/>
        <w:spacing w:line="560" w:lineRule="exact"/>
        <w:rPr>
          <w:rFonts w:hint="eastAsia" w:ascii="宋体"/>
          <w:b/>
          <w:color w:val="auto"/>
          <w:sz w:val="30"/>
          <w:szCs w:val="30"/>
          <w:highlight w:val="none"/>
        </w:rPr>
      </w:pPr>
      <w:r>
        <w:rPr>
          <w:rFonts w:hint="eastAsia" w:ascii="宋体"/>
          <w:color w:val="auto"/>
          <w:sz w:val="30"/>
          <w:szCs w:val="30"/>
          <w:highlight w:val="none"/>
        </w:rPr>
        <w:t>1.法定代表人身份证明</w:t>
      </w:r>
    </w:p>
    <w:p w14:paraId="457E428A">
      <w:pPr>
        <w:adjustRightInd w:val="0"/>
        <w:snapToGrid w:val="0"/>
        <w:spacing w:line="560" w:lineRule="exact"/>
        <w:rPr>
          <w:rFonts w:hint="eastAsia" w:ascii="宋体"/>
          <w:color w:val="auto"/>
          <w:sz w:val="28"/>
          <w:szCs w:val="28"/>
          <w:highlight w:val="none"/>
        </w:rPr>
      </w:pPr>
      <w:r>
        <w:rPr>
          <w:rFonts w:hint="eastAsia" w:ascii="宋体"/>
          <w:color w:val="auto"/>
          <w:sz w:val="28"/>
          <w:szCs w:val="28"/>
          <w:highlight w:val="none"/>
        </w:rPr>
        <w:t>投标人名称：</w:t>
      </w:r>
      <w:r>
        <w:rPr>
          <w:rFonts w:hint="eastAsia" w:ascii="宋体"/>
          <w:color w:val="auto"/>
          <w:sz w:val="28"/>
          <w:szCs w:val="28"/>
          <w:highlight w:val="none"/>
          <w:u w:val="single"/>
        </w:rPr>
        <w:t xml:space="preserve">                                </w:t>
      </w:r>
      <w:r>
        <w:rPr>
          <w:rFonts w:hint="eastAsia" w:ascii="宋体"/>
          <w:color w:val="auto"/>
          <w:sz w:val="28"/>
          <w:szCs w:val="28"/>
          <w:highlight w:val="none"/>
        </w:rPr>
        <w:t xml:space="preserve"> </w:t>
      </w:r>
    </w:p>
    <w:p w14:paraId="2E6E45A9">
      <w:pPr>
        <w:adjustRightInd w:val="0"/>
        <w:snapToGrid w:val="0"/>
        <w:spacing w:line="560" w:lineRule="exact"/>
        <w:rPr>
          <w:rFonts w:hint="eastAsia" w:ascii="宋体"/>
          <w:color w:val="auto"/>
          <w:sz w:val="28"/>
          <w:szCs w:val="28"/>
          <w:highlight w:val="none"/>
        </w:rPr>
      </w:pPr>
      <w:r>
        <w:rPr>
          <w:rFonts w:hint="eastAsia" w:ascii="宋体"/>
          <w:color w:val="auto"/>
          <w:sz w:val="28"/>
          <w:szCs w:val="28"/>
          <w:highlight w:val="none"/>
        </w:rPr>
        <w:t xml:space="preserve">单位性质： </w:t>
      </w:r>
      <w:r>
        <w:rPr>
          <w:rFonts w:hint="eastAsia" w:ascii="宋体"/>
          <w:color w:val="auto"/>
          <w:sz w:val="28"/>
          <w:szCs w:val="28"/>
          <w:highlight w:val="none"/>
          <w:u w:val="single"/>
        </w:rPr>
        <w:t xml:space="preserve">                                  </w:t>
      </w:r>
      <w:r>
        <w:rPr>
          <w:rFonts w:hint="eastAsia" w:ascii="宋体"/>
          <w:color w:val="auto"/>
          <w:sz w:val="28"/>
          <w:szCs w:val="28"/>
          <w:highlight w:val="none"/>
        </w:rPr>
        <w:t xml:space="preserve"> </w:t>
      </w:r>
    </w:p>
    <w:p w14:paraId="15FDE241">
      <w:pPr>
        <w:adjustRightInd w:val="0"/>
        <w:snapToGrid w:val="0"/>
        <w:spacing w:line="560" w:lineRule="exact"/>
        <w:rPr>
          <w:rFonts w:hint="eastAsia" w:ascii="宋体"/>
          <w:color w:val="auto"/>
          <w:sz w:val="28"/>
          <w:szCs w:val="28"/>
          <w:highlight w:val="none"/>
        </w:rPr>
      </w:pPr>
      <w:r>
        <w:rPr>
          <w:rFonts w:hint="eastAsia" w:ascii="宋体"/>
          <w:color w:val="auto"/>
          <w:sz w:val="28"/>
          <w:szCs w:val="28"/>
          <w:highlight w:val="none"/>
        </w:rPr>
        <w:t>地    址：</w:t>
      </w:r>
      <w:r>
        <w:rPr>
          <w:rFonts w:hint="eastAsia" w:ascii="宋体"/>
          <w:color w:val="auto"/>
          <w:sz w:val="28"/>
          <w:szCs w:val="28"/>
          <w:highlight w:val="none"/>
          <w:u w:val="single"/>
        </w:rPr>
        <w:t xml:space="preserve">                                   </w:t>
      </w:r>
      <w:r>
        <w:rPr>
          <w:rFonts w:hint="eastAsia" w:ascii="宋体"/>
          <w:color w:val="auto"/>
          <w:sz w:val="28"/>
          <w:szCs w:val="28"/>
          <w:highlight w:val="none"/>
        </w:rPr>
        <w:t xml:space="preserve"> </w:t>
      </w:r>
    </w:p>
    <w:p w14:paraId="302FA34F">
      <w:pPr>
        <w:adjustRightInd w:val="0"/>
        <w:snapToGrid w:val="0"/>
        <w:spacing w:line="560" w:lineRule="exact"/>
        <w:rPr>
          <w:rFonts w:hint="eastAsia" w:ascii="宋体"/>
          <w:color w:val="auto"/>
          <w:sz w:val="28"/>
          <w:szCs w:val="28"/>
          <w:highlight w:val="none"/>
        </w:rPr>
      </w:pPr>
      <w:r>
        <w:rPr>
          <w:rFonts w:hint="eastAsia" w:ascii="宋体"/>
          <w:color w:val="auto"/>
          <w:sz w:val="28"/>
          <w:szCs w:val="28"/>
          <w:highlight w:val="none"/>
        </w:rPr>
        <w:t>成立时间：</w:t>
      </w: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2836866E">
      <w:pPr>
        <w:adjustRightInd w:val="0"/>
        <w:snapToGrid w:val="0"/>
        <w:spacing w:line="560" w:lineRule="exact"/>
        <w:rPr>
          <w:rFonts w:hint="eastAsia" w:ascii="宋体"/>
          <w:color w:val="auto"/>
          <w:sz w:val="28"/>
          <w:szCs w:val="28"/>
          <w:highlight w:val="none"/>
        </w:rPr>
      </w:pPr>
      <w:r>
        <w:rPr>
          <w:rFonts w:hint="eastAsia" w:ascii="宋体"/>
          <w:color w:val="auto"/>
          <w:sz w:val="28"/>
          <w:szCs w:val="28"/>
          <w:highlight w:val="none"/>
        </w:rPr>
        <w:t>经营期限：</w:t>
      </w:r>
      <w:r>
        <w:rPr>
          <w:rFonts w:hint="eastAsia" w:ascii="宋体"/>
          <w:color w:val="auto"/>
          <w:sz w:val="28"/>
          <w:szCs w:val="28"/>
          <w:highlight w:val="none"/>
          <w:u w:val="single"/>
        </w:rPr>
        <w:t xml:space="preserve">                                </w:t>
      </w:r>
      <w:r>
        <w:rPr>
          <w:rFonts w:hint="eastAsia" w:ascii="宋体"/>
          <w:color w:val="auto"/>
          <w:sz w:val="28"/>
          <w:szCs w:val="28"/>
          <w:highlight w:val="none"/>
        </w:rPr>
        <w:t xml:space="preserve"> </w:t>
      </w:r>
    </w:p>
    <w:p w14:paraId="7AF0132A">
      <w:pPr>
        <w:adjustRightInd w:val="0"/>
        <w:snapToGrid w:val="0"/>
        <w:spacing w:line="560" w:lineRule="exact"/>
        <w:jc w:val="left"/>
        <w:rPr>
          <w:rFonts w:hint="eastAsia" w:ascii="宋体"/>
          <w:color w:val="auto"/>
          <w:sz w:val="28"/>
          <w:szCs w:val="28"/>
          <w:highlight w:val="none"/>
          <w:u w:val="single"/>
        </w:rPr>
      </w:pPr>
      <w:r>
        <w:rPr>
          <w:rFonts w:hint="eastAsia" w:ascii="宋体"/>
          <w:color w:val="auto"/>
          <w:spacing w:val="240"/>
          <w:sz w:val="28"/>
          <w:szCs w:val="28"/>
          <w:highlight w:val="none"/>
        </w:rPr>
        <w:t>姓</w:t>
      </w:r>
      <w:r>
        <w:rPr>
          <w:rFonts w:hint="eastAsia" w:ascii="宋体"/>
          <w:color w:val="auto"/>
          <w:sz w:val="28"/>
          <w:szCs w:val="28"/>
          <w:highlight w:val="none"/>
        </w:rPr>
        <w:t>名：</w:t>
      </w:r>
      <w:r>
        <w:rPr>
          <w:rFonts w:hint="eastAsia" w:ascii="宋体"/>
          <w:color w:val="auto"/>
          <w:sz w:val="28"/>
          <w:szCs w:val="28"/>
          <w:highlight w:val="none"/>
          <w:u w:val="single"/>
        </w:rPr>
        <w:t xml:space="preserve">           </w:t>
      </w:r>
      <w:r>
        <w:rPr>
          <w:rFonts w:hint="eastAsia" w:ascii="宋体"/>
          <w:color w:val="auto"/>
          <w:sz w:val="28"/>
          <w:szCs w:val="28"/>
          <w:highlight w:val="none"/>
        </w:rPr>
        <w:t>身份证号码：</w:t>
      </w:r>
      <w:r>
        <w:rPr>
          <w:rFonts w:hint="eastAsia" w:ascii="宋体"/>
          <w:color w:val="auto"/>
          <w:sz w:val="28"/>
          <w:szCs w:val="28"/>
          <w:highlight w:val="none"/>
          <w:u w:val="single"/>
        </w:rPr>
        <w:t xml:space="preserve">             </w:t>
      </w:r>
      <w:r>
        <w:rPr>
          <w:rFonts w:hint="eastAsia" w:ascii="宋体"/>
          <w:color w:val="auto"/>
          <w:sz w:val="28"/>
          <w:szCs w:val="28"/>
          <w:highlight w:val="none"/>
        </w:rPr>
        <w:t>性别</w:t>
      </w:r>
      <w:r>
        <w:rPr>
          <w:rFonts w:hint="eastAsia" w:ascii="宋体"/>
          <w:color w:val="auto"/>
          <w:sz w:val="28"/>
          <w:szCs w:val="28"/>
          <w:highlight w:val="none"/>
          <w:u w:val="single"/>
        </w:rPr>
        <w:t xml:space="preserve">：            </w:t>
      </w:r>
      <w:r>
        <w:rPr>
          <w:rFonts w:hint="eastAsia" w:ascii="宋体"/>
          <w:color w:val="auto"/>
          <w:sz w:val="28"/>
          <w:szCs w:val="28"/>
          <w:highlight w:val="none"/>
        </w:rPr>
        <w:t>年龄：</w:t>
      </w:r>
      <w:r>
        <w:rPr>
          <w:rFonts w:hint="eastAsia" w:ascii="宋体"/>
          <w:color w:val="auto"/>
          <w:sz w:val="28"/>
          <w:szCs w:val="28"/>
          <w:highlight w:val="none"/>
          <w:u w:val="single"/>
        </w:rPr>
        <w:t xml:space="preserve">＿  </w:t>
      </w:r>
      <w:r>
        <w:rPr>
          <w:rFonts w:hint="eastAsia" w:ascii="宋体"/>
          <w:color w:val="auto"/>
          <w:sz w:val="28"/>
          <w:szCs w:val="28"/>
          <w:highlight w:val="none"/>
        </w:rPr>
        <w:t>职务：</w:t>
      </w:r>
      <w:r>
        <w:rPr>
          <w:rFonts w:hint="eastAsia" w:ascii="宋体"/>
          <w:color w:val="auto"/>
          <w:sz w:val="28"/>
          <w:szCs w:val="28"/>
          <w:highlight w:val="none"/>
          <w:u w:val="single"/>
        </w:rPr>
        <w:t xml:space="preserve">       </w:t>
      </w:r>
      <w:r>
        <w:rPr>
          <w:rFonts w:hint="eastAsia" w:ascii="宋体"/>
          <w:color w:val="auto"/>
          <w:sz w:val="28"/>
          <w:szCs w:val="28"/>
          <w:highlight w:val="none"/>
        </w:rPr>
        <w:t>_，系</w:t>
      </w:r>
      <w:r>
        <w:rPr>
          <w:rFonts w:hint="eastAsia" w:ascii="宋体"/>
          <w:color w:val="auto"/>
          <w:sz w:val="28"/>
          <w:szCs w:val="28"/>
          <w:highlight w:val="none"/>
          <w:u w:val="single"/>
        </w:rPr>
        <w:t xml:space="preserve">                       </w:t>
      </w:r>
      <w:r>
        <w:rPr>
          <w:rFonts w:hint="eastAsia" w:ascii="宋体"/>
          <w:color w:val="auto"/>
          <w:sz w:val="28"/>
          <w:szCs w:val="28"/>
          <w:highlight w:val="none"/>
        </w:rPr>
        <w:t>（投标人名称）的法定代表人。</w:t>
      </w:r>
    </w:p>
    <w:p w14:paraId="5A315117">
      <w:pPr>
        <w:adjustRightInd w:val="0"/>
        <w:snapToGrid w:val="0"/>
        <w:spacing w:line="560" w:lineRule="exact"/>
        <w:rPr>
          <w:rFonts w:hint="eastAsia" w:ascii="宋体"/>
          <w:color w:val="auto"/>
          <w:sz w:val="28"/>
          <w:szCs w:val="28"/>
          <w:highlight w:val="none"/>
        </w:rPr>
      </w:pPr>
      <w:r>
        <w:rPr>
          <w:rFonts w:hint="eastAsia" w:ascii="宋体"/>
          <w:color w:val="auto"/>
          <w:sz w:val="28"/>
          <w:szCs w:val="28"/>
          <w:highlight w:val="none"/>
        </w:rPr>
        <w:t>特此证明。</w:t>
      </w:r>
    </w:p>
    <w:p w14:paraId="37DA7B03">
      <w:pPr>
        <w:adjustRightInd w:val="0"/>
        <w:snapToGrid w:val="0"/>
        <w:spacing w:line="560" w:lineRule="exact"/>
        <w:rPr>
          <w:rFonts w:hint="eastAsia" w:ascii="宋体"/>
          <w:color w:val="auto"/>
          <w:sz w:val="28"/>
          <w:szCs w:val="28"/>
          <w:highlight w:val="none"/>
        </w:rPr>
      </w:pPr>
    </w:p>
    <w:p w14:paraId="5C5A5DA8">
      <w:pPr>
        <w:adjustRightInd w:val="0"/>
        <w:snapToGrid w:val="0"/>
        <w:spacing w:line="560" w:lineRule="exact"/>
        <w:rPr>
          <w:rFonts w:hint="eastAsia" w:ascii="宋体"/>
          <w:color w:val="auto"/>
          <w:sz w:val="28"/>
          <w:szCs w:val="28"/>
          <w:highlight w:val="none"/>
        </w:rPr>
      </w:pPr>
    </w:p>
    <w:p w14:paraId="70E2D9DF">
      <w:pPr>
        <w:adjustRightInd w:val="0"/>
        <w:snapToGrid w:val="0"/>
        <w:spacing w:line="560" w:lineRule="exact"/>
        <w:rPr>
          <w:rFonts w:hint="eastAsia" w:ascii="宋体"/>
          <w:color w:val="auto"/>
          <w:sz w:val="28"/>
          <w:szCs w:val="28"/>
          <w:highlight w:val="none"/>
        </w:rPr>
      </w:pPr>
    </w:p>
    <w:p w14:paraId="439781E3">
      <w:pPr>
        <w:adjustRightInd w:val="0"/>
        <w:snapToGrid w:val="0"/>
        <w:spacing w:line="560" w:lineRule="exact"/>
        <w:ind w:firstLine="4340" w:firstLineChars="1550"/>
        <w:rPr>
          <w:rFonts w:hint="eastAsia" w:ascii="宋体"/>
          <w:color w:val="auto"/>
          <w:sz w:val="28"/>
          <w:szCs w:val="28"/>
          <w:highlight w:val="non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054650DA">
      <w:pPr>
        <w:adjustRightInd w:val="0"/>
        <w:snapToGrid w:val="0"/>
        <w:spacing w:line="560" w:lineRule="exact"/>
        <w:rPr>
          <w:rFonts w:hint="eastAsia" w:ascii="宋体"/>
          <w:color w:val="auto"/>
          <w:sz w:val="28"/>
          <w:szCs w:val="28"/>
          <w:highlight w:val="none"/>
        </w:rPr>
      </w:pPr>
      <w:r>
        <w:rPr>
          <w:rFonts w:hint="eastAsia" w:ascii="宋体"/>
          <w:color w:val="auto"/>
          <w:sz w:val="28"/>
          <w:szCs w:val="28"/>
          <w:highlight w:val="none"/>
        </w:rPr>
        <w:t xml:space="preserve">                                        年    月     日</w:t>
      </w:r>
    </w:p>
    <w:p w14:paraId="6FBC6008">
      <w:pPr>
        <w:adjustRightInd w:val="0"/>
        <w:snapToGrid w:val="0"/>
        <w:spacing w:line="560" w:lineRule="exact"/>
        <w:rPr>
          <w:rFonts w:hint="eastAsia" w:ascii="宋体"/>
          <w:color w:val="auto"/>
          <w:sz w:val="28"/>
          <w:szCs w:val="28"/>
          <w:highlight w:val="none"/>
        </w:rPr>
      </w:pPr>
    </w:p>
    <w:p w14:paraId="44FCCD80">
      <w:pPr>
        <w:adjustRightInd w:val="0"/>
        <w:snapToGrid w:val="0"/>
        <w:spacing w:line="560" w:lineRule="exact"/>
        <w:rPr>
          <w:rFonts w:hint="eastAsia" w:ascii="宋体"/>
          <w:color w:val="auto"/>
          <w:sz w:val="28"/>
          <w:szCs w:val="28"/>
          <w:highlight w:val="none"/>
        </w:rPr>
      </w:pPr>
    </w:p>
    <w:p w14:paraId="34079F1E">
      <w:pPr>
        <w:pStyle w:val="44"/>
        <w:adjustRightInd w:val="0"/>
        <w:snapToGrid w:val="0"/>
        <w:spacing w:line="560" w:lineRule="exact"/>
        <w:rPr>
          <w:rFonts w:hint="eastAsia" w:ascii="宋体"/>
          <w:color w:val="auto"/>
          <w:sz w:val="30"/>
          <w:szCs w:val="30"/>
          <w:highlight w:val="none"/>
        </w:rPr>
      </w:pPr>
    </w:p>
    <w:p w14:paraId="6A3C6CF7">
      <w:pPr>
        <w:rPr>
          <w:rFonts w:hint="eastAsia"/>
          <w:color w:val="auto"/>
          <w:highlight w:val="none"/>
        </w:rPr>
      </w:pPr>
    </w:p>
    <w:p w14:paraId="64A55D4F">
      <w:pPr>
        <w:pStyle w:val="19"/>
        <w:rPr>
          <w:rFonts w:hint="eastAsia"/>
          <w:color w:val="auto"/>
          <w:highlight w:val="none"/>
        </w:rPr>
      </w:pPr>
    </w:p>
    <w:p w14:paraId="18EC5D14">
      <w:pPr>
        <w:rPr>
          <w:rFonts w:hint="eastAsia"/>
          <w:color w:val="auto"/>
          <w:highlight w:val="none"/>
        </w:rPr>
      </w:pPr>
    </w:p>
    <w:p w14:paraId="23754321">
      <w:pPr>
        <w:pStyle w:val="19"/>
        <w:rPr>
          <w:rFonts w:hint="eastAsia"/>
          <w:color w:val="auto"/>
          <w:highlight w:val="none"/>
        </w:rPr>
      </w:pPr>
    </w:p>
    <w:p w14:paraId="44438D53">
      <w:pPr>
        <w:rPr>
          <w:rFonts w:hint="eastAsia"/>
          <w:color w:val="auto"/>
          <w:highlight w:val="none"/>
        </w:rPr>
      </w:pPr>
    </w:p>
    <w:p w14:paraId="52CF6441">
      <w:pPr>
        <w:pStyle w:val="19"/>
        <w:rPr>
          <w:rFonts w:hint="eastAsia"/>
          <w:color w:val="auto"/>
          <w:highlight w:val="none"/>
        </w:rPr>
      </w:pPr>
    </w:p>
    <w:p w14:paraId="52C45B8F">
      <w:pPr>
        <w:pStyle w:val="44"/>
        <w:adjustRightInd w:val="0"/>
        <w:snapToGrid w:val="0"/>
        <w:spacing w:line="560" w:lineRule="exact"/>
        <w:rPr>
          <w:rFonts w:hint="eastAsia" w:ascii="宋体"/>
          <w:color w:val="auto"/>
          <w:sz w:val="30"/>
          <w:szCs w:val="30"/>
          <w:highlight w:val="none"/>
        </w:rPr>
      </w:pPr>
    </w:p>
    <w:p w14:paraId="6406FF06">
      <w:pPr>
        <w:rPr>
          <w:rFonts w:hint="eastAsia"/>
          <w:color w:val="auto"/>
          <w:highlight w:val="none"/>
        </w:rPr>
      </w:pPr>
    </w:p>
    <w:p w14:paraId="2F8AABA2">
      <w:pPr>
        <w:rPr>
          <w:rFonts w:hint="eastAsia"/>
          <w:color w:val="auto"/>
          <w:highlight w:val="none"/>
        </w:rPr>
      </w:pPr>
    </w:p>
    <w:p w14:paraId="5BA9F9C7">
      <w:pPr>
        <w:pStyle w:val="44"/>
        <w:adjustRightInd w:val="0"/>
        <w:snapToGrid w:val="0"/>
        <w:spacing w:line="560" w:lineRule="exact"/>
        <w:rPr>
          <w:rFonts w:hint="eastAsia" w:ascii="宋体"/>
          <w:color w:val="auto"/>
          <w:sz w:val="30"/>
          <w:szCs w:val="30"/>
          <w:highlight w:val="none"/>
        </w:rPr>
      </w:pPr>
    </w:p>
    <w:p w14:paraId="012C2D6A">
      <w:pPr>
        <w:pStyle w:val="44"/>
        <w:adjustRightInd w:val="0"/>
        <w:snapToGrid w:val="0"/>
        <w:spacing w:line="560" w:lineRule="exact"/>
        <w:rPr>
          <w:rFonts w:hint="eastAsia" w:ascii="宋体"/>
          <w:color w:val="auto"/>
          <w:sz w:val="30"/>
          <w:szCs w:val="30"/>
          <w:highlight w:val="none"/>
        </w:rPr>
      </w:pPr>
    </w:p>
    <w:p w14:paraId="638D3DC0">
      <w:pPr>
        <w:pStyle w:val="44"/>
        <w:adjustRightInd w:val="0"/>
        <w:snapToGrid w:val="0"/>
        <w:spacing w:line="560" w:lineRule="exact"/>
        <w:rPr>
          <w:rFonts w:hint="eastAsia" w:ascii="宋体"/>
          <w:color w:val="auto"/>
          <w:sz w:val="30"/>
          <w:szCs w:val="30"/>
          <w:highlight w:val="none"/>
        </w:rPr>
      </w:pPr>
      <w:r>
        <w:rPr>
          <w:rFonts w:hint="eastAsia" w:ascii="宋体"/>
          <w:color w:val="auto"/>
          <w:sz w:val="30"/>
          <w:szCs w:val="30"/>
          <w:highlight w:val="none"/>
        </w:rPr>
        <w:t>2. 授权委托书</w:t>
      </w:r>
    </w:p>
    <w:p w14:paraId="4BC96278">
      <w:pPr>
        <w:adjustRightInd w:val="0"/>
        <w:snapToGrid w:val="0"/>
        <w:spacing w:line="560" w:lineRule="exact"/>
        <w:ind w:firstLine="560" w:firstLineChars="200"/>
        <w:rPr>
          <w:rFonts w:hint="eastAsia" w:ascii="宋体"/>
          <w:color w:val="auto"/>
          <w:sz w:val="28"/>
          <w:szCs w:val="28"/>
          <w:highlight w:val="none"/>
        </w:rPr>
      </w:pPr>
      <w:r>
        <w:rPr>
          <w:rFonts w:hint="eastAsia" w:ascii="宋体"/>
          <w:color w:val="auto"/>
          <w:sz w:val="28"/>
          <w:szCs w:val="28"/>
          <w:highlight w:val="none"/>
        </w:rPr>
        <w:t xml:space="preserve">本人 </w:t>
      </w:r>
      <w:r>
        <w:rPr>
          <w:rFonts w:hint="eastAsia" w:ascii="宋体"/>
          <w:color w:val="auto"/>
          <w:sz w:val="28"/>
          <w:szCs w:val="28"/>
          <w:highlight w:val="none"/>
          <w:u w:val="single"/>
        </w:rPr>
        <w:t xml:space="preserve">    </w:t>
      </w:r>
      <w:r>
        <w:rPr>
          <w:rFonts w:hint="eastAsia" w:ascii="宋体"/>
          <w:color w:val="auto"/>
          <w:sz w:val="28"/>
          <w:szCs w:val="28"/>
          <w:highlight w:val="none"/>
        </w:rPr>
        <w:t>（姓名）系</w:t>
      </w:r>
      <w:r>
        <w:rPr>
          <w:rFonts w:hint="eastAsia" w:ascii="宋体"/>
          <w:color w:val="auto"/>
          <w:sz w:val="28"/>
          <w:szCs w:val="28"/>
          <w:highlight w:val="none"/>
          <w:u w:val="single"/>
        </w:rPr>
        <w:t xml:space="preserve">       </w:t>
      </w:r>
      <w:r>
        <w:rPr>
          <w:rFonts w:hint="eastAsia" w:ascii="宋体"/>
          <w:color w:val="auto"/>
          <w:sz w:val="28"/>
          <w:szCs w:val="28"/>
          <w:highlight w:val="none"/>
        </w:rPr>
        <w:t>（投标人）的法定代表人，现委托</w:t>
      </w:r>
      <w:r>
        <w:rPr>
          <w:rFonts w:hint="eastAsia" w:ascii="宋体"/>
          <w:color w:val="auto"/>
          <w:sz w:val="28"/>
          <w:szCs w:val="28"/>
          <w:highlight w:val="none"/>
          <w:u w:val="single"/>
        </w:rPr>
        <w:t xml:space="preserve">   </w:t>
      </w:r>
      <w:r>
        <w:rPr>
          <w:rFonts w:hint="eastAsia" w:ascii="宋体"/>
          <w:color w:val="auto"/>
          <w:sz w:val="28"/>
          <w:szCs w:val="28"/>
          <w:highlight w:val="none"/>
        </w:rPr>
        <w:t>（姓名）为我方代理人。代理人根据授权，以我方名义签署、澄清、说明、补正、递交、撤回、修改 “</w:t>
      </w:r>
      <w:r>
        <w:rPr>
          <w:rFonts w:hint="eastAsia" w:ascii="宋体"/>
          <w:color w:val="auto"/>
          <w:sz w:val="28"/>
          <w:szCs w:val="28"/>
          <w:highlight w:val="none"/>
          <w:u w:val="single"/>
        </w:rPr>
        <w:t xml:space="preserve">      </w:t>
      </w:r>
      <w:r>
        <w:rPr>
          <w:rFonts w:hint="eastAsia" w:ascii="宋体"/>
          <w:color w:val="auto"/>
          <w:sz w:val="28"/>
          <w:szCs w:val="28"/>
          <w:highlight w:val="none"/>
        </w:rPr>
        <w:t xml:space="preserve"> ”(项目名称、编号）投标文件，全权处理与该项目投标、评审答疑、签订合同以及与合同执行有关的一切事务，其法律后果由我方承担。</w:t>
      </w:r>
    </w:p>
    <w:p w14:paraId="47E71517">
      <w:pPr>
        <w:adjustRightInd w:val="0"/>
        <w:snapToGrid w:val="0"/>
        <w:spacing w:line="560" w:lineRule="exact"/>
        <w:ind w:firstLine="560" w:firstLineChars="200"/>
        <w:rPr>
          <w:rFonts w:hint="eastAsia" w:ascii="宋体"/>
          <w:color w:val="auto"/>
          <w:sz w:val="28"/>
          <w:szCs w:val="28"/>
          <w:highlight w:val="none"/>
        </w:rPr>
      </w:pPr>
      <w:r>
        <w:rPr>
          <w:rFonts w:hint="eastAsia" w:ascii="宋体"/>
          <w:color w:val="auto"/>
          <w:sz w:val="28"/>
          <w:szCs w:val="28"/>
          <w:highlight w:val="none"/>
        </w:rPr>
        <w:t xml:space="preserve">委托期限： </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w:t>
      </w:r>
      <w:r>
        <w:rPr>
          <w:rFonts w:hint="eastAsia" w:ascii="宋体"/>
          <w:color w:val="auto"/>
          <w:sz w:val="28"/>
          <w:szCs w:val="28"/>
          <w:highlight w:val="none"/>
        </w:rPr>
        <w:t xml:space="preserve">                     </w:t>
      </w:r>
    </w:p>
    <w:p w14:paraId="4BF628D0">
      <w:pPr>
        <w:adjustRightInd w:val="0"/>
        <w:snapToGrid w:val="0"/>
        <w:spacing w:line="560" w:lineRule="exact"/>
        <w:ind w:firstLine="560" w:firstLineChars="200"/>
        <w:rPr>
          <w:rFonts w:hint="eastAsia" w:ascii="宋体"/>
          <w:color w:val="auto"/>
          <w:sz w:val="28"/>
          <w:szCs w:val="28"/>
          <w:highlight w:val="none"/>
        </w:rPr>
      </w:pPr>
      <w:r>
        <w:rPr>
          <w:rFonts w:hint="eastAsia" w:ascii="宋体"/>
          <w:color w:val="auto"/>
          <w:sz w:val="28"/>
          <w:szCs w:val="28"/>
          <w:highlight w:val="none"/>
        </w:rPr>
        <w:t>代理人无转委托权。</w:t>
      </w:r>
    </w:p>
    <w:p w14:paraId="50ADB5A1">
      <w:pPr>
        <w:adjustRightInd w:val="0"/>
        <w:snapToGrid w:val="0"/>
        <w:spacing w:line="560" w:lineRule="exact"/>
        <w:ind w:firstLine="560" w:firstLineChars="200"/>
        <w:rPr>
          <w:rFonts w:hint="eastAsia" w:ascii="宋体"/>
          <w:b/>
          <w:color w:val="auto"/>
          <w:sz w:val="28"/>
          <w:szCs w:val="28"/>
          <w:highlight w:val="none"/>
        </w:rPr>
      </w:pPr>
      <w:r>
        <w:rPr>
          <w:rFonts w:hint="eastAsia" w:ascii="宋体"/>
          <w:color w:val="auto"/>
          <w:sz w:val="28"/>
          <w:szCs w:val="28"/>
          <w:highlight w:val="none"/>
        </w:rPr>
        <w:t>附：</w:t>
      </w:r>
      <w:r>
        <w:rPr>
          <w:rFonts w:hint="eastAsia" w:ascii="宋体"/>
          <w:b/>
          <w:color w:val="auto"/>
          <w:sz w:val="28"/>
          <w:szCs w:val="28"/>
          <w:highlight w:val="none"/>
        </w:rPr>
        <w:t>委托代理人有效身份证扫描件</w:t>
      </w:r>
    </w:p>
    <w:p w14:paraId="4B0CE14F">
      <w:pPr>
        <w:adjustRightInd w:val="0"/>
        <w:snapToGrid w:val="0"/>
        <w:spacing w:line="560" w:lineRule="exact"/>
        <w:ind w:firstLine="1116" w:firstLineChars="397"/>
        <w:rPr>
          <w:rFonts w:hint="eastAsia" w:ascii="宋体"/>
          <w:b/>
          <w:color w:val="auto"/>
          <w:sz w:val="28"/>
          <w:szCs w:val="28"/>
          <w:highlight w:val="none"/>
        </w:rPr>
      </w:pPr>
      <w:r>
        <w:rPr>
          <w:rFonts w:hint="eastAsia" w:ascii="宋体"/>
          <w:b/>
          <w:color w:val="auto"/>
          <w:sz w:val="28"/>
          <w:szCs w:val="28"/>
          <w:highlight w:val="none"/>
        </w:rPr>
        <w:t>法定代表人有效身份证扫描件</w:t>
      </w:r>
    </w:p>
    <w:p w14:paraId="5FA0F8DD">
      <w:pPr>
        <w:adjustRightInd w:val="0"/>
        <w:snapToGrid w:val="0"/>
        <w:spacing w:line="560" w:lineRule="exact"/>
        <w:ind w:firstLine="560" w:firstLineChars="200"/>
        <w:rPr>
          <w:rFonts w:hint="eastAsia" w:ascii="宋体"/>
          <w:color w:val="auto"/>
          <w:sz w:val="28"/>
          <w:szCs w:val="28"/>
          <w:highlight w:val="none"/>
        </w:rPr>
      </w:pPr>
    </w:p>
    <w:p w14:paraId="7F8A2ABB">
      <w:pPr>
        <w:adjustRightInd w:val="0"/>
        <w:snapToGrid w:val="0"/>
        <w:spacing w:line="560" w:lineRule="exact"/>
        <w:ind w:firstLine="200"/>
        <w:rPr>
          <w:rFonts w:hint="eastAsia" w:ascii="宋体"/>
          <w:color w:val="auto"/>
          <w:sz w:val="28"/>
          <w:szCs w:val="28"/>
          <w:highlight w:val="none"/>
        </w:rPr>
      </w:pPr>
      <w:r>
        <w:rPr>
          <w:rFonts w:hint="eastAsia" w:ascii="宋体"/>
          <w:color w:val="auto"/>
          <w:sz w:val="28"/>
          <w:szCs w:val="28"/>
          <w:highlight w:val="none"/>
        </w:rPr>
        <w:t xml:space="preserve">                           投标人（签章）：</w:t>
      </w:r>
    </w:p>
    <w:p w14:paraId="1788B021">
      <w:pPr>
        <w:adjustRightInd w:val="0"/>
        <w:snapToGrid w:val="0"/>
        <w:spacing w:line="560" w:lineRule="exact"/>
        <w:ind w:firstLine="2660" w:firstLineChars="950"/>
        <w:rPr>
          <w:rFonts w:hint="eastAsia" w:ascii="宋体"/>
          <w:color w:val="auto"/>
          <w:sz w:val="28"/>
          <w:szCs w:val="28"/>
          <w:highlight w:val="none"/>
        </w:rPr>
      </w:pPr>
      <w:r>
        <w:rPr>
          <w:rFonts w:hint="eastAsia" w:ascii="宋体"/>
          <w:color w:val="auto"/>
          <w:sz w:val="28"/>
          <w:szCs w:val="28"/>
          <w:highlight w:val="none"/>
        </w:rPr>
        <w:t>法定代表人（身份证号码）：             （签章）</w:t>
      </w:r>
    </w:p>
    <w:p w14:paraId="48941F23">
      <w:pPr>
        <w:pStyle w:val="19"/>
        <w:rPr>
          <w:rFonts w:hint="eastAsia" w:ascii="宋体"/>
          <w:color w:val="auto"/>
          <w:sz w:val="28"/>
          <w:szCs w:val="28"/>
          <w:highlight w:val="none"/>
        </w:rPr>
      </w:pPr>
      <w:r>
        <w:rPr>
          <w:rFonts w:hint="eastAsia"/>
          <w:color w:val="auto"/>
          <w:highlight w:val="none"/>
        </w:rPr>
        <w:t xml:space="preserve">                                 </w:t>
      </w:r>
      <w:r>
        <w:rPr>
          <w:rFonts w:hint="eastAsia" w:ascii="宋体"/>
          <w:color w:val="auto"/>
          <w:sz w:val="28"/>
          <w:szCs w:val="28"/>
          <w:highlight w:val="none"/>
        </w:rPr>
        <w:t xml:space="preserve">    联系方式：</w:t>
      </w:r>
    </w:p>
    <w:p w14:paraId="1E130BD2">
      <w:pPr>
        <w:adjustRightInd w:val="0"/>
        <w:snapToGrid w:val="0"/>
        <w:spacing w:line="560" w:lineRule="exact"/>
        <w:ind w:firstLine="2660" w:firstLineChars="950"/>
        <w:rPr>
          <w:rFonts w:hint="eastAsia" w:ascii="宋体"/>
          <w:color w:val="auto"/>
          <w:sz w:val="28"/>
          <w:szCs w:val="28"/>
          <w:highlight w:val="none"/>
        </w:rPr>
      </w:pPr>
      <w:r>
        <w:rPr>
          <w:rFonts w:hint="eastAsia" w:ascii="宋体"/>
          <w:color w:val="auto"/>
          <w:sz w:val="28"/>
          <w:szCs w:val="28"/>
          <w:highlight w:val="none"/>
        </w:rPr>
        <w:t xml:space="preserve">委托代理人（身份证号码）：      </w:t>
      </w:r>
    </w:p>
    <w:p w14:paraId="3ACD3DD8">
      <w:pPr>
        <w:adjustRightInd w:val="0"/>
        <w:snapToGrid w:val="0"/>
        <w:spacing w:line="560" w:lineRule="exact"/>
        <w:ind w:firstLine="2660" w:firstLineChars="950"/>
        <w:rPr>
          <w:rFonts w:hint="eastAsia" w:ascii="宋体"/>
          <w:color w:val="auto"/>
          <w:sz w:val="28"/>
          <w:szCs w:val="28"/>
          <w:highlight w:val="none"/>
        </w:rPr>
      </w:pPr>
      <w:r>
        <w:rPr>
          <w:rFonts w:hint="eastAsia" w:ascii="宋体"/>
          <w:color w:val="auto"/>
          <w:sz w:val="28"/>
          <w:szCs w:val="28"/>
          <w:highlight w:val="none"/>
        </w:rPr>
        <w:t xml:space="preserve">                联系方式：</w:t>
      </w:r>
    </w:p>
    <w:p w14:paraId="37BEBEB3">
      <w:pPr>
        <w:adjustRightInd w:val="0"/>
        <w:snapToGrid w:val="0"/>
        <w:spacing w:line="560" w:lineRule="exact"/>
        <w:ind w:firstLine="3290" w:firstLineChars="1175"/>
        <w:rPr>
          <w:rFonts w:hint="eastAsia" w:ascii="宋体"/>
          <w:color w:val="auto"/>
          <w:sz w:val="28"/>
          <w:szCs w:val="28"/>
          <w:highlight w:val="none"/>
        </w:rPr>
      </w:pPr>
      <w:r>
        <w:rPr>
          <w:rFonts w:hint="eastAsia" w:ascii="宋体"/>
          <w:color w:val="auto"/>
          <w:sz w:val="28"/>
          <w:szCs w:val="28"/>
          <w:highlight w:val="none"/>
        </w:rPr>
        <w:t xml:space="preserve">              年    月    日</w:t>
      </w:r>
    </w:p>
    <w:p w14:paraId="53D90C2F">
      <w:pPr>
        <w:pStyle w:val="19"/>
        <w:rPr>
          <w:rFonts w:hint="eastAsia"/>
          <w:color w:val="auto"/>
          <w:highlight w:val="none"/>
        </w:rPr>
      </w:pPr>
    </w:p>
    <w:p w14:paraId="16B59EBD">
      <w:pPr>
        <w:adjustRightInd w:val="0"/>
        <w:snapToGrid w:val="0"/>
        <w:spacing w:line="560" w:lineRule="exact"/>
        <w:rPr>
          <w:rFonts w:hint="eastAsia"/>
          <w:b/>
          <w:color w:val="auto"/>
          <w:sz w:val="28"/>
          <w:szCs w:val="28"/>
          <w:highlight w:val="none"/>
        </w:rPr>
      </w:pPr>
      <w:r>
        <w:rPr>
          <w:rFonts w:hint="eastAsia"/>
          <w:b/>
          <w:color w:val="auto"/>
          <w:sz w:val="28"/>
          <w:szCs w:val="28"/>
          <w:highlight w:val="none"/>
          <w:u w:val="single"/>
        </w:rPr>
        <w:t>（上传电子投标文件时采用本授权委托书）</w:t>
      </w:r>
    </w:p>
    <w:p w14:paraId="0CEC3E51">
      <w:pPr>
        <w:adjustRightInd w:val="0"/>
        <w:snapToGrid w:val="0"/>
        <w:spacing w:line="560" w:lineRule="exact"/>
        <w:jc w:val="center"/>
        <w:rPr>
          <w:rFonts w:hint="eastAsia"/>
          <w:b/>
          <w:color w:val="auto"/>
          <w:sz w:val="28"/>
          <w:szCs w:val="28"/>
          <w:highlight w:val="none"/>
        </w:rPr>
      </w:pPr>
    </w:p>
    <w:p w14:paraId="29EA5F29">
      <w:pPr>
        <w:adjustRightInd w:val="0"/>
        <w:snapToGrid w:val="0"/>
        <w:spacing w:line="560" w:lineRule="exact"/>
        <w:jc w:val="center"/>
        <w:rPr>
          <w:rFonts w:hint="eastAsia"/>
          <w:b/>
          <w:color w:val="auto"/>
          <w:sz w:val="28"/>
          <w:szCs w:val="28"/>
          <w:highlight w:val="none"/>
        </w:rPr>
      </w:pPr>
    </w:p>
    <w:p w14:paraId="465BC7C5">
      <w:pPr>
        <w:adjustRightInd w:val="0"/>
        <w:snapToGrid w:val="0"/>
        <w:spacing w:line="560" w:lineRule="exact"/>
        <w:jc w:val="center"/>
        <w:rPr>
          <w:rFonts w:hint="eastAsia"/>
          <w:b/>
          <w:color w:val="auto"/>
          <w:sz w:val="28"/>
          <w:szCs w:val="28"/>
          <w:highlight w:val="none"/>
        </w:rPr>
      </w:pPr>
    </w:p>
    <w:p w14:paraId="2A02AE8F">
      <w:pPr>
        <w:adjustRightInd w:val="0"/>
        <w:snapToGrid w:val="0"/>
        <w:spacing w:line="560" w:lineRule="exact"/>
        <w:jc w:val="center"/>
        <w:rPr>
          <w:rFonts w:hint="eastAsia"/>
          <w:b/>
          <w:color w:val="auto"/>
          <w:sz w:val="28"/>
          <w:szCs w:val="28"/>
          <w:highlight w:val="none"/>
        </w:rPr>
      </w:pPr>
    </w:p>
    <w:p w14:paraId="0550F906">
      <w:pPr>
        <w:adjustRightInd w:val="0"/>
        <w:snapToGrid w:val="0"/>
        <w:spacing w:line="560" w:lineRule="exact"/>
        <w:jc w:val="center"/>
        <w:rPr>
          <w:rFonts w:hint="eastAsia"/>
          <w:b/>
          <w:color w:val="auto"/>
          <w:sz w:val="28"/>
          <w:szCs w:val="28"/>
          <w:highlight w:val="none"/>
        </w:rPr>
      </w:pPr>
    </w:p>
    <w:p w14:paraId="6C6DF074">
      <w:pPr>
        <w:adjustRightInd w:val="0"/>
        <w:snapToGrid w:val="0"/>
        <w:spacing w:line="560" w:lineRule="exact"/>
        <w:jc w:val="center"/>
        <w:rPr>
          <w:rFonts w:hint="eastAsia"/>
          <w:b/>
          <w:color w:val="auto"/>
          <w:sz w:val="28"/>
          <w:szCs w:val="28"/>
          <w:highlight w:val="none"/>
        </w:rPr>
      </w:pPr>
    </w:p>
    <w:p w14:paraId="01D17A29">
      <w:pPr>
        <w:adjustRightInd w:val="0"/>
        <w:snapToGrid w:val="0"/>
        <w:spacing w:line="560" w:lineRule="exact"/>
        <w:jc w:val="center"/>
        <w:rPr>
          <w:rFonts w:hint="eastAsia"/>
          <w:b/>
          <w:color w:val="auto"/>
          <w:sz w:val="28"/>
          <w:szCs w:val="28"/>
          <w:highlight w:val="none"/>
        </w:rPr>
      </w:pPr>
    </w:p>
    <w:p w14:paraId="6D5846F1">
      <w:pPr>
        <w:rPr>
          <w:rFonts w:hint="eastAsia"/>
          <w:b/>
          <w:color w:val="auto"/>
          <w:sz w:val="28"/>
          <w:szCs w:val="28"/>
          <w:highlight w:val="none"/>
        </w:rPr>
      </w:pPr>
      <w:r>
        <w:rPr>
          <w:rFonts w:hint="eastAsia"/>
          <w:b/>
          <w:color w:val="auto"/>
          <w:sz w:val="28"/>
          <w:szCs w:val="28"/>
          <w:highlight w:val="none"/>
        </w:rPr>
        <w:br w:type="page"/>
      </w:r>
    </w:p>
    <w:p w14:paraId="47AC2BCB">
      <w:pPr>
        <w:adjustRightInd w:val="0"/>
        <w:snapToGrid w:val="0"/>
        <w:spacing w:line="560" w:lineRule="exact"/>
        <w:jc w:val="center"/>
        <w:rPr>
          <w:rFonts w:hint="eastAsia"/>
          <w:b/>
          <w:color w:val="auto"/>
          <w:sz w:val="28"/>
          <w:szCs w:val="28"/>
          <w:highlight w:val="none"/>
        </w:rPr>
      </w:pPr>
      <w:r>
        <w:rPr>
          <w:rFonts w:hint="eastAsia"/>
          <w:b/>
          <w:color w:val="auto"/>
          <w:sz w:val="28"/>
          <w:szCs w:val="28"/>
          <w:highlight w:val="none"/>
        </w:rPr>
        <w:t>②诚信投标承诺书  </w:t>
      </w:r>
    </w:p>
    <w:p w14:paraId="1CFC5C47">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4BA3426E">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一、将遵循公</w:t>
      </w:r>
      <w:bookmarkStart w:id="1545" w:name="_Toc506107356"/>
      <w:bookmarkStart w:id="1546" w:name="_Toc503196197"/>
      <w:bookmarkStart w:id="1547" w:name="_Toc26598"/>
      <w:r>
        <w:rPr>
          <w:rFonts w:hint="eastAsia" w:ascii="宋体" w:hAnsi="宋体"/>
          <w:color w:val="auto"/>
          <w:szCs w:val="21"/>
          <w:highlight w:val="none"/>
        </w:rPr>
        <w:t>开、公正和诚实信用</w:t>
      </w:r>
      <w:bookmarkEnd w:id="1545"/>
      <w:bookmarkEnd w:id="1546"/>
      <w:r>
        <w:rPr>
          <w:rFonts w:hint="eastAsia" w:ascii="宋体" w:hAnsi="宋体"/>
          <w:color w:val="auto"/>
          <w:szCs w:val="21"/>
          <w:highlight w:val="none"/>
        </w:rPr>
        <w:t>的</w:t>
      </w:r>
      <w:bookmarkEnd w:id="1547"/>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2438FD6E">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0B3B91D4">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65F71C2F">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3D44E711">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4060D9A">
      <w:pPr>
        <w:adjustRightInd w:val="0"/>
        <w:snapToGrid w:val="0"/>
        <w:spacing w:line="560" w:lineRule="exact"/>
        <w:ind w:firstLine="420" w:firstLineChars="200"/>
        <w:rPr>
          <w:rFonts w:hint="eastAsia"/>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Times New Roman" w:hAnsi="Times New Roman"/>
          <w:smallCaps w:val="0"/>
          <w:color w:val="auto"/>
          <w:highlight w:val="none"/>
        </w:rPr>
        <w:t>（包括联合体各成员）</w:t>
      </w:r>
      <w:r>
        <w:rPr>
          <w:rFonts w:hint="eastAsia" w:ascii="宋体" w:hAnsi="宋体"/>
          <w:color w:val="auto"/>
          <w:szCs w:val="21"/>
          <w:highlight w:val="none"/>
        </w:rPr>
        <w:t>没有下列情形：</w:t>
      </w:r>
      <w:bookmarkStart w:id="1548" w:name="OLE_LINK134"/>
      <w:bookmarkStart w:id="1549" w:name="OLE_LINK133"/>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r>
        <w:rPr>
          <w:rFonts w:hint="eastAsia" w:ascii="宋体" w:hAnsi="宋体"/>
          <w:color w:val="auto"/>
          <w:szCs w:val="21"/>
          <w:highlight w:val="none"/>
          <w:lang w:eastAsia="zh-CN"/>
        </w:rPr>
        <w:t>；</w:t>
      </w:r>
      <w:r>
        <w:rPr>
          <w:rFonts w:hint="eastAsia"/>
          <w:color w:val="auto"/>
          <w:szCs w:val="21"/>
          <w:highlight w:val="none"/>
        </w:rPr>
        <w:t>（</w:t>
      </w:r>
      <w:bookmarkEnd w:id="1548"/>
      <w:bookmarkEnd w:id="1549"/>
      <w:r>
        <w:rPr>
          <w:rFonts w:hint="eastAsia"/>
          <w:color w:val="auto"/>
          <w:szCs w:val="21"/>
          <w:highlight w:val="none"/>
        </w:rPr>
        <w:t>若招标文件对投标人</w:t>
      </w:r>
      <w:r>
        <w:rPr>
          <w:rFonts w:hint="eastAsia" w:ascii="Times New Roman" w:hAnsi="Times New Roman"/>
          <w:smallCaps w:val="0"/>
          <w:color w:val="auto"/>
          <w:highlight w:val="none"/>
        </w:rPr>
        <w:t>（包括联合体各成员）</w:t>
      </w:r>
      <w:r>
        <w:rPr>
          <w:rFonts w:hint="eastAsia"/>
          <w:color w:val="auto"/>
          <w:szCs w:val="21"/>
          <w:highlight w:val="none"/>
        </w:rPr>
        <w:t>所属分公司、办事处等分支机构有上述</w:t>
      </w:r>
      <w:r>
        <w:rPr>
          <w:color w:val="auto"/>
          <w:szCs w:val="21"/>
          <w:highlight w:val="none"/>
        </w:rPr>
        <w:t>1-</w:t>
      </w:r>
      <w:r>
        <w:rPr>
          <w:rFonts w:hint="eastAsia"/>
          <w:color w:val="auto"/>
          <w:szCs w:val="21"/>
          <w:highlight w:val="none"/>
          <w:lang w:val="en-US" w:eastAsia="zh-CN"/>
        </w:rPr>
        <w:t>5</w:t>
      </w:r>
      <w:r>
        <w:rPr>
          <w:rFonts w:hint="eastAsia"/>
          <w:color w:val="auto"/>
          <w:szCs w:val="21"/>
          <w:highlight w:val="none"/>
        </w:rPr>
        <w:t>项信誉要求，在此一并承诺我公司</w:t>
      </w:r>
      <w:r>
        <w:rPr>
          <w:rFonts w:hint="eastAsia" w:ascii="Times New Roman" w:hAnsi="Times New Roman"/>
          <w:smallCaps w:val="0"/>
          <w:color w:val="auto"/>
          <w:highlight w:val="none"/>
        </w:rPr>
        <w:t>（包括联合体各成员）</w:t>
      </w:r>
      <w:r>
        <w:rPr>
          <w:rFonts w:hint="eastAsia"/>
          <w:color w:val="auto"/>
          <w:szCs w:val="21"/>
          <w:highlight w:val="none"/>
        </w:rPr>
        <w:t>所属分公司、办事处等分支机构没有上述</w:t>
      </w:r>
      <w:r>
        <w:rPr>
          <w:color w:val="auto"/>
          <w:szCs w:val="21"/>
          <w:highlight w:val="none"/>
        </w:rPr>
        <w:t>1-</w:t>
      </w:r>
      <w:r>
        <w:rPr>
          <w:rFonts w:hint="eastAsia"/>
          <w:color w:val="auto"/>
          <w:szCs w:val="21"/>
          <w:highlight w:val="none"/>
          <w:lang w:val="en-US" w:eastAsia="zh-CN"/>
        </w:rPr>
        <w:t>5</w:t>
      </w:r>
      <w:r>
        <w:rPr>
          <w:rFonts w:hint="eastAsia"/>
          <w:color w:val="auto"/>
          <w:szCs w:val="21"/>
          <w:highlight w:val="none"/>
        </w:rPr>
        <w:t>项情形）</w:t>
      </w:r>
    </w:p>
    <w:p w14:paraId="653299D1">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七、</w:t>
      </w:r>
      <w:r>
        <w:rPr>
          <w:rFonts w:hint="eastAsia" w:ascii="Times New Roman" w:cs="宋体"/>
          <w:color w:val="auto"/>
          <w:szCs w:val="24"/>
          <w:highlight w:val="none"/>
        </w:rPr>
        <w:t>本次投标不存在第二章“投标人须知”第1.4.3项规定的任何一种情形</w:t>
      </w:r>
      <w:r>
        <w:rPr>
          <w:rFonts w:hint="eastAsia" w:ascii="Times New Roman" w:cs="宋体"/>
          <w:color w:val="auto"/>
          <w:szCs w:val="24"/>
          <w:highlight w:val="none"/>
          <w:lang w:eastAsia="zh-CN"/>
        </w:rPr>
        <w:t>；</w:t>
      </w:r>
    </w:p>
    <w:p w14:paraId="709BBA70">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八、严格遵守开标现场纪律，服从监管人员管理；</w:t>
      </w:r>
    </w:p>
    <w:p w14:paraId="3838DB3E">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九、保证中标后不转包及使用挂靠施工队伍，若有分包征得建设单位同意；</w:t>
      </w:r>
    </w:p>
    <w:p w14:paraId="24E6222A">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十、保证中标之后，按照投标文件承诺派驻管理人员及投入机械设备，如有违反，同意接受建设单位违约处罚；</w:t>
      </w:r>
    </w:p>
    <w:p w14:paraId="0F0849DC">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十一、保证企业及所属相关人员在本次投标中无行贿等犯罪行为；</w:t>
      </w:r>
    </w:p>
    <w:p w14:paraId="1BA791C0">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二、如我公司中标，保证中标的项目经理（建造师）无其他尚未完工（以竣工、交工、完工验收报告等手续为准）项目或在已中标项目（以发放中标通知书为准）中担任项目经理（建造师）情形。如有，项目在滁州市区域内的，接受中标无效、记入不良行为记录等处理；项目在滁州市区域外的，保证在中标候选人公示期第一日起开始计算7日内，提供经行政主管部门备案的变更证明材料，否则接受中标无效、记入不良行为记录等处理；</w:t>
      </w:r>
    </w:p>
    <w:p w14:paraId="1976EB62">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三、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5FB9A2EB">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四、如我公司中标，按照国务院《关于全面治理拖欠农民工工资问题的意见》（国办发[2016]1号）及国家住建部和人社部关于《建筑工人实名制管理办法》（建市[2019]18号）的规定，总承包单位对所承建的工程项目的建筑工人实名制管理负总责，对建筑工人实行实名制管理；实行人工费用与其他工程款分账管理制度；建筑工程承包单位必须开设农民工工资专户；建设单位在支付工程款时，应将人工费部分按规定汇入建筑工程承包单位的农民工工资专户，由建筑工程承包单位按劳动合同约定，通过农民工工资专户按月足额将工资发放给建筑工人；</w:t>
      </w:r>
    </w:p>
    <w:p w14:paraId="503FBCA3">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eastAsia="zh-CN"/>
        </w:rPr>
        <w:t>五</w:t>
      </w:r>
      <w:r>
        <w:rPr>
          <w:rFonts w:hint="eastAsia" w:ascii="宋体" w:hAnsi="宋体"/>
          <w:color w:val="auto"/>
          <w:szCs w:val="21"/>
          <w:highlight w:val="none"/>
        </w:rPr>
        <w:t>、我公司拟任项目经理（建造师）不是投标截止时间前六个月内在滁州市区域内办理过项目经理（建造师）变更备案手续的原项目经理（建造师）。</w:t>
      </w:r>
    </w:p>
    <w:p w14:paraId="16D07359">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以上内容我已仔细阅读，本公司若有违反承诺内容的行为，自愿接受取消投标或者中标资格、中标无效、记入不良行为记录等有关处理，愿意承担法律责任，给招标人造成损失的，承担赔偿责任。</w:t>
      </w:r>
    </w:p>
    <w:p w14:paraId="7FDCDA05">
      <w:pPr>
        <w:adjustRightInd w:val="0"/>
        <w:snapToGrid w:val="0"/>
        <w:spacing w:line="560" w:lineRule="exact"/>
        <w:rPr>
          <w:rFonts w:hint="eastAsia" w:ascii="宋体" w:hAnsi="宋体"/>
          <w:color w:val="auto"/>
          <w:szCs w:val="21"/>
          <w:highlight w:val="none"/>
        </w:rPr>
      </w:pPr>
    </w:p>
    <w:p w14:paraId="57D326AE">
      <w:pPr>
        <w:adjustRightInd w:val="0"/>
        <w:snapToGrid w:val="0"/>
        <w:spacing w:line="5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基本账户：                             </w:t>
      </w:r>
    </w:p>
    <w:p w14:paraId="2BF515E6">
      <w:pPr>
        <w:adjustRightInd w:val="0"/>
        <w:snapToGrid w:val="0"/>
        <w:spacing w:line="560" w:lineRule="exact"/>
        <w:rPr>
          <w:rFonts w:ascii="宋体" w:hAnsi="宋体"/>
          <w:color w:val="auto"/>
          <w:szCs w:val="21"/>
          <w:highlight w:val="none"/>
        </w:rPr>
      </w:pPr>
    </w:p>
    <w:p w14:paraId="7969609B">
      <w:pPr>
        <w:adjustRightInd w:val="0"/>
        <w:snapToGrid w:val="0"/>
        <w:spacing w:line="5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 xml:space="preserve">投标人（签章）：  </w:t>
      </w:r>
      <w:r>
        <w:rPr>
          <w:rFonts w:hint="eastAsia" w:ascii="宋体" w:hAnsi="宋体"/>
          <w:color w:val="auto"/>
          <w:szCs w:val="21"/>
          <w:highlight w:val="none"/>
          <w:u w:val="single"/>
        </w:rPr>
        <w:t xml:space="preserve">        </w:t>
      </w:r>
      <w:r>
        <w:rPr>
          <w:rFonts w:hint="eastAsia" w:ascii="宋体" w:hAnsi="宋体"/>
          <w:color w:val="auto"/>
          <w:szCs w:val="21"/>
          <w:highlight w:val="none"/>
        </w:rPr>
        <w:t>法定代表人（签章）：</w:t>
      </w:r>
      <w:r>
        <w:rPr>
          <w:rFonts w:hint="eastAsia" w:ascii="宋体" w:hAnsi="宋体"/>
          <w:color w:val="auto"/>
          <w:szCs w:val="21"/>
          <w:highlight w:val="none"/>
          <w:u w:val="single"/>
        </w:rPr>
        <w:t xml:space="preserve">                           </w:t>
      </w:r>
    </w:p>
    <w:p w14:paraId="291E0163">
      <w:pPr>
        <w:adjustRightInd w:val="0"/>
        <w:snapToGrid w:val="0"/>
        <w:spacing w:line="560" w:lineRule="exact"/>
        <w:rPr>
          <w:rFonts w:hint="eastAsia" w:ascii="宋体" w:hAnsi="宋体"/>
          <w:color w:val="auto"/>
          <w:szCs w:val="21"/>
          <w:highlight w:val="none"/>
        </w:rPr>
      </w:pPr>
    </w:p>
    <w:p w14:paraId="0A40476B">
      <w:pPr>
        <w:pStyle w:val="19"/>
        <w:rPr>
          <w:rFonts w:hint="eastAsia"/>
          <w:color w:val="auto"/>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5CE2014F">
      <w:pPr>
        <w:adjustRightInd w:val="0"/>
        <w:snapToGrid w:val="0"/>
        <w:spacing w:line="560" w:lineRule="exact"/>
        <w:jc w:val="both"/>
        <w:rPr>
          <w:rFonts w:hint="eastAsia"/>
          <w:b/>
          <w:color w:val="auto"/>
          <w:sz w:val="28"/>
          <w:szCs w:val="28"/>
          <w:highlight w:val="none"/>
        </w:rPr>
      </w:pPr>
    </w:p>
    <w:p w14:paraId="017338AB">
      <w:pPr>
        <w:rPr>
          <w:rFonts w:hint="eastAsia"/>
          <w:color w:val="auto"/>
          <w:highlight w:val="none"/>
        </w:rPr>
      </w:pPr>
    </w:p>
    <w:p w14:paraId="74D7DDB7">
      <w:pPr>
        <w:adjustRightInd w:val="0"/>
        <w:snapToGrid w:val="0"/>
        <w:spacing w:line="560" w:lineRule="exact"/>
        <w:jc w:val="center"/>
        <w:rPr>
          <w:rFonts w:hint="eastAsia"/>
          <w:b/>
          <w:color w:val="auto"/>
          <w:sz w:val="28"/>
          <w:szCs w:val="28"/>
          <w:highlight w:val="none"/>
        </w:rPr>
      </w:pPr>
      <w:r>
        <w:rPr>
          <w:rFonts w:hint="eastAsia"/>
          <w:b/>
          <w:color w:val="auto"/>
          <w:sz w:val="28"/>
          <w:szCs w:val="28"/>
          <w:highlight w:val="none"/>
        </w:rPr>
        <w:t>②公共信用信息报告（无违法违规证明版或核查版））</w:t>
      </w:r>
    </w:p>
    <w:p w14:paraId="08F5E8B9">
      <w:pPr>
        <w:pStyle w:val="19"/>
        <w:spacing w:after="0" w:line="560" w:lineRule="exact"/>
        <w:ind w:left="0" w:leftChars="0"/>
        <w:rPr>
          <w:rFonts w:hint="eastAsia" w:ascii="宋体" w:hAnsi="宋体"/>
          <w:color w:val="auto"/>
          <w:szCs w:val="21"/>
          <w:highlight w:val="none"/>
        </w:rPr>
      </w:pPr>
      <w:r>
        <w:rPr>
          <w:rFonts w:hint="eastAsia" w:ascii="宋体" w:hAnsi="宋体"/>
          <w:color w:val="auto"/>
          <w:szCs w:val="21"/>
          <w:highlight w:val="none"/>
        </w:rPr>
        <w:t>符合条件的投标人可在信用中国（安徽）网站（网址</w:t>
      </w:r>
      <w:r>
        <w:rPr>
          <w:rFonts w:ascii="宋体" w:hAnsi="宋体"/>
          <w:color w:val="auto"/>
          <w:szCs w:val="21"/>
          <w:highlight w:val="none"/>
        </w:rPr>
        <w:fldChar w:fldCharType="begin"/>
      </w:r>
      <w:r>
        <w:rPr>
          <w:rFonts w:ascii="宋体" w:hAnsi="宋体"/>
          <w:color w:val="auto"/>
          <w:szCs w:val="21"/>
          <w:highlight w:val="none"/>
        </w:rPr>
        <w:instrText xml:space="preserve"> HYPERLINK "https://credit.ah.gov.cn/xinyongfuwu/index.html" </w:instrText>
      </w:r>
      <w:r>
        <w:rPr>
          <w:rFonts w:ascii="宋体" w:hAnsi="宋体"/>
          <w:color w:val="auto"/>
          <w:szCs w:val="21"/>
          <w:highlight w:val="none"/>
        </w:rPr>
        <w:fldChar w:fldCharType="separate"/>
      </w:r>
      <w:r>
        <w:rPr>
          <w:rStyle w:val="30"/>
          <w:rFonts w:ascii="宋体" w:hAnsi="宋体"/>
          <w:color w:val="auto"/>
          <w:szCs w:val="21"/>
          <w:highlight w:val="none"/>
        </w:rPr>
        <w:t>https://credit.ah.gov.cn/xinyongfuwu/index.html</w:t>
      </w:r>
      <w:r>
        <w:rPr>
          <w:rFonts w:ascii="宋体" w:hAnsi="宋体"/>
          <w:color w:val="auto"/>
          <w:szCs w:val="21"/>
          <w:highlight w:val="none"/>
        </w:rPr>
        <w:fldChar w:fldCharType="end"/>
      </w:r>
      <w:r>
        <w:rPr>
          <w:rFonts w:hint="eastAsia" w:ascii="宋体" w:hAnsi="宋体"/>
          <w:color w:val="auto"/>
          <w:szCs w:val="21"/>
          <w:highlight w:val="none"/>
        </w:rPr>
        <w:t>），获取信用报告（无违法违规证明版或核查版）并上传至投标文件中。</w:t>
      </w:r>
    </w:p>
    <w:p w14:paraId="436B6D46">
      <w:pPr>
        <w:adjustRightInd w:val="0"/>
        <w:snapToGrid w:val="0"/>
        <w:spacing w:line="560" w:lineRule="exact"/>
        <w:jc w:val="both"/>
        <w:rPr>
          <w:rFonts w:ascii="Cambria Math" w:hAnsi="Cambria Math" w:cs="Cambria Math"/>
          <w:b/>
          <w:bCs/>
          <w:color w:val="auto"/>
          <w:sz w:val="32"/>
          <w:szCs w:val="32"/>
          <w:highlight w:val="none"/>
        </w:rPr>
        <w:sectPr>
          <w:pgSz w:w="11910" w:h="16840"/>
          <w:pgMar w:top="1060" w:right="660" w:bottom="1020" w:left="1120" w:header="0" w:footer="833" w:gutter="0"/>
          <w:pgNumType w:fmt="decimal"/>
          <w:cols w:space="720" w:num="1"/>
        </w:sectPr>
      </w:pPr>
    </w:p>
    <w:p w14:paraId="2EEB0EBF">
      <w:pPr>
        <w:adjustRightInd w:val="0"/>
        <w:snapToGrid w:val="0"/>
        <w:spacing w:line="560" w:lineRule="exact"/>
        <w:jc w:val="center"/>
        <w:rPr>
          <w:rFonts w:hint="eastAsia" w:ascii="Cambria Math" w:hAnsi="Cambria Math" w:cs="Cambria Math"/>
          <w:b/>
          <w:bCs/>
          <w:color w:val="auto"/>
          <w:sz w:val="32"/>
          <w:szCs w:val="32"/>
          <w:highlight w:val="none"/>
        </w:rPr>
      </w:pPr>
    </w:p>
    <w:p w14:paraId="58AEC5B3">
      <w:pPr>
        <w:adjustRightInd w:val="0"/>
        <w:snapToGrid w:val="0"/>
        <w:spacing w:line="560" w:lineRule="exact"/>
        <w:jc w:val="center"/>
        <w:rPr>
          <w:rFonts w:hint="eastAsia" w:ascii="Cambria Math" w:hAnsi="Cambria Math" w:cs="Cambria Math"/>
          <w:b/>
          <w:bCs/>
          <w:color w:val="auto"/>
          <w:sz w:val="32"/>
          <w:szCs w:val="32"/>
          <w:highlight w:val="none"/>
        </w:rPr>
      </w:pPr>
    </w:p>
    <w:p w14:paraId="0B7077DF">
      <w:pPr>
        <w:adjustRightInd w:val="0"/>
        <w:snapToGrid w:val="0"/>
        <w:spacing w:line="560" w:lineRule="exact"/>
        <w:jc w:val="center"/>
        <w:rPr>
          <w:rFonts w:hint="eastAsia" w:ascii="Cambria Math" w:hAnsi="Cambria Math" w:cs="Cambria Math"/>
          <w:b/>
          <w:bCs/>
          <w:color w:val="auto"/>
          <w:sz w:val="32"/>
          <w:szCs w:val="32"/>
          <w:highlight w:val="none"/>
        </w:rPr>
      </w:pPr>
    </w:p>
    <w:p w14:paraId="2FC8663A">
      <w:pPr>
        <w:adjustRightInd w:val="0"/>
        <w:snapToGrid w:val="0"/>
        <w:spacing w:line="560" w:lineRule="exact"/>
        <w:jc w:val="center"/>
        <w:rPr>
          <w:rFonts w:hint="eastAsia" w:eastAsia="黑体"/>
          <w:color w:val="auto"/>
          <w:sz w:val="20"/>
          <w:szCs w:val="20"/>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20208323">
      <w:pPr>
        <w:adjustRightInd w:val="0"/>
        <w:snapToGrid w:val="0"/>
        <w:spacing w:line="560" w:lineRule="exact"/>
        <w:jc w:val="center"/>
        <w:rPr>
          <w:rFonts w:hint="eastAsia" w:eastAsia="黑体"/>
          <w:color w:val="auto"/>
          <w:sz w:val="20"/>
          <w:szCs w:val="20"/>
          <w:highlight w:val="none"/>
        </w:rPr>
      </w:pPr>
    </w:p>
    <w:p w14:paraId="230628D9">
      <w:pPr>
        <w:adjustRightInd w:val="0"/>
        <w:snapToGrid w:val="0"/>
        <w:spacing w:line="560" w:lineRule="exact"/>
        <w:rPr>
          <w:rFonts w:hint="eastAsia" w:eastAsia="黑体"/>
          <w:color w:val="auto"/>
          <w:sz w:val="20"/>
          <w:szCs w:val="20"/>
          <w:highlight w:val="none"/>
        </w:rPr>
      </w:pPr>
    </w:p>
    <w:p w14:paraId="64B74E6A">
      <w:pPr>
        <w:adjustRightInd w:val="0"/>
        <w:snapToGrid w:val="0"/>
        <w:spacing w:line="560" w:lineRule="exact"/>
        <w:jc w:val="center"/>
        <w:rPr>
          <w:rFonts w:hint="eastAsia"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w:t>
      </w:r>
    </w:p>
    <w:p w14:paraId="74DA8397">
      <w:pPr>
        <w:adjustRightInd w:val="0"/>
        <w:snapToGrid w:val="0"/>
        <w:spacing w:line="560" w:lineRule="exact"/>
        <w:jc w:val="center"/>
        <w:rPr>
          <w:rFonts w:hint="eastAsia" w:eastAsia="黑体"/>
          <w:color w:val="auto"/>
          <w:sz w:val="44"/>
          <w:szCs w:val="44"/>
          <w:highlight w:val="none"/>
        </w:rPr>
      </w:pPr>
      <w:r>
        <w:rPr>
          <w:rFonts w:hint="eastAsia" w:eastAsia="黑体"/>
          <w:color w:val="auto"/>
          <w:sz w:val="44"/>
          <w:szCs w:val="44"/>
          <w:highlight w:val="none"/>
        </w:rPr>
        <w:t>（技术文件）</w:t>
      </w:r>
    </w:p>
    <w:p w14:paraId="2F859190">
      <w:pPr>
        <w:adjustRightInd w:val="0"/>
        <w:snapToGrid w:val="0"/>
        <w:spacing w:line="560" w:lineRule="exact"/>
        <w:rPr>
          <w:rFonts w:eastAsia="黑体"/>
          <w:color w:val="auto"/>
          <w:sz w:val="28"/>
          <w:szCs w:val="28"/>
          <w:highlight w:val="none"/>
        </w:rPr>
      </w:pPr>
    </w:p>
    <w:p w14:paraId="19F425C7">
      <w:pPr>
        <w:adjustRightInd w:val="0"/>
        <w:snapToGrid w:val="0"/>
        <w:spacing w:line="560" w:lineRule="exact"/>
        <w:rPr>
          <w:rFonts w:eastAsia="黑体"/>
          <w:color w:val="auto"/>
          <w:sz w:val="28"/>
          <w:szCs w:val="28"/>
          <w:highlight w:val="none"/>
        </w:rPr>
      </w:pPr>
    </w:p>
    <w:p w14:paraId="526AFF62">
      <w:pPr>
        <w:adjustRightInd w:val="0"/>
        <w:snapToGrid w:val="0"/>
        <w:spacing w:line="560" w:lineRule="exact"/>
        <w:rPr>
          <w:rFonts w:eastAsia="黑体"/>
          <w:color w:val="auto"/>
          <w:sz w:val="28"/>
          <w:szCs w:val="28"/>
          <w:highlight w:val="none"/>
        </w:rPr>
      </w:pPr>
    </w:p>
    <w:p w14:paraId="7F54F1BF">
      <w:pPr>
        <w:adjustRightInd w:val="0"/>
        <w:snapToGrid w:val="0"/>
        <w:spacing w:line="560" w:lineRule="exact"/>
        <w:rPr>
          <w:rFonts w:eastAsia="黑体"/>
          <w:color w:val="auto"/>
          <w:sz w:val="28"/>
          <w:szCs w:val="28"/>
          <w:highlight w:val="none"/>
        </w:rPr>
      </w:pPr>
    </w:p>
    <w:p w14:paraId="17CDCF5B">
      <w:pPr>
        <w:adjustRightInd w:val="0"/>
        <w:snapToGrid w:val="0"/>
        <w:spacing w:line="560" w:lineRule="exact"/>
        <w:rPr>
          <w:rFonts w:hint="eastAsia" w:eastAsia="黑体"/>
          <w:color w:val="auto"/>
          <w:sz w:val="28"/>
          <w:szCs w:val="28"/>
          <w:highlight w:val="none"/>
        </w:rPr>
      </w:pPr>
    </w:p>
    <w:p w14:paraId="7A4C9B36">
      <w:pPr>
        <w:pStyle w:val="19"/>
        <w:rPr>
          <w:rFonts w:hint="eastAsia"/>
          <w:color w:val="auto"/>
          <w:highlight w:val="none"/>
        </w:rPr>
      </w:pPr>
    </w:p>
    <w:p w14:paraId="4C796D7E">
      <w:pPr>
        <w:rPr>
          <w:color w:val="auto"/>
          <w:highlight w:val="none"/>
        </w:rPr>
      </w:pPr>
    </w:p>
    <w:p w14:paraId="1DBAD518">
      <w:pPr>
        <w:adjustRightInd w:val="0"/>
        <w:snapToGrid w:val="0"/>
        <w:spacing w:line="560" w:lineRule="exact"/>
        <w:rPr>
          <w:rFonts w:eastAsia="黑体"/>
          <w:color w:val="auto"/>
          <w:sz w:val="28"/>
          <w:szCs w:val="28"/>
          <w:highlight w:val="none"/>
        </w:rPr>
      </w:pPr>
    </w:p>
    <w:p w14:paraId="563041A3">
      <w:pPr>
        <w:pStyle w:val="19"/>
        <w:adjustRightInd w:val="0"/>
        <w:snapToGrid w:val="0"/>
        <w:spacing w:after="0" w:line="560" w:lineRule="exact"/>
        <w:ind w:left="0" w:leftChars="0" w:firstLine="0" w:firstLineChars="0"/>
        <w:rPr>
          <w:color w:val="auto"/>
          <w:highlight w:val="none"/>
        </w:rPr>
      </w:pPr>
    </w:p>
    <w:p w14:paraId="513533D0">
      <w:pPr>
        <w:adjustRightInd w:val="0"/>
        <w:snapToGrid w:val="0"/>
        <w:spacing w:line="560" w:lineRule="exact"/>
        <w:rPr>
          <w:rFonts w:hint="eastAsia" w:eastAsia="黑体"/>
          <w:color w:val="auto"/>
          <w:sz w:val="28"/>
          <w:szCs w:val="28"/>
          <w:highlight w:val="none"/>
        </w:rPr>
      </w:pPr>
    </w:p>
    <w:p w14:paraId="5B19584F">
      <w:pPr>
        <w:pStyle w:val="19"/>
        <w:rPr>
          <w:rFonts w:hint="eastAsia"/>
          <w:color w:val="auto"/>
          <w:highlight w:val="none"/>
        </w:rPr>
      </w:pPr>
    </w:p>
    <w:p w14:paraId="6268BC55">
      <w:pPr>
        <w:rPr>
          <w:rFonts w:hint="eastAsia"/>
          <w:color w:val="auto"/>
          <w:highlight w:val="none"/>
        </w:rPr>
      </w:pPr>
    </w:p>
    <w:p w14:paraId="1AB01CEE">
      <w:pPr>
        <w:pStyle w:val="19"/>
        <w:rPr>
          <w:rFonts w:hint="eastAsia"/>
          <w:color w:val="auto"/>
          <w:highlight w:val="none"/>
        </w:rPr>
      </w:pPr>
    </w:p>
    <w:p w14:paraId="4090B382">
      <w:pPr>
        <w:rPr>
          <w:rFonts w:hint="eastAsia"/>
          <w:color w:val="auto"/>
          <w:highlight w:val="none"/>
        </w:rPr>
      </w:pPr>
    </w:p>
    <w:p w14:paraId="10E133E2">
      <w:pPr>
        <w:rPr>
          <w:rFonts w:eastAsia="黑体"/>
          <w:color w:val="auto"/>
          <w:sz w:val="28"/>
          <w:szCs w:val="28"/>
          <w:highlight w:val="none"/>
        </w:rPr>
      </w:pPr>
      <w:bookmarkStart w:id="1550" w:name="_Toc95223539"/>
    </w:p>
    <w:p w14:paraId="6EDBFF8A">
      <w:pPr>
        <w:rPr>
          <w:rFonts w:eastAsia="黑体"/>
          <w:color w:val="auto"/>
          <w:sz w:val="28"/>
          <w:szCs w:val="28"/>
          <w:highlight w:val="none"/>
        </w:rPr>
      </w:pPr>
    </w:p>
    <w:p w14:paraId="21DF8A66">
      <w:pPr>
        <w:rPr>
          <w:rFonts w:eastAsia="黑体"/>
          <w:color w:val="auto"/>
          <w:sz w:val="28"/>
          <w:szCs w:val="28"/>
          <w:highlight w:val="none"/>
        </w:rPr>
      </w:pPr>
    </w:p>
    <w:p w14:paraId="4C4E34CF">
      <w:pPr>
        <w:rPr>
          <w:rFonts w:eastAsia="黑体"/>
          <w:color w:val="auto"/>
          <w:sz w:val="28"/>
          <w:szCs w:val="28"/>
          <w:highlight w:val="none"/>
        </w:rPr>
      </w:pPr>
    </w:p>
    <w:p w14:paraId="44F981E1">
      <w:pPr>
        <w:rPr>
          <w:rFonts w:eastAsia="黑体"/>
          <w:color w:val="auto"/>
          <w:sz w:val="28"/>
          <w:szCs w:val="28"/>
          <w:highlight w:val="none"/>
        </w:rPr>
      </w:pPr>
      <w:r>
        <w:rPr>
          <w:rFonts w:eastAsia="黑体"/>
          <w:color w:val="auto"/>
          <w:sz w:val="28"/>
          <w:szCs w:val="28"/>
          <w:highlight w:val="none"/>
        </w:rPr>
        <w:br w:type="page"/>
      </w:r>
    </w:p>
    <w:p w14:paraId="227669BC">
      <w:pPr>
        <w:adjustRightInd w:val="0"/>
        <w:snapToGrid w:val="0"/>
        <w:spacing w:line="560" w:lineRule="exact"/>
        <w:jc w:val="center"/>
        <w:rPr>
          <w:rFonts w:eastAsia="黑体"/>
          <w:color w:val="auto"/>
          <w:sz w:val="28"/>
          <w:szCs w:val="28"/>
          <w:highlight w:val="none"/>
        </w:rPr>
      </w:pPr>
    </w:p>
    <w:p w14:paraId="0B6E723D">
      <w:pPr>
        <w:pStyle w:val="3"/>
        <w:rPr>
          <w:rFonts w:hint="eastAsia"/>
          <w:color w:val="auto"/>
          <w:highlight w:val="none"/>
        </w:rPr>
      </w:pPr>
      <w:r>
        <w:rPr>
          <w:rFonts w:hint="eastAsia"/>
          <w:color w:val="auto"/>
          <w:highlight w:val="none"/>
        </w:rPr>
        <w:t>技术</w:t>
      </w:r>
      <w:r>
        <w:rPr>
          <w:rFonts w:hint="eastAsia"/>
          <w:color w:val="auto"/>
          <w:highlight w:val="none"/>
          <w:lang w:val="en-US" w:eastAsia="zh-CN"/>
        </w:rPr>
        <w:t>文件</w:t>
      </w:r>
      <w:r>
        <w:rPr>
          <w:rFonts w:hint="eastAsia"/>
          <w:color w:val="auto"/>
          <w:highlight w:val="none"/>
        </w:rPr>
        <w:t>目录</w:t>
      </w:r>
      <w:bookmarkEnd w:id="1550"/>
    </w:p>
    <w:p w14:paraId="3D4FB946">
      <w:pPr>
        <w:adjustRightInd w:val="0"/>
        <w:snapToGrid w:val="0"/>
        <w:spacing w:line="56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1、工程重点难点及危大工程的保障体系</w:t>
      </w:r>
    </w:p>
    <w:p w14:paraId="0AC42097">
      <w:pPr>
        <w:adjustRightInd w:val="0"/>
        <w:snapToGrid w:val="0"/>
        <w:spacing w:line="56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2、确保工期与质量的保障体系与措施、确保安全文明生产的管理体系与措施</w:t>
      </w:r>
    </w:p>
    <w:p w14:paraId="494E1ACB">
      <w:pPr>
        <w:adjustRightInd w:val="0"/>
        <w:snapToGrid w:val="0"/>
        <w:spacing w:line="560" w:lineRule="exact"/>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3、确保人、材、机的保障体系与措施</w:t>
      </w:r>
    </w:p>
    <w:p w14:paraId="3EEB99CC">
      <w:pPr>
        <w:widowControl w:val="0"/>
        <w:numPr>
          <w:ilvl w:val="0"/>
          <w:numId w:val="0"/>
        </w:numPr>
        <w:jc w:val="both"/>
        <w:rPr>
          <w:rFonts w:hint="default" w:ascii="宋体" w:hAnsi="宋体" w:eastAsia="宋体" w:cs="宋体"/>
          <w:smallCaps w:val="0"/>
          <w:color w:val="auto"/>
          <w:sz w:val="21"/>
          <w:szCs w:val="21"/>
          <w:highlight w:val="none"/>
          <w:lang w:val="en-US" w:eastAsia="zh-CN"/>
        </w:rPr>
      </w:pPr>
    </w:p>
    <w:p w14:paraId="2413B456">
      <w:pPr>
        <w:rPr>
          <w:rFonts w:hint="eastAsia"/>
          <w:color w:val="auto"/>
          <w:highlight w:val="none"/>
        </w:rPr>
      </w:pPr>
    </w:p>
    <w:p w14:paraId="30CE8F2A">
      <w:pPr>
        <w:pStyle w:val="19"/>
        <w:rPr>
          <w:rFonts w:hint="eastAsia"/>
          <w:color w:val="auto"/>
          <w:highlight w:val="none"/>
        </w:rPr>
      </w:pPr>
    </w:p>
    <w:p w14:paraId="1191C3BF">
      <w:pPr>
        <w:rPr>
          <w:rFonts w:hint="eastAsia"/>
          <w:color w:val="auto"/>
          <w:highlight w:val="none"/>
        </w:rPr>
      </w:pPr>
    </w:p>
    <w:p w14:paraId="4256EC20">
      <w:pPr>
        <w:rPr>
          <w:rFonts w:hint="eastAsia"/>
          <w:color w:val="auto"/>
          <w:highlight w:val="none"/>
        </w:rPr>
      </w:pPr>
      <w:r>
        <w:rPr>
          <w:rFonts w:hint="eastAsia"/>
          <w:color w:val="auto"/>
          <w:highlight w:val="none"/>
        </w:rPr>
        <w:br w:type="page"/>
      </w:r>
    </w:p>
    <w:p w14:paraId="0CAC455B">
      <w:pPr>
        <w:rPr>
          <w:rFonts w:hint="eastAsia"/>
          <w:color w:val="auto"/>
          <w:highlight w:val="none"/>
        </w:rPr>
      </w:pPr>
    </w:p>
    <w:p w14:paraId="7EF04342">
      <w:pPr>
        <w:adjustRightInd w:val="0"/>
        <w:snapToGrid w:val="0"/>
        <w:spacing w:line="560" w:lineRule="exact"/>
        <w:jc w:val="center"/>
        <w:rPr>
          <w:rFonts w:hint="eastAsia" w:eastAsia="黑体"/>
          <w:color w:val="auto"/>
          <w:sz w:val="20"/>
          <w:szCs w:val="20"/>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62673D13">
      <w:pPr>
        <w:adjustRightInd w:val="0"/>
        <w:snapToGrid w:val="0"/>
        <w:spacing w:line="560" w:lineRule="exact"/>
        <w:jc w:val="center"/>
        <w:rPr>
          <w:rFonts w:hint="eastAsia" w:eastAsia="黑体"/>
          <w:color w:val="auto"/>
          <w:sz w:val="20"/>
          <w:szCs w:val="20"/>
          <w:highlight w:val="none"/>
        </w:rPr>
      </w:pPr>
    </w:p>
    <w:p w14:paraId="3BA825E5">
      <w:pPr>
        <w:adjustRightInd w:val="0"/>
        <w:snapToGrid w:val="0"/>
        <w:spacing w:line="560" w:lineRule="exact"/>
        <w:rPr>
          <w:rFonts w:hint="eastAsia" w:eastAsia="黑体"/>
          <w:color w:val="auto"/>
          <w:sz w:val="20"/>
          <w:szCs w:val="20"/>
          <w:highlight w:val="none"/>
        </w:rPr>
      </w:pPr>
    </w:p>
    <w:p w14:paraId="65D80F88">
      <w:pPr>
        <w:adjustRightInd w:val="0"/>
        <w:snapToGrid w:val="0"/>
        <w:spacing w:line="560" w:lineRule="exact"/>
        <w:jc w:val="center"/>
        <w:rPr>
          <w:rFonts w:hint="eastAsia"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w:t>
      </w:r>
    </w:p>
    <w:p w14:paraId="43951A92">
      <w:pPr>
        <w:adjustRightInd w:val="0"/>
        <w:snapToGrid w:val="0"/>
        <w:spacing w:line="560" w:lineRule="exact"/>
        <w:jc w:val="center"/>
        <w:rPr>
          <w:rFonts w:hint="eastAsia" w:eastAsia="黑体"/>
          <w:color w:val="auto"/>
          <w:sz w:val="44"/>
          <w:szCs w:val="44"/>
          <w:highlight w:val="none"/>
        </w:rPr>
      </w:pPr>
      <w:r>
        <w:rPr>
          <w:rFonts w:hint="eastAsia" w:eastAsia="黑体"/>
          <w:color w:val="auto"/>
          <w:sz w:val="44"/>
          <w:szCs w:val="44"/>
          <w:highlight w:val="none"/>
        </w:rPr>
        <w:t>（</w:t>
      </w:r>
      <w:r>
        <w:rPr>
          <w:rFonts w:hint="eastAsia" w:eastAsia="黑体"/>
          <w:color w:val="auto"/>
          <w:sz w:val="44"/>
          <w:szCs w:val="44"/>
          <w:highlight w:val="none"/>
          <w:lang w:val="en-US" w:eastAsia="zh-CN"/>
        </w:rPr>
        <w:t>报价</w:t>
      </w:r>
      <w:r>
        <w:rPr>
          <w:rFonts w:hint="eastAsia" w:eastAsia="黑体"/>
          <w:color w:val="auto"/>
          <w:sz w:val="44"/>
          <w:szCs w:val="44"/>
          <w:highlight w:val="none"/>
        </w:rPr>
        <w:t>文件）</w:t>
      </w:r>
    </w:p>
    <w:p w14:paraId="2B288338">
      <w:pPr>
        <w:adjustRightInd w:val="0"/>
        <w:snapToGrid w:val="0"/>
        <w:spacing w:line="560" w:lineRule="exact"/>
        <w:rPr>
          <w:rFonts w:hint="eastAsia" w:eastAsia="黑体"/>
          <w:color w:val="auto"/>
          <w:sz w:val="28"/>
          <w:szCs w:val="28"/>
          <w:highlight w:val="none"/>
        </w:rPr>
      </w:pPr>
    </w:p>
    <w:p w14:paraId="21ECFDB1">
      <w:pPr>
        <w:pStyle w:val="19"/>
        <w:adjustRightInd w:val="0"/>
        <w:snapToGrid w:val="0"/>
        <w:spacing w:after="0" w:line="560" w:lineRule="exact"/>
        <w:ind w:left="0" w:leftChars="0" w:firstLine="560"/>
        <w:rPr>
          <w:rFonts w:hint="eastAsia" w:eastAsia="黑体"/>
          <w:color w:val="auto"/>
          <w:sz w:val="28"/>
          <w:szCs w:val="28"/>
          <w:highlight w:val="none"/>
        </w:rPr>
      </w:pPr>
    </w:p>
    <w:p w14:paraId="50A6B425">
      <w:pPr>
        <w:adjustRightInd w:val="0"/>
        <w:snapToGrid w:val="0"/>
        <w:spacing w:line="560" w:lineRule="exact"/>
        <w:rPr>
          <w:rFonts w:hint="eastAsia" w:eastAsia="黑体"/>
          <w:color w:val="auto"/>
          <w:sz w:val="28"/>
          <w:szCs w:val="28"/>
          <w:highlight w:val="none"/>
        </w:rPr>
      </w:pPr>
    </w:p>
    <w:p w14:paraId="039A89C1">
      <w:pPr>
        <w:pStyle w:val="19"/>
        <w:adjustRightInd w:val="0"/>
        <w:snapToGrid w:val="0"/>
        <w:spacing w:after="0" w:line="560" w:lineRule="exact"/>
        <w:ind w:left="0" w:leftChars="0"/>
        <w:rPr>
          <w:rFonts w:hint="eastAsia"/>
          <w:color w:val="auto"/>
          <w:highlight w:val="none"/>
        </w:rPr>
      </w:pPr>
    </w:p>
    <w:p w14:paraId="40A66080">
      <w:pPr>
        <w:adjustRightInd w:val="0"/>
        <w:snapToGrid w:val="0"/>
        <w:spacing w:line="560" w:lineRule="exact"/>
        <w:rPr>
          <w:rFonts w:hint="eastAsia" w:eastAsia="黑体"/>
          <w:color w:val="auto"/>
          <w:sz w:val="28"/>
          <w:szCs w:val="28"/>
          <w:highlight w:val="none"/>
        </w:rPr>
      </w:pPr>
    </w:p>
    <w:p w14:paraId="30D77FB9">
      <w:pPr>
        <w:adjustRightInd w:val="0"/>
        <w:snapToGrid w:val="0"/>
        <w:spacing w:line="560" w:lineRule="exact"/>
        <w:rPr>
          <w:rFonts w:eastAsia="黑体"/>
          <w:color w:val="auto"/>
          <w:sz w:val="28"/>
          <w:szCs w:val="28"/>
          <w:highlight w:val="none"/>
        </w:rPr>
      </w:pPr>
    </w:p>
    <w:p w14:paraId="515E4A6D">
      <w:pPr>
        <w:adjustRightInd w:val="0"/>
        <w:snapToGrid w:val="0"/>
        <w:spacing w:line="560" w:lineRule="exact"/>
        <w:rPr>
          <w:rFonts w:hint="eastAsia" w:eastAsia="黑体"/>
          <w:color w:val="auto"/>
          <w:sz w:val="28"/>
          <w:szCs w:val="28"/>
          <w:highlight w:val="none"/>
        </w:rPr>
      </w:pPr>
    </w:p>
    <w:p w14:paraId="42846E16">
      <w:pPr>
        <w:adjustRightInd w:val="0"/>
        <w:snapToGrid w:val="0"/>
        <w:spacing w:line="560" w:lineRule="exact"/>
        <w:rPr>
          <w:rFonts w:hint="eastAsia" w:eastAsia="黑体"/>
          <w:color w:val="auto"/>
          <w:sz w:val="28"/>
          <w:szCs w:val="28"/>
          <w:highlight w:val="none"/>
        </w:rPr>
      </w:pPr>
    </w:p>
    <w:p w14:paraId="7B88C15F">
      <w:pPr>
        <w:adjustRightInd w:val="0"/>
        <w:snapToGrid w:val="0"/>
        <w:spacing w:line="560" w:lineRule="exact"/>
        <w:rPr>
          <w:rFonts w:hint="eastAsia" w:eastAsia="黑体"/>
          <w:color w:val="auto"/>
          <w:sz w:val="28"/>
          <w:szCs w:val="28"/>
          <w:highlight w:val="none"/>
        </w:rPr>
      </w:pPr>
    </w:p>
    <w:p w14:paraId="17F53CD7">
      <w:pPr>
        <w:adjustRightInd w:val="0"/>
        <w:snapToGrid w:val="0"/>
        <w:spacing w:line="560" w:lineRule="exact"/>
        <w:rPr>
          <w:rFonts w:eastAsia="黑体"/>
          <w:color w:val="auto"/>
          <w:sz w:val="28"/>
          <w:szCs w:val="28"/>
          <w:highlight w:val="none"/>
        </w:rPr>
      </w:pPr>
    </w:p>
    <w:p w14:paraId="4DFFBE4E">
      <w:pPr>
        <w:adjustRightInd w:val="0"/>
        <w:snapToGrid w:val="0"/>
        <w:spacing w:line="560" w:lineRule="exact"/>
        <w:rPr>
          <w:rFonts w:eastAsia="黑体"/>
          <w:color w:val="auto"/>
          <w:sz w:val="28"/>
          <w:szCs w:val="28"/>
          <w:highlight w:val="none"/>
        </w:rPr>
      </w:pPr>
    </w:p>
    <w:p w14:paraId="4079AD93">
      <w:pPr>
        <w:adjustRightInd w:val="0"/>
        <w:snapToGrid w:val="0"/>
        <w:spacing w:line="560" w:lineRule="exact"/>
        <w:jc w:val="center"/>
        <w:rPr>
          <w:rFonts w:eastAsia="黑体"/>
          <w:color w:val="auto"/>
          <w:sz w:val="28"/>
          <w:szCs w:val="28"/>
          <w:highlight w:val="none"/>
          <w:u w:val="single"/>
        </w:rPr>
      </w:pPr>
      <w:r>
        <w:rPr>
          <w:rFonts w:eastAsia="黑体"/>
          <w:color w:val="auto"/>
          <w:sz w:val="28"/>
          <w:szCs w:val="28"/>
          <w:highlight w:val="none"/>
        </w:rPr>
        <w:t>投标人：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（签</w:t>
      </w:r>
      <w:r>
        <w:rPr>
          <w:rFonts w:hint="eastAsia" w:eastAsia="黑体"/>
          <w:color w:val="auto"/>
          <w:sz w:val="28"/>
          <w:szCs w:val="28"/>
          <w:highlight w:val="none"/>
        </w:rPr>
        <w:t>章</w:t>
      </w:r>
      <w:r>
        <w:rPr>
          <w:rFonts w:eastAsia="黑体"/>
          <w:color w:val="auto"/>
          <w:sz w:val="28"/>
          <w:szCs w:val="28"/>
          <w:highlight w:val="none"/>
        </w:rPr>
        <w:t>）</w:t>
      </w:r>
    </w:p>
    <w:p w14:paraId="7CC19DDA">
      <w:pPr>
        <w:adjustRightInd w:val="0"/>
        <w:snapToGrid w:val="0"/>
        <w:spacing w:line="560" w:lineRule="exact"/>
        <w:jc w:val="center"/>
        <w:rPr>
          <w:rFonts w:eastAsia="黑体"/>
          <w:color w:val="auto"/>
          <w:sz w:val="28"/>
          <w:szCs w:val="28"/>
          <w:highlight w:val="none"/>
        </w:rPr>
      </w:pPr>
      <w:r>
        <w:rPr>
          <w:rFonts w:eastAsia="黑体"/>
          <w:color w:val="auto"/>
          <w:sz w:val="28"/>
          <w:szCs w:val="28"/>
          <w:highlight w:val="none"/>
        </w:rPr>
        <w:t>法定代表人：</w:t>
      </w:r>
      <w:r>
        <w:rPr>
          <w:rFonts w:eastAsia="黑体"/>
          <w:color w:val="auto"/>
          <w:sz w:val="28"/>
          <w:szCs w:val="28"/>
          <w:highlight w:val="none"/>
          <w:u w:val="single"/>
        </w:rPr>
        <w:t xml:space="preserve">         </w:t>
      </w:r>
      <w:r>
        <w:rPr>
          <w:rFonts w:hint="eastAsia" w:eastAsia="黑体"/>
          <w:color w:val="auto"/>
          <w:sz w:val="28"/>
          <w:szCs w:val="28"/>
          <w:highlight w:val="none"/>
          <w:u w:val="single"/>
          <w:lang w:val="en-US" w:eastAsia="zh-CN"/>
        </w:rPr>
        <w:t xml:space="preserve">          </w:t>
      </w:r>
      <w:r>
        <w:rPr>
          <w:rFonts w:eastAsia="黑体"/>
          <w:color w:val="auto"/>
          <w:sz w:val="28"/>
          <w:szCs w:val="28"/>
          <w:highlight w:val="none"/>
          <w:u w:val="single"/>
        </w:rPr>
        <w:t xml:space="preserve">       </w:t>
      </w:r>
      <w:r>
        <w:rPr>
          <w:rFonts w:eastAsia="黑体"/>
          <w:color w:val="auto"/>
          <w:sz w:val="28"/>
          <w:szCs w:val="28"/>
          <w:highlight w:val="none"/>
        </w:rPr>
        <w:t>（签</w:t>
      </w:r>
      <w:r>
        <w:rPr>
          <w:rFonts w:hint="eastAsia" w:eastAsia="黑体"/>
          <w:color w:val="auto"/>
          <w:sz w:val="28"/>
          <w:szCs w:val="28"/>
          <w:highlight w:val="none"/>
        </w:rPr>
        <w:t>章</w:t>
      </w:r>
      <w:r>
        <w:rPr>
          <w:rFonts w:eastAsia="黑体"/>
          <w:color w:val="auto"/>
          <w:sz w:val="28"/>
          <w:szCs w:val="28"/>
          <w:highlight w:val="none"/>
        </w:rPr>
        <w:t>）</w:t>
      </w:r>
    </w:p>
    <w:p w14:paraId="76C2C8BB">
      <w:pPr>
        <w:adjustRightInd w:val="0"/>
        <w:snapToGrid w:val="0"/>
        <w:spacing w:line="560" w:lineRule="exact"/>
        <w:jc w:val="center"/>
        <w:rPr>
          <w:rFonts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69AFFC95">
      <w:pPr>
        <w:adjustRightInd w:val="0"/>
        <w:snapToGrid w:val="0"/>
        <w:spacing w:line="560" w:lineRule="exact"/>
        <w:rPr>
          <w:rFonts w:hint="eastAsia"/>
          <w:color w:val="auto"/>
          <w:highlight w:val="none"/>
        </w:rPr>
      </w:pPr>
    </w:p>
    <w:p w14:paraId="0F0074E9">
      <w:pPr>
        <w:adjustRightInd w:val="0"/>
        <w:snapToGrid w:val="0"/>
        <w:spacing w:line="560" w:lineRule="exact"/>
        <w:rPr>
          <w:rFonts w:hint="eastAsia"/>
          <w:color w:val="auto"/>
          <w:highlight w:val="none"/>
        </w:rPr>
      </w:pPr>
    </w:p>
    <w:p w14:paraId="07A9D001">
      <w:pPr>
        <w:rPr>
          <w:rFonts w:hint="eastAsia"/>
          <w:color w:val="auto"/>
          <w:highlight w:val="none"/>
        </w:rPr>
      </w:pPr>
      <w:bookmarkStart w:id="1551" w:name="_Toc95223542"/>
      <w:r>
        <w:rPr>
          <w:rFonts w:hint="eastAsia"/>
          <w:color w:val="auto"/>
          <w:highlight w:val="none"/>
        </w:rPr>
        <w:br w:type="page"/>
      </w:r>
    </w:p>
    <w:p w14:paraId="14636287">
      <w:pPr>
        <w:pStyle w:val="3"/>
        <w:rPr>
          <w:rFonts w:hint="eastAsia"/>
          <w:color w:val="auto"/>
          <w:highlight w:val="none"/>
        </w:rPr>
      </w:pPr>
      <w:r>
        <w:rPr>
          <w:rFonts w:hint="eastAsia"/>
          <w:color w:val="auto"/>
          <w:highlight w:val="none"/>
          <w:lang w:val="en-US" w:eastAsia="zh-CN"/>
        </w:rPr>
        <w:t>报价文件</w:t>
      </w:r>
      <w:r>
        <w:rPr>
          <w:rFonts w:hint="eastAsia"/>
          <w:color w:val="auto"/>
          <w:highlight w:val="none"/>
        </w:rPr>
        <w:t>目录</w:t>
      </w:r>
      <w:bookmarkEnd w:id="1551"/>
    </w:p>
    <w:p w14:paraId="762D4FD2">
      <w:pPr>
        <w:adjustRightInd w:val="0"/>
        <w:snapToGrid w:val="0"/>
        <w:spacing w:line="5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（1）投标函；</w:t>
      </w:r>
    </w:p>
    <w:p w14:paraId="7BDC66E9">
      <w:pPr>
        <w:adjustRightInd w:val="0"/>
        <w:snapToGrid w:val="0"/>
        <w:spacing w:line="560" w:lineRule="exact"/>
        <w:ind w:firstLine="420" w:firstLineChars="200"/>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2）工程量清单报价书；</w:t>
      </w:r>
    </w:p>
    <w:p w14:paraId="62158EB8">
      <w:pPr>
        <w:adjustRightInd w:val="0"/>
        <w:snapToGrid w:val="0"/>
        <w:spacing w:line="5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rPr>
        <w:t>）招标人推荐的材料品牌响应表（如有）；</w:t>
      </w:r>
    </w:p>
    <w:p w14:paraId="30098CCF">
      <w:pPr>
        <w:adjustRightInd w:val="0"/>
        <w:snapToGrid w:val="0"/>
        <w:spacing w:line="5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rPr>
        <w:t>）全国建筑市场监管公共服务平台(四库一平台)企业注册人员网页截图；</w:t>
      </w:r>
    </w:p>
    <w:p w14:paraId="2AB44659">
      <w:pPr>
        <w:adjustRightInd w:val="0"/>
        <w:snapToGrid w:val="0"/>
        <w:spacing w:line="5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5</w:t>
      </w: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报价文件</w:t>
      </w:r>
      <w:r>
        <w:rPr>
          <w:rFonts w:hint="eastAsia" w:ascii="宋体" w:hAnsi="宋体" w:eastAsia="宋体" w:cs="Times New Roman"/>
          <w:color w:val="auto"/>
          <w:szCs w:val="21"/>
          <w:highlight w:val="none"/>
        </w:rPr>
        <w:t>评审所需其他材料。</w:t>
      </w:r>
    </w:p>
    <w:p w14:paraId="455B87E1">
      <w:pPr>
        <w:adjustRightInd w:val="0"/>
        <w:snapToGrid w:val="0"/>
        <w:spacing w:line="560" w:lineRule="exact"/>
        <w:rPr>
          <w:rFonts w:hint="eastAsia"/>
          <w:color w:val="auto"/>
          <w:highlight w:val="none"/>
        </w:rPr>
      </w:pPr>
    </w:p>
    <w:p w14:paraId="4484151A">
      <w:pPr>
        <w:adjustRightInd w:val="0"/>
        <w:snapToGrid w:val="0"/>
        <w:spacing w:line="560" w:lineRule="exact"/>
        <w:rPr>
          <w:rFonts w:hint="eastAsia" w:eastAsia="黑体"/>
          <w:color w:val="auto"/>
          <w:sz w:val="20"/>
          <w:szCs w:val="20"/>
          <w:highlight w:val="none"/>
        </w:rPr>
      </w:pPr>
    </w:p>
    <w:p w14:paraId="576A16D7">
      <w:pPr>
        <w:adjustRightInd w:val="0"/>
        <w:snapToGrid w:val="0"/>
        <w:spacing w:line="560" w:lineRule="exact"/>
        <w:rPr>
          <w:rFonts w:hint="eastAsia" w:eastAsia="黑体"/>
          <w:color w:val="auto"/>
          <w:sz w:val="20"/>
          <w:szCs w:val="20"/>
          <w:highlight w:val="none"/>
        </w:rPr>
      </w:pPr>
    </w:p>
    <w:p w14:paraId="40BE3FA7">
      <w:pPr>
        <w:adjustRightInd w:val="0"/>
        <w:snapToGrid w:val="0"/>
        <w:spacing w:line="560" w:lineRule="exact"/>
        <w:rPr>
          <w:rFonts w:hint="eastAsia" w:eastAsia="黑体"/>
          <w:color w:val="auto"/>
          <w:sz w:val="20"/>
          <w:szCs w:val="20"/>
          <w:highlight w:val="none"/>
        </w:rPr>
      </w:pPr>
    </w:p>
    <w:p w14:paraId="2EDEDB32">
      <w:pPr>
        <w:adjustRightInd w:val="0"/>
        <w:snapToGrid w:val="0"/>
        <w:spacing w:line="560" w:lineRule="exact"/>
        <w:ind w:right="420"/>
        <w:rPr>
          <w:rFonts w:hint="eastAsia"/>
          <w:color w:val="auto"/>
          <w:szCs w:val="21"/>
          <w:highlight w:val="none"/>
          <w:u w:val="single"/>
        </w:rPr>
      </w:pPr>
    </w:p>
    <w:p w14:paraId="76C0C943">
      <w:pPr>
        <w:pStyle w:val="19"/>
        <w:rPr>
          <w:rFonts w:hint="eastAsia"/>
          <w:color w:val="auto"/>
          <w:highlight w:val="none"/>
        </w:rPr>
      </w:pPr>
    </w:p>
    <w:p w14:paraId="7D6500DE">
      <w:pPr>
        <w:rPr>
          <w:rFonts w:hint="eastAsia"/>
          <w:color w:val="auto"/>
          <w:highlight w:val="none"/>
        </w:rPr>
      </w:pPr>
    </w:p>
    <w:p w14:paraId="4AD0F1F5">
      <w:pPr>
        <w:pStyle w:val="19"/>
        <w:rPr>
          <w:rFonts w:hint="eastAsia"/>
          <w:color w:val="auto"/>
          <w:highlight w:val="none"/>
        </w:rPr>
      </w:pPr>
    </w:p>
    <w:p w14:paraId="55244EA6">
      <w:pPr>
        <w:rPr>
          <w:rFonts w:hint="eastAsia"/>
          <w:color w:val="auto"/>
          <w:highlight w:val="none"/>
        </w:rPr>
      </w:pPr>
    </w:p>
    <w:p w14:paraId="6F192C25">
      <w:pPr>
        <w:pStyle w:val="19"/>
        <w:rPr>
          <w:rFonts w:hint="eastAsia"/>
          <w:color w:val="auto"/>
          <w:highlight w:val="none"/>
        </w:rPr>
      </w:pPr>
    </w:p>
    <w:p w14:paraId="2F403CF2">
      <w:pPr>
        <w:rPr>
          <w:rFonts w:hint="eastAsia"/>
          <w:color w:val="auto"/>
          <w:highlight w:val="none"/>
        </w:rPr>
      </w:pPr>
    </w:p>
    <w:p w14:paraId="1D39A76B">
      <w:pPr>
        <w:pStyle w:val="19"/>
        <w:rPr>
          <w:rFonts w:hint="eastAsia"/>
          <w:color w:val="auto"/>
          <w:highlight w:val="none"/>
        </w:rPr>
      </w:pPr>
    </w:p>
    <w:p w14:paraId="62D1DB7E">
      <w:pPr>
        <w:rPr>
          <w:rFonts w:hint="eastAsia"/>
          <w:color w:val="auto"/>
          <w:highlight w:val="none"/>
        </w:rPr>
      </w:pPr>
    </w:p>
    <w:p w14:paraId="6FB7DE54">
      <w:pPr>
        <w:pStyle w:val="19"/>
        <w:rPr>
          <w:rFonts w:hint="eastAsia"/>
          <w:color w:val="auto"/>
          <w:highlight w:val="none"/>
        </w:rPr>
      </w:pPr>
    </w:p>
    <w:p w14:paraId="542686C1">
      <w:pPr>
        <w:rPr>
          <w:rFonts w:hint="eastAsia"/>
          <w:color w:val="auto"/>
          <w:highlight w:val="none"/>
        </w:rPr>
      </w:pPr>
    </w:p>
    <w:p w14:paraId="55E36143">
      <w:pPr>
        <w:pStyle w:val="19"/>
        <w:rPr>
          <w:rFonts w:hint="eastAsia"/>
          <w:color w:val="auto"/>
          <w:highlight w:val="none"/>
        </w:rPr>
      </w:pPr>
    </w:p>
    <w:p w14:paraId="17DDF569">
      <w:pPr>
        <w:rPr>
          <w:rFonts w:hint="eastAsia"/>
          <w:color w:val="auto"/>
          <w:highlight w:val="none"/>
        </w:rPr>
      </w:pPr>
    </w:p>
    <w:p w14:paraId="001C0DA7">
      <w:pPr>
        <w:pStyle w:val="19"/>
        <w:rPr>
          <w:rFonts w:hint="eastAsia"/>
          <w:color w:val="auto"/>
          <w:highlight w:val="none"/>
        </w:rPr>
      </w:pPr>
    </w:p>
    <w:p w14:paraId="3B20C9BC">
      <w:pPr>
        <w:rPr>
          <w:rFonts w:hint="eastAsia"/>
          <w:color w:val="auto"/>
          <w:highlight w:val="none"/>
        </w:rPr>
      </w:pPr>
    </w:p>
    <w:p w14:paraId="081C97E7">
      <w:pPr>
        <w:pStyle w:val="19"/>
        <w:rPr>
          <w:rFonts w:hint="eastAsia"/>
          <w:color w:val="auto"/>
          <w:highlight w:val="none"/>
        </w:rPr>
      </w:pPr>
    </w:p>
    <w:p w14:paraId="0F18EF5D">
      <w:pPr>
        <w:rPr>
          <w:rFonts w:hint="eastAsia"/>
          <w:color w:val="auto"/>
          <w:highlight w:val="none"/>
        </w:rPr>
      </w:pPr>
    </w:p>
    <w:p w14:paraId="7A29848A">
      <w:pPr>
        <w:pStyle w:val="19"/>
        <w:rPr>
          <w:rFonts w:hint="eastAsia"/>
          <w:color w:val="auto"/>
          <w:highlight w:val="none"/>
        </w:rPr>
      </w:pPr>
    </w:p>
    <w:p w14:paraId="56DCA822">
      <w:pPr>
        <w:rPr>
          <w:rFonts w:hint="eastAsia"/>
          <w:color w:val="auto"/>
          <w:highlight w:val="none"/>
        </w:rPr>
      </w:pPr>
    </w:p>
    <w:p w14:paraId="61CB02CD">
      <w:pPr>
        <w:pStyle w:val="19"/>
        <w:rPr>
          <w:rFonts w:hint="eastAsia"/>
          <w:color w:val="auto"/>
          <w:highlight w:val="none"/>
        </w:rPr>
      </w:pPr>
    </w:p>
    <w:p w14:paraId="2D9A391D">
      <w:pPr>
        <w:rPr>
          <w:rFonts w:hint="eastAsia"/>
          <w:color w:val="auto"/>
          <w:highlight w:val="none"/>
        </w:rPr>
      </w:pPr>
    </w:p>
    <w:p w14:paraId="4BB304D9">
      <w:pPr>
        <w:pStyle w:val="19"/>
        <w:rPr>
          <w:rFonts w:hint="eastAsia"/>
          <w:color w:val="auto"/>
          <w:highlight w:val="none"/>
        </w:rPr>
      </w:pPr>
    </w:p>
    <w:p w14:paraId="58C3DB08">
      <w:pPr>
        <w:rPr>
          <w:rFonts w:hint="eastAsia"/>
          <w:color w:val="auto"/>
          <w:highlight w:val="none"/>
        </w:rPr>
      </w:pPr>
    </w:p>
    <w:p w14:paraId="24E3D939">
      <w:pPr>
        <w:pStyle w:val="19"/>
        <w:rPr>
          <w:rFonts w:hint="eastAsia"/>
          <w:color w:val="auto"/>
          <w:highlight w:val="none"/>
        </w:rPr>
      </w:pPr>
    </w:p>
    <w:p w14:paraId="04CF913D">
      <w:pPr>
        <w:pStyle w:val="19"/>
        <w:rPr>
          <w:rFonts w:hint="eastAsia"/>
          <w:color w:val="auto"/>
          <w:highlight w:val="none"/>
        </w:rPr>
      </w:pPr>
    </w:p>
    <w:p w14:paraId="3B12C908">
      <w:pPr>
        <w:pStyle w:val="19"/>
        <w:ind w:left="0" w:leftChars="0" w:firstLine="0" w:firstLineChars="0"/>
        <w:rPr>
          <w:color w:val="auto"/>
          <w:highlight w:val="none"/>
        </w:rPr>
        <w:sectPr>
          <w:pgSz w:w="11910" w:h="16840"/>
          <w:pgMar w:top="1060" w:right="660" w:bottom="1020" w:left="1120" w:header="0" w:footer="833" w:gutter="0"/>
          <w:pgNumType w:fmt="decimal"/>
          <w:cols w:space="720" w:num="1"/>
        </w:sectPr>
      </w:pPr>
    </w:p>
    <w:p w14:paraId="4E0A629A">
      <w:pPr>
        <w:pStyle w:val="19"/>
        <w:ind w:left="0" w:leftChars="0" w:firstLine="0" w:firstLineChars="0"/>
        <w:rPr>
          <w:rFonts w:hint="eastAsia"/>
          <w:color w:val="auto"/>
          <w:highlight w:val="none"/>
        </w:rPr>
      </w:pPr>
    </w:p>
    <w:p w14:paraId="3EEC1C38">
      <w:pPr>
        <w:pStyle w:val="4"/>
        <w:adjustRightInd w:val="0"/>
        <w:snapToGrid w:val="0"/>
        <w:spacing w:before="0" w:after="0" w:line="560" w:lineRule="exact"/>
        <w:jc w:val="center"/>
        <w:rPr>
          <w:rFonts w:hint="eastAsia"/>
          <w:color w:val="auto"/>
          <w:highlight w:val="none"/>
        </w:rPr>
      </w:pPr>
      <w:bookmarkStart w:id="1552" w:name="_Toc95223543"/>
      <w:r>
        <w:rPr>
          <w:rFonts w:hint="eastAsia"/>
          <w:color w:val="auto"/>
          <w:highlight w:val="none"/>
        </w:rPr>
        <w:t>（1）投</w:t>
      </w:r>
      <w:r>
        <w:rPr>
          <w:color w:val="auto"/>
          <w:highlight w:val="none"/>
        </w:rPr>
        <w:t xml:space="preserve"> </w:t>
      </w:r>
      <w:r>
        <w:rPr>
          <w:rFonts w:hint="eastAsia"/>
          <w:color w:val="auto"/>
          <w:highlight w:val="none"/>
        </w:rPr>
        <w:t>标 函</w:t>
      </w:r>
      <w:bookmarkEnd w:id="1552"/>
    </w:p>
    <w:p w14:paraId="7B059EDC">
      <w:pPr>
        <w:adjustRightInd w:val="0"/>
        <w:snapToGrid w:val="0"/>
        <w:spacing w:line="560" w:lineRule="exact"/>
        <w:rPr>
          <w:rFonts w:ascii="宋体" w:hAnsi="宋体"/>
          <w:color w:val="auto"/>
          <w:sz w:val="24"/>
          <w:highlight w:val="none"/>
          <w:u w:val="single"/>
        </w:rPr>
      </w:pPr>
      <w:r>
        <w:rPr>
          <w:rFonts w:hint="eastAsia" w:ascii="宋体" w:hAnsi="宋体"/>
          <w:color w:val="auto"/>
          <w:sz w:val="24"/>
          <w:highlight w:val="none"/>
        </w:rPr>
        <w:t>致：</w:t>
      </w:r>
      <w:r>
        <w:rPr>
          <w:rFonts w:ascii="宋体" w:hAnsi="宋体"/>
          <w:color w:val="auto"/>
          <w:sz w:val="24"/>
          <w:highlight w:val="none"/>
          <w:u w:val="single"/>
        </w:rPr>
        <w:t xml:space="preserve">        </w:t>
      </w:r>
      <w:r>
        <w:rPr>
          <w:rFonts w:hint="eastAsia" w:ascii="宋体" w:hAnsi="宋体"/>
          <w:color w:val="auto"/>
          <w:sz w:val="24"/>
          <w:highlight w:val="none"/>
          <w:u w:val="single"/>
        </w:rPr>
        <w:t>（招标人）</w:t>
      </w:r>
      <w:r>
        <w:rPr>
          <w:rFonts w:ascii="宋体" w:hAnsi="宋体"/>
          <w:color w:val="auto"/>
          <w:sz w:val="24"/>
          <w:highlight w:val="none"/>
          <w:u w:val="single"/>
        </w:rPr>
        <w:t xml:space="preserve">      </w:t>
      </w:r>
    </w:p>
    <w:p w14:paraId="6FC57826">
      <w:pPr>
        <w:adjustRightInd w:val="0"/>
        <w:snapToGrid w:val="0"/>
        <w:spacing w:line="560" w:lineRule="exact"/>
        <w:ind w:firstLine="480" w:firstLineChars="200"/>
        <w:rPr>
          <w:rFonts w:ascii="宋体" w:hAnsi="宋体"/>
          <w:color w:val="auto"/>
          <w:sz w:val="24"/>
          <w:highlight w:val="none"/>
        </w:rPr>
      </w:pPr>
      <w:r>
        <w:rPr>
          <w:rFonts w:hint="eastAsia" w:ascii="宋体" w:hAnsi="宋体"/>
          <w:color w:val="auto"/>
          <w:sz w:val="24"/>
          <w:highlight w:val="none"/>
        </w:rPr>
        <w:t>1、根据你方招</w:t>
      </w:r>
      <w:bookmarkStart w:id="1553" w:name="_Toc60061591"/>
      <w:r>
        <w:rPr>
          <w:rFonts w:hint="eastAsia" w:ascii="宋体" w:hAnsi="宋体"/>
          <w:color w:val="auto"/>
          <w:sz w:val="24"/>
          <w:highlight w:val="none"/>
        </w:rPr>
        <w:t>标项目编号为</w:t>
      </w:r>
      <w:r>
        <w:rPr>
          <w:rFonts w:ascii="宋体" w:hAnsi="宋体"/>
          <w:color w:val="auto"/>
          <w:sz w:val="24"/>
          <w:highlight w:val="none"/>
          <w:u w:val="single"/>
        </w:rPr>
        <w:t xml:space="preserve">  </w:t>
      </w:r>
      <w:bookmarkEnd w:id="1553"/>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的</w:t>
      </w: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招标文件，遵照《中华人民共和国招标投标法》等有关规定，经踏勘项目现场和研究上述招标文件的投标须知、合同条件、技术规范、图纸、工程量清单和其他有关文件后，我方愿以</w:t>
      </w:r>
      <w:r>
        <w:rPr>
          <w:rFonts w:ascii="宋体" w:hAnsi="宋体"/>
          <w:color w:val="auto"/>
          <w:sz w:val="24"/>
          <w:highlight w:val="none"/>
        </w:rPr>
        <w:t xml:space="preserve"> </w:t>
      </w:r>
      <w:r>
        <w:rPr>
          <w:rFonts w:hint="eastAsia" w:ascii="宋体" w:hAnsi="宋体"/>
          <w:color w:val="auto"/>
          <w:sz w:val="24"/>
          <w:highlight w:val="none"/>
        </w:rPr>
        <w:t>（币种，金额、单位）</w:t>
      </w:r>
      <w:r>
        <w:rPr>
          <w:rFonts w:hint="eastAsia" w:ascii="宋体" w:hAnsi="宋体"/>
          <w:color w:val="auto"/>
          <w:sz w:val="24"/>
          <w:highlight w:val="none"/>
          <w:u w:val="single"/>
        </w:rPr>
        <w:t xml:space="preserve">人民币           元                  </w:t>
      </w:r>
      <w:r>
        <w:rPr>
          <w:rFonts w:hint="eastAsia" w:ascii="宋体" w:hAnsi="宋体"/>
          <w:color w:val="auto"/>
          <w:sz w:val="24"/>
          <w:highlight w:val="none"/>
        </w:rPr>
        <w:t>的投标总报价承包上述工程的施工、竣工，并承担任何质量缺陷保修责任。</w:t>
      </w:r>
    </w:p>
    <w:p w14:paraId="681C8193">
      <w:pPr>
        <w:tabs>
          <w:tab w:val="left" w:pos="840"/>
        </w:tabs>
        <w:adjustRightInd w:val="0"/>
        <w:snapToGrid w:val="0"/>
        <w:spacing w:line="560" w:lineRule="exact"/>
        <w:ind w:firstLine="480" w:firstLineChars="200"/>
        <w:rPr>
          <w:rFonts w:ascii="宋体" w:hAnsi="宋体"/>
          <w:color w:val="auto"/>
          <w:sz w:val="24"/>
          <w:highlight w:val="none"/>
        </w:rPr>
      </w:pPr>
      <w:r>
        <w:rPr>
          <w:rFonts w:hint="eastAsia" w:ascii="宋体" w:hAnsi="宋体"/>
          <w:color w:val="auto"/>
          <w:sz w:val="24"/>
          <w:highlight w:val="none"/>
        </w:rPr>
        <w:t>2、我方已详细审核全部招标文件及有关附件，承诺招标文件及有关附件中所有条款。</w:t>
      </w:r>
    </w:p>
    <w:p w14:paraId="39CADF5D">
      <w:pPr>
        <w:adjustRightInd w:val="0"/>
        <w:snapToGrid w:val="0"/>
        <w:spacing w:line="560" w:lineRule="exact"/>
        <w:ind w:firstLine="480" w:firstLineChars="200"/>
        <w:rPr>
          <w:rFonts w:ascii="宋体" w:hAnsi="宋体"/>
          <w:color w:val="auto"/>
          <w:sz w:val="24"/>
          <w:highlight w:val="none"/>
        </w:rPr>
      </w:pPr>
      <w:r>
        <w:rPr>
          <w:rFonts w:hint="eastAsia" w:ascii="宋体" w:hAnsi="宋体"/>
          <w:color w:val="auto"/>
          <w:sz w:val="24"/>
          <w:highlight w:val="none"/>
        </w:rPr>
        <w:t>3、一旦我方中标，我方将派出</w:t>
      </w:r>
      <w:r>
        <w:rPr>
          <w:rFonts w:hint="eastAsia" w:ascii="宋体" w:hAnsi="宋体"/>
          <w:color w:val="auto"/>
          <w:sz w:val="24"/>
          <w:highlight w:val="none"/>
          <w:u w:val="single"/>
        </w:rPr>
        <w:t xml:space="preserve">           </w:t>
      </w:r>
      <w:r>
        <w:rPr>
          <w:rFonts w:hint="eastAsia" w:ascii="宋体" w:hAnsi="宋体"/>
          <w:color w:val="auto"/>
          <w:sz w:val="24"/>
          <w:highlight w:val="none"/>
        </w:rPr>
        <w:t>建造师为本工程项目经理，保证按照招标人要求开始本工程的施工，并在</w:t>
      </w:r>
      <w:r>
        <w:rPr>
          <w:rFonts w:ascii="宋体" w:hAnsi="宋体"/>
          <w:color w:val="auto"/>
          <w:sz w:val="24"/>
          <w:highlight w:val="none"/>
          <w:u w:val="single"/>
        </w:rPr>
        <w:t xml:space="preserve">       </w:t>
      </w:r>
      <w:r>
        <w:rPr>
          <w:rFonts w:hint="eastAsia" w:ascii="宋体" w:hAnsi="宋体"/>
          <w:color w:val="auto"/>
          <w:sz w:val="24"/>
          <w:highlight w:val="none"/>
        </w:rPr>
        <w:t>个日历天（工期）内完成本合同的施工，并移交整个工程，工程质量达到</w:t>
      </w:r>
      <w:r>
        <w:rPr>
          <w:rFonts w:ascii="宋体" w:hAnsi="宋体"/>
          <w:color w:val="auto"/>
          <w:sz w:val="24"/>
          <w:highlight w:val="none"/>
          <w:u w:val="single"/>
        </w:rPr>
        <w:t xml:space="preserve">          </w:t>
      </w:r>
      <w:r>
        <w:rPr>
          <w:rFonts w:hint="eastAsia" w:ascii="宋体" w:hAnsi="宋体"/>
          <w:color w:val="auto"/>
          <w:sz w:val="24"/>
          <w:highlight w:val="none"/>
        </w:rPr>
        <w:t xml:space="preserve"> 标准。</w:t>
      </w:r>
    </w:p>
    <w:p w14:paraId="20CD2CDB">
      <w:pPr>
        <w:adjustRightInd w:val="0"/>
        <w:snapToGrid w:val="0"/>
        <w:spacing w:line="560" w:lineRule="exact"/>
        <w:ind w:firstLine="480" w:firstLineChars="200"/>
        <w:rPr>
          <w:rFonts w:ascii="宋体" w:hAnsi="宋体"/>
          <w:color w:val="auto"/>
          <w:sz w:val="24"/>
          <w:highlight w:val="none"/>
        </w:rPr>
      </w:pPr>
      <w:r>
        <w:rPr>
          <w:rFonts w:hint="eastAsia" w:ascii="宋体" w:hAnsi="宋体"/>
          <w:color w:val="auto"/>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29D418A8">
      <w:pPr>
        <w:adjustRightInd w:val="0"/>
        <w:snapToGrid w:val="0"/>
        <w:spacing w:line="560" w:lineRule="exact"/>
        <w:ind w:firstLine="480" w:firstLineChars="200"/>
        <w:rPr>
          <w:rFonts w:hint="eastAsia" w:ascii="宋体" w:hAnsi="宋体"/>
          <w:color w:val="auto"/>
          <w:sz w:val="24"/>
          <w:highlight w:val="none"/>
        </w:rPr>
      </w:pPr>
      <w:r>
        <w:rPr>
          <w:rFonts w:hint="eastAsia" w:ascii="宋体" w:hAnsi="宋体"/>
          <w:color w:val="auto"/>
          <w:sz w:val="24"/>
          <w:highlight w:val="none"/>
        </w:rPr>
        <w:t>5、如果我方中标我方将按照招标文件的规定提交履约担保。工程验收合格后，方可退还。</w:t>
      </w:r>
    </w:p>
    <w:p w14:paraId="212F58B1">
      <w:pPr>
        <w:adjustRightInd w:val="0"/>
        <w:snapToGrid w:val="0"/>
        <w:spacing w:line="56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6、我方承诺在招标文件规定的投标有效期内不撤销投标文件。</w:t>
      </w:r>
    </w:p>
    <w:p w14:paraId="434763D5">
      <w:pPr>
        <w:adjustRightInd w:val="0"/>
        <w:snapToGrid w:val="0"/>
        <w:spacing w:line="560" w:lineRule="exact"/>
        <w:ind w:firstLine="480" w:firstLineChars="200"/>
        <w:jc w:val="left"/>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7.</w:t>
      </w:r>
      <w:r>
        <w:rPr>
          <w:rFonts w:hint="eastAsia" w:ascii="宋体" w:hAnsi="宋体" w:eastAsia="宋体" w:cs="Times New Roman"/>
          <w:b/>
          <w:bCs/>
          <w:color w:val="auto"/>
          <w:sz w:val="24"/>
          <w:szCs w:val="22"/>
          <w:highlight w:val="none"/>
          <w:lang w:val="en-US" w:eastAsia="zh-CN"/>
        </w:rPr>
        <w:t>我方承诺，注册在我公司（如投标人为联合体，联合体各方）的现有注册建造师专业、数量，满足我公司（如投标人为联合体，联合体各方）响应本项目投标的资质等级对应的《建筑业企业资质标准》及有关文件中规定的注册建造师专业、 数量要求。如有不实，我方接受管理部门相关处罚。</w:t>
      </w:r>
    </w:p>
    <w:p w14:paraId="3B3ECD54">
      <w:pPr>
        <w:adjustRightInd w:val="0"/>
        <w:snapToGrid w:val="0"/>
        <w:spacing w:line="56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lang w:val="en-US" w:eastAsia="zh-CN"/>
        </w:rPr>
        <w:t>8</w:t>
      </w:r>
      <w:r>
        <w:rPr>
          <w:rFonts w:hint="eastAsia" w:ascii="宋体" w:hAnsi="宋体"/>
          <w:color w:val="auto"/>
          <w:sz w:val="24"/>
          <w:highlight w:val="none"/>
        </w:rPr>
        <w:t>、我单位提供如下通讯地址：</w:t>
      </w:r>
      <w:r>
        <w:rPr>
          <w:rFonts w:hint="eastAsia" w:ascii="宋体" w:hAnsi="宋体"/>
          <w:color w:val="auto"/>
          <w:sz w:val="24"/>
          <w:highlight w:val="none"/>
          <w:u w:val="single"/>
        </w:rPr>
        <w:t xml:space="preserve">                </w:t>
      </w:r>
      <w:r>
        <w:rPr>
          <w:rFonts w:hint="eastAsia" w:ascii="宋体" w:hAnsi="宋体"/>
          <w:color w:val="auto"/>
          <w:sz w:val="24"/>
          <w:highlight w:val="none"/>
        </w:rPr>
        <w:t>电子邮箱（地址），确认本项目相关法律文书均通过提供的以上地址送达，相关文书只要发送至以上电子邮箱（地址）即视为送达，投标人愿意承担一切法律后果。</w:t>
      </w:r>
    </w:p>
    <w:p w14:paraId="13F4BA4F">
      <w:pPr>
        <w:adjustRightInd w:val="0"/>
        <w:snapToGrid w:val="0"/>
        <w:spacing w:line="56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lang w:val="en-US" w:eastAsia="zh-CN"/>
        </w:rPr>
        <w:t>9</w:t>
      </w:r>
      <w:r>
        <w:rPr>
          <w:rFonts w:hint="eastAsia" w:ascii="宋体" w:hAnsi="宋体"/>
          <w:color w:val="auto"/>
          <w:sz w:val="24"/>
          <w:highlight w:val="none"/>
          <w:lang w:eastAsia="zh-CN"/>
        </w:rPr>
        <w:t>、</w:t>
      </w:r>
      <w:r>
        <w:rPr>
          <w:rFonts w:hint="eastAsia" w:ascii="宋体" w:hAnsi="宋体"/>
          <w:color w:val="auto"/>
          <w:sz w:val="24"/>
          <w:highlight w:val="none"/>
          <w:u w:val="single"/>
        </w:rPr>
        <w:t xml:space="preserve">                           </w:t>
      </w:r>
      <w:r>
        <w:rPr>
          <w:rFonts w:hint="eastAsia" w:ascii="宋体" w:hAnsi="宋体"/>
          <w:color w:val="auto"/>
          <w:sz w:val="24"/>
          <w:highlight w:val="none"/>
        </w:rPr>
        <w:t>（其他补充说明</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如有</w:t>
      </w:r>
      <w:r>
        <w:rPr>
          <w:rFonts w:hint="eastAsia" w:ascii="宋体" w:hAnsi="宋体"/>
          <w:color w:val="auto"/>
          <w:sz w:val="24"/>
          <w:highlight w:val="none"/>
        </w:rPr>
        <w:t>）。</w:t>
      </w:r>
    </w:p>
    <w:p w14:paraId="461D3625">
      <w:pPr>
        <w:adjustRightInd w:val="0"/>
        <w:snapToGrid w:val="0"/>
        <w:spacing w:line="560" w:lineRule="exact"/>
        <w:ind w:firstLine="480" w:firstLineChars="200"/>
        <w:rPr>
          <w:rFonts w:hint="eastAsia" w:ascii="宋体" w:hAnsi="宋体"/>
          <w:color w:val="auto"/>
          <w:sz w:val="24"/>
          <w:highlight w:val="none"/>
        </w:rPr>
      </w:pPr>
    </w:p>
    <w:p w14:paraId="453C8A25">
      <w:pPr>
        <w:adjustRightInd w:val="0"/>
        <w:snapToGrid w:val="0"/>
        <w:spacing w:line="560" w:lineRule="exact"/>
        <w:ind w:firstLine="480" w:firstLineChars="200"/>
        <w:rPr>
          <w:rFonts w:ascii="宋体" w:hAnsi="宋体"/>
          <w:color w:val="auto"/>
          <w:sz w:val="24"/>
          <w:highlight w:val="none"/>
          <w:u w:val="single"/>
        </w:rPr>
      </w:pPr>
      <w:r>
        <w:rPr>
          <w:rFonts w:hint="eastAsia" w:ascii="宋体" w:hAnsi="宋体"/>
          <w:color w:val="auto"/>
          <w:sz w:val="24"/>
          <w:highlight w:val="none"/>
        </w:rPr>
        <w:t>投标人：</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（签章）</w:t>
      </w:r>
      <w:r>
        <w:rPr>
          <w:rFonts w:ascii="宋体" w:hAnsi="宋体"/>
          <w:color w:val="auto"/>
          <w:sz w:val="24"/>
          <w:highlight w:val="none"/>
          <w:u w:val="single"/>
        </w:rPr>
        <w:t xml:space="preserve">   </w:t>
      </w:r>
    </w:p>
    <w:p w14:paraId="34AD31D5">
      <w:pPr>
        <w:adjustRightInd w:val="0"/>
        <w:snapToGrid w:val="0"/>
        <w:spacing w:line="560" w:lineRule="exact"/>
        <w:ind w:firstLine="480" w:firstLineChars="200"/>
        <w:rPr>
          <w:rFonts w:ascii="宋体" w:hAnsi="宋体"/>
          <w:color w:val="auto"/>
          <w:sz w:val="24"/>
          <w:highlight w:val="none"/>
        </w:rPr>
      </w:pPr>
      <w:r>
        <w:rPr>
          <w:rFonts w:hint="eastAsia" w:ascii="宋体" w:hAnsi="宋体"/>
          <w:color w:val="auto"/>
          <w:sz w:val="24"/>
          <w:highlight w:val="none"/>
        </w:rPr>
        <w:t>法定代表人：</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（签章）联系人：                 </w:t>
      </w:r>
    </w:p>
    <w:p w14:paraId="5A506604">
      <w:pPr>
        <w:adjustRightInd w:val="0"/>
        <w:snapToGrid w:val="0"/>
        <w:spacing w:line="560" w:lineRule="exact"/>
        <w:ind w:firstLine="480" w:firstLineChars="200"/>
        <w:rPr>
          <w:rFonts w:hint="eastAsia" w:ascii="宋体" w:hAnsi="宋体"/>
          <w:color w:val="auto"/>
          <w:sz w:val="24"/>
          <w:highlight w:val="none"/>
        </w:rPr>
      </w:pPr>
      <w:r>
        <w:rPr>
          <w:rFonts w:hint="eastAsia" w:ascii="宋体" w:hAnsi="宋体"/>
          <w:color w:val="auto"/>
          <w:sz w:val="24"/>
          <w:highlight w:val="none"/>
        </w:rPr>
        <w:t>单位地址：</w:t>
      </w:r>
      <w:r>
        <w:rPr>
          <w:rFonts w:hint="eastAsia" w:ascii="宋体" w:hAnsi="宋体"/>
          <w:color w:val="auto"/>
          <w:sz w:val="24"/>
          <w:highlight w:val="none"/>
          <w:u w:val="single"/>
        </w:rPr>
        <w:t xml:space="preserve">                                       </w:t>
      </w:r>
    </w:p>
    <w:p w14:paraId="0A5CDC9B">
      <w:pPr>
        <w:adjustRightInd w:val="0"/>
        <w:snapToGrid w:val="0"/>
        <w:spacing w:line="560" w:lineRule="exact"/>
        <w:ind w:firstLine="480" w:firstLineChars="200"/>
        <w:rPr>
          <w:rFonts w:ascii="宋体" w:hAnsi="宋体"/>
          <w:color w:val="auto"/>
          <w:sz w:val="24"/>
          <w:highlight w:val="none"/>
          <w:u w:val="single"/>
        </w:rPr>
      </w:pPr>
      <w:r>
        <w:rPr>
          <w:rFonts w:hint="eastAsia" w:ascii="宋体" w:hAnsi="宋体"/>
          <w:color w:val="auto"/>
          <w:sz w:val="24"/>
          <w:highlight w:val="none"/>
        </w:rPr>
        <w:t>邮政编码：</w:t>
      </w:r>
      <w:r>
        <w:rPr>
          <w:rFonts w:ascii="宋体" w:hAnsi="宋体"/>
          <w:color w:val="auto"/>
          <w:sz w:val="24"/>
          <w:highlight w:val="none"/>
          <w:u w:val="single"/>
        </w:rPr>
        <w:t xml:space="preserve">            </w:t>
      </w:r>
      <w:r>
        <w:rPr>
          <w:rFonts w:hint="eastAsia" w:ascii="宋体" w:hAnsi="宋体"/>
          <w:color w:val="auto"/>
          <w:sz w:val="24"/>
          <w:highlight w:val="none"/>
        </w:rPr>
        <w:t>联系人手机号码：</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传真：</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43C3D99A">
      <w:pPr>
        <w:adjustRightInd w:val="0"/>
        <w:snapToGrid w:val="0"/>
        <w:spacing w:line="560" w:lineRule="exact"/>
        <w:ind w:firstLine="480" w:firstLineChars="200"/>
        <w:rPr>
          <w:color w:val="auto"/>
          <w:szCs w:val="21"/>
          <w:highlight w:val="none"/>
          <w:u w:val="single"/>
        </w:rPr>
      </w:pPr>
      <w:r>
        <w:rPr>
          <w:rFonts w:hint="eastAsia" w:ascii="宋体" w:hAnsi="宋体"/>
          <w:color w:val="auto"/>
          <w:sz w:val="24"/>
          <w:highlight w:val="none"/>
        </w:rPr>
        <w:t>日期：</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日</w:t>
      </w:r>
    </w:p>
    <w:p w14:paraId="6E94CE7B">
      <w:pPr>
        <w:pStyle w:val="4"/>
        <w:adjustRightInd w:val="0"/>
        <w:snapToGrid w:val="0"/>
        <w:spacing w:before="0" w:after="0" w:line="560" w:lineRule="exact"/>
        <w:jc w:val="center"/>
        <w:rPr>
          <w:color w:val="auto"/>
          <w:highlight w:val="none"/>
        </w:rPr>
        <w:sectPr>
          <w:pgSz w:w="11910" w:h="16840"/>
          <w:pgMar w:top="1060" w:right="660" w:bottom="1020" w:left="1120" w:header="0" w:footer="833" w:gutter="0"/>
          <w:pgNumType w:fmt="decimal"/>
          <w:cols w:space="720" w:num="1"/>
        </w:sectPr>
      </w:pPr>
      <w:bookmarkStart w:id="1554" w:name="_Toc95223544"/>
    </w:p>
    <w:p w14:paraId="2179DA9E">
      <w:pPr>
        <w:pStyle w:val="4"/>
        <w:adjustRightInd w:val="0"/>
        <w:snapToGrid w:val="0"/>
        <w:spacing w:before="0" w:after="0" w:line="560" w:lineRule="exact"/>
        <w:jc w:val="center"/>
        <w:rPr>
          <w:rFonts w:hint="eastAsia"/>
          <w:color w:val="auto"/>
          <w:highlight w:val="none"/>
        </w:rPr>
      </w:pPr>
      <w:r>
        <w:rPr>
          <w:rFonts w:hint="eastAsia"/>
          <w:color w:val="auto"/>
          <w:highlight w:val="none"/>
        </w:rPr>
        <w:t>（2）工程量清单报价书</w:t>
      </w:r>
      <w:bookmarkEnd w:id="1554"/>
    </w:p>
    <w:p w14:paraId="6D5722FD">
      <w:pPr>
        <w:jc w:val="center"/>
        <w:rPr>
          <w:rFonts w:ascii="Calibri" w:hAnsi="Calibri"/>
          <w:color w:val="auto"/>
          <w:sz w:val="32"/>
          <w:szCs w:val="32"/>
          <w:highlight w:val="none"/>
        </w:rPr>
      </w:pPr>
    </w:p>
    <w:p w14:paraId="38679C6D">
      <w:pPr>
        <w:jc w:val="center"/>
        <w:rPr>
          <w:rFonts w:ascii="Calibri" w:hAnsi="Calibri"/>
          <w:color w:val="auto"/>
          <w:sz w:val="32"/>
          <w:szCs w:val="32"/>
          <w:highlight w:val="none"/>
        </w:rPr>
      </w:pPr>
      <w:r>
        <w:rPr>
          <w:rFonts w:hint="eastAsia" w:ascii="仿宋_GB2312" w:hAnsi="Calibri" w:eastAsia="仿宋_GB2312"/>
          <w:b/>
          <w:color w:val="auto"/>
          <w:sz w:val="36"/>
          <w:szCs w:val="36"/>
          <w:highlight w:val="none"/>
        </w:rPr>
        <w:t>①</w:t>
      </w:r>
      <w:r>
        <w:rPr>
          <w:rFonts w:hint="eastAsia" w:ascii="Calibri" w:hAnsi="Calibri"/>
          <w:b/>
          <w:color w:val="auto"/>
          <w:sz w:val="36"/>
          <w:szCs w:val="36"/>
          <w:highlight w:val="none"/>
        </w:rPr>
        <w:t>工程量清单报价书（封面）</w:t>
      </w:r>
      <w:r>
        <w:rPr>
          <w:rFonts w:hint="eastAsia" w:ascii="Calibri" w:hAnsi="Calibri"/>
          <w:color w:val="auto"/>
          <w:sz w:val="32"/>
          <w:szCs w:val="32"/>
          <w:highlight w:val="none"/>
          <w:vertAlign w:val="superscript"/>
        </w:rPr>
        <w:t>1</w:t>
      </w:r>
    </w:p>
    <w:p w14:paraId="6E8234DA">
      <w:pPr>
        <w:jc w:val="center"/>
        <w:rPr>
          <w:rFonts w:ascii="Calibri" w:hAnsi="Calibri"/>
          <w:b/>
          <w:color w:val="auto"/>
          <w:sz w:val="32"/>
          <w:szCs w:val="32"/>
          <w:highlight w:val="none"/>
        </w:rPr>
      </w:pPr>
    </w:p>
    <w:p w14:paraId="66EE101D">
      <w:pPr>
        <w:ind w:firstLine="643" w:firstLineChars="200"/>
        <w:jc w:val="center"/>
        <w:rPr>
          <w:rFonts w:ascii="Calibri" w:hAnsi="Calibri"/>
          <w:b/>
          <w:color w:val="auto"/>
          <w:sz w:val="32"/>
          <w:szCs w:val="32"/>
          <w:highlight w:val="none"/>
        </w:rPr>
      </w:pPr>
      <w:r>
        <w:rPr>
          <w:rFonts w:hint="eastAsia" w:ascii="Calibri" w:hAnsi="Calibri"/>
          <w:b/>
          <w:color w:val="auto"/>
          <w:sz w:val="32"/>
          <w:szCs w:val="32"/>
          <w:highlight w:val="none"/>
        </w:rPr>
        <w:t>投标总价</w:t>
      </w:r>
    </w:p>
    <w:p w14:paraId="1CAA5DB5">
      <w:pPr>
        <w:spacing w:line="800" w:lineRule="exact"/>
        <w:ind w:firstLine="640" w:firstLineChars="200"/>
        <w:rPr>
          <w:rFonts w:ascii="Calibri" w:hAnsi="Calibri"/>
          <w:color w:val="auto"/>
          <w:sz w:val="32"/>
          <w:szCs w:val="32"/>
          <w:highlight w:val="none"/>
          <w:u w:val="single"/>
        </w:rPr>
      </w:pPr>
      <w:r>
        <w:rPr>
          <w:rFonts w:hint="eastAsia" w:ascii="Calibri" w:hAnsi="Calibri"/>
          <w:color w:val="auto"/>
          <w:sz w:val="32"/>
          <w:szCs w:val="32"/>
          <w:highlight w:val="none"/>
        </w:rPr>
        <w:t>招标人：</w:t>
      </w:r>
      <w:r>
        <w:rPr>
          <w:rFonts w:hint="eastAsia" w:ascii="Calibri" w:hAnsi="Calibri"/>
          <w:color w:val="auto"/>
          <w:sz w:val="32"/>
          <w:szCs w:val="32"/>
          <w:highlight w:val="none"/>
          <w:u w:val="single"/>
        </w:rPr>
        <w:t xml:space="preserve">                                                 </w:t>
      </w:r>
    </w:p>
    <w:p w14:paraId="58F00EC6">
      <w:pPr>
        <w:spacing w:line="800" w:lineRule="exact"/>
        <w:ind w:firstLine="640" w:firstLineChars="200"/>
        <w:rPr>
          <w:rFonts w:ascii="Calibri" w:hAnsi="Calibri"/>
          <w:color w:val="auto"/>
          <w:sz w:val="32"/>
          <w:szCs w:val="32"/>
          <w:highlight w:val="none"/>
        </w:rPr>
      </w:pPr>
      <w:r>
        <w:rPr>
          <w:rFonts w:hint="eastAsia" w:ascii="Calibri" w:hAnsi="Calibri"/>
          <w:color w:val="auto"/>
          <w:sz w:val="32"/>
          <w:szCs w:val="32"/>
          <w:highlight w:val="none"/>
        </w:rPr>
        <w:t>工程名称：</w:t>
      </w:r>
      <w:r>
        <w:rPr>
          <w:rFonts w:hint="eastAsia" w:ascii="Calibri" w:hAnsi="Calibri"/>
          <w:color w:val="auto"/>
          <w:sz w:val="32"/>
          <w:szCs w:val="32"/>
          <w:highlight w:val="none"/>
          <w:u w:val="single"/>
        </w:rPr>
        <w:t xml:space="preserve">                                               </w:t>
      </w:r>
    </w:p>
    <w:p w14:paraId="519A48A0">
      <w:pPr>
        <w:spacing w:line="800" w:lineRule="exact"/>
        <w:ind w:firstLine="640" w:firstLineChars="200"/>
        <w:rPr>
          <w:rFonts w:ascii="Calibri" w:hAnsi="Calibri"/>
          <w:color w:val="auto"/>
          <w:sz w:val="32"/>
          <w:szCs w:val="32"/>
          <w:highlight w:val="none"/>
          <w:u w:val="single"/>
        </w:rPr>
      </w:pPr>
      <w:r>
        <w:rPr>
          <w:rFonts w:hint="eastAsia" w:ascii="Calibri" w:hAnsi="Calibri"/>
          <w:color w:val="auto"/>
          <w:sz w:val="32"/>
          <w:szCs w:val="32"/>
          <w:highlight w:val="none"/>
        </w:rPr>
        <w:t>投标总价（小写）：</w:t>
      </w:r>
      <w:r>
        <w:rPr>
          <w:rFonts w:hint="eastAsia" w:ascii="Calibri" w:hAnsi="Calibri"/>
          <w:color w:val="auto"/>
          <w:sz w:val="32"/>
          <w:szCs w:val="32"/>
          <w:highlight w:val="none"/>
          <w:u w:val="single"/>
        </w:rPr>
        <w:t xml:space="preserve">                                       </w:t>
      </w:r>
    </w:p>
    <w:p w14:paraId="3D92C1C0">
      <w:pPr>
        <w:spacing w:line="800" w:lineRule="exact"/>
        <w:ind w:firstLine="1920" w:firstLineChars="600"/>
        <w:rPr>
          <w:rFonts w:ascii="Calibri" w:hAnsi="Calibri"/>
          <w:color w:val="auto"/>
          <w:sz w:val="32"/>
          <w:szCs w:val="32"/>
          <w:highlight w:val="none"/>
        </w:rPr>
      </w:pPr>
      <w:r>
        <w:rPr>
          <w:rFonts w:hint="eastAsia" w:ascii="Calibri" w:hAnsi="Calibri"/>
          <w:color w:val="auto"/>
          <w:sz w:val="32"/>
          <w:szCs w:val="32"/>
          <w:highlight w:val="none"/>
        </w:rPr>
        <w:t>（大写）：</w:t>
      </w:r>
      <w:r>
        <w:rPr>
          <w:rFonts w:hint="eastAsia" w:ascii="Calibri" w:hAnsi="Calibri"/>
          <w:color w:val="auto"/>
          <w:sz w:val="32"/>
          <w:szCs w:val="32"/>
          <w:highlight w:val="none"/>
          <w:u w:val="single"/>
        </w:rPr>
        <w:t xml:space="preserve">                                       </w:t>
      </w:r>
    </w:p>
    <w:p w14:paraId="635AC24C">
      <w:pPr>
        <w:spacing w:line="800" w:lineRule="exact"/>
        <w:ind w:firstLine="640" w:firstLineChars="200"/>
        <w:rPr>
          <w:rFonts w:ascii="Calibri" w:hAnsi="Calibri"/>
          <w:color w:val="auto"/>
          <w:sz w:val="32"/>
          <w:szCs w:val="32"/>
          <w:highlight w:val="none"/>
        </w:rPr>
      </w:pPr>
    </w:p>
    <w:p w14:paraId="188F9E19">
      <w:pPr>
        <w:spacing w:line="800" w:lineRule="exact"/>
        <w:ind w:firstLine="640" w:firstLineChars="200"/>
        <w:rPr>
          <w:rFonts w:ascii="Calibri" w:hAnsi="Calibri"/>
          <w:color w:val="auto"/>
          <w:sz w:val="32"/>
          <w:szCs w:val="32"/>
          <w:highlight w:val="none"/>
        </w:rPr>
      </w:pPr>
      <w:r>
        <w:rPr>
          <w:rFonts w:hint="eastAsia" w:ascii="Calibri" w:hAnsi="Calibri"/>
          <w:color w:val="auto"/>
          <w:sz w:val="32"/>
          <w:szCs w:val="32"/>
          <w:highlight w:val="none"/>
        </w:rPr>
        <w:t>投 标 人：</w:t>
      </w:r>
      <w:r>
        <w:rPr>
          <w:rFonts w:hint="eastAsia" w:ascii="Calibri" w:hAnsi="Calibri"/>
          <w:color w:val="auto"/>
          <w:sz w:val="32"/>
          <w:szCs w:val="32"/>
          <w:highlight w:val="none"/>
          <w:u w:val="single"/>
        </w:rPr>
        <w:t xml:space="preserve">                                     </w:t>
      </w:r>
      <w:r>
        <w:rPr>
          <w:rFonts w:hint="eastAsia" w:ascii="Calibri" w:hAnsi="Calibri"/>
          <w:color w:val="auto"/>
          <w:sz w:val="32"/>
          <w:szCs w:val="32"/>
          <w:highlight w:val="none"/>
        </w:rPr>
        <w:t xml:space="preserve"> (单位盖章)</w:t>
      </w:r>
    </w:p>
    <w:p w14:paraId="7F2367A6">
      <w:pPr>
        <w:spacing w:line="800" w:lineRule="exact"/>
        <w:ind w:firstLine="640" w:firstLineChars="200"/>
        <w:rPr>
          <w:rFonts w:ascii="Calibri" w:hAnsi="Calibri"/>
          <w:color w:val="auto"/>
          <w:sz w:val="32"/>
          <w:szCs w:val="32"/>
          <w:highlight w:val="none"/>
        </w:rPr>
      </w:pPr>
    </w:p>
    <w:p w14:paraId="49EFE411">
      <w:pPr>
        <w:spacing w:line="800" w:lineRule="exact"/>
        <w:ind w:firstLine="640" w:firstLineChars="200"/>
        <w:rPr>
          <w:rFonts w:ascii="Calibri" w:hAnsi="Calibri"/>
          <w:color w:val="auto"/>
          <w:sz w:val="32"/>
          <w:szCs w:val="32"/>
          <w:highlight w:val="none"/>
        </w:rPr>
      </w:pPr>
      <w:r>
        <w:rPr>
          <w:rFonts w:hint="eastAsia" w:ascii="Calibri" w:hAnsi="Calibri"/>
          <w:color w:val="auto"/>
          <w:sz w:val="32"/>
          <w:szCs w:val="32"/>
          <w:highlight w:val="none"/>
        </w:rPr>
        <w:t>法定代表人：</w:t>
      </w:r>
      <w:r>
        <w:rPr>
          <w:rFonts w:hint="eastAsia" w:ascii="Calibri" w:hAnsi="Calibri"/>
          <w:color w:val="auto"/>
          <w:sz w:val="32"/>
          <w:szCs w:val="32"/>
          <w:highlight w:val="none"/>
          <w:u w:val="single"/>
        </w:rPr>
        <w:t xml:space="preserve">                                 </w:t>
      </w:r>
      <w:r>
        <w:rPr>
          <w:rFonts w:hint="eastAsia" w:ascii="Calibri" w:hAnsi="Calibri"/>
          <w:color w:val="auto"/>
          <w:sz w:val="32"/>
          <w:szCs w:val="32"/>
          <w:highlight w:val="none"/>
        </w:rPr>
        <w:t xml:space="preserve"> (签字或盖章)</w:t>
      </w:r>
    </w:p>
    <w:p w14:paraId="3E438E35">
      <w:pPr>
        <w:spacing w:line="800" w:lineRule="exact"/>
        <w:ind w:firstLine="640" w:firstLineChars="200"/>
        <w:rPr>
          <w:rFonts w:ascii="Calibri" w:hAnsi="Calibri"/>
          <w:color w:val="auto"/>
          <w:sz w:val="32"/>
          <w:szCs w:val="32"/>
          <w:highlight w:val="none"/>
        </w:rPr>
      </w:pPr>
    </w:p>
    <w:p w14:paraId="5FEB631C">
      <w:pPr>
        <w:spacing w:line="800" w:lineRule="exact"/>
        <w:ind w:firstLine="640" w:firstLineChars="200"/>
        <w:rPr>
          <w:rFonts w:ascii="Calibri" w:hAnsi="Calibri"/>
          <w:color w:val="auto"/>
          <w:sz w:val="32"/>
          <w:szCs w:val="32"/>
          <w:highlight w:val="none"/>
          <w:u w:val="single"/>
        </w:rPr>
      </w:pPr>
      <w:r>
        <w:rPr>
          <w:rFonts w:hint="eastAsia" w:ascii="Calibri" w:hAnsi="Calibri"/>
          <w:color w:val="auto"/>
          <w:sz w:val="32"/>
          <w:szCs w:val="32"/>
          <w:highlight w:val="none"/>
        </w:rPr>
        <w:t>编制人：</w:t>
      </w:r>
      <w:r>
        <w:rPr>
          <w:rFonts w:hint="eastAsia" w:ascii="Calibri" w:hAnsi="Calibri"/>
          <w:color w:val="auto"/>
          <w:sz w:val="32"/>
          <w:szCs w:val="32"/>
          <w:highlight w:val="none"/>
          <w:u w:val="single"/>
        </w:rPr>
        <w:t xml:space="preserve">                                                 </w:t>
      </w:r>
    </w:p>
    <w:p w14:paraId="1620A29E">
      <w:pPr>
        <w:spacing w:line="800" w:lineRule="exact"/>
        <w:ind w:firstLine="2720" w:firstLineChars="850"/>
        <w:rPr>
          <w:rFonts w:ascii="Calibri" w:hAnsi="Calibri"/>
          <w:color w:val="auto"/>
          <w:sz w:val="32"/>
          <w:szCs w:val="32"/>
          <w:highlight w:val="none"/>
          <w:u w:val="single"/>
        </w:rPr>
      </w:pPr>
      <w:r>
        <w:rPr>
          <w:rFonts w:hint="eastAsia" w:ascii="Calibri" w:hAnsi="Calibri"/>
          <w:color w:val="auto"/>
          <w:sz w:val="32"/>
          <w:szCs w:val="32"/>
          <w:highlight w:val="none"/>
        </w:rPr>
        <w:t xml:space="preserve"> (注册造价工程师签字并盖执业专用章)</w:t>
      </w:r>
    </w:p>
    <w:p w14:paraId="0083D273">
      <w:pPr>
        <w:spacing w:line="800" w:lineRule="exact"/>
        <w:ind w:firstLine="640" w:firstLineChars="200"/>
        <w:rPr>
          <w:rFonts w:ascii="Calibri" w:hAnsi="Calibri"/>
          <w:color w:val="auto"/>
          <w:sz w:val="32"/>
          <w:szCs w:val="32"/>
          <w:highlight w:val="none"/>
        </w:rPr>
      </w:pPr>
    </w:p>
    <w:p w14:paraId="59AC7A15">
      <w:pPr>
        <w:spacing w:line="800" w:lineRule="exact"/>
        <w:ind w:firstLine="640" w:firstLineChars="200"/>
        <w:rPr>
          <w:rFonts w:ascii="Calibri" w:hAnsi="Calibri"/>
          <w:color w:val="auto"/>
          <w:sz w:val="32"/>
          <w:szCs w:val="32"/>
          <w:highlight w:val="none"/>
        </w:rPr>
      </w:pPr>
      <w:r>
        <w:rPr>
          <w:rFonts w:hint="eastAsia" w:ascii="Calibri" w:hAnsi="Calibri"/>
          <w:color w:val="auto"/>
          <w:sz w:val="32"/>
          <w:szCs w:val="32"/>
          <w:highlight w:val="none"/>
        </w:rPr>
        <w:t>编制时间：</w:t>
      </w:r>
      <w:r>
        <w:rPr>
          <w:rFonts w:hint="eastAsia" w:ascii="Calibri" w:hAnsi="Calibri"/>
          <w:color w:val="auto"/>
          <w:sz w:val="32"/>
          <w:szCs w:val="32"/>
          <w:highlight w:val="none"/>
          <w:u w:val="single"/>
        </w:rPr>
        <w:t xml:space="preserve">             </w:t>
      </w:r>
      <w:r>
        <w:rPr>
          <w:rFonts w:hint="eastAsia" w:ascii="Calibri" w:hAnsi="Calibri"/>
          <w:color w:val="auto"/>
          <w:sz w:val="32"/>
          <w:szCs w:val="32"/>
          <w:highlight w:val="none"/>
        </w:rPr>
        <w:t>年</w:t>
      </w:r>
      <w:r>
        <w:rPr>
          <w:rFonts w:hint="eastAsia" w:ascii="Calibri" w:hAnsi="Calibri"/>
          <w:color w:val="auto"/>
          <w:sz w:val="32"/>
          <w:szCs w:val="32"/>
          <w:highlight w:val="none"/>
          <w:u w:val="single"/>
        </w:rPr>
        <w:t xml:space="preserve">          </w:t>
      </w:r>
      <w:r>
        <w:rPr>
          <w:rFonts w:hint="eastAsia" w:ascii="Calibri" w:hAnsi="Calibri"/>
          <w:color w:val="auto"/>
          <w:sz w:val="32"/>
          <w:szCs w:val="32"/>
          <w:highlight w:val="none"/>
        </w:rPr>
        <w:t>月</w:t>
      </w:r>
      <w:r>
        <w:rPr>
          <w:rFonts w:hint="eastAsia" w:ascii="Calibri" w:hAnsi="Calibri"/>
          <w:color w:val="auto"/>
          <w:sz w:val="32"/>
          <w:szCs w:val="32"/>
          <w:highlight w:val="none"/>
          <w:u w:val="single"/>
        </w:rPr>
        <w:t xml:space="preserve">          </w:t>
      </w:r>
      <w:r>
        <w:rPr>
          <w:rFonts w:hint="eastAsia" w:ascii="Calibri" w:hAnsi="Calibri"/>
          <w:color w:val="auto"/>
          <w:sz w:val="32"/>
          <w:szCs w:val="32"/>
          <w:highlight w:val="none"/>
        </w:rPr>
        <w:t>日</w:t>
      </w:r>
    </w:p>
    <w:p w14:paraId="67C5D301">
      <w:pPr>
        <w:rPr>
          <w:rFonts w:ascii="Calibri" w:hAnsi="Calibri"/>
          <w:color w:val="auto"/>
          <w:sz w:val="32"/>
          <w:szCs w:val="32"/>
          <w:highlight w:val="none"/>
        </w:rPr>
      </w:pPr>
    </w:p>
    <w:p w14:paraId="20AA3C4F">
      <w:pPr>
        <w:rPr>
          <w:rFonts w:ascii="宋体" w:hAnsi="宋体"/>
          <w:color w:val="auto"/>
          <w:sz w:val="18"/>
          <w:szCs w:val="18"/>
          <w:highlight w:val="none"/>
        </w:rPr>
      </w:pPr>
      <w:r>
        <w:rPr>
          <w:rFonts w:hint="eastAsia" w:ascii="宋体" w:hAnsi="宋体"/>
          <w:color w:val="auto"/>
          <w:sz w:val="18"/>
          <w:szCs w:val="18"/>
          <w:highlight w:val="none"/>
        </w:rPr>
        <w:t>1注：投标文件格式中工程量清单报价书（封面）及投标报价编制人信息表与投标文件制作工具导出文件不一致的，以投标文件格式文件为准。</w:t>
      </w:r>
    </w:p>
    <w:p w14:paraId="42265489">
      <w:pPr>
        <w:jc w:val="center"/>
        <w:rPr>
          <w:rFonts w:hint="eastAsia" w:ascii="宋体" w:hAnsi="宋体"/>
          <w:color w:val="auto"/>
          <w:sz w:val="32"/>
          <w:szCs w:val="32"/>
          <w:highlight w:val="none"/>
        </w:rPr>
      </w:pPr>
    </w:p>
    <w:p w14:paraId="218BBE7E">
      <w:pPr>
        <w:rPr>
          <w:rFonts w:hint="eastAsia" w:ascii="宋体" w:hAnsi="宋体"/>
          <w:color w:val="auto"/>
          <w:sz w:val="32"/>
          <w:szCs w:val="32"/>
          <w:highlight w:val="none"/>
        </w:rPr>
      </w:pPr>
    </w:p>
    <w:p w14:paraId="0A60F9FB">
      <w:pPr>
        <w:jc w:val="center"/>
        <w:rPr>
          <w:rFonts w:hint="eastAsia" w:ascii="宋体" w:hAnsi="宋体"/>
          <w:color w:val="auto"/>
          <w:sz w:val="32"/>
          <w:szCs w:val="32"/>
          <w:highlight w:val="none"/>
        </w:rPr>
      </w:pPr>
    </w:p>
    <w:p w14:paraId="328CC7A4">
      <w:pPr>
        <w:jc w:val="center"/>
        <w:rPr>
          <w:rFonts w:ascii="Calibri" w:hAnsi="Calibri"/>
          <w:color w:val="auto"/>
          <w:sz w:val="32"/>
          <w:szCs w:val="32"/>
          <w:highlight w:val="none"/>
        </w:rPr>
      </w:pPr>
      <w:r>
        <w:rPr>
          <w:rFonts w:hint="eastAsia" w:ascii="宋体" w:hAnsi="宋体"/>
          <w:color w:val="auto"/>
          <w:sz w:val="32"/>
          <w:szCs w:val="32"/>
          <w:highlight w:val="none"/>
        </w:rPr>
        <w:t>②</w:t>
      </w:r>
      <w:r>
        <w:rPr>
          <w:rFonts w:hint="eastAsia" w:ascii="Calibri" w:hAnsi="Calibri"/>
          <w:color w:val="auto"/>
          <w:sz w:val="32"/>
          <w:szCs w:val="32"/>
          <w:highlight w:val="none"/>
        </w:rPr>
        <w:t>投标报价编制人信息表</w:t>
      </w:r>
      <w:r>
        <w:rPr>
          <w:rFonts w:hint="eastAsia" w:ascii="Calibri" w:hAnsi="Calibri"/>
          <w:color w:val="auto"/>
          <w:sz w:val="32"/>
          <w:szCs w:val="32"/>
          <w:highlight w:val="none"/>
          <w:vertAlign w:val="superscript"/>
        </w:rPr>
        <w:t>1</w:t>
      </w:r>
    </w:p>
    <w:p w14:paraId="0EAAF277">
      <w:pPr>
        <w:jc w:val="center"/>
        <w:rPr>
          <w:rFonts w:ascii="Calibri" w:hAnsi="Calibri"/>
          <w:color w:val="auto"/>
          <w:sz w:val="32"/>
          <w:szCs w:val="32"/>
          <w:highlight w:val="none"/>
        </w:rPr>
      </w:pPr>
    </w:p>
    <w:tbl>
      <w:tblPr>
        <w:tblStyle w:val="20"/>
        <w:tblW w:w="102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216"/>
        <w:gridCol w:w="2951"/>
        <w:gridCol w:w="1737"/>
        <w:gridCol w:w="1563"/>
        <w:gridCol w:w="1967"/>
      </w:tblGrid>
      <w:tr w14:paraId="408B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827" w:type="dxa"/>
            <w:noWrap w:val="0"/>
            <w:vAlign w:val="center"/>
          </w:tcPr>
          <w:p w14:paraId="49772963">
            <w:pPr>
              <w:jc w:val="center"/>
              <w:rPr>
                <w:rFonts w:ascii="Calibri" w:hAnsi="Calibri"/>
                <w:color w:val="auto"/>
                <w:szCs w:val="22"/>
                <w:highlight w:val="none"/>
              </w:rPr>
            </w:pPr>
            <w:r>
              <w:rPr>
                <w:rFonts w:hint="eastAsia" w:ascii="Calibri" w:hAnsi="Calibri"/>
                <w:color w:val="auto"/>
                <w:szCs w:val="22"/>
                <w:highlight w:val="none"/>
              </w:rPr>
              <w:t>序号</w:t>
            </w:r>
          </w:p>
        </w:tc>
        <w:tc>
          <w:tcPr>
            <w:tcW w:w="1216" w:type="dxa"/>
            <w:noWrap w:val="0"/>
            <w:vAlign w:val="center"/>
          </w:tcPr>
          <w:p w14:paraId="6D4E6611">
            <w:pPr>
              <w:jc w:val="center"/>
              <w:rPr>
                <w:rFonts w:ascii="Calibri" w:hAnsi="Calibri"/>
                <w:color w:val="auto"/>
                <w:szCs w:val="22"/>
                <w:highlight w:val="none"/>
              </w:rPr>
            </w:pPr>
            <w:r>
              <w:rPr>
                <w:rFonts w:hint="eastAsia" w:ascii="Calibri" w:hAnsi="Calibri"/>
                <w:color w:val="auto"/>
                <w:szCs w:val="22"/>
                <w:highlight w:val="none"/>
              </w:rPr>
              <w:t>姓名</w:t>
            </w:r>
          </w:p>
        </w:tc>
        <w:tc>
          <w:tcPr>
            <w:tcW w:w="2951" w:type="dxa"/>
            <w:noWrap w:val="0"/>
            <w:vAlign w:val="center"/>
          </w:tcPr>
          <w:p w14:paraId="45B23A38">
            <w:pPr>
              <w:jc w:val="center"/>
              <w:rPr>
                <w:rFonts w:ascii="Calibri" w:hAnsi="Calibri"/>
                <w:color w:val="auto"/>
                <w:szCs w:val="22"/>
                <w:highlight w:val="none"/>
              </w:rPr>
            </w:pPr>
            <w:r>
              <w:rPr>
                <w:rFonts w:hint="eastAsia" w:ascii="Calibri" w:hAnsi="Calibri"/>
                <w:color w:val="auto"/>
                <w:szCs w:val="22"/>
                <w:highlight w:val="none"/>
              </w:rPr>
              <w:t>身份证号码</w:t>
            </w:r>
          </w:p>
        </w:tc>
        <w:tc>
          <w:tcPr>
            <w:tcW w:w="1737" w:type="dxa"/>
            <w:noWrap w:val="0"/>
            <w:vAlign w:val="center"/>
          </w:tcPr>
          <w:p w14:paraId="4BDECA07">
            <w:pPr>
              <w:jc w:val="center"/>
              <w:rPr>
                <w:rFonts w:ascii="Calibri" w:hAnsi="Calibri"/>
                <w:color w:val="auto"/>
                <w:szCs w:val="22"/>
                <w:highlight w:val="none"/>
              </w:rPr>
            </w:pPr>
            <w:r>
              <w:rPr>
                <w:rFonts w:hint="eastAsia" w:ascii="Calibri" w:hAnsi="Calibri"/>
                <w:color w:val="auto"/>
                <w:szCs w:val="22"/>
                <w:highlight w:val="none"/>
              </w:rPr>
              <w:t>手机号码</w:t>
            </w:r>
          </w:p>
        </w:tc>
        <w:tc>
          <w:tcPr>
            <w:tcW w:w="1563" w:type="dxa"/>
            <w:noWrap w:val="0"/>
            <w:vAlign w:val="center"/>
          </w:tcPr>
          <w:p w14:paraId="17C9E95F">
            <w:pPr>
              <w:jc w:val="center"/>
              <w:rPr>
                <w:rFonts w:ascii="Calibri" w:hAnsi="Calibri"/>
                <w:color w:val="auto"/>
                <w:szCs w:val="22"/>
                <w:highlight w:val="none"/>
              </w:rPr>
            </w:pPr>
            <w:r>
              <w:rPr>
                <w:rFonts w:hint="eastAsia" w:ascii="Calibri" w:hAnsi="Calibri"/>
                <w:color w:val="auto"/>
                <w:szCs w:val="22"/>
                <w:highlight w:val="none"/>
              </w:rPr>
              <w:t>单位名称</w:t>
            </w:r>
          </w:p>
        </w:tc>
        <w:tc>
          <w:tcPr>
            <w:tcW w:w="1967" w:type="dxa"/>
            <w:noWrap w:val="0"/>
            <w:vAlign w:val="center"/>
          </w:tcPr>
          <w:p w14:paraId="1F67B8A4">
            <w:pPr>
              <w:jc w:val="center"/>
              <w:rPr>
                <w:rFonts w:ascii="Calibri" w:hAnsi="Calibri"/>
                <w:color w:val="auto"/>
                <w:szCs w:val="22"/>
                <w:highlight w:val="none"/>
              </w:rPr>
            </w:pPr>
            <w:r>
              <w:rPr>
                <w:rFonts w:hint="eastAsia" w:ascii="Calibri" w:hAnsi="Calibri"/>
                <w:color w:val="auto"/>
                <w:szCs w:val="22"/>
                <w:highlight w:val="none"/>
              </w:rPr>
              <w:t>注册造价工程师注册证书号</w:t>
            </w:r>
          </w:p>
        </w:tc>
      </w:tr>
      <w:tr w14:paraId="18EC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827" w:type="dxa"/>
            <w:noWrap w:val="0"/>
            <w:vAlign w:val="center"/>
          </w:tcPr>
          <w:p w14:paraId="1CA935B3">
            <w:pPr>
              <w:jc w:val="center"/>
              <w:rPr>
                <w:rFonts w:ascii="Calibri" w:hAnsi="Calibri"/>
                <w:color w:val="auto"/>
                <w:szCs w:val="22"/>
                <w:highlight w:val="none"/>
              </w:rPr>
            </w:pPr>
          </w:p>
        </w:tc>
        <w:tc>
          <w:tcPr>
            <w:tcW w:w="1216" w:type="dxa"/>
            <w:noWrap w:val="0"/>
            <w:vAlign w:val="center"/>
          </w:tcPr>
          <w:p w14:paraId="166B5483">
            <w:pPr>
              <w:jc w:val="center"/>
              <w:rPr>
                <w:rFonts w:ascii="Calibri" w:hAnsi="Calibri"/>
                <w:color w:val="auto"/>
                <w:szCs w:val="22"/>
                <w:highlight w:val="none"/>
              </w:rPr>
            </w:pPr>
          </w:p>
        </w:tc>
        <w:tc>
          <w:tcPr>
            <w:tcW w:w="2951" w:type="dxa"/>
            <w:noWrap w:val="0"/>
            <w:vAlign w:val="center"/>
          </w:tcPr>
          <w:p w14:paraId="4AD91DA5">
            <w:pPr>
              <w:jc w:val="center"/>
              <w:rPr>
                <w:rFonts w:ascii="Calibri" w:hAnsi="Calibri"/>
                <w:color w:val="auto"/>
                <w:szCs w:val="22"/>
                <w:highlight w:val="none"/>
              </w:rPr>
            </w:pPr>
          </w:p>
        </w:tc>
        <w:tc>
          <w:tcPr>
            <w:tcW w:w="1737" w:type="dxa"/>
            <w:noWrap w:val="0"/>
            <w:vAlign w:val="center"/>
          </w:tcPr>
          <w:p w14:paraId="03FF50F9">
            <w:pPr>
              <w:jc w:val="center"/>
              <w:rPr>
                <w:rFonts w:ascii="Calibri" w:hAnsi="Calibri"/>
                <w:color w:val="auto"/>
                <w:szCs w:val="22"/>
                <w:highlight w:val="none"/>
              </w:rPr>
            </w:pPr>
          </w:p>
        </w:tc>
        <w:tc>
          <w:tcPr>
            <w:tcW w:w="1563" w:type="dxa"/>
            <w:noWrap w:val="0"/>
            <w:vAlign w:val="center"/>
          </w:tcPr>
          <w:p w14:paraId="2F67F8C6">
            <w:pPr>
              <w:jc w:val="center"/>
              <w:rPr>
                <w:rFonts w:ascii="Calibri" w:hAnsi="Calibri"/>
                <w:color w:val="auto"/>
                <w:szCs w:val="22"/>
                <w:highlight w:val="none"/>
              </w:rPr>
            </w:pPr>
          </w:p>
        </w:tc>
        <w:tc>
          <w:tcPr>
            <w:tcW w:w="1967" w:type="dxa"/>
            <w:noWrap w:val="0"/>
            <w:vAlign w:val="center"/>
          </w:tcPr>
          <w:p w14:paraId="36FC1EB8">
            <w:pPr>
              <w:jc w:val="center"/>
              <w:rPr>
                <w:rFonts w:ascii="Calibri" w:hAnsi="Calibri"/>
                <w:color w:val="auto"/>
                <w:szCs w:val="22"/>
                <w:highlight w:val="none"/>
              </w:rPr>
            </w:pPr>
          </w:p>
        </w:tc>
      </w:tr>
      <w:tr w14:paraId="131F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827" w:type="dxa"/>
            <w:noWrap w:val="0"/>
            <w:vAlign w:val="center"/>
          </w:tcPr>
          <w:p w14:paraId="362DE1FE">
            <w:pPr>
              <w:jc w:val="center"/>
              <w:rPr>
                <w:rFonts w:ascii="Calibri" w:hAnsi="Calibri"/>
                <w:color w:val="auto"/>
                <w:szCs w:val="22"/>
                <w:highlight w:val="none"/>
              </w:rPr>
            </w:pPr>
          </w:p>
        </w:tc>
        <w:tc>
          <w:tcPr>
            <w:tcW w:w="1216" w:type="dxa"/>
            <w:noWrap w:val="0"/>
            <w:vAlign w:val="center"/>
          </w:tcPr>
          <w:p w14:paraId="3966F69B">
            <w:pPr>
              <w:jc w:val="center"/>
              <w:rPr>
                <w:rFonts w:ascii="Calibri" w:hAnsi="Calibri"/>
                <w:color w:val="auto"/>
                <w:szCs w:val="22"/>
                <w:highlight w:val="none"/>
              </w:rPr>
            </w:pPr>
          </w:p>
        </w:tc>
        <w:tc>
          <w:tcPr>
            <w:tcW w:w="2951" w:type="dxa"/>
            <w:noWrap w:val="0"/>
            <w:vAlign w:val="center"/>
          </w:tcPr>
          <w:p w14:paraId="520B62BD">
            <w:pPr>
              <w:jc w:val="center"/>
              <w:rPr>
                <w:rFonts w:ascii="Calibri" w:hAnsi="Calibri"/>
                <w:color w:val="auto"/>
                <w:szCs w:val="22"/>
                <w:highlight w:val="none"/>
              </w:rPr>
            </w:pPr>
          </w:p>
        </w:tc>
        <w:tc>
          <w:tcPr>
            <w:tcW w:w="1737" w:type="dxa"/>
            <w:noWrap w:val="0"/>
            <w:vAlign w:val="center"/>
          </w:tcPr>
          <w:p w14:paraId="07FD00B2">
            <w:pPr>
              <w:jc w:val="center"/>
              <w:rPr>
                <w:rFonts w:ascii="Calibri" w:hAnsi="Calibri"/>
                <w:color w:val="auto"/>
                <w:szCs w:val="22"/>
                <w:highlight w:val="none"/>
              </w:rPr>
            </w:pPr>
          </w:p>
        </w:tc>
        <w:tc>
          <w:tcPr>
            <w:tcW w:w="1563" w:type="dxa"/>
            <w:noWrap w:val="0"/>
            <w:vAlign w:val="center"/>
          </w:tcPr>
          <w:p w14:paraId="698FC272">
            <w:pPr>
              <w:jc w:val="center"/>
              <w:rPr>
                <w:rFonts w:ascii="Calibri" w:hAnsi="Calibri"/>
                <w:color w:val="auto"/>
                <w:szCs w:val="22"/>
                <w:highlight w:val="none"/>
              </w:rPr>
            </w:pPr>
          </w:p>
        </w:tc>
        <w:tc>
          <w:tcPr>
            <w:tcW w:w="1967" w:type="dxa"/>
            <w:noWrap w:val="0"/>
            <w:vAlign w:val="center"/>
          </w:tcPr>
          <w:p w14:paraId="3AE175BE">
            <w:pPr>
              <w:jc w:val="center"/>
              <w:rPr>
                <w:rFonts w:ascii="Calibri" w:hAnsi="Calibri"/>
                <w:color w:val="auto"/>
                <w:szCs w:val="22"/>
                <w:highlight w:val="none"/>
              </w:rPr>
            </w:pPr>
          </w:p>
        </w:tc>
      </w:tr>
    </w:tbl>
    <w:p w14:paraId="0E3D820A">
      <w:pPr>
        <w:rPr>
          <w:rFonts w:ascii="宋体" w:hAnsi="宋体"/>
          <w:b/>
          <w:color w:val="auto"/>
          <w:sz w:val="24"/>
          <w:highlight w:val="none"/>
        </w:rPr>
      </w:pPr>
    </w:p>
    <w:p w14:paraId="6C9BCC1D">
      <w:pPr>
        <w:spacing w:line="560" w:lineRule="exact"/>
        <w:rPr>
          <w:rFonts w:ascii="宋体" w:hAnsi="宋体"/>
          <w:b/>
          <w:color w:val="auto"/>
          <w:sz w:val="24"/>
          <w:highlight w:val="none"/>
        </w:rPr>
      </w:pPr>
      <w:r>
        <w:rPr>
          <w:rFonts w:hint="eastAsia" w:ascii="宋体" w:hAnsi="宋体"/>
          <w:b/>
          <w:color w:val="auto"/>
          <w:sz w:val="24"/>
          <w:highlight w:val="none"/>
        </w:rPr>
        <w:t>注：</w:t>
      </w:r>
    </w:p>
    <w:p w14:paraId="60A021FC">
      <w:pPr>
        <w:spacing w:line="560" w:lineRule="exact"/>
        <w:rPr>
          <w:rFonts w:ascii="宋体" w:hAnsi="宋体"/>
          <w:color w:val="auto"/>
          <w:sz w:val="24"/>
          <w:highlight w:val="none"/>
        </w:rPr>
      </w:pPr>
      <w:r>
        <w:rPr>
          <w:rFonts w:hint="eastAsia" w:ascii="宋体" w:hAnsi="宋体"/>
          <w:color w:val="auto"/>
          <w:sz w:val="24"/>
          <w:highlight w:val="none"/>
        </w:rPr>
        <w:t>1. 提供投标报价编制人员的注册造价工程师证书扫描件或影印件；</w:t>
      </w:r>
    </w:p>
    <w:p w14:paraId="06C216B7">
      <w:pPr>
        <w:spacing w:line="560" w:lineRule="exact"/>
        <w:rPr>
          <w:rFonts w:ascii="宋体" w:hAnsi="宋体"/>
          <w:color w:val="auto"/>
          <w:sz w:val="24"/>
          <w:highlight w:val="none"/>
        </w:rPr>
      </w:pPr>
      <w:r>
        <w:rPr>
          <w:rFonts w:hint="eastAsia" w:ascii="宋体" w:hAnsi="宋体"/>
          <w:color w:val="auto"/>
          <w:sz w:val="24"/>
          <w:highlight w:val="none"/>
        </w:rPr>
        <w:t>2. 若投标报价编制人员为投标人委托的造价咨询单位注册造价人员，须提供与造价咨询单位签订的委托协议。</w:t>
      </w:r>
    </w:p>
    <w:p w14:paraId="75B24023">
      <w:pPr>
        <w:spacing w:line="560" w:lineRule="exact"/>
        <w:rPr>
          <w:rFonts w:ascii="宋体" w:hAnsi="宋体"/>
          <w:color w:val="auto"/>
          <w:sz w:val="24"/>
          <w:highlight w:val="none"/>
        </w:rPr>
      </w:pPr>
      <w:r>
        <w:rPr>
          <w:rFonts w:hint="eastAsia" w:ascii="宋体" w:hAnsi="宋体"/>
          <w:color w:val="auto"/>
          <w:sz w:val="24"/>
          <w:highlight w:val="none"/>
        </w:rPr>
        <w:t>3. 表格内容将作为公安机关和行政主管部门调查串通投标、允许他人以自己名义从事工程造价业务等违法违规行为的重要依据。</w:t>
      </w:r>
    </w:p>
    <w:p w14:paraId="3DFCBC69">
      <w:pPr>
        <w:spacing w:line="560" w:lineRule="exact"/>
        <w:rPr>
          <w:rFonts w:ascii="宋体" w:hAnsi="宋体"/>
          <w:color w:val="auto"/>
          <w:sz w:val="24"/>
          <w:highlight w:val="none"/>
        </w:rPr>
      </w:pPr>
      <w:r>
        <w:rPr>
          <w:rFonts w:hint="eastAsia" w:ascii="宋体" w:hAnsi="宋体"/>
          <w:color w:val="auto"/>
          <w:sz w:val="24"/>
          <w:highlight w:val="none"/>
        </w:rPr>
        <w:t>4. 投标人填写内容务必真实准确，否则将承担投标失败、中标无效的风险。</w:t>
      </w:r>
    </w:p>
    <w:p w14:paraId="588D194A">
      <w:pPr>
        <w:spacing w:line="560" w:lineRule="exact"/>
        <w:rPr>
          <w:rFonts w:ascii="宋体" w:hAnsi="宋体"/>
          <w:color w:val="auto"/>
          <w:sz w:val="24"/>
          <w:highlight w:val="none"/>
        </w:rPr>
      </w:pPr>
    </w:p>
    <w:p w14:paraId="42FBD1D0">
      <w:pPr>
        <w:spacing w:line="560" w:lineRule="exact"/>
        <w:rPr>
          <w:rFonts w:ascii="宋体" w:hAnsi="宋体"/>
          <w:color w:val="auto"/>
          <w:sz w:val="24"/>
          <w:highlight w:val="none"/>
        </w:rPr>
      </w:pPr>
    </w:p>
    <w:p w14:paraId="7FDD21BD">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③工程量清单报价书正文格式：见2018版“工程量清单计价文件”格式，在滁州市公共资源交易中心网站下载招标文件后，使用投标文件制作工具导出“招标清单文件”，即为“工程量清单计价文件”正文格式。</w:t>
      </w:r>
    </w:p>
    <w:p w14:paraId="51335D31">
      <w:pPr>
        <w:rPr>
          <w:rFonts w:ascii="宋体" w:hAnsi="宋体"/>
          <w:color w:val="auto"/>
          <w:sz w:val="24"/>
          <w:highlight w:val="none"/>
        </w:rPr>
      </w:pPr>
    </w:p>
    <w:p w14:paraId="15799943">
      <w:pPr>
        <w:rPr>
          <w:rFonts w:ascii="宋体" w:hAnsi="宋体"/>
          <w:color w:val="auto"/>
          <w:sz w:val="24"/>
          <w:highlight w:val="none"/>
        </w:rPr>
      </w:pPr>
    </w:p>
    <w:p w14:paraId="189BD04C">
      <w:pPr>
        <w:rPr>
          <w:rFonts w:ascii="宋体" w:hAnsi="宋体"/>
          <w:color w:val="auto"/>
          <w:sz w:val="24"/>
          <w:highlight w:val="none"/>
        </w:rPr>
      </w:pPr>
    </w:p>
    <w:p w14:paraId="7F15C902">
      <w:pPr>
        <w:rPr>
          <w:rFonts w:ascii="宋体" w:hAnsi="宋体"/>
          <w:color w:val="auto"/>
          <w:sz w:val="24"/>
          <w:highlight w:val="none"/>
        </w:rPr>
      </w:pPr>
    </w:p>
    <w:p w14:paraId="221BB27D">
      <w:pPr>
        <w:rPr>
          <w:rFonts w:ascii="宋体" w:hAnsi="宋体"/>
          <w:color w:val="auto"/>
          <w:sz w:val="24"/>
          <w:highlight w:val="none"/>
        </w:rPr>
      </w:pPr>
    </w:p>
    <w:p w14:paraId="1D5A2E28">
      <w:pPr>
        <w:rPr>
          <w:rFonts w:ascii="宋体" w:hAnsi="宋体"/>
          <w:color w:val="auto"/>
          <w:sz w:val="22"/>
          <w:highlight w:val="none"/>
        </w:rPr>
      </w:pPr>
    </w:p>
    <w:p w14:paraId="118605EF">
      <w:pPr>
        <w:rPr>
          <w:rFonts w:ascii="宋体" w:hAnsi="宋体"/>
          <w:color w:val="auto"/>
          <w:sz w:val="18"/>
          <w:highlight w:val="none"/>
        </w:rPr>
      </w:pPr>
      <w:r>
        <w:rPr>
          <w:rFonts w:hint="eastAsia" w:ascii="宋体" w:hAnsi="宋体"/>
          <w:color w:val="auto"/>
          <w:sz w:val="18"/>
          <w:highlight w:val="none"/>
          <w:vertAlign w:val="superscript"/>
        </w:rPr>
        <w:t>1</w:t>
      </w:r>
      <w:r>
        <w:rPr>
          <w:rFonts w:hint="eastAsia" w:ascii="宋体" w:hAnsi="宋体"/>
          <w:color w:val="auto"/>
          <w:sz w:val="18"/>
          <w:highlight w:val="none"/>
        </w:rPr>
        <w:t>注：投标文件格式中工程量清单报价书（封面）及投标报价编制人信息表与投标文件制作工具导出文件不一致的，以投标文件格式文件为准。</w:t>
      </w:r>
    </w:p>
    <w:p w14:paraId="09AC638E">
      <w:pPr>
        <w:jc w:val="center"/>
        <w:rPr>
          <w:rFonts w:hint="eastAsia" w:ascii="Calibri" w:hAnsi="Calibri"/>
          <w:color w:val="auto"/>
          <w:sz w:val="32"/>
          <w:szCs w:val="32"/>
          <w:highlight w:val="none"/>
        </w:rPr>
      </w:pPr>
    </w:p>
    <w:p w14:paraId="37D7694D">
      <w:pPr>
        <w:rPr>
          <w:rFonts w:hint="eastAsia"/>
          <w:color w:val="auto"/>
          <w:highlight w:val="none"/>
        </w:rPr>
      </w:pPr>
      <w:r>
        <w:rPr>
          <w:rFonts w:hint="eastAsia"/>
          <w:color w:val="auto"/>
          <w:highlight w:val="none"/>
        </w:rPr>
        <w:br w:type="page"/>
      </w:r>
    </w:p>
    <w:p w14:paraId="71FDAD1D">
      <w:pPr>
        <w:pStyle w:val="4"/>
        <w:adjustRightInd w:val="0"/>
        <w:snapToGrid w:val="0"/>
        <w:spacing w:before="0" w:after="0" w:line="560" w:lineRule="exact"/>
        <w:jc w:val="center"/>
        <w:rPr>
          <w:color w:val="auto"/>
          <w:highlight w:val="none"/>
        </w:rPr>
      </w:pPr>
      <w:bookmarkStart w:id="1555" w:name="_Toc95223545"/>
      <w:r>
        <w:rPr>
          <w:rFonts w:hint="eastAsia"/>
          <w:color w:val="auto"/>
          <w:highlight w:val="none"/>
        </w:rPr>
        <w:t>（</w:t>
      </w:r>
      <w:r>
        <w:rPr>
          <w:rFonts w:hint="eastAsia"/>
          <w:color w:val="auto"/>
          <w:highlight w:val="none"/>
          <w:lang w:val="en-US" w:eastAsia="zh-CN"/>
        </w:rPr>
        <w:t>3</w:t>
      </w:r>
      <w:r>
        <w:rPr>
          <w:rFonts w:hint="eastAsia"/>
          <w:color w:val="auto"/>
          <w:highlight w:val="none"/>
        </w:rPr>
        <w:t>）</w:t>
      </w:r>
      <w:r>
        <w:rPr>
          <w:color w:val="auto"/>
          <w:highlight w:val="none"/>
        </w:rPr>
        <w:t>招标人推荐的材料品牌响应表</w:t>
      </w:r>
      <w:bookmarkEnd w:id="1555"/>
    </w:p>
    <w:p w14:paraId="36BD03D9">
      <w:pPr>
        <w:pStyle w:val="11"/>
        <w:tabs>
          <w:tab w:val="left" w:pos="6462"/>
          <w:tab w:val="left" w:pos="6988"/>
          <w:tab w:val="left" w:pos="7722"/>
        </w:tabs>
        <w:adjustRightInd w:val="0"/>
        <w:snapToGrid w:val="0"/>
        <w:spacing w:after="0" w:line="560" w:lineRule="exact"/>
        <w:jc w:val="center"/>
        <w:rPr>
          <w:color w:val="auto"/>
          <w:highlight w:val="none"/>
        </w:rPr>
      </w:pPr>
      <w:r>
        <w:rPr>
          <w:color w:val="auto"/>
          <w:highlight w:val="none"/>
        </w:rPr>
        <w:t>工程</w:t>
      </w:r>
      <w:r>
        <w:rPr>
          <w:color w:val="auto"/>
          <w:spacing w:val="-3"/>
          <w:highlight w:val="none"/>
        </w:rPr>
        <w:t>名</w:t>
      </w:r>
      <w:r>
        <w:rPr>
          <w:color w:val="auto"/>
          <w:highlight w:val="none"/>
        </w:rPr>
        <w:t>称：</w:t>
      </w:r>
      <w:r>
        <w:rPr>
          <w:rFonts w:hint="eastAsia"/>
          <w:color w:val="auto"/>
          <w:highlight w:val="none"/>
        </w:rPr>
        <w:t xml:space="preserve"> </w:t>
      </w:r>
      <w:r>
        <w:rPr>
          <w:color w:val="auto"/>
          <w:highlight w:val="none"/>
        </w:rPr>
        <w:tab/>
      </w:r>
      <w:r>
        <w:rPr>
          <w:color w:val="auto"/>
          <w:highlight w:val="none"/>
        </w:rPr>
        <w:t>第</w:t>
      </w:r>
      <w:r>
        <w:rPr>
          <w:color w:val="auto"/>
          <w:highlight w:val="none"/>
        </w:rPr>
        <w:tab/>
      </w:r>
      <w:r>
        <w:rPr>
          <w:color w:val="auto"/>
          <w:spacing w:val="-3"/>
          <w:highlight w:val="none"/>
        </w:rPr>
        <w:t>页</w:t>
      </w:r>
      <w:r>
        <w:rPr>
          <w:color w:val="auto"/>
          <w:highlight w:val="none"/>
        </w:rPr>
        <w:t>共</w:t>
      </w:r>
      <w:r>
        <w:rPr>
          <w:color w:val="auto"/>
          <w:highlight w:val="none"/>
        </w:rPr>
        <w:tab/>
      </w:r>
      <w:r>
        <w:rPr>
          <w:color w:val="auto"/>
          <w:highlight w:val="none"/>
        </w:rPr>
        <w:t>页</w:t>
      </w:r>
    </w:p>
    <w:p w14:paraId="47960EBB">
      <w:pPr>
        <w:pStyle w:val="11"/>
        <w:tabs>
          <w:tab w:val="left" w:pos="6462"/>
          <w:tab w:val="left" w:pos="6988"/>
          <w:tab w:val="left" w:pos="7722"/>
        </w:tabs>
        <w:adjustRightInd w:val="0"/>
        <w:snapToGrid w:val="0"/>
        <w:spacing w:after="0" w:line="560" w:lineRule="exact"/>
        <w:jc w:val="center"/>
        <w:rPr>
          <w:b/>
          <w:color w:val="auto"/>
          <w:sz w:val="28"/>
          <w:highlight w:val="none"/>
        </w:rPr>
      </w:pPr>
      <w:r>
        <w:rPr>
          <w:b/>
          <w:color w:val="auto"/>
          <w:sz w:val="28"/>
          <w:highlight w:val="none"/>
        </w:rPr>
        <w:t>品牌推荐表（如要求）</w:t>
      </w:r>
    </w:p>
    <w:tbl>
      <w:tblPr>
        <w:tblStyle w:val="20"/>
        <w:tblW w:w="7816" w:type="dxa"/>
        <w:tblInd w:w="9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1685"/>
        <w:gridCol w:w="794"/>
        <w:gridCol w:w="794"/>
        <w:gridCol w:w="794"/>
        <w:gridCol w:w="791"/>
        <w:gridCol w:w="635"/>
        <w:gridCol w:w="1687"/>
      </w:tblGrid>
      <w:tr w14:paraId="2073D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636" w:type="dxa"/>
            <w:noWrap w:val="0"/>
            <w:vAlign w:val="top"/>
          </w:tcPr>
          <w:p w14:paraId="36A62AA2">
            <w:pPr>
              <w:pStyle w:val="38"/>
              <w:adjustRightInd w:val="0"/>
              <w:snapToGrid w:val="0"/>
              <w:spacing w:line="560" w:lineRule="exact"/>
              <w:jc w:val="center"/>
              <w:rPr>
                <w:rFonts w:hint="eastAsia" w:ascii="黑体" w:eastAsia="黑体"/>
                <w:color w:val="auto"/>
                <w:highlight w:val="none"/>
              </w:rPr>
            </w:pPr>
            <w:r>
              <w:rPr>
                <w:rFonts w:hint="eastAsia" w:ascii="黑体" w:eastAsia="黑体"/>
                <w:color w:val="auto"/>
                <w:highlight w:val="none"/>
              </w:rPr>
              <w:t>序号</w:t>
            </w:r>
          </w:p>
        </w:tc>
        <w:tc>
          <w:tcPr>
            <w:tcW w:w="1685" w:type="dxa"/>
            <w:noWrap w:val="0"/>
            <w:vAlign w:val="top"/>
          </w:tcPr>
          <w:p w14:paraId="3BC5CA3B">
            <w:pPr>
              <w:pStyle w:val="38"/>
              <w:adjustRightInd w:val="0"/>
              <w:snapToGrid w:val="0"/>
              <w:spacing w:line="560" w:lineRule="exact"/>
              <w:rPr>
                <w:rFonts w:hint="eastAsia" w:ascii="黑体" w:eastAsia="黑体"/>
                <w:color w:val="auto"/>
                <w:highlight w:val="none"/>
              </w:rPr>
            </w:pPr>
            <w:r>
              <w:rPr>
                <w:rFonts w:hint="eastAsia" w:ascii="黑体" w:eastAsia="黑体"/>
                <w:color w:val="auto"/>
                <w:highlight w:val="none"/>
              </w:rPr>
              <w:t>材料、设备名称</w:t>
            </w:r>
          </w:p>
        </w:tc>
        <w:tc>
          <w:tcPr>
            <w:tcW w:w="794" w:type="dxa"/>
            <w:noWrap w:val="0"/>
            <w:vAlign w:val="top"/>
          </w:tcPr>
          <w:p w14:paraId="770A690B">
            <w:pPr>
              <w:pStyle w:val="38"/>
              <w:adjustRightInd w:val="0"/>
              <w:snapToGrid w:val="0"/>
              <w:spacing w:line="560" w:lineRule="exact"/>
              <w:rPr>
                <w:rFonts w:hint="eastAsia" w:ascii="黑体" w:eastAsia="黑体"/>
                <w:color w:val="auto"/>
                <w:highlight w:val="none"/>
              </w:rPr>
            </w:pPr>
            <w:r>
              <w:rPr>
                <w:rFonts w:hint="eastAsia" w:ascii="黑体" w:eastAsia="黑体"/>
                <w:color w:val="auto"/>
                <w:highlight w:val="none"/>
              </w:rPr>
              <w:t>品牌 1</w:t>
            </w:r>
          </w:p>
        </w:tc>
        <w:tc>
          <w:tcPr>
            <w:tcW w:w="794" w:type="dxa"/>
            <w:noWrap w:val="0"/>
            <w:vAlign w:val="top"/>
          </w:tcPr>
          <w:p w14:paraId="458E2229">
            <w:pPr>
              <w:pStyle w:val="38"/>
              <w:adjustRightInd w:val="0"/>
              <w:snapToGrid w:val="0"/>
              <w:spacing w:line="560" w:lineRule="exact"/>
              <w:rPr>
                <w:rFonts w:hint="eastAsia" w:ascii="黑体" w:eastAsia="黑体"/>
                <w:color w:val="auto"/>
                <w:highlight w:val="none"/>
              </w:rPr>
            </w:pPr>
            <w:r>
              <w:rPr>
                <w:rFonts w:hint="eastAsia" w:ascii="黑体" w:eastAsia="黑体"/>
                <w:color w:val="auto"/>
                <w:highlight w:val="none"/>
              </w:rPr>
              <w:t>品牌 2</w:t>
            </w:r>
          </w:p>
        </w:tc>
        <w:tc>
          <w:tcPr>
            <w:tcW w:w="794" w:type="dxa"/>
            <w:noWrap w:val="0"/>
            <w:vAlign w:val="top"/>
          </w:tcPr>
          <w:p w14:paraId="3C9C583C">
            <w:pPr>
              <w:pStyle w:val="38"/>
              <w:adjustRightInd w:val="0"/>
              <w:snapToGrid w:val="0"/>
              <w:spacing w:line="560" w:lineRule="exact"/>
              <w:rPr>
                <w:rFonts w:hint="eastAsia" w:ascii="黑体" w:eastAsia="黑体"/>
                <w:color w:val="auto"/>
                <w:highlight w:val="none"/>
              </w:rPr>
            </w:pPr>
            <w:r>
              <w:rPr>
                <w:rFonts w:hint="eastAsia" w:ascii="黑体" w:eastAsia="黑体"/>
                <w:color w:val="auto"/>
                <w:highlight w:val="none"/>
              </w:rPr>
              <w:t>品牌 3</w:t>
            </w:r>
          </w:p>
        </w:tc>
        <w:tc>
          <w:tcPr>
            <w:tcW w:w="791" w:type="dxa"/>
            <w:noWrap w:val="0"/>
            <w:vAlign w:val="top"/>
          </w:tcPr>
          <w:p w14:paraId="33C0D5CA">
            <w:pPr>
              <w:pStyle w:val="38"/>
              <w:adjustRightInd w:val="0"/>
              <w:snapToGrid w:val="0"/>
              <w:spacing w:line="560" w:lineRule="exact"/>
              <w:rPr>
                <w:rFonts w:hint="eastAsia" w:ascii="黑体" w:eastAsia="黑体"/>
                <w:color w:val="auto"/>
                <w:highlight w:val="none"/>
              </w:rPr>
            </w:pPr>
            <w:r>
              <w:rPr>
                <w:rFonts w:hint="eastAsia" w:ascii="黑体" w:eastAsia="黑体"/>
                <w:color w:val="auto"/>
                <w:highlight w:val="none"/>
              </w:rPr>
              <w:t>品牌 4</w:t>
            </w:r>
          </w:p>
        </w:tc>
        <w:tc>
          <w:tcPr>
            <w:tcW w:w="635" w:type="dxa"/>
            <w:noWrap w:val="0"/>
            <w:vAlign w:val="top"/>
          </w:tcPr>
          <w:p w14:paraId="4989434F">
            <w:pPr>
              <w:pStyle w:val="38"/>
              <w:adjustRightInd w:val="0"/>
              <w:snapToGrid w:val="0"/>
              <w:spacing w:line="560" w:lineRule="exact"/>
              <w:rPr>
                <w:rFonts w:hint="eastAsia" w:ascii="黑体" w:eastAsia="黑体"/>
                <w:color w:val="auto"/>
                <w:highlight w:val="none"/>
              </w:rPr>
            </w:pPr>
            <w:r>
              <w:rPr>
                <w:rFonts w:hint="eastAsia" w:ascii="黑体" w:eastAsia="黑体"/>
                <w:color w:val="auto"/>
                <w:highlight w:val="none"/>
              </w:rPr>
              <w:t>备注</w:t>
            </w:r>
          </w:p>
        </w:tc>
        <w:tc>
          <w:tcPr>
            <w:tcW w:w="1687" w:type="dxa"/>
            <w:noWrap w:val="0"/>
            <w:vAlign w:val="top"/>
          </w:tcPr>
          <w:p w14:paraId="178A28AC">
            <w:pPr>
              <w:pStyle w:val="38"/>
              <w:adjustRightInd w:val="0"/>
              <w:snapToGrid w:val="0"/>
              <w:spacing w:line="560" w:lineRule="exact"/>
              <w:rPr>
                <w:rFonts w:hint="eastAsia" w:ascii="黑体" w:eastAsia="黑体"/>
                <w:color w:val="auto"/>
                <w:highlight w:val="none"/>
              </w:rPr>
            </w:pPr>
            <w:r>
              <w:rPr>
                <w:rFonts w:hint="eastAsia" w:ascii="黑体" w:eastAsia="黑体"/>
                <w:color w:val="auto"/>
                <w:highlight w:val="none"/>
              </w:rPr>
              <w:t>投标人选定品牌</w:t>
            </w:r>
          </w:p>
        </w:tc>
      </w:tr>
      <w:tr w14:paraId="39342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0C2FFB84">
            <w:pPr>
              <w:pStyle w:val="38"/>
              <w:adjustRightInd w:val="0"/>
              <w:snapToGrid w:val="0"/>
              <w:spacing w:line="560" w:lineRule="exact"/>
              <w:jc w:val="center"/>
              <w:rPr>
                <w:color w:val="auto"/>
                <w:highlight w:val="none"/>
              </w:rPr>
            </w:pPr>
            <w:r>
              <w:rPr>
                <w:color w:val="auto"/>
                <w:highlight w:val="none"/>
              </w:rPr>
              <w:t>1</w:t>
            </w:r>
          </w:p>
        </w:tc>
        <w:tc>
          <w:tcPr>
            <w:tcW w:w="1685" w:type="dxa"/>
            <w:noWrap w:val="0"/>
            <w:vAlign w:val="top"/>
          </w:tcPr>
          <w:p w14:paraId="75257A3D">
            <w:pPr>
              <w:pStyle w:val="38"/>
              <w:adjustRightInd w:val="0"/>
              <w:snapToGrid w:val="0"/>
              <w:spacing w:line="560" w:lineRule="exact"/>
              <w:rPr>
                <w:rFonts w:ascii="Times New Roman"/>
                <w:color w:val="auto"/>
                <w:sz w:val="20"/>
                <w:highlight w:val="none"/>
              </w:rPr>
            </w:pPr>
          </w:p>
        </w:tc>
        <w:tc>
          <w:tcPr>
            <w:tcW w:w="794" w:type="dxa"/>
            <w:noWrap w:val="0"/>
            <w:vAlign w:val="top"/>
          </w:tcPr>
          <w:p w14:paraId="2E47853D">
            <w:pPr>
              <w:pStyle w:val="38"/>
              <w:adjustRightInd w:val="0"/>
              <w:snapToGrid w:val="0"/>
              <w:spacing w:line="560" w:lineRule="exact"/>
              <w:rPr>
                <w:rFonts w:ascii="Times New Roman"/>
                <w:color w:val="auto"/>
                <w:sz w:val="20"/>
                <w:highlight w:val="none"/>
              </w:rPr>
            </w:pPr>
          </w:p>
        </w:tc>
        <w:tc>
          <w:tcPr>
            <w:tcW w:w="794" w:type="dxa"/>
            <w:noWrap w:val="0"/>
            <w:vAlign w:val="top"/>
          </w:tcPr>
          <w:p w14:paraId="05C4666D">
            <w:pPr>
              <w:pStyle w:val="38"/>
              <w:adjustRightInd w:val="0"/>
              <w:snapToGrid w:val="0"/>
              <w:spacing w:line="560" w:lineRule="exact"/>
              <w:rPr>
                <w:rFonts w:ascii="Times New Roman"/>
                <w:color w:val="auto"/>
                <w:sz w:val="20"/>
                <w:highlight w:val="none"/>
              </w:rPr>
            </w:pPr>
          </w:p>
        </w:tc>
        <w:tc>
          <w:tcPr>
            <w:tcW w:w="794" w:type="dxa"/>
            <w:noWrap w:val="0"/>
            <w:vAlign w:val="top"/>
          </w:tcPr>
          <w:p w14:paraId="27447A2C">
            <w:pPr>
              <w:pStyle w:val="38"/>
              <w:adjustRightInd w:val="0"/>
              <w:snapToGrid w:val="0"/>
              <w:spacing w:line="560" w:lineRule="exact"/>
              <w:rPr>
                <w:rFonts w:ascii="Times New Roman"/>
                <w:color w:val="auto"/>
                <w:sz w:val="20"/>
                <w:highlight w:val="none"/>
              </w:rPr>
            </w:pPr>
          </w:p>
        </w:tc>
        <w:tc>
          <w:tcPr>
            <w:tcW w:w="791" w:type="dxa"/>
            <w:noWrap w:val="0"/>
            <w:vAlign w:val="top"/>
          </w:tcPr>
          <w:p w14:paraId="1C6A906B">
            <w:pPr>
              <w:pStyle w:val="38"/>
              <w:adjustRightInd w:val="0"/>
              <w:snapToGrid w:val="0"/>
              <w:spacing w:line="560" w:lineRule="exact"/>
              <w:rPr>
                <w:rFonts w:ascii="Times New Roman"/>
                <w:color w:val="auto"/>
                <w:sz w:val="20"/>
                <w:highlight w:val="none"/>
              </w:rPr>
            </w:pPr>
          </w:p>
        </w:tc>
        <w:tc>
          <w:tcPr>
            <w:tcW w:w="635" w:type="dxa"/>
            <w:noWrap w:val="0"/>
            <w:vAlign w:val="top"/>
          </w:tcPr>
          <w:p w14:paraId="7C3B918E">
            <w:pPr>
              <w:pStyle w:val="38"/>
              <w:adjustRightInd w:val="0"/>
              <w:snapToGrid w:val="0"/>
              <w:spacing w:line="560" w:lineRule="exact"/>
              <w:rPr>
                <w:rFonts w:ascii="Times New Roman"/>
                <w:color w:val="auto"/>
                <w:sz w:val="20"/>
                <w:highlight w:val="none"/>
              </w:rPr>
            </w:pPr>
          </w:p>
        </w:tc>
        <w:tc>
          <w:tcPr>
            <w:tcW w:w="1687" w:type="dxa"/>
            <w:noWrap w:val="0"/>
            <w:vAlign w:val="top"/>
          </w:tcPr>
          <w:p w14:paraId="23D1D87C">
            <w:pPr>
              <w:pStyle w:val="38"/>
              <w:adjustRightInd w:val="0"/>
              <w:snapToGrid w:val="0"/>
              <w:spacing w:line="560" w:lineRule="exact"/>
              <w:rPr>
                <w:rFonts w:ascii="Times New Roman"/>
                <w:color w:val="auto"/>
                <w:sz w:val="20"/>
                <w:highlight w:val="none"/>
              </w:rPr>
            </w:pPr>
          </w:p>
        </w:tc>
      </w:tr>
      <w:tr w14:paraId="051C0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7C0D6794">
            <w:pPr>
              <w:pStyle w:val="38"/>
              <w:adjustRightInd w:val="0"/>
              <w:snapToGrid w:val="0"/>
              <w:spacing w:line="560" w:lineRule="exact"/>
              <w:jc w:val="center"/>
              <w:rPr>
                <w:color w:val="auto"/>
                <w:highlight w:val="none"/>
              </w:rPr>
            </w:pPr>
            <w:r>
              <w:rPr>
                <w:color w:val="auto"/>
                <w:highlight w:val="none"/>
              </w:rPr>
              <w:t>2</w:t>
            </w:r>
          </w:p>
        </w:tc>
        <w:tc>
          <w:tcPr>
            <w:tcW w:w="1685" w:type="dxa"/>
            <w:noWrap w:val="0"/>
            <w:vAlign w:val="top"/>
          </w:tcPr>
          <w:p w14:paraId="102EE043">
            <w:pPr>
              <w:pStyle w:val="38"/>
              <w:adjustRightInd w:val="0"/>
              <w:snapToGrid w:val="0"/>
              <w:spacing w:line="560" w:lineRule="exact"/>
              <w:rPr>
                <w:rFonts w:ascii="Times New Roman"/>
                <w:color w:val="auto"/>
                <w:sz w:val="20"/>
                <w:highlight w:val="none"/>
              </w:rPr>
            </w:pPr>
          </w:p>
        </w:tc>
        <w:tc>
          <w:tcPr>
            <w:tcW w:w="794" w:type="dxa"/>
            <w:noWrap w:val="0"/>
            <w:vAlign w:val="top"/>
          </w:tcPr>
          <w:p w14:paraId="4B2208A1">
            <w:pPr>
              <w:pStyle w:val="38"/>
              <w:adjustRightInd w:val="0"/>
              <w:snapToGrid w:val="0"/>
              <w:spacing w:line="560" w:lineRule="exact"/>
              <w:rPr>
                <w:rFonts w:ascii="Times New Roman"/>
                <w:color w:val="auto"/>
                <w:sz w:val="20"/>
                <w:highlight w:val="none"/>
              </w:rPr>
            </w:pPr>
          </w:p>
        </w:tc>
        <w:tc>
          <w:tcPr>
            <w:tcW w:w="794" w:type="dxa"/>
            <w:noWrap w:val="0"/>
            <w:vAlign w:val="top"/>
          </w:tcPr>
          <w:p w14:paraId="6CEC2E4E">
            <w:pPr>
              <w:pStyle w:val="38"/>
              <w:adjustRightInd w:val="0"/>
              <w:snapToGrid w:val="0"/>
              <w:spacing w:line="560" w:lineRule="exact"/>
              <w:rPr>
                <w:rFonts w:ascii="Times New Roman"/>
                <w:color w:val="auto"/>
                <w:sz w:val="20"/>
                <w:highlight w:val="none"/>
              </w:rPr>
            </w:pPr>
          </w:p>
        </w:tc>
        <w:tc>
          <w:tcPr>
            <w:tcW w:w="794" w:type="dxa"/>
            <w:noWrap w:val="0"/>
            <w:vAlign w:val="top"/>
          </w:tcPr>
          <w:p w14:paraId="48CDA35A">
            <w:pPr>
              <w:pStyle w:val="38"/>
              <w:adjustRightInd w:val="0"/>
              <w:snapToGrid w:val="0"/>
              <w:spacing w:line="560" w:lineRule="exact"/>
              <w:rPr>
                <w:rFonts w:ascii="Times New Roman"/>
                <w:color w:val="auto"/>
                <w:sz w:val="20"/>
                <w:highlight w:val="none"/>
              </w:rPr>
            </w:pPr>
          </w:p>
        </w:tc>
        <w:tc>
          <w:tcPr>
            <w:tcW w:w="791" w:type="dxa"/>
            <w:noWrap w:val="0"/>
            <w:vAlign w:val="top"/>
          </w:tcPr>
          <w:p w14:paraId="7D453FAF">
            <w:pPr>
              <w:pStyle w:val="38"/>
              <w:adjustRightInd w:val="0"/>
              <w:snapToGrid w:val="0"/>
              <w:spacing w:line="560" w:lineRule="exact"/>
              <w:rPr>
                <w:rFonts w:ascii="Times New Roman"/>
                <w:color w:val="auto"/>
                <w:sz w:val="20"/>
                <w:highlight w:val="none"/>
              </w:rPr>
            </w:pPr>
          </w:p>
        </w:tc>
        <w:tc>
          <w:tcPr>
            <w:tcW w:w="635" w:type="dxa"/>
            <w:noWrap w:val="0"/>
            <w:vAlign w:val="top"/>
          </w:tcPr>
          <w:p w14:paraId="1A5B3797">
            <w:pPr>
              <w:pStyle w:val="38"/>
              <w:adjustRightInd w:val="0"/>
              <w:snapToGrid w:val="0"/>
              <w:spacing w:line="560" w:lineRule="exact"/>
              <w:rPr>
                <w:rFonts w:ascii="Times New Roman"/>
                <w:color w:val="auto"/>
                <w:sz w:val="20"/>
                <w:highlight w:val="none"/>
              </w:rPr>
            </w:pPr>
          </w:p>
        </w:tc>
        <w:tc>
          <w:tcPr>
            <w:tcW w:w="1687" w:type="dxa"/>
            <w:noWrap w:val="0"/>
            <w:vAlign w:val="top"/>
          </w:tcPr>
          <w:p w14:paraId="4380D0D3">
            <w:pPr>
              <w:pStyle w:val="38"/>
              <w:adjustRightInd w:val="0"/>
              <w:snapToGrid w:val="0"/>
              <w:spacing w:line="560" w:lineRule="exact"/>
              <w:rPr>
                <w:rFonts w:ascii="Times New Roman"/>
                <w:color w:val="auto"/>
                <w:sz w:val="20"/>
                <w:highlight w:val="none"/>
              </w:rPr>
            </w:pPr>
          </w:p>
        </w:tc>
      </w:tr>
      <w:tr w14:paraId="2005F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6" w:type="dxa"/>
            <w:tcBorders>
              <w:bottom w:val="single" w:color="000000" w:sz="6" w:space="0"/>
            </w:tcBorders>
            <w:noWrap w:val="0"/>
            <w:vAlign w:val="top"/>
          </w:tcPr>
          <w:p w14:paraId="0EF45DA2">
            <w:pPr>
              <w:pStyle w:val="38"/>
              <w:adjustRightInd w:val="0"/>
              <w:snapToGrid w:val="0"/>
              <w:spacing w:line="560" w:lineRule="exact"/>
              <w:jc w:val="center"/>
              <w:rPr>
                <w:color w:val="auto"/>
                <w:highlight w:val="none"/>
              </w:rPr>
            </w:pPr>
            <w:r>
              <w:rPr>
                <w:color w:val="auto"/>
                <w:highlight w:val="none"/>
              </w:rPr>
              <w:t>3</w:t>
            </w:r>
          </w:p>
        </w:tc>
        <w:tc>
          <w:tcPr>
            <w:tcW w:w="1685" w:type="dxa"/>
            <w:tcBorders>
              <w:bottom w:val="single" w:color="000000" w:sz="6" w:space="0"/>
            </w:tcBorders>
            <w:noWrap w:val="0"/>
            <w:vAlign w:val="top"/>
          </w:tcPr>
          <w:p w14:paraId="5A322612">
            <w:pPr>
              <w:pStyle w:val="38"/>
              <w:adjustRightInd w:val="0"/>
              <w:snapToGrid w:val="0"/>
              <w:spacing w:line="560" w:lineRule="exact"/>
              <w:rPr>
                <w:rFonts w:ascii="Times New Roman"/>
                <w:color w:val="auto"/>
                <w:sz w:val="20"/>
                <w:highlight w:val="none"/>
              </w:rPr>
            </w:pPr>
          </w:p>
        </w:tc>
        <w:tc>
          <w:tcPr>
            <w:tcW w:w="794" w:type="dxa"/>
            <w:tcBorders>
              <w:bottom w:val="single" w:color="000000" w:sz="6" w:space="0"/>
            </w:tcBorders>
            <w:noWrap w:val="0"/>
            <w:vAlign w:val="top"/>
          </w:tcPr>
          <w:p w14:paraId="6784DCF1">
            <w:pPr>
              <w:pStyle w:val="38"/>
              <w:adjustRightInd w:val="0"/>
              <w:snapToGrid w:val="0"/>
              <w:spacing w:line="560" w:lineRule="exact"/>
              <w:rPr>
                <w:rFonts w:ascii="Times New Roman"/>
                <w:color w:val="auto"/>
                <w:sz w:val="20"/>
                <w:highlight w:val="none"/>
              </w:rPr>
            </w:pPr>
          </w:p>
        </w:tc>
        <w:tc>
          <w:tcPr>
            <w:tcW w:w="794" w:type="dxa"/>
            <w:tcBorders>
              <w:bottom w:val="single" w:color="000000" w:sz="6" w:space="0"/>
            </w:tcBorders>
            <w:noWrap w:val="0"/>
            <w:vAlign w:val="top"/>
          </w:tcPr>
          <w:p w14:paraId="7FDD5ADE">
            <w:pPr>
              <w:pStyle w:val="38"/>
              <w:adjustRightInd w:val="0"/>
              <w:snapToGrid w:val="0"/>
              <w:spacing w:line="560" w:lineRule="exact"/>
              <w:rPr>
                <w:rFonts w:ascii="Times New Roman"/>
                <w:color w:val="auto"/>
                <w:sz w:val="20"/>
                <w:highlight w:val="none"/>
              </w:rPr>
            </w:pPr>
          </w:p>
        </w:tc>
        <w:tc>
          <w:tcPr>
            <w:tcW w:w="794" w:type="dxa"/>
            <w:tcBorders>
              <w:bottom w:val="single" w:color="000000" w:sz="6" w:space="0"/>
            </w:tcBorders>
            <w:noWrap w:val="0"/>
            <w:vAlign w:val="top"/>
          </w:tcPr>
          <w:p w14:paraId="469BF504">
            <w:pPr>
              <w:pStyle w:val="38"/>
              <w:adjustRightInd w:val="0"/>
              <w:snapToGrid w:val="0"/>
              <w:spacing w:line="560" w:lineRule="exact"/>
              <w:rPr>
                <w:rFonts w:ascii="Times New Roman"/>
                <w:color w:val="auto"/>
                <w:sz w:val="20"/>
                <w:highlight w:val="none"/>
              </w:rPr>
            </w:pPr>
          </w:p>
        </w:tc>
        <w:tc>
          <w:tcPr>
            <w:tcW w:w="791" w:type="dxa"/>
            <w:tcBorders>
              <w:bottom w:val="single" w:color="000000" w:sz="6" w:space="0"/>
            </w:tcBorders>
            <w:noWrap w:val="0"/>
            <w:vAlign w:val="top"/>
          </w:tcPr>
          <w:p w14:paraId="436832B9">
            <w:pPr>
              <w:pStyle w:val="38"/>
              <w:adjustRightInd w:val="0"/>
              <w:snapToGrid w:val="0"/>
              <w:spacing w:line="560" w:lineRule="exact"/>
              <w:rPr>
                <w:rFonts w:ascii="Times New Roman"/>
                <w:color w:val="auto"/>
                <w:sz w:val="20"/>
                <w:highlight w:val="none"/>
              </w:rPr>
            </w:pPr>
          </w:p>
        </w:tc>
        <w:tc>
          <w:tcPr>
            <w:tcW w:w="635" w:type="dxa"/>
            <w:tcBorders>
              <w:bottom w:val="single" w:color="000000" w:sz="6" w:space="0"/>
            </w:tcBorders>
            <w:noWrap w:val="0"/>
            <w:vAlign w:val="top"/>
          </w:tcPr>
          <w:p w14:paraId="0D94F4E5">
            <w:pPr>
              <w:pStyle w:val="38"/>
              <w:adjustRightInd w:val="0"/>
              <w:snapToGrid w:val="0"/>
              <w:spacing w:line="560" w:lineRule="exact"/>
              <w:rPr>
                <w:rFonts w:ascii="Times New Roman"/>
                <w:color w:val="auto"/>
                <w:sz w:val="20"/>
                <w:highlight w:val="none"/>
              </w:rPr>
            </w:pPr>
          </w:p>
        </w:tc>
        <w:tc>
          <w:tcPr>
            <w:tcW w:w="1687" w:type="dxa"/>
            <w:tcBorders>
              <w:bottom w:val="single" w:color="000000" w:sz="6" w:space="0"/>
            </w:tcBorders>
            <w:noWrap w:val="0"/>
            <w:vAlign w:val="top"/>
          </w:tcPr>
          <w:p w14:paraId="09CF46B0">
            <w:pPr>
              <w:pStyle w:val="38"/>
              <w:adjustRightInd w:val="0"/>
              <w:snapToGrid w:val="0"/>
              <w:spacing w:line="560" w:lineRule="exact"/>
              <w:rPr>
                <w:rFonts w:ascii="Times New Roman"/>
                <w:color w:val="auto"/>
                <w:sz w:val="20"/>
                <w:highlight w:val="none"/>
              </w:rPr>
            </w:pPr>
          </w:p>
        </w:tc>
      </w:tr>
      <w:tr w14:paraId="7F93C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6" w:type="dxa"/>
            <w:tcBorders>
              <w:top w:val="single" w:color="000000" w:sz="6" w:space="0"/>
            </w:tcBorders>
            <w:noWrap w:val="0"/>
            <w:vAlign w:val="top"/>
          </w:tcPr>
          <w:p w14:paraId="7752629B">
            <w:pPr>
              <w:pStyle w:val="38"/>
              <w:adjustRightInd w:val="0"/>
              <w:snapToGrid w:val="0"/>
              <w:spacing w:line="560" w:lineRule="exact"/>
              <w:jc w:val="center"/>
              <w:rPr>
                <w:color w:val="auto"/>
                <w:highlight w:val="none"/>
              </w:rPr>
            </w:pPr>
            <w:r>
              <w:rPr>
                <w:color w:val="auto"/>
                <w:highlight w:val="none"/>
              </w:rPr>
              <w:t>4</w:t>
            </w:r>
          </w:p>
        </w:tc>
        <w:tc>
          <w:tcPr>
            <w:tcW w:w="1685" w:type="dxa"/>
            <w:tcBorders>
              <w:top w:val="single" w:color="000000" w:sz="6" w:space="0"/>
            </w:tcBorders>
            <w:noWrap w:val="0"/>
            <w:vAlign w:val="top"/>
          </w:tcPr>
          <w:p w14:paraId="68055766">
            <w:pPr>
              <w:pStyle w:val="38"/>
              <w:adjustRightInd w:val="0"/>
              <w:snapToGrid w:val="0"/>
              <w:spacing w:line="560" w:lineRule="exact"/>
              <w:rPr>
                <w:rFonts w:ascii="Times New Roman"/>
                <w:color w:val="auto"/>
                <w:sz w:val="20"/>
                <w:highlight w:val="none"/>
              </w:rPr>
            </w:pPr>
          </w:p>
        </w:tc>
        <w:tc>
          <w:tcPr>
            <w:tcW w:w="794" w:type="dxa"/>
            <w:tcBorders>
              <w:top w:val="single" w:color="000000" w:sz="6" w:space="0"/>
            </w:tcBorders>
            <w:noWrap w:val="0"/>
            <w:vAlign w:val="top"/>
          </w:tcPr>
          <w:p w14:paraId="6FEF92EE">
            <w:pPr>
              <w:pStyle w:val="38"/>
              <w:adjustRightInd w:val="0"/>
              <w:snapToGrid w:val="0"/>
              <w:spacing w:line="560" w:lineRule="exact"/>
              <w:rPr>
                <w:rFonts w:ascii="Times New Roman"/>
                <w:color w:val="auto"/>
                <w:sz w:val="20"/>
                <w:highlight w:val="none"/>
              </w:rPr>
            </w:pPr>
          </w:p>
        </w:tc>
        <w:tc>
          <w:tcPr>
            <w:tcW w:w="794" w:type="dxa"/>
            <w:tcBorders>
              <w:top w:val="single" w:color="000000" w:sz="6" w:space="0"/>
            </w:tcBorders>
            <w:noWrap w:val="0"/>
            <w:vAlign w:val="top"/>
          </w:tcPr>
          <w:p w14:paraId="4FC9F9AA">
            <w:pPr>
              <w:pStyle w:val="38"/>
              <w:adjustRightInd w:val="0"/>
              <w:snapToGrid w:val="0"/>
              <w:spacing w:line="560" w:lineRule="exact"/>
              <w:rPr>
                <w:rFonts w:ascii="Times New Roman"/>
                <w:color w:val="auto"/>
                <w:sz w:val="20"/>
                <w:highlight w:val="none"/>
              </w:rPr>
            </w:pPr>
          </w:p>
        </w:tc>
        <w:tc>
          <w:tcPr>
            <w:tcW w:w="794" w:type="dxa"/>
            <w:tcBorders>
              <w:top w:val="single" w:color="000000" w:sz="6" w:space="0"/>
            </w:tcBorders>
            <w:noWrap w:val="0"/>
            <w:vAlign w:val="top"/>
          </w:tcPr>
          <w:p w14:paraId="54F190EA">
            <w:pPr>
              <w:pStyle w:val="38"/>
              <w:adjustRightInd w:val="0"/>
              <w:snapToGrid w:val="0"/>
              <w:spacing w:line="560" w:lineRule="exact"/>
              <w:rPr>
                <w:rFonts w:ascii="Times New Roman"/>
                <w:color w:val="auto"/>
                <w:sz w:val="20"/>
                <w:highlight w:val="none"/>
              </w:rPr>
            </w:pPr>
          </w:p>
        </w:tc>
        <w:tc>
          <w:tcPr>
            <w:tcW w:w="791" w:type="dxa"/>
            <w:tcBorders>
              <w:top w:val="single" w:color="000000" w:sz="6" w:space="0"/>
            </w:tcBorders>
            <w:noWrap w:val="0"/>
            <w:vAlign w:val="top"/>
          </w:tcPr>
          <w:p w14:paraId="5A99E98E">
            <w:pPr>
              <w:pStyle w:val="38"/>
              <w:adjustRightInd w:val="0"/>
              <w:snapToGrid w:val="0"/>
              <w:spacing w:line="560" w:lineRule="exact"/>
              <w:rPr>
                <w:rFonts w:ascii="Times New Roman"/>
                <w:color w:val="auto"/>
                <w:sz w:val="20"/>
                <w:highlight w:val="none"/>
              </w:rPr>
            </w:pPr>
          </w:p>
        </w:tc>
        <w:tc>
          <w:tcPr>
            <w:tcW w:w="635" w:type="dxa"/>
            <w:tcBorders>
              <w:top w:val="single" w:color="000000" w:sz="6" w:space="0"/>
            </w:tcBorders>
            <w:noWrap w:val="0"/>
            <w:vAlign w:val="top"/>
          </w:tcPr>
          <w:p w14:paraId="45F7F55B">
            <w:pPr>
              <w:pStyle w:val="38"/>
              <w:adjustRightInd w:val="0"/>
              <w:snapToGrid w:val="0"/>
              <w:spacing w:line="560" w:lineRule="exact"/>
              <w:rPr>
                <w:rFonts w:ascii="Times New Roman"/>
                <w:color w:val="auto"/>
                <w:sz w:val="20"/>
                <w:highlight w:val="none"/>
              </w:rPr>
            </w:pPr>
          </w:p>
        </w:tc>
        <w:tc>
          <w:tcPr>
            <w:tcW w:w="1687" w:type="dxa"/>
            <w:tcBorders>
              <w:top w:val="single" w:color="000000" w:sz="6" w:space="0"/>
            </w:tcBorders>
            <w:noWrap w:val="0"/>
            <w:vAlign w:val="top"/>
          </w:tcPr>
          <w:p w14:paraId="17CE11FF">
            <w:pPr>
              <w:pStyle w:val="38"/>
              <w:adjustRightInd w:val="0"/>
              <w:snapToGrid w:val="0"/>
              <w:spacing w:line="560" w:lineRule="exact"/>
              <w:rPr>
                <w:rFonts w:ascii="Times New Roman"/>
                <w:color w:val="auto"/>
                <w:sz w:val="20"/>
                <w:highlight w:val="none"/>
              </w:rPr>
            </w:pPr>
          </w:p>
        </w:tc>
      </w:tr>
      <w:tr w14:paraId="028C0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2539152F">
            <w:pPr>
              <w:pStyle w:val="38"/>
              <w:adjustRightInd w:val="0"/>
              <w:snapToGrid w:val="0"/>
              <w:spacing w:line="560" w:lineRule="exact"/>
              <w:jc w:val="center"/>
              <w:rPr>
                <w:color w:val="auto"/>
                <w:highlight w:val="none"/>
              </w:rPr>
            </w:pPr>
            <w:r>
              <w:rPr>
                <w:color w:val="auto"/>
                <w:highlight w:val="none"/>
              </w:rPr>
              <w:t>5</w:t>
            </w:r>
          </w:p>
        </w:tc>
        <w:tc>
          <w:tcPr>
            <w:tcW w:w="1685" w:type="dxa"/>
            <w:noWrap w:val="0"/>
            <w:vAlign w:val="top"/>
          </w:tcPr>
          <w:p w14:paraId="73268974">
            <w:pPr>
              <w:pStyle w:val="38"/>
              <w:adjustRightInd w:val="0"/>
              <w:snapToGrid w:val="0"/>
              <w:spacing w:line="560" w:lineRule="exact"/>
              <w:rPr>
                <w:rFonts w:ascii="Times New Roman"/>
                <w:color w:val="auto"/>
                <w:sz w:val="20"/>
                <w:highlight w:val="none"/>
              </w:rPr>
            </w:pPr>
          </w:p>
        </w:tc>
        <w:tc>
          <w:tcPr>
            <w:tcW w:w="794" w:type="dxa"/>
            <w:noWrap w:val="0"/>
            <w:vAlign w:val="top"/>
          </w:tcPr>
          <w:p w14:paraId="4BD245A1">
            <w:pPr>
              <w:pStyle w:val="38"/>
              <w:adjustRightInd w:val="0"/>
              <w:snapToGrid w:val="0"/>
              <w:spacing w:line="560" w:lineRule="exact"/>
              <w:rPr>
                <w:rFonts w:ascii="Times New Roman"/>
                <w:color w:val="auto"/>
                <w:sz w:val="20"/>
                <w:highlight w:val="none"/>
              </w:rPr>
            </w:pPr>
          </w:p>
        </w:tc>
        <w:tc>
          <w:tcPr>
            <w:tcW w:w="794" w:type="dxa"/>
            <w:noWrap w:val="0"/>
            <w:vAlign w:val="top"/>
          </w:tcPr>
          <w:p w14:paraId="4DB4AFEC">
            <w:pPr>
              <w:pStyle w:val="38"/>
              <w:adjustRightInd w:val="0"/>
              <w:snapToGrid w:val="0"/>
              <w:spacing w:line="560" w:lineRule="exact"/>
              <w:rPr>
                <w:rFonts w:ascii="Times New Roman"/>
                <w:color w:val="auto"/>
                <w:sz w:val="20"/>
                <w:highlight w:val="none"/>
              </w:rPr>
            </w:pPr>
          </w:p>
        </w:tc>
        <w:tc>
          <w:tcPr>
            <w:tcW w:w="794" w:type="dxa"/>
            <w:noWrap w:val="0"/>
            <w:vAlign w:val="top"/>
          </w:tcPr>
          <w:p w14:paraId="30A3DA1F">
            <w:pPr>
              <w:pStyle w:val="38"/>
              <w:adjustRightInd w:val="0"/>
              <w:snapToGrid w:val="0"/>
              <w:spacing w:line="560" w:lineRule="exact"/>
              <w:rPr>
                <w:rFonts w:ascii="Times New Roman"/>
                <w:color w:val="auto"/>
                <w:sz w:val="20"/>
                <w:highlight w:val="none"/>
              </w:rPr>
            </w:pPr>
          </w:p>
        </w:tc>
        <w:tc>
          <w:tcPr>
            <w:tcW w:w="791" w:type="dxa"/>
            <w:noWrap w:val="0"/>
            <w:vAlign w:val="top"/>
          </w:tcPr>
          <w:p w14:paraId="29B1217A">
            <w:pPr>
              <w:pStyle w:val="38"/>
              <w:adjustRightInd w:val="0"/>
              <w:snapToGrid w:val="0"/>
              <w:spacing w:line="560" w:lineRule="exact"/>
              <w:rPr>
                <w:rFonts w:ascii="Times New Roman"/>
                <w:color w:val="auto"/>
                <w:sz w:val="20"/>
                <w:highlight w:val="none"/>
              </w:rPr>
            </w:pPr>
          </w:p>
        </w:tc>
        <w:tc>
          <w:tcPr>
            <w:tcW w:w="635" w:type="dxa"/>
            <w:noWrap w:val="0"/>
            <w:vAlign w:val="top"/>
          </w:tcPr>
          <w:p w14:paraId="0C5AA31B">
            <w:pPr>
              <w:pStyle w:val="38"/>
              <w:adjustRightInd w:val="0"/>
              <w:snapToGrid w:val="0"/>
              <w:spacing w:line="560" w:lineRule="exact"/>
              <w:rPr>
                <w:rFonts w:ascii="Times New Roman"/>
                <w:color w:val="auto"/>
                <w:sz w:val="20"/>
                <w:highlight w:val="none"/>
              </w:rPr>
            </w:pPr>
          </w:p>
        </w:tc>
        <w:tc>
          <w:tcPr>
            <w:tcW w:w="1687" w:type="dxa"/>
            <w:noWrap w:val="0"/>
            <w:vAlign w:val="top"/>
          </w:tcPr>
          <w:p w14:paraId="5BC1C5F4">
            <w:pPr>
              <w:pStyle w:val="38"/>
              <w:adjustRightInd w:val="0"/>
              <w:snapToGrid w:val="0"/>
              <w:spacing w:line="560" w:lineRule="exact"/>
              <w:rPr>
                <w:rFonts w:ascii="Times New Roman"/>
                <w:color w:val="auto"/>
                <w:sz w:val="20"/>
                <w:highlight w:val="none"/>
              </w:rPr>
            </w:pPr>
          </w:p>
        </w:tc>
      </w:tr>
      <w:tr w14:paraId="1BEEC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79C1517D">
            <w:pPr>
              <w:pStyle w:val="38"/>
              <w:adjustRightInd w:val="0"/>
              <w:snapToGrid w:val="0"/>
              <w:spacing w:line="560" w:lineRule="exact"/>
              <w:jc w:val="center"/>
              <w:rPr>
                <w:color w:val="auto"/>
                <w:highlight w:val="none"/>
              </w:rPr>
            </w:pPr>
            <w:r>
              <w:rPr>
                <w:color w:val="auto"/>
                <w:highlight w:val="none"/>
              </w:rPr>
              <w:t>6</w:t>
            </w:r>
          </w:p>
        </w:tc>
        <w:tc>
          <w:tcPr>
            <w:tcW w:w="1685" w:type="dxa"/>
            <w:noWrap w:val="0"/>
            <w:vAlign w:val="top"/>
          </w:tcPr>
          <w:p w14:paraId="007D00BF">
            <w:pPr>
              <w:pStyle w:val="38"/>
              <w:adjustRightInd w:val="0"/>
              <w:snapToGrid w:val="0"/>
              <w:spacing w:line="560" w:lineRule="exact"/>
              <w:rPr>
                <w:rFonts w:ascii="Times New Roman"/>
                <w:color w:val="auto"/>
                <w:sz w:val="20"/>
                <w:highlight w:val="none"/>
              </w:rPr>
            </w:pPr>
          </w:p>
        </w:tc>
        <w:tc>
          <w:tcPr>
            <w:tcW w:w="794" w:type="dxa"/>
            <w:noWrap w:val="0"/>
            <w:vAlign w:val="top"/>
          </w:tcPr>
          <w:p w14:paraId="27EE620B">
            <w:pPr>
              <w:pStyle w:val="38"/>
              <w:adjustRightInd w:val="0"/>
              <w:snapToGrid w:val="0"/>
              <w:spacing w:line="560" w:lineRule="exact"/>
              <w:rPr>
                <w:rFonts w:ascii="Times New Roman"/>
                <w:color w:val="auto"/>
                <w:sz w:val="20"/>
                <w:highlight w:val="none"/>
              </w:rPr>
            </w:pPr>
          </w:p>
        </w:tc>
        <w:tc>
          <w:tcPr>
            <w:tcW w:w="794" w:type="dxa"/>
            <w:noWrap w:val="0"/>
            <w:vAlign w:val="top"/>
          </w:tcPr>
          <w:p w14:paraId="6E64A987">
            <w:pPr>
              <w:pStyle w:val="38"/>
              <w:adjustRightInd w:val="0"/>
              <w:snapToGrid w:val="0"/>
              <w:spacing w:line="560" w:lineRule="exact"/>
              <w:rPr>
                <w:rFonts w:ascii="Times New Roman"/>
                <w:color w:val="auto"/>
                <w:sz w:val="20"/>
                <w:highlight w:val="none"/>
              </w:rPr>
            </w:pPr>
          </w:p>
        </w:tc>
        <w:tc>
          <w:tcPr>
            <w:tcW w:w="794" w:type="dxa"/>
            <w:noWrap w:val="0"/>
            <w:vAlign w:val="top"/>
          </w:tcPr>
          <w:p w14:paraId="54224FC9">
            <w:pPr>
              <w:pStyle w:val="38"/>
              <w:adjustRightInd w:val="0"/>
              <w:snapToGrid w:val="0"/>
              <w:spacing w:line="560" w:lineRule="exact"/>
              <w:rPr>
                <w:rFonts w:ascii="Times New Roman"/>
                <w:color w:val="auto"/>
                <w:sz w:val="20"/>
                <w:highlight w:val="none"/>
              </w:rPr>
            </w:pPr>
          </w:p>
        </w:tc>
        <w:tc>
          <w:tcPr>
            <w:tcW w:w="791" w:type="dxa"/>
            <w:noWrap w:val="0"/>
            <w:vAlign w:val="top"/>
          </w:tcPr>
          <w:p w14:paraId="032068B7">
            <w:pPr>
              <w:pStyle w:val="38"/>
              <w:adjustRightInd w:val="0"/>
              <w:snapToGrid w:val="0"/>
              <w:spacing w:line="560" w:lineRule="exact"/>
              <w:rPr>
                <w:rFonts w:ascii="Times New Roman"/>
                <w:color w:val="auto"/>
                <w:sz w:val="20"/>
                <w:highlight w:val="none"/>
              </w:rPr>
            </w:pPr>
          </w:p>
        </w:tc>
        <w:tc>
          <w:tcPr>
            <w:tcW w:w="635" w:type="dxa"/>
            <w:noWrap w:val="0"/>
            <w:vAlign w:val="top"/>
          </w:tcPr>
          <w:p w14:paraId="7F120A1C">
            <w:pPr>
              <w:pStyle w:val="38"/>
              <w:adjustRightInd w:val="0"/>
              <w:snapToGrid w:val="0"/>
              <w:spacing w:line="560" w:lineRule="exact"/>
              <w:rPr>
                <w:rFonts w:ascii="Times New Roman"/>
                <w:color w:val="auto"/>
                <w:sz w:val="20"/>
                <w:highlight w:val="none"/>
              </w:rPr>
            </w:pPr>
          </w:p>
        </w:tc>
        <w:tc>
          <w:tcPr>
            <w:tcW w:w="1687" w:type="dxa"/>
            <w:noWrap w:val="0"/>
            <w:vAlign w:val="top"/>
          </w:tcPr>
          <w:p w14:paraId="794415BA">
            <w:pPr>
              <w:pStyle w:val="38"/>
              <w:adjustRightInd w:val="0"/>
              <w:snapToGrid w:val="0"/>
              <w:spacing w:line="560" w:lineRule="exact"/>
              <w:rPr>
                <w:rFonts w:ascii="Times New Roman"/>
                <w:color w:val="auto"/>
                <w:sz w:val="20"/>
                <w:highlight w:val="none"/>
              </w:rPr>
            </w:pPr>
          </w:p>
        </w:tc>
      </w:tr>
      <w:tr w14:paraId="599CD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0814782D">
            <w:pPr>
              <w:pStyle w:val="38"/>
              <w:adjustRightInd w:val="0"/>
              <w:snapToGrid w:val="0"/>
              <w:spacing w:line="560" w:lineRule="exact"/>
              <w:rPr>
                <w:rFonts w:ascii="Times New Roman"/>
                <w:color w:val="auto"/>
                <w:sz w:val="20"/>
                <w:highlight w:val="none"/>
              </w:rPr>
            </w:pPr>
          </w:p>
        </w:tc>
        <w:tc>
          <w:tcPr>
            <w:tcW w:w="1685" w:type="dxa"/>
            <w:noWrap w:val="0"/>
            <w:vAlign w:val="top"/>
          </w:tcPr>
          <w:p w14:paraId="5769B93B">
            <w:pPr>
              <w:pStyle w:val="38"/>
              <w:adjustRightInd w:val="0"/>
              <w:snapToGrid w:val="0"/>
              <w:spacing w:line="560" w:lineRule="exact"/>
              <w:rPr>
                <w:rFonts w:ascii="Times New Roman"/>
                <w:color w:val="auto"/>
                <w:sz w:val="20"/>
                <w:highlight w:val="none"/>
              </w:rPr>
            </w:pPr>
          </w:p>
        </w:tc>
        <w:tc>
          <w:tcPr>
            <w:tcW w:w="794" w:type="dxa"/>
            <w:noWrap w:val="0"/>
            <w:vAlign w:val="top"/>
          </w:tcPr>
          <w:p w14:paraId="714542E3">
            <w:pPr>
              <w:pStyle w:val="38"/>
              <w:adjustRightInd w:val="0"/>
              <w:snapToGrid w:val="0"/>
              <w:spacing w:line="560" w:lineRule="exact"/>
              <w:rPr>
                <w:rFonts w:ascii="Times New Roman"/>
                <w:color w:val="auto"/>
                <w:sz w:val="20"/>
                <w:highlight w:val="none"/>
              </w:rPr>
            </w:pPr>
          </w:p>
        </w:tc>
        <w:tc>
          <w:tcPr>
            <w:tcW w:w="794" w:type="dxa"/>
            <w:noWrap w:val="0"/>
            <w:vAlign w:val="top"/>
          </w:tcPr>
          <w:p w14:paraId="6BA1E954">
            <w:pPr>
              <w:pStyle w:val="38"/>
              <w:adjustRightInd w:val="0"/>
              <w:snapToGrid w:val="0"/>
              <w:spacing w:line="560" w:lineRule="exact"/>
              <w:rPr>
                <w:rFonts w:ascii="Times New Roman"/>
                <w:color w:val="auto"/>
                <w:sz w:val="20"/>
                <w:highlight w:val="none"/>
              </w:rPr>
            </w:pPr>
          </w:p>
        </w:tc>
        <w:tc>
          <w:tcPr>
            <w:tcW w:w="794" w:type="dxa"/>
            <w:noWrap w:val="0"/>
            <w:vAlign w:val="top"/>
          </w:tcPr>
          <w:p w14:paraId="421295B3">
            <w:pPr>
              <w:pStyle w:val="38"/>
              <w:adjustRightInd w:val="0"/>
              <w:snapToGrid w:val="0"/>
              <w:spacing w:line="560" w:lineRule="exact"/>
              <w:rPr>
                <w:rFonts w:ascii="Times New Roman"/>
                <w:color w:val="auto"/>
                <w:sz w:val="20"/>
                <w:highlight w:val="none"/>
              </w:rPr>
            </w:pPr>
          </w:p>
        </w:tc>
        <w:tc>
          <w:tcPr>
            <w:tcW w:w="791" w:type="dxa"/>
            <w:noWrap w:val="0"/>
            <w:vAlign w:val="top"/>
          </w:tcPr>
          <w:p w14:paraId="116FBDD1">
            <w:pPr>
              <w:pStyle w:val="38"/>
              <w:adjustRightInd w:val="0"/>
              <w:snapToGrid w:val="0"/>
              <w:spacing w:line="560" w:lineRule="exact"/>
              <w:rPr>
                <w:rFonts w:ascii="Times New Roman"/>
                <w:color w:val="auto"/>
                <w:sz w:val="20"/>
                <w:highlight w:val="none"/>
              </w:rPr>
            </w:pPr>
          </w:p>
        </w:tc>
        <w:tc>
          <w:tcPr>
            <w:tcW w:w="635" w:type="dxa"/>
            <w:noWrap w:val="0"/>
            <w:vAlign w:val="top"/>
          </w:tcPr>
          <w:p w14:paraId="698C9897">
            <w:pPr>
              <w:pStyle w:val="38"/>
              <w:adjustRightInd w:val="0"/>
              <w:snapToGrid w:val="0"/>
              <w:spacing w:line="560" w:lineRule="exact"/>
              <w:rPr>
                <w:rFonts w:ascii="Times New Roman"/>
                <w:color w:val="auto"/>
                <w:sz w:val="20"/>
                <w:highlight w:val="none"/>
              </w:rPr>
            </w:pPr>
          </w:p>
        </w:tc>
        <w:tc>
          <w:tcPr>
            <w:tcW w:w="1687" w:type="dxa"/>
            <w:noWrap w:val="0"/>
            <w:vAlign w:val="top"/>
          </w:tcPr>
          <w:p w14:paraId="7E043F77">
            <w:pPr>
              <w:pStyle w:val="38"/>
              <w:adjustRightInd w:val="0"/>
              <w:snapToGrid w:val="0"/>
              <w:spacing w:line="560" w:lineRule="exact"/>
              <w:rPr>
                <w:rFonts w:ascii="Times New Roman"/>
                <w:color w:val="auto"/>
                <w:sz w:val="20"/>
                <w:highlight w:val="none"/>
              </w:rPr>
            </w:pPr>
          </w:p>
        </w:tc>
      </w:tr>
      <w:tr w14:paraId="75571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32AF6E21">
            <w:pPr>
              <w:pStyle w:val="38"/>
              <w:adjustRightInd w:val="0"/>
              <w:snapToGrid w:val="0"/>
              <w:spacing w:line="560" w:lineRule="exact"/>
              <w:rPr>
                <w:rFonts w:ascii="Times New Roman"/>
                <w:color w:val="auto"/>
                <w:sz w:val="20"/>
                <w:highlight w:val="none"/>
              </w:rPr>
            </w:pPr>
          </w:p>
        </w:tc>
        <w:tc>
          <w:tcPr>
            <w:tcW w:w="1685" w:type="dxa"/>
            <w:noWrap w:val="0"/>
            <w:vAlign w:val="top"/>
          </w:tcPr>
          <w:p w14:paraId="6D813472">
            <w:pPr>
              <w:pStyle w:val="38"/>
              <w:adjustRightInd w:val="0"/>
              <w:snapToGrid w:val="0"/>
              <w:spacing w:line="560" w:lineRule="exact"/>
              <w:rPr>
                <w:rFonts w:ascii="Times New Roman"/>
                <w:color w:val="auto"/>
                <w:sz w:val="20"/>
                <w:highlight w:val="none"/>
              </w:rPr>
            </w:pPr>
          </w:p>
        </w:tc>
        <w:tc>
          <w:tcPr>
            <w:tcW w:w="794" w:type="dxa"/>
            <w:noWrap w:val="0"/>
            <w:vAlign w:val="top"/>
          </w:tcPr>
          <w:p w14:paraId="688496D6">
            <w:pPr>
              <w:pStyle w:val="38"/>
              <w:adjustRightInd w:val="0"/>
              <w:snapToGrid w:val="0"/>
              <w:spacing w:line="560" w:lineRule="exact"/>
              <w:rPr>
                <w:rFonts w:ascii="Times New Roman"/>
                <w:color w:val="auto"/>
                <w:sz w:val="20"/>
                <w:highlight w:val="none"/>
              </w:rPr>
            </w:pPr>
          </w:p>
        </w:tc>
        <w:tc>
          <w:tcPr>
            <w:tcW w:w="794" w:type="dxa"/>
            <w:noWrap w:val="0"/>
            <w:vAlign w:val="top"/>
          </w:tcPr>
          <w:p w14:paraId="41B18B7A">
            <w:pPr>
              <w:pStyle w:val="38"/>
              <w:adjustRightInd w:val="0"/>
              <w:snapToGrid w:val="0"/>
              <w:spacing w:line="560" w:lineRule="exact"/>
              <w:rPr>
                <w:rFonts w:ascii="Times New Roman"/>
                <w:color w:val="auto"/>
                <w:sz w:val="20"/>
                <w:highlight w:val="none"/>
              </w:rPr>
            </w:pPr>
          </w:p>
        </w:tc>
        <w:tc>
          <w:tcPr>
            <w:tcW w:w="794" w:type="dxa"/>
            <w:noWrap w:val="0"/>
            <w:vAlign w:val="top"/>
          </w:tcPr>
          <w:p w14:paraId="3EFC4F27">
            <w:pPr>
              <w:pStyle w:val="38"/>
              <w:adjustRightInd w:val="0"/>
              <w:snapToGrid w:val="0"/>
              <w:spacing w:line="560" w:lineRule="exact"/>
              <w:rPr>
                <w:rFonts w:ascii="Times New Roman"/>
                <w:color w:val="auto"/>
                <w:sz w:val="20"/>
                <w:highlight w:val="none"/>
              </w:rPr>
            </w:pPr>
          </w:p>
        </w:tc>
        <w:tc>
          <w:tcPr>
            <w:tcW w:w="791" w:type="dxa"/>
            <w:noWrap w:val="0"/>
            <w:vAlign w:val="top"/>
          </w:tcPr>
          <w:p w14:paraId="0428F0BA">
            <w:pPr>
              <w:pStyle w:val="38"/>
              <w:adjustRightInd w:val="0"/>
              <w:snapToGrid w:val="0"/>
              <w:spacing w:line="560" w:lineRule="exact"/>
              <w:rPr>
                <w:rFonts w:ascii="Times New Roman"/>
                <w:color w:val="auto"/>
                <w:sz w:val="20"/>
                <w:highlight w:val="none"/>
              </w:rPr>
            </w:pPr>
          </w:p>
        </w:tc>
        <w:tc>
          <w:tcPr>
            <w:tcW w:w="635" w:type="dxa"/>
            <w:noWrap w:val="0"/>
            <w:vAlign w:val="top"/>
          </w:tcPr>
          <w:p w14:paraId="3C03D27C">
            <w:pPr>
              <w:pStyle w:val="38"/>
              <w:adjustRightInd w:val="0"/>
              <w:snapToGrid w:val="0"/>
              <w:spacing w:line="560" w:lineRule="exact"/>
              <w:rPr>
                <w:rFonts w:ascii="Times New Roman"/>
                <w:color w:val="auto"/>
                <w:sz w:val="20"/>
                <w:highlight w:val="none"/>
              </w:rPr>
            </w:pPr>
          </w:p>
        </w:tc>
        <w:tc>
          <w:tcPr>
            <w:tcW w:w="1687" w:type="dxa"/>
            <w:noWrap w:val="0"/>
            <w:vAlign w:val="top"/>
          </w:tcPr>
          <w:p w14:paraId="395CDEBC">
            <w:pPr>
              <w:pStyle w:val="38"/>
              <w:adjustRightInd w:val="0"/>
              <w:snapToGrid w:val="0"/>
              <w:spacing w:line="560" w:lineRule="exact"/>
              <w:rPr>
                <w:rFonts w:ascii="Times New Roman"/>
                <w:color w:val="auto"/>
                <w:sz w:val="20"/>
                <w:highlight w:val="none"/>
              </w:rPr>
            </w:pPr>
          </w:p>
        </w:tc>
      </w:tr>
      <w:tr w14:paraId="4F1D7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6246BACF">
            <w:pPr>
              <w:pStyle w:val="38"/>
              <w:adjustRightInd w:val="0"/>
              <w:snapToGrid w:val="0"/>
              <w:spacing w:line="560" w:lineRule="exact"/>
              <w:rPr>
                <w:rFonts w:ascii="Times New Roman"/>
                <w:color w:val="auto"/>
                <w:sz w:val="20"/>
                <w:highlight w:val="none"/>
              </w:rPr>
            </w:pPr>
          </w:p>
        </w:tc>
        <w:tc>
          <w:tcPr>
            <w:tcW w:w="1685" w:type="dxa"/>
            <w:noWrap w:val="0"/>
            <w:vAlign w:val="top"/>
          </w:tcPr>
          <w:p w14:paraId="6A6EB019">
            <w:pPr>
              <w:pStyle w:val="38"/>
              <w:adjustRightInd w:val="0"/>
              <w:snapToGrid w:val="0"/>
              <w:spacing w:line="560" w:lineRule="exact"/>
              <w:rPr>
                <w:rFonts w:ascii="Times New Roman"/>
                <w:color w:val="auto"/>
                <w:sz w:val="20"/>
                <w:highlight w:val="none"/>
              </w:rPr>
            </w:pPr>
          </w:p>
        </w:tc>
        <w:tc>
          <w:tcPr>
            <w:tcW w:w="794" w:type="dxa"/>
            <w:noWrap w:val="0"/>
            <w:vAlign w:val="top"/>
          </w:tcPr>
          <w:p w14:paraId="3FFF1990">
            <w:pPr>
              <w:pStyle w:val="38"/>
              <w:adjustRightInd w:val="0"/>
              <w:snapToGrid w:val="0"/>
              <w:spacing w:line="560" w:lineRule="exact"/>
              <w:rPr>
                <w:rFonts w:ascii="Times New Roman"/>
                <w:color w:val="auto"/>
                <w:sz w:val="20"/>
                <w:highlight w:val="none"/>
              </w:rPr>
            </w:pPr>
          </w:p>
        </w:tc>
        <w:tc>
          <w:tcPr>
            <w:tcW w:w="794" w:type="dxa"/>
            <w:noWrap w:val="0"/>
            <w:vAlign w:val="top"/>
          </w:tcPr>
          <w:p w14:paraId="1CF20268">
            <w:pPr>
              <w:pStyle w:val="38"/>
              <w:adjustRightInd w:val="0"/>
              <w:snapToGrid w:val="0"/>
              <w:spacing w:line="560" w:lineRule="exact"/>
              <w:rPr>
                <w:rFonts w:ascii="Times New Roman"/>
                <w:color w:val="auto"/>
                <w:sz w:val="20"/>
                <w:highlight w:val="none"/>
              </w:rPr>
            </w:pPr>
          </w:p>
        </w:tc>
        <w:tc>
          <w:tcPr>
            <w:tcW w:w="794" w:type="dxa"/>
            <w:noWrap w:val="0"/>
            <w:vAlign w:val="top"/>
          </w:tcPr>
          <w:p w14:paraId="260BB0C4">
            <w:pPr>
              <w:pStyle w:val="38"/>
              <w:adjustRightInd w:val="0"/>
              <w:snapToGrid w:val="0"/>
              <w:spacing w:line="560" w:lineRule="exact"/>
              <w:rPr>
                <w:rFonts w:ascii="Times New Roman"/>
                <w:color w:val="auto"/>
                <w:sz w:val="20"/>
                <w:highlight w:val="none"/>
              </w:rPr>
            </w:pPr>
          </w:p>
        </w:tc>
        <w:tc>
          <w:tcPr>
            <w:tcW w:w="791" w:type="dxa"/>
            <w:noWrap w:val="0"/>
            <w:vAlign w:val="top"/>
          </w:tcPr>
          <w:p w14:paraId="30F65037">
            <w:pPr>
              <w:pStyle w:val="38"/>
              <w:adjustRightInd w:val="0"/>
              <w:snapToGrid w:val="0"/>
              <w:spacing w:line="560" w:lineRule="exact"/>
              <w:rPr>
                <w:rFonts w:ascii="Times New Roman"/>
                <w:color w:val="auto"/>
                <w:sz w:val="20"/>
                <w:highlight w:val="none"/>
              </w:rPr>
            </w:pPr>
          </w:p>
        </w:tc>
        <w:tc>
          <w:tcPr>
            <w:tcW w:w="635" w:type="dxa"/>
            <w:noWrap w:val="0"/>
            <w:vAlign w:val="top"/>
          </w:tcPr>
          <w:p w14:paraId="3C694EEE">
            <w:pPr>
              <w:pStyle w:val="38"/>
              <w:adjustRightInd w:val="0"/>
              <w:snapToGrid w:val="0"/>
              <w:spacing w:line="560" w:lineRule="exact"/>
              <w:rPr>
                <w:rFonts w:ascii="Times New Roman"/>
                <w:color w:val="auto"/>
                <w:sz w:val="20"/>
                <w:highlight w:val="none"/>
              </w:rPr>
            </w:pPr>
          </w:p>
        </w:tc>
        <w:tc>
          <w:tcPr>
            <w:tcW w:w="1687" w:type="dxa"/>
            <w:noWrap w:val="0"/>
            <w:vAlign w:val="top"/>
          </w:tcPr>
          <w:p w14:paraId="1713A0DA">
            <w:pPr>
              <w:pStyle w:val="38"/>
              <w:adjustRightInd w:val="0"/>
              <w:snapToGrid w:val="0"/>
              <w:spacing w:line="560" w:lineRule="exact"/>
              <w:rPr>
                <w:rFonts w:ascii="Times New Roman"/>
                <w:color w:val="auto"/>
                <w:sz w:val="20"/>
                <w:highlight w:val="none"/>
              </w:rPr>
            </w:pPr>
          </w:p>
        </w:tc>
      </w:tr>
      <w:tr w14:paraId="5BC29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636" w:type="dxa"/>
            <w:noWrap w:val="0"/>
            <w:vAlign w:val="top"/>
          </w:tcPr>
          <w:p w14:paraId="5B5D9C7E">
            <w:pPr>
              <w:pStyle w:val="38"/>
              <w:adjustRightInd w:val="0"/>
              <w:snapToGrid w:val="0"/>
              <w:spacing w:line="560" w:lineRule="exact"/>
              <w:rPr>
                <w:rFonts w:ascii="Times New Roman"/>
                <w:color w:val="auto"/>
                <w:sz w:val="20"/>
                <w:highlight w:val="none"/>
              </w:rPr>
            </w:pPr>
          </w:p>
        </w:tc>
        <w:tc>
          <w:tcPr>
            <w:tcW w:w="1685" w:type="dxa"/>
            <w:noWrap w:val="0"/>
            <w:vAlign w:val="top"/>
          </w:tcPr>
          <w:p w14:paraId="3F5F8FB9">
            <w:pPr>
              <w:pStyle w:val="38"/>
              <w:adjustRightInd w:val="0"/>
              <w:snapToGrid w:val="0"/>
              <w:spacing w:line="560" w:lineRule="exact"/>
              <w:rPr>
                <w:rFonts w:ascii="Times New Roman"/>
                <w:color w:val="auto"/>
                <w:sz w:val="20"/>
                <w:highlight w:val="none"/>
              </w:rPr>
            </w:pPr>
          </w:p>
        </w:tc>
        <w:tc>
          <w:tcPr>
            <w:tcW w:w="794" w:type="dxa"/>
            <w:noWrap w:val="0"/>
            <w:vAlign w:val="top"/>
          </w:tcPr>
          <w:p w14:paraId="67588461">
            <w:pPr>
              <w:pStyle w:val="38"/>
              <w:adjustRightInd w:val="0"/>
              <w:snapToGrid w:val="0"/>
              <w:spacing w:line="560" w:lineRule="exact"/>
              <w:rPr>
                <w:rFonts w:ascii="Times New Roman"/>
                <w:color w:val="auto"/>
                <w:sz w:val="20"/>
                <w:highlight w:val="none"/>
              </w:rPr>
            </w:pPr>
          </w:p>
        </w:tc>
        <w:tc>
          <w:tcPr>
            <w:tcW w:w="794" w:type="dxa"/>
            <w:noWrap w:val="0"/>
            <w:vAlign w:val="top"/>
          </w:tcPr>
          <w:p w14:paraId="4445E0D9">
            <w:pPr>
              <w:pStyle w:val="38"/>
              <w:adjustRightInd w:val="0"/>
              <w:snapToGrid w:val="0"/>
              <w:spacing w:line="560" w:lineRule="exact"/>
              <w:rPr>
                <w:rFonts w:ascii="Times New Roman"/>
                <w:color w:val="auto"/>
                <w:sz w:val="20"/>
                <w:highlight w:val="none"/>
              </w:rPr>
            </w:pPr>
          </w:p>
        </w:tc>
        <w:tc>
          <w:tcPr>
            <w:tcW w:w="794" w:type="dxa"/>
            <w:noWrap w:val="0"/>
            <w:vAlign w:val="top"/>
          </w:tcPr>
          <w:p w14:paraId="3A2D9AE5">
            <w:pPr>
              <w:pStyle w:val="38"/>
              <w:adjustRightInd w:val="0"/>
              <w:snapToGrid w:val="0"/>
              <w:spacing w:line="560" w:lineRule="exact"/>
              <w:rPr>
                <w:rFonts w:ascii="Times New Roman"/>
                <w:color w:val="auto"/>
                <w:sz w:val="20"/>
                <w:highlight w:val="none"/>
              </w:rPr>
            </w:pPr>
          </w:p>
        </w:tc>
        <w:tc>
          <w:tcPr>
            <w:tcW w:w="791" w:type="dxa"/>
            <w:noWrap w:val="0"/>
            <w:vAlign w:val="top"/>
          </w:tcPr>
          <w:p w14:paraId="483F3A8B">
            <w:pPr>
              <w:pStyle w:val="38"/>
              <w:adjustRightInd w:val="0"/>
              <w:snapToGrid w:val="0"/>
              <w:spacing w:line="560" w:lineRule="exact"/>
              <w:rPr>
                <w:rFonts w:ascii="Times New Roman"/>
                <w:color w:val="auto"/>
                <w:sz w:val="20"/>
                <w:highlight w:val="none"/>
              </w:rPr>
            </w:pPr>
          </w:p>
        </w:tc>
        <w:tc>
          <w:tcPr>
            <w:tcW w:w="635" w:type="dxa"/>
            <w:noWrap w:val="0"/>
            <w:vAlign w:val="top"/>
          </w:tcPr>
          <w:p w14:paraId="11E5467F">
            <w:pPr>
              <w:pStyle w:val="38"/>
              <w:adjustRightInd w:val="0"/>
              <w:snapToGrid w:val="0"/>
              <w:spacing w:line="560" w:lineRule="exact"/>
              <w:rPr>
                <w:rFonts w:ascii="Times New Roman"/>
                <w:color w:val="auto"/>
                <w:sz w:val="20"/>
                <w:highlight w:val="none"/>
              </w:rPr>
            </w:pPr>
          </w:p>
        </w:tc>
        <w:tc>
          <w:tcPr>
            <w:tcW w:w="1687" w:type="dxa"/>
            <w:noWrap w:val="0"/>
            <w:vAlign w:val="top"/>
          </w:tcPr>
          <w:p w14:paraId="7E4AF19A">
            <w:pPr>
              <w:pStyle w:val="38"/>
              <w:adjustRightInd w:val="0"/>
              <w:snapToGrid w:val="0"/>
              <w:spacing w:line="560" w:lineRule="exact"/>
              <w:rPr>
                <w:rFonts w:ascii="Times New Roman"/>
                <w:color w:val="auto"/>
                <w:sz w:val="20"/>
                <w:highlight w:val="none"/>
              </w:rPr>
            </w:pPr>
          </w:p>
        </w:tc>
      </w:tr>
      <w:tr w14:paraId="3430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636" w:type="dxa"/>
            <w:noWrap w:val="0"/>
            <w:vAlign w:val="top"/>
          </w:tcPr>
          <w:p w14:paraId="7269FC8E">
            <w:pPr>
              <w:pStyle w:val="38"/>
              <w:adjustRightInd w:val="0"/>
              <w:snapToGrid w:val="0"/>
              <w:spacing w:line="560" w:lineRule="exact"/>
              <w:rPr>
                <w:rFonts w:ascii="Times New Roman"/>
                <w:color w:val="auto"/>
                <w:sz w:val="20"/>
                <w:highlight w:val="none"/>
              </w:rPr>
            </w:pPr>
          </w:p>
        </w:tc>
        <w:tc>
          <w:tcPr>
            <w:tcW w:w="1685" w:type="dxa"/>
            <w:noWrap w:val="0"/>
            <w:vAlign w:val="top"/>
          </w:tcPr>
          <w:p w14:paraId="588EF67D">
            <w:pPr>
              <w:pStyle w:val="38"/>
              <w:adjustRightInd w:val="0"/>
              <w:snapToGrid w:val="0"/>
              <w:spacing w:line="560" w:lineRule="exact"/>
              <w:rPr>
                <w:rFonts w:ascii="Times New Roman"/>
                <w:color w:val="auto"/>
                <w:sz w:val="20"/>
                <w:highlight w:val="none"/>
              </w:rPr>
            </w:pPr>
          </w:p>
        </w:tc>
        <w:tc>
          <w:tcPr>
            <w:tcW w:w="794" w:type="dxa"/>
            <w:noWrap w:val="0"/>
            <w:vAlign w:val="top"/>
          </w:tcPr>
          <w:p w14:paraId="503C2507">
            <w:pPr>
              <w:pStyle w:val="38"/>
              <w:adjustRightInd w:val="0"/>
              <w:snapToGrid w:val="0"/>
              <w:spacing w:line="560" w:lineRule="exact"/>
              <w:rPr>
                <w:rFonts w:ascii="Times New Roman"/>
                <w:color w:val="auto"/>
                <w:sz w:val="20"/>
                <w:highlight w:val="none"/>
              </w:rPr>
            </w:pPr>
          </w:p>
        </w:tc>
        <w:tc>
          <w:tcPr>
            <w:tcW w:w="794" w:type="dxa"/>
            <w:noWrap w:val="0"/>
            <w:vAlign w:val="top"/>
          </w:tcPr>
          <w:p w14:paraId="0028B7C2">
            <w:pPr>
              <w:pStyle w:val="38"/>
              <w:adjustRightInd w:val="0"/>
              <w:snapToGrid w:val="0"/>
              <w:spacing w:line="560" w:lineRule="exact"/>
              <w:rPr>
                <w:rFonts w:ascii="Times New Roman"/>
                <w:color w:val="auto"/>
                <w:sz w:val="20"/>
                <w:highlight w:val="none"/>
              </w:rPr>
            </w:pPr>
          </w:p>
        </w:tc>
        <w:tc>
          <w:tcPr>
            <w:tcW w:w="794" w:type="dxa"/>
            <w:noWrap w:val="0"/>
            <w:vAlign w:val="top"/>
          </w:tcPr>
          <w:p w14:paraId="77E5747C">
            <w:pPr>
              <w:pStyle w:val="38"/>
              <w:adjustRightInd w:val="0"/>
              <w:snapToGrid w:val="0"/>
              <w:spacing w:line="560" w:lineRule="exact"/>
              <w:rPr>
                <w:rFonts w:ascii="Times New Roman"/>
                <w:color w:val="auto"/>
                <w:sz w:val="20"/>
                <w:highlight w:val="none"/>
              </w:rPr>
            </w:pPr>
          </w:p>
        </w:tc>
        <w:tc>
          <w:tcPr>
            <w:tcW w:w="791" w:type="dxa"/>
            <w:noWrap w:val="0"/>
            <w:vAlign w:val="top"/>
          </w:tcPr>
          <w:p w14:paraId="02F50797">
            <w:pPr>
              <w:pStyle w:val="38"/>
              <w:adjustRightInd w:val="0"/>
              <w:snapToGrid w:val="0"/>
              <w:spacing w:line="560" w:lineRule="exact"/>
              <w:rPr>
                <w:rFonts w:ascii="Times New Roman"/>
                <w:color w:val="auto"/>
                <w:sz w:val="20"/>
                <w:highlight w:val="none"/>
              </w:rPr>
            </w:pPr>
          </w:p>
        </w:tc>
        <w:tc>
          <w:tcPr>
            <w:tcW w:w="635" w:type="dxa"/>
            <w:noWrap w:val="0"/>
            <w:vAlign w:val="top"/>
          </w:tcPr>
          <w:p w14:paraId="01F63292">
            <w:pPr>
              <w:pStyle w:val="38"/>
              <w:adjustRightInd w:val="0"/>
              <w:snapToGrid w:val="0"/>
              <w:spacing w:line="560" w:lineRule="exact"/>
              <w:rPr>
                <w:rFonts w:ascii="Times New Roman"/>
                <w:color w:val="auto"/>
                <w:sz w:val="20"/>
                <w:highlight w:val="none"/>
              </w:rPr>
            </w:pPr>
          </w:p>
        </w:tc>
        <w:tc>
          <w:tcPr>
            <w:tcW w:w="1687" w:type="dxa"/>
            <w:noWrap w:val="0"/>
            <w:vAlign w:val="top"/>
          </w:tcPr>
          <w:p w14:paraId="17A63EF7">
            <w:pPr>
              <w:pStyle w:val="38"/>
              <w:adjustRightInd w:val="0"/>
              <w:snapToGrid w:val="0"/>
              <w:spacing w:line="560" w:lineRule="exact"/>
              <w:rPr>
                <w:rFonts w:ascii="Times New Roman"/>
                <w:color w:val="auto"/>
                <w:sz w:val="20"/>
                <w:highlight w:val="none"/>
              </w:rPr>
            </w:pPr>
          </w:p>
        </w:tc>
      </w:tr>
    </w:tbl>
    <w:p w14:paraId="41E1CD00">
      <w:pPr>
        <w:pStyle w:val="11"/>
        <w:adjustRightInd w:val="0"/>
        <w:snapToGrid w:val="0"/>
        <w:spacing w:after="0" w:line="560" w:lineRule="exact"/>
        <w:ind w:firstLine="420"/>
        <w:rPr>
          <w:color w:val="auto"/>
          <w:highlight w:val="none"/>
        </w:rPr>
      </w:pPr>
      <w:r>
        <w:rPr>
          <w:color w:val="auto"/>
          <w:highlight w:val="none"/>
        </w:rPr>
        <w:t>注：</w:t>
      </w:r>
      <w:r>
        <w:rPr>
          <w:rFonts w:hint="eastAsia"/>
          <w:color w:val="auto"/>
          <w:highlight w:val="none"/>
        </w:rPr>
        <w:t>1、</w:t>
      </w:r>
      <w:r>
        <w:rPr>
          <w:color w:val="auto"/>
          <w:highlight w:val="none"/>
        </w:rPr>
        <w:t>本表仅针对不采用招标人推荐品牌，采用其他品牌的投标人填写，并注明并提供相关技术参数、业绩等供评标委员会评审，未在上表中注明且未提供相关技术参数、业绩，或经评标委员会评审未通过的，中标后只能从招标人推荐品牌中进行选择，价格不予调整。</w:t>
      </w:r>
    </w:p>
    <w:p w14:paraId="669A069E">
      <w:pPr>
        <w:pStyle w:val="45"/>
        <w:tabs>
          <w:tab w:val="left" w:pos="1319"/>
        </w:tabs>
        <w:adjustRightInd w:val="0"/>
        <w:snapToGrid w:val="0"/>
        <w:spacing w:line="560" w:lineRule="exact"/>
        <w:ind w:left="0" w:firstLine="408" w:firstLineChars="200"/>
        <w:rPr>
          <w:color w:val="auto"/>
          <w:highlight w:val="none"/>
        </w:rPr>
        <w:sectPr>
          <w:pgSz w:w="11910" w:h="16840"/>
          <w:pgMar w:top="1060" w:right="660" w:bottom="1020" w:left="1120" w:header="0" w:footer="833" w:gutter="0"/>
          <w:pgNumType w:fmt="decimal"/>
          <w:cols w:space="720" w:num="1"/>
        </w:sectPr>
      </w:pPr>
      <w:r>
        <w:rPr>
          <w:rFonts w:hint="eastAsia"/>
          <w:color w:val="auto"/>
          <w:spacing w:val="-3"/>
          <w:highlight w:val="none"/>
        </w:rPr>
        <w:t>2、</w:t>
      </w:r>
      <w:r>
        <w:rPr>
          <w:color w:val="auto"/>
          <w:spacing w:val="-3"/>
          <w:highlight w:val="none"/>
        </w:rPr>
        <w:t>对于招标人推荐品牌的材料、设备等，投标人如认为招标人推荐的品牌有限定性、唯一性、明显不在同一档次等级的或者其他疑问的，应在本项目</w:t>
      </w:r>
      <w:r>
        <w:rPr>
          <w:rFonts w:hint="eastAsia"/>
          <w:color w:val="auto"/>
          <w:spacing w:val="-3"/>
          <w:highlight w:val="none"/>
        </w:rPr>
        <w:t>异议</w:t>
      </w:r>
      <w:r>
        <w:rPr>
          <w:color w:val="auto"/>
          <w:spacing w:val="-3"/>
          <w:highlight w:val="none"/>
        </w:rPr>
        <w:t>提出的截止时间前通过电子交易系统</w:t>
      </w:r>
      <w:r>
        <w:rPr>
          <w:rFonts w:hint="eastAsia"/>
          <w:color w:val="auto"/>
          <w:spacing w:val="-3"/>
          <w:highlight w:val="none"/>
        </w:rPr>
        <w:t>向招标人提出。</w:t>
      </w:r>
    </w:p>
    <w:p w14:paraId="13308A86">
      <w:pPr>
        <w:pStyle w:val="4"/>
        <w:adjustRightInd w:val="0"/>
        <w:snapToGrid w:val="0"/>
        <w:spacing w:before="0" w:after="0" w:line="560" w:lineRule="exact"/>
        <w:jc w:val="center"/>
        <w:rPr>
          <w:rFonts w:hint="eastAsia"/>
          <w:color w:val="auto"/>
          <w:highlight w:val="none"/>
        </w:rPr>
      </w:pPr>
      <w:bookmarkStart w:id="1556" w:name="_Toc95223546"/>
      <w:r>
        <w:rPr>
          <w:rFonts w:hint="eastAsia"/>
          <w:color w:val="auto"/>
          <w:highlight w:val="none"/>
        </w:rPr>
        <w:t>（</w:t>
      </w:r>
      <w:r>
        <w:rPr>
          <w:rFonts w:hint="eastAsia"/>
          <w:color w:val="auto"/>
          <w:highlight w:val="none"/>
          <w:lang w:val="en-US" w:eastAsia="zh-CN"/>
        </w:rPr>
        <w:t>4</w:t>
      </w:r>
      <w:r>
        <w:rPr>
          <w:rFonts w:hint="eastAsia"/>
          <w:color w:val="auto"/>
          <w:highlight w:val="none"/>
        </w:rPr>
        <w:t>）详细评审所需其他材料（如有）</w:t>
      </w:r>
      <w:bookmarkEnd w:id="1556"/>
    </w:p>
    <w:p w14:paraId="79727DA1">
      <w:pPr>
        <w:adjustRightInd w:val="0"/>
        <w:snapToGrid w:val="0"/>
        <w:spacing w:line="560" w:lineRule="exact"/>
        <w:ind w:firstLine="1928" w:firstLineChars="600"/>
        <w:rPr>
          <w:rFonts w:hint="eastAsia" w:ascii="宋体"/>
          <w:b/>
          <w:color w:val="auto"/>
          <w:sz w:val="32"/>
          <w:szCs w:val="32"/>
          <w:highlight w:val="none"/>
        </w:rPr>
      </w:pPr>
    </w:p>
    <w:p w14:paraId="304036A9">
      <w:pPr>
        <w:adjustRightInd w:val="0"/>
        <w:snapToGrid w:val="0"/>
        <w:spacing w:line="560" w:lineRule="exact"/>
        <w:ind w:firstLine="1928" w:firstLineChars="600"/>
        <w:rPr>
          <w:rFonts w:hint="eastAsia" w:ascii="宋体"/>
          <w:b/>
          <w:color w:val="auto"/>
          <w:sz w:val="32"/>
          <w:szCs w:val="32"/>
          <w:highlight w:val="none"/>
        </w:rPr>
      </w:pPr>
    </w:p>
    <w:p w14:paraId="03DEB99D">
      <w:pPr>
        <w:adjustRightInd w:val="0"/>
        <w:snapToGrid w:val="0"/>
        <w:spacing w:line="560" w:lineRule="exact"/>
        <w:rPr>
          <w:rFonts w:hint="eastAsia"/>
          <w:b/>
          <w:color w:val="auto"/>
          <w:sz w:val="32"/>
          <w:szCs w:val="32"/>
          <w:highlight w:val="none"/>
        </w:rPr>
      </w:pPr>
    </w:p>
    <w:p w14:paraId="4C61EA84">
      <w:pPr>
        <w:adjustRightInd w:val="0"/>
        <w:snapToGrid w:val="0"/>
        <w:spacing w:line="560" w:lineRule="exact"/>
        <w:jc w:val="center"/>
        <w:rPr>
          <w:rFonts w:hint="eastAsia"/>
          <w:b/>
          <w:color w:val="auto"/>
          <w:sz w:val="32"/>
          <w:szCs w:val="32"/>
          <w:highlight w:val="none"/>
        </w:rPr>
      </w:pPr>
    </w:p>
    <w:p w14:paraId="39E3743D">
      <w:pPr>
        <w:adjustRightInd w:val="0"/>
        <w:snapToGrid w:val="0"/>
        <w:spacing w:line="560" w:lineRule="exact"/>
        <w:jc w:val="center"/>
        <w:rPr>
          <w:rFonts w:hint="eastAsia"/>
          <w:b/>
          <w:color w:val="auto"/>
          <w:sz w:val="32"/>
          <w:szCs w:val="32"/>
          <w:highlight w:val="none"/>
        </w:rPr>
      </w:pPr>
    </w:p>
    <w:p w14:paraId="00E5FCC4">
      <w:pPr>
        <w:adjustRightInd w:val="0"/>
        <w:snapToGrid w:val="0"/>
        <w:spacing w:line="560" w:lineRule="exact"/>
        <w:jc w:val="center"/>
        <w:rPr>
          <w:rFonts w:hint="eastAsia"/>
          <w:b/>
          <w:color w:val="auto"/>
          <w:sz w:val="32"/>
          <w:szCs w:val="32"/>
          <w:highlight w:val="none"/>
        </w:rPr>
      </w:pPr>
    </w:p>
    <w:p w14:paraId="2F6ECDF1">
      <w:pPr>
        <w:adjustRightInd w:val="0"/>
        <w:snapToGrid w:val="0"/>
        <w:spacing w:line="560" w:lineRule="exact"/>
        <w:rPr>
          <w:rFonts w:hint="eastAsia"/>
          <w:color w:val="auto"/>
          <w:highlight w:val="none"/>
        </w:rPr>
      </w:pPr>
    </w:p>
    <w:p w14:paraId="12FD4819">
      <w:pPr>
        <w:adjustRightInd w:val="0"/>
        <w:snapToGrid w:val="0"/>
        <w:spacing w:line="560" w:lineRule="exact"/>
        <w:rPr>
          <w:rFonts w:hint="eastAsia"/>
          <w:color w:val="auto"/>
          <w:highlight w:val="none"/>
        </w:rPr>
      </w:pPr>
    </w:p>
    <w:p w14:paraId="503CB0E0">
      <w:pPr>
        <w:adjustRightInd w:val="0"/>
        <w:snapToGrid w:val="0"/>
        <w:spacing w:line="560" w:lineRule="exact"/>
        <w:rPr>
          <w:rFonts w:hint="eastAsia"/>
          <w:color w:val="auto"/>
          <w:highlight w:val="none"/>
        </w:rPr>
      </w:pPr>
    </w:p>
    <w:p w14:paraId="510B0C4D">
      <w:pPr>
        <w:adjustRightInd w:val="0"/>
        <w:snapToGrid w:val="0"/>
        <w:spacing w:line="560" w:lineRule="exact"/>
        <w:rPr>
          <w:rFonts w:hint="eastAsia"/>
          <w:color w:val="auto"/>
          <w:highlight w:val="none"/>
        </w:rPr>
      </w:pPr>
    </w:p>
    <w:p w14:paraId="35179A8A">
      <w:pPr>
        <w:adjustRightInd w:val="0"/>
        <w:snapToGrid w:val="0"/>
        <w:spacing w:line="560" w:lineRule="exact"/>
        <w:rPr>
          <w:rFonts w:hint="eastAsia"/>
          <w:color w:val="auto"/>
          <w:highlight w:val="none"/>
        </w:rPr>
      </w:pPr>
    </w:p>
    <w:p w14:paraId="4A12BBE7">
      <w:pPr>
        <w:adjustRightInd w:val="0"/>
        <w:snapToGrid w:val="0"/>
        <w:spacing w:line="560" w:lineRule="exact"/>
        <w:rPr>
          <w:rFonts w:hint="eastAsia"/>
          <w:color w:val="auto"/>
          <w:highlight w:val="none"/>
        </w:rPr>
      </w:pPr>
    </w:p>
    <w:p w14:paraId="79C9466B">
      <w:pPr>
        <w:adjustRightInd w:val="0"/>
        <w:snapToGrid w:val="0"/>
        <w:spacing w:line="560" w:lineRule="exact"/>
        <w:rPr>
          <w:rFonts w:hint="eastAsia"/>
          <w:color w:val="auto"/>
          <w:highlight w:val="none"/>
        </w:rPr>
      </w:pPr>
    </w:p>
    <w:p w14:paraId="41592EE1">
      <w:pPr>
        <w:adjustRightInd w:val="0"/>
        <w:snapToGrid w:val="0"/>
        <w:spacing w:line="560" w:lineRule="exact"/>
        <w:rPr>
          <w:rFonts w:hint="eastAsia"/>
          <w:color w:val="auto"/>
          <w:highlight w:val="none"/>
        </w:rPr>
      </w:pPr>
    </w:p>
    <w:p w14:paraId="35F2390A">
      <w:pPr>
        <w:adjustRightInd w:val="0"/>
        <w:snapToGrid w:val="0"/>
        <w:spacing w:line="560" w:lineRule="exact"/>
        <w:rPr>
          <w:rFonts w:hint="eastAsia"/>
          <w:color w:val="auto"/>
          <w:highlight w:val="none"/>
        </w:rPr>
      </w:pPr>
    </w:p>
    <w:p w14:paraId="1291CA1E">
      <w:pPr>
        <w:adjustRightInd w:val="0"/>
        <w:snapToGrid w:val="0"/>
        <w:spacing w:line="560" w:lineRule="exact"/>
        <w:rPr>
          <w:rFonts w:hint="eastAsia"/>
          <w:color w:val="auto"/>
          <w:highlight w:val="none"/>
        </w:rPr>
      </w:pPr>
    </w:p>
    <w:p w14:paraId="18DB8066">
      <w:pPr>
        <w:adjustRightInd w:val="0"/>
        <w:snapToGrid w:val="0"/>
        <w:spacing w:line="560" w:lineRule="exact"/>
        <w:rPr>
          <w:rFonts w:hint="eastAsia"/>
          <w:color w:val="auto"/>
          <w:highlight w:val="none"/>
        </w:rPr>
      </w:pPr>
    </w:p>
    <w:p w14:paraId="4FA80D39">
      <w:pPr>
        <w:adjustRightInd w:val="0"/>
        <w:snapToGrid w:val="0"/>
        <w:spacing w:line="560" w:lineRule="exact"/>
        <w:rPr>
          <w:rFonts w:hint="eastAsia"/>
          <w:color w:val="auto"/>
          <w:highlight w:val="none"/>
        </w:rPr>
      </w:pPr>
    </w:p>
    <w:p w14:paraId="6911783D">
      <w:pPr>
        <w:adjustRightInd w:val="0"/>
        <w:snapToGrid w:val="0"/>
        <w:spacing w:line="560" w:lineRule="exact"/>
        <w:rPr>
          <w:rFonts w:hint="eastAsia"/>
          <w:color w:val="auto"/>
          <w:highlight w:val="none"/>
        </w:rPr>
      </w:pPr>
    </w:p>
    <w:p w14:paraId="69CB8C14">
      <w:pPr>
        <w:adjustRightInd w:val="0"/>
        <w:snapToGrid w:val="0"/>
        <w:spacing w:line="560" w:lineRule="exact"/>
        <w:rPr>
          <w:rFonts w:hint="eastAsia"/>
          <w:color w:val="auto"/>
          <w:highlight w:val="none"/>
        </w:rPr>
      </w:pPr>
    </w:p>
    <w:p w14:paraId="1F4BE491">
      <w:pPr>
        <w:adjustRightInd w:val="0"/>
        <w:snapToGrid w:val="0"/>
        <w:spacing w:line="560" w:lineRule="exact"/>
        <w:rPr>
          <w:rFonts w:hint="eastAsia"/>
          <w:color w:val="auto"/>
          <w:highlight w:val="none"/>
        </w:rPr>
      </w:pPr>
    </w:p>
    <w:p w14:paraId="16D1DFEE">
      <w:pPr>
        <w:pStyle w:val="19"/>
        <w:rPr>
          <w:rFonts w:hint="eastAsia"/>
          <w:color w:val="auto"/>
          <w:highlight w:val="none"/>
        </w:rPr>
      </w:pPr>
    </w:p>
    <w:p w14:paraId="5C7C7899">
      <w:pPr>
        <w:adjustRightInd w:val="0"/>
        <w:snapToGrid w:val="0"/>
        <w:spacing w:line="560" w:lineRule="exact"/>
        <w:rPr>
          <w:rFonts w:hint="eastAsia"/>
          <w:color w:val="auto"/>
          <w:highlight w:val="none"/>
        </w:rPr>
      </w:pPr>
    </w:p>
    <w:p w14:paraId="79621427">
      <w:pPr>
        <w:pStyle w:val="19"/>
        <w:rPr>
          <w:rFonts w:hint="eastAsia"/>
          <w:color w:val="auto"/>
          <w:highlight w:val="none"/>
        </w:rPr>
      </w:pPr>
    </w:p>
    <w:p w14:paraId="08632035">
      <w:pPr>
        <w:rPr>
          <w:rFonts w:hint="eastAsia"/>
          <w:color w:val="auto"/>
          <w:highlight w:val="none"/>
        </w:rPr>
      </w:pPr>
    </w:p>
    <w:p w14:paraId="16876A8D">
      <w:pPr>
        <w:pStyle w:val="11"/>
        <w:adjustRightInd w:val="0"/>
        <w:snapToGrid w:val="0"/>
        <w:spacing w:after="0" w:line="560" w:lineRule="exact"/>
        <w:jc w:val="both"/>
        <w:outlineLvl w:val="0"/>
        <w:rPr>
          <w:rFonts w:eastAsia="黑体"/>
          <w:b/>
          <w:bCs/>
          <w:color w:val="auto"/>
          <w:sz w:val="32"/>
          <w:highlight w:val="none"/>
        </w:rPr>
        <w:sectPr>
          <w:pgSz w:w="11906" w:h="16838"/>
          <w:pgMar w:top="1134" w:right="1417" w:bottom="1134" w:left="1417" w:header="851" w:footer="992" w:gutter="0"/>
          <w:pgNumType w:fmt="decimal"/>
          <w:cols w:space="720" w:num="1"/>
          <w:docGrid w:type="lines" w:linePitch="312" w:charSpace="0"/>
        </w:sectPr>
      </w:pPr>
      <w:bookmarkStart w:id="1557" w:name="_Toc95223547"/>
    </w:p>
    <w:p w14:paraId="4A6952B3">
      <w:pPr>
        <w:pStyle w:val="11"/>
        <w:adjustRightInd w:val="0"/>
        <w:snapToGrid w:val="0"/>
        <w:spacing w:after="0" w:line="560" w:lineRule="exact"/>
        <w:jc w:val="center"/>
        <w:outlineLvl w:val="0"/>
        <w:rPr>
          <w:rFonts w:eastAsia="黑体"/>
          <w:b/>
          <w:bCs/>
          <w:color w:val="auto"/>
          <w:sz w:val="32"/>
          <w:highlight w:val="none"/>
        </w:rPr>
      </w:pPr>
      <w:r>
        <w:rPr>
          <w:rFonts w:hint="eastAsia" w:eastAsia="黑体"/>
          <w:b/>
          <w:bCs/>
          <w:color w:val="auto"/>
          <w:sz w:val="32"/>
          <w:highlight w:val="none"/>
        </w:rPr>
        <w:t>第</w:t>
      </w:r>
      <w:r>
        <w:rPr>
          <w:rFonts w:hint="eastAsia" w:eastAsia="黑体"/>
          <w:b/>
          <w:bCs/>
          <w:color w:val="auto"/>
          <w:sz w:val="32"/>
          <w:highlight w:val="none"/>
          <w:lang w:val="en-US" w:eastAsia="zh-CN"/>
        </w:rPr>
        <w:t>九</w:t>
      </w:r>
      <w:r>
        <w:rPr>
          <w:rFonts w:hint="eastAsia" w:eastAsia="黑体"/>
          <w:b/>
          <w:bCs/>
          <w:color w:val="auto"/>
          <w:sz w:val="32"/>
          <w:highlight w:val="none"/>
        </w:rPr>
        <w:t>章  招标</w:t>
      </w:r>
      <w:bookmarkStart w:id="1558" w:name="_Toc60061593"/>
      <w:r>
        <w:rPr>
          <w:rFonts w:hint="eastAsia" w:eastAsia="黑体"/>
          <w:b/>
          <w:bCs/>
          <w:color w:val="auto"/>
          <w:sz w:val="32"/>
          <w:highlight w:val="none"/>
        </w:rPr>
        <w:t>人、招标代理机构对本招标文件的确认</w:t>
      </w:r>
      <w:bookmarkEnd w:id="1557"/>
      <w:bookmarkEnd w:id="1558"/>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40FF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3" w:hRule="atLeast"/>
          <w:jc w:val="center"/>
        </w:trPr>
        <w:tc>
          <w:tcPr>
            <w:tcW w:w="9580" w:type="dxa"/>
            <w:noWrap w:val="0"/>
            <w:vAlign w:val="top"/>
          </w:tcPr>
          <w:p w14:paraId="1692BFF3">
            <w:pPr>
              <w:adjustRightInd w:val="0"/>
              <w:snapToGrid w:val="0"/>
              <w:spacing w:line="560" w:lineRule="exact"/>
              <w:rPr>
                <w:rFonts w:hint="eastAsia"/>
                <w:color w:val="auto"/>
                <w:sz w:val="30"/>
                <w:highlight w:val="none"/>
              </w:rPr>
            </w:pPr>
          </w:p>
          <w:p w14:paraId="34B87A2D">
            <w:pPr>
              <w:adjustRightInd w:val="0"/>
              <w:snapToGrid w:val="0"/>
              <w:spacing w:line="560" w:lineRule="exact"/>
              <w:ind w:firstLine="700" w:firstLineChars="250"/>
              <w:rPr>
                <w:rFonts w:hint="eastAsia"/>
                <w:color w:val="auto"/>
                <w:sz w:val="28"/>
                <w:szCs w:val="28"/>
                <w:highlight w:val="none"/>
              </w:rPr>
            </w:pPr>
            <w:r>
              <w:rPr>
                <w:rFonts w:hint="eastAsia"/>
                <w:color w:val="auto"/>
                <w:sz w:val="28"/>
                <w:szCs w:val="28"/>
                <w:highlight w:val="none"/>
              </w:rPr>
              <w:t>我单位对</w:t>
            </w:r>
            <w:r>
              <w:rPr>
                <w:rFonts w:hint="eastAsia" w:ascii="宋体" w:hAnsi="宋体" w:cs="宋体"/>
                <w:b/>
                <w:color w:val="auto"/>
                <w:kern w:val="0"/>
                <w:sz w:val="28"/>
                <w:szCs w:val="28"/>
                <w:highlight w:val="none"/>
                <w:u w:val="single"/>
              </w:rPr>
              <w:t xml:space="preserve"> </w:t>
            </w:r>
            <w:bookmarkStart w:id="1559" w:name="_Toc15058950"/>
            <w:bookmarkStart w:id="1560" w:name="_Toc506107366"/>
            <w:bookmarkStart w:id="1561" w:name="_Toc60061594"/>
            <w:r>
              <w:rPr>
                <w:rFonts w:hint="eastAsia" w:ascii="宋体" w:hAnsi="宋体" w:cs="宋体"/>
                <w:b/>
                <w:color w:val="auto"/>
                <w:kern w:val="0"/>
                <w:sz w:val="28"/>
                <w:szCs w:val="28"/>
                <w:highlight w:val="none"/>
                <w:u w:val="single"/>
                <w:lang w:val="en-US" w:eastAsia="zh-CN"/>
              </w:rPr>
              <w:t>滁州经开区智能家电产业园施工项目</w:t>
            </w:r>
            <w:r>
              <w:rPr>
                <w:rFonts w:hint="eastAsia" w:ascii="宋体" w:hAnsi="宋体" w:cs="宋体"/>
                <w:color w:val="auto"/>
                <w:kern w:val="0"/>
                <w:sz w:val="28"/>
                <w:szCs w:val="28"/>
                <w:highlight w:val="none"/>
              </w:rPr>
              <w:t>施工招</w:t>
            </w:r>
            <w:bookmarkEnd w:id="1559"/>
            <w:bookmarkEnd w:id="1560"/>
            <w:bookmarkEnd w:id="1561"/>
            <w:r>
              <w:rPr>
                <w:rFonts w:hint="eastAsia" w:ascii="宋体" w:hAnsi="宋体" w:cs="宋体"/>
                <w:color w:val="auto"/>
                <w:kern w:val="0"/>
                <w:sz w:val="28"/>
                <w:szCs w:val="28"/>
                <w:highlight w:val="none"/>
              </w:rPr>
              <w:t>标</w:t>
            </w:r>
            <w:r>
              <w:rPr>
                <w:rFonts w:hint="eastAsia"/>
                <w:color w:val="auto"/>
                <w:sz w:val="28"/>
                <w:szCs w:val="28"/>
                <w:highlight w:val="none"/>
              </w:rPr>
              <w:t>的招标文件进行确认。</w:t>
            </w:r>
          </w:p>
          <w:p w14:paraId="09BEC2BC">
            <w:pPr>
              <w:adjustRightInd w:val="0"/>
              <w:snapToGrid w:val="0"/>
              <w:spacing w:line="560" w:lineRule="exact"/>
              <w:rPr>
                <w:rFonts w:hint="eastAsia" w:ascii="宋体" w:hAnsi="宋体"/>
                <w:color w:val="auto"/>
                <w:sz w:val="28"/>
                <w:szCs w:val="28"/>
                <w:highlight w:val="none"/>
              </w:rPr>
            </w:pPr>
            <w:r>
              <w:rPr>
                <w:rFonts w:hint="eastAsia"/>
                <w:color w:val="auto"/>
                <w:sz w:val="30"/>
                <w:szCs w:val="30"/>
                <w:highlight w:val="none"/>
              </w:rPr>
              <w:t xml:space="preserve">   </w:t>
            </w:r>
            <w:r>
              <w:rPr>
                <w:rFonts w:hint="eastAsia" w:ascii="宋体" w:hAnsi="宋体"/>
                <w:color w:val="auto"/>
                <w:sz w:val="30"/>
                <w:szCs w:val="30"/>
                <w:highlight w:val="none"/>
              </w:rPr>
              <w:t xml:space="preserve"> </w:t>
            </w:r>
            <w:r>
              <w:rPr>
                <w:rFonts w:hint="eastAsia" w:ascii="宋体" w:hAnsi="宋体"/>
                <w:color w:val="auto"/>
                <w:sz w:val="28"/>
                <w:szCs w:val="28"/>
                <w:highlight w:val="none"/>
              </w:rPr>
              <w:t>招 标 人：滁州同业投资发展有限公司</w:t>
            </w:r>
          </w:p>
          <w:p w14:paraId="0CF04B67">
            <w:pPr>
              <w:adjustRightInd w:val="0"/>
              <w:snapToGrid w:val="0"/>
              <w:spacing w:line="560" w:lineRule="exact"/>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联 系 人：</w:t>
            </w:r>
            <w:r>
              <w:rPr>
                <w:rFonts w:hint="eastAsia" w:ascii="宋体" w:hAnsi="宋体"/>
                <w:color w:val="auto"/>
                <w:sz w:val="28"/>
                <w:szCs w:val="28"/>
                <w:highlight w:val="none"/>
                <w:lang w:val="en-US" w:eastAsia="zh-CN"/>
              </w:rPr>
              <w:t>姜舒、李庆延</w:t>
            </w:r>
            <w:r>
              <w:rPr>
                <w:rFonts w:hint="eastAsia" w:ascii="宋体" w:hAnsi="宋体"/>
                <w:color w:val="auto"/>
                <w:sz w:val="28"/>
                <w:szCs w:val="28"/>
                <w:highlight w:val="none"/>
              </w:rPr>
              <w:t xml:space="preserve"> </w:t>
            </w:r>
          </w:p>
          <w:p w14:paraId="2F99AFC3">
            <w:pPr>
              <w:adjustRightInd w:val="0"/>
              <w:snapToGrid w:val="0"/>
              <w:spacing w:line="560" w:lineRule="exact"/>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联系电话</w:t>
            </w:r>
            <w:r>
              <w:rPr>
                <w:rFonts w:hint="eastAsia" w:ascii="宋体" w:hAnsi="宋体"/>
                <w:color w:val="auto"/>
                <w:sz w:val="28"/>
                <w:szCs w:val="28"/>
                <w:highlight w:val="none"/>
                <w:lang w:eastAsia="zh-CN"/>
              </w:rPr>
              <w:t>：0550-3017151</w:t>
            </w:r>
          </w:p>
          <w:p w14:paraId="4FA861F6">
            <w:pPr>
              <w:adjustRightInd w:val="0"/>
              <w:snapToGrid w:val="0"/>
              <w:spacing w:line="560" w:lineRule="exact"/>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 xml:space="preserve">                                                                      </w:t>
            </w:r>
          </w:p>
          <w:p w14:paraId="127538E2">
            <w:pPr>
              <w:adjustRightInd w:val="0"/>
              <w:snapToGrid w:val="0"/>
              <w:spacing w:line="560" w:lineRule="exact"/>
              <w:ind w:firstLine="6580" w:firstLineChars="2350"/>
              <w:rPr>
                <w:rFonts w:hint="eastAsia" w:ascii="宋体" w:hAnsi="宋体"/>
                <w:color w:val="auto"/>
                <w:sz w:val="28"/>
                <w:szCs w:val="28"/>
                <w:highlight w:val="none"/>
              </w:rPr>
            </w:pPr>
            <w:r>
              <w:rPr>
                <w:rFonts w:hint="eastAsia" w:ascii="宋体" w:hAnsi="宋体"/>
                <w:color w:val="auto"/>
                <w:sz w:val="28"/>
                <w:szCs w:val="28"/>
                <w:highlight w:val="none"/>
              </w:rPr>
              <w:t>（</w:t>
            </w:r>
            <w:r>
              <w:rPr>
                <w:rFonts w:eastAsia="黑体"/>
                <w:color w:val="auto"/>
                <w:sz w:val="28"/>
                <w:szCs w:val="28"/>
                <w:highlight w:val="none"/>
              </w:rPr>
              <w:t>签</w:t>
            </w:r>
            <w:r>
              <w:rPr>
                <w:rFonts w:hint="eastAsia" w:eastAsia="黑体"/>
                <w:color w:val="auto"/>
                <w:sz w:val="28"/>
                <w:szCs w:val="28"/>
                <w:highlight w:val="none"/>
              </w:rPr>
              <w:t>章</w:t>
            </w:r>
            <w:r>
              <w:rPr>
                <w:rFonts w:hint="eastAsia" w:ascii="宋体" w:hAnsi="宋体"/>
                <w:color w:val="auto"/>
                <w:sz w:val="28"/>
                <w:szCs w:val="28"/>
                <w:highlight w:val="none"/>
              </w:rPr>
              <w:t>）</w:t>
            </w:r>
          </w:p>
          <w:p w14:paraId="2C7F95D7">
            <w:pPr>
              <w:adjustRightInd w:val="0"/>
              <w:snapToGrid w:val="0"/>
              <w:spacing w:line="560" w:lineRule="exact"/>
              <w:ind w:firstLine="5040" w:firstLineChars="1800"/>
              <w:rPr>
                <w:rFonts w:hint="eastAsia"/>
                <w:color w:val="auto"/>
                <w:sz w:val="30"/>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2026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7</w:t>
            </w:r>
            <w:r>
              <w:rPr>
                <w:rFonts w:hint="eastAsia" w:ascii="宋体" w:hAnsi="宋体"/>
                <w:color w:val="auto"/>
                <w:sz w:val="28"/>
                <w:szCs w:val="28"/>
                <w:highlight w:val="none"/>
              </w:rPr>
              <w:t>月</w:t>
            </w:r>
            <w:r>
              <w:rPr>
                <w:rFonts w:hint="eastAsia" w:ascii="宋体" w:hAnsi="宋体"/>
                <w:color w:val="auto"/>
                <w:sz w:val="28"/>
                <w:szCs w:val="28"/>
                <w:highlight w:val="none"/>
                <w:lang w:val="en-US" w:eastAsia="zh-CN"/>
              </w:rPr>
              <w:t>31</w:t>
            </w:r>
            <w:r>
              <w:rPr>
                <w:rFonts w:hint="eastAsia" w:ascii="宋体" w:hAnsi="宋体"/>
                <w:color w:val="auto"/>
                <w:sz w:val="28"/>
                <w:szCs w:val="28"/>
                <w:highlight w:val="none"/>
              </w:rPr>
              <w:t>日</w:t>
            </w:r>
          </w:p>
        </w:tc>
      </w:tr>
      <w:tr w14:paraId="2F74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6" w:hRule="atLeast"/>
          <w:jc w:val="center"/>
        </w:trPr>
        <w:tc>
          <w:tcPr>
            <w:tcW w:w="9580" w:type="dxa"/>
            <w:noWrap w:val="0"/>
            <w:vAlign w:val="top"/>
          </w:tcPr>
          <w:p w14:paraId="2913CEF7">
            <w:pPr>
              <w:adjustRightInd w:val="0"/>
              <w:snapToGrid w:val="0"/>
              <w:spacing w:line="560" w:lineRule="exact"/>
              <w:ind w:firstLine="600" w:firstLineChars="200"/>
              <w:rPr>
                <w:rFonts w:hint="eastAsia"/>
                <w:color w:val="auto"/>
                <w:sz w:val="30"/>
                <w:highlight w:val="none"/>
              </w:rPr>
            </w:pPr>
          </w:p>
          <w:p w14:paraId="791EFE1A">
            <w:pPr>
              <w:adjustRightInd w:val="0"/>
              <w:snapToGrid w:val="0"/>
              <w:spacing w:line="560" w:lineRule="exact"/>
              <w:ind w:firstLine="560" w:firstLineChars="200"/>
              <w:rPr>
                <w:rFonts w:hint="eastAsia"/>
                <w:color w:val="auto"/>
                <w:sz w:val="28"/>
                <w:szCs w:val="28"/>
                <w:highlight w:val="none"/>
              </w:rPr>
            </w:pPr>
            <w:r>
              <w:rPr>
                <w:rFonts w:hint="eastAsia"/>
                <w:color w:val="auto"/>
                <w:sz w:val="28"/>
                <w:szCs w:val="28"/>
                <w:highlight w:val="none"/>
              </w:rPr>
              <w:t>招标代理机构：</w:t>
            </w:r>
            <w:r>
              <w:rPr>
                <w:rFonts w:hint="eastAsia"/>
                <w:color w:val="auto"/>
                <w:sz w:val="28"/>
                <w:szCs w:val="28"/>
                <w:highlight w:val="none"/>
                <w:lang w:val="en-US" w:eastAsia="zh-CN"/>
              </w:rPr>
              <w:t>滁州市城投工程咨询管理有限公司</w:t>
            </w:r>
            <w:r>
              <w:rPr>
                <w:rFonts w:hint="eastAsia"/>
                <w:color w:val="auto"/>
                <w:sz w:val="28"/>
                <w:szCs w:val="28"/>
                <w:highlight w:val="none"/>
              </w:rPr>
              <w:t xml:space="preserve"> </w:t>
            </w:r>
          </w:p>
          <w:p w14:paraId="529BC712">
            <w:pPr>
              <w:adjustRightInd w:val="0"/>
              <w:snapToGrid w:val="0"/>
              <w:spacing w:line="560" w:lineRule="exact"/>
              <w:ind w:firstLine="560" w:firstLineChars="200"/>
              <w:rPr>
                <w:rFonts w:hint="eastAsia"/>
                <w:color w:val="auto"/>
                <w:sz w:val="28"/>
                <w:szCs w:val="28"/>
                <w:highlight w:val="none"/>
              </w:rPr>
            </w:pPr>
            <w:r>
              <w:rPr>
                <w:rFonts w:hint="eastAsia"/>
                <w:color w:val="auto"/>
                <w:sz w:val="28"/>
                <w:szCs w:val="28"/>
                <w:highlight w:val="none"/>
              </w:rPr>
              <w:t>联系人：</w:t>
            </w:r>
            <w:r>
              <w:rPr>
                <w:rFonts w:hint="eastAsia"/>
                <w:color w:val="auto"/>
                <w:sz w:val="28"/>
                <w:szCs w:val="28"/>
                <w:highlight w:val="none"/>
                <w:lang w:val="en-US" w:eastAsia="zh-CN"/>
              </w:rPr>
              <w:t>杨韦</w:t>
            </w:r>
            <w:r>
              <w:rPr>
                <w:rFonts w:hint="eastAsia"/>
                <w:color w:val="auto"/>
                <w:sz w:val="28"/>
                <w:szCs w:val="28"/>
                <w:highlight w:val="none"/>
              </w:rPr>
              <w:t xml:space="preserve"> </w:t>
            </w:r>
          </w:p>
          <w:p w14:paraId="4865B8FE">
            <w:pPr>
              <w:adjustRightInd w:val="0"/>
              <w:snapToGrid w:val="0"/>
              <w:spacing w:line="560" w:lineRule="exact"/>
              <w:ind w:firstLine="560" w:firstLineChars="200"/>
              <w:rPr>
                <w:rFonts w:hint="eastAsia"/>
                <w:color w:val="auto"/>
                <w:sz w:val="28"/>
                <w:szCs w:val="28"/>
                <w:highlight w:val="none"/>
              </w:rPr>
            </w:pPr>
            <w:r>
              <w:rPr>
                <w:rFonts w:hint="eastAsia"/>
                <w:color w:val="auto"/>
                <w:sz w:val="28"/>
                <w:szCs w:val="28"/>
                <w:highlight w:val="none"/>
              </w:rPr>
              <w:t>联系电话：</w:t>
            </w:r>
            <w:r>
              <w:rPr>
                <w:rFonts w:hint="eastAsia"/>
                <w:color w:val="auto"/>
                <w:sz w:val="28"/>
                <w:szCs w:val="28"/>
                <w:highlight w:val="none"/>
                <w:lang w:val="en-US" w:eastAsia="zh-CN"/>
              </w:rPr>
              <w:t>0550-3519590、18005501210</w:t>
            </w:r>
            <w:r>
              <w:rPr>
                <w:rFonts w:hint="eastAsia"/>
                <w:color w:val="auto"/>
                <w:sz w:val="28"/>
                <w:szCs w:val="28"/>
                <w:highlight w:val="none"/>
              </w:rPr>
              <w:t xml:space="preserve"> </w:t>
            </w:r>
          </w:p>
          <w:p w14:paraId="6B17227F">
            <w:pPr>
              <w:adjustRightInd w:val="0"/>
              <w:snapToGrid w:val="0"/>
              <w:spacing w:line="560" w:lineRule="exact"/>
              <w:ind w:firstLine="280" w:firstLineChars="100"/>
              <w:rPr>
                <w:rFonts w:hint="eastAsia"/>
                <w:color w:val="auto"/>
                <w:sz w:val="28"/>
                <w:szCs w:val="28"/>
                <w:highlight w:val="none"/>
              </w:rPr>
            </w:pPr>
            <w:r>
              <w:rPr>
                <w:rFonts w:hint="eastAsia"/>
                <w:color w:val="auto"/>
                <w:sz w:val="28"/>
                <w:szCs w:val="28"/>
                <w:highlight w:val="none"/>
              </w:rPr>
              <w:t xml:space="preserve">                                  </w:t>
            </w:r>
          </w:p>
          <w:p w14:paraId="3E49338B">
            <w:pPr>
              <w:adjustRightInd w:val="0"/>
              <w:snapToGrid w:val="0"/>
              <w:spacing w:line="560" w:lineRule="exact"/>
              <w:ind w:firstLine="280" w:firstLineChars="100"/>
              <w:rPr>
                <w:rFonts w:hint="eastAsia"/>
                <w:color w:val="auto"/>
                <w:sz w:val="28"/>
                <w:szCs w:val="28"/>
                <w:highlight w:val="none"/>
              </w:rPr>
            </w:pPr>
          </w:p>
          <w:p w14:paraId="533B7B42">
            <w:pPr>
              <w:adjustRightInd w:val="0"/>
              <w:snapToGrid w:val="0"/>
              <w:spacing w:line="560" w:lineRule="exact"/>
              <w:ind w:firstLine="280" w:firstLineChars="100"/>
              <w:jc w:val="center"/>
              <w:rPr>
                <w:rFonts w:hint="eastAsia"/>
                <w:color w:val="auto"/>
                <w:sz w:val="28"/>
                <w:szCs w:val="28"/>
                <w:highlight w:val="none"/>
              </w:rPr>
            </w:pPr>
            <w:r>
              <w:rPr>
                <w:rFonts w:hint="eastAsia"/>
                <w:color w:val="auto"/>
                <w:sz w:val="28"/>
                <w:szCs w:val="28"/>
                <w:highlight w:val="none"/>
              </w:rPr>
              <w:t xml:space="preserve">                               （</w:t>
            </w:r>
            <w:r>
              <w:rPr>
                <w:rFonts w:eastAsia="黑体"/>
                <w:color w:val="auto"/>
                <w:sz w:val="28"/>
                <w:szCs w:val="28"/>
                <w:highlight w:val="none"/>
              </w:rPr>
              <w:t>签</w:t>
            </w:r>
            <w:r>
              <w:rPr>
                <w:rFonts w:hint="eastAsia" w:eastAsia="黑体"/>
                <w:color w:val="auto"/>
                <w:sz w:val="28"/>
                <w:szCs w:val="28"/>
                <w:highlight w:val="none"/>
              </w:rPr>
              <w:t>章</w:t>
            </w:r>
            <w:r>
              <w:rPr>
                <w:rFonts w:hint="eastAsia"/>
                <w:color w:val="auto"/>
                <w:sz w:val="28"/>
                <w:szCs w:val="28"/>
                <w:highlight w:val="none"/>
              </w:rPr>
              <w:t>）</w:t>
            </w:r>
          </w:p>
          <w:p w14:paraId="41B0B2E5">
            <w:pPr>
              <w:adjustRightInd w:val="0"/>
              <w:snapToGrid w:val="0"/>
              <w:spacing w:line="560" w:lineRule="exact"/>
              <w:ind w:firstLine="4900" w:firstLineChars="1750"/>
              <w:rPr>
                <w:rFonts w:hint="eastAsia"/>
                <w:color w:val="auto"/>
                <w:sz w:val="30"/>
                <w:highlight w:val="none"/>
              </w:rPr>
            </w:pPr>
            <w:r>
              <w:rPr>
                <w:rFonts w:hint="eastAsia"/>
                <w:color w:val="auto"/>
                <w:sz w:val="28"/>
                <w:szCs w:val="28"/>
                <w:highlight w:val="none"/>
              </w:rPr>
              <w:t xml:space="preserve"> </w:t>
            </w:r>
            <w:r>
              <w:rPr>
                <w:rFonts w:hint="eastAsia"/>
                <w:color w:val="auto"/>
                <w:sz w:val="28"/>
                <w:szCs w:val="28"/>
                <w:highlight w:val="none"/>
                <w:lang w:val="en-US" w:eastAsia="zh-CN"/>
              </w:rPr>
              <w:t xml:space="preserve">       </w:t>
            </w:r>
            <w:r>
              <w:rPr>
                <w:rFonts w:hint="eastAsia"/>
                <w:color w:val="auto"/>
                <w:sz w:val="28"/>
                <w:szCs w:val="28"/>
                <w:highlight w:val="none"/>
              </w:rPr>
              <w:t xml:space="preserve"> </w:t>
            </w:r>
            <w:r>
              <w:rPr>
                <w:rFonts w:hint="eastAsia"/>
                <w:color w:val="auto"/>
                <w:sz w:val="28"/>
                <w:szCs w:val="28"/>
                <w:highlight w:val="none"/>
                <w:lang w:val="en-US" w:eastAsia="zh-CN"/>
              </w:rPr>
              <w:t>2026</w:t>
            </w:r>
            <w:r>
              <w:rPr>
                <w:rFonts w:hint="eastAsia"/>
                <w:color w:val="auto"/>
                <w:sz w:val="28"/>
                <w:szCs w:val="28"/>
                <w:highlight w:val="none"/>
              </w:rPr>
              <w:t>年</w:t>
            </w:r>
            <w:r>
              <w:rPr>
                <w:rFonts w:hint="eastAsia"/>
                <w:color w:val="auto"/>
                <w:sz w:val="28"/>
                <w:szCs w:val="28"/>
                <w:highlight w:val="none"/>
                <w:lang w:val="en-US" w:eastAsia="zh-CN"/>
              </w:rPr>
              <w:t>7</w:t>
            </w:r>
            <w:r>
              <w:rPr>
                <w:rFonts w:hint="eastAsia"/>
                <w:color w:val="auto"/>
                <w:sz w:val="28"/>
                <w:szCs w:val="28"/>
                <w:highlight w:val="none"/>
              </w:rPr>
              <w:t>月</w:t>
            </w:r>
            <w:r>
              <w:rPr>
                <w:rFonts w:hint="eastAsia"/>
                <w:color w:val="auto"/>
                <w:sz w:val="28"/>
                <w:szCs w:val="28"/>
                <w:highlight w:val="none"/>
                <w:lang w:val="en-US" w:eastAsia="zh-CN"/>
              </w:rPr>
              <w:t>31</w:t>
            </w:r>
            <w:r>
              <w:rPr>
                <w:rFonts w:hint="eastAsia"/>
                <w:color w:val="auto"/>
                <w:sz w:val="28"/>
                <w:szCs w:val="28"/>
                <w:highlight w:val="none"/>
              </w:rPr>
              <w:t>日</w:t>
            </w:r>
          </w:p>
        </w:tc>
      </w:tr>
      <w:bookmarkEnd w:id="4"/>
      <w:bookmarkEnd w:id="5"/>
      <w:bookmarkEnd w:id="6"/>
      <w:bookmarkEnd w:id="7"/>
      <w:bookmarkEnd w:id="8"/>
    </w:tbl>
    <w:p w14:paraId="66E5473A">
      <w:pPr>
        <w:rPr>
          <w:color w:val="auto"/>
          <w:highlight w:val="none"/>
        </w:rPr>
      </w:pPr>
    </w:p>
    <w:sectPr>
      <w:pgSz w:w="11906" w:h="16838"/>
      <w:pgMar w:top="1134" w:right="1417" w:bottom="1134"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44E72B-8117-4897-8EA8-D16616CC0E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0C212A4-0214-40E6-85F1-EFA4063AD175}"/>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MS Mincho">
    <w:panose1 w:val="02020609040205080304"/>
    <w:charset w:val="80"/>
    <w:family w:val="modern"/>
    <w:pitch w:val="default"/>
    <w:sig w:usb0="A00002BF" w:usb1="68C7FCFB" w:usb2="00000010" w:usb3="00000000" w:csb0="4002009F" w:csb1="DFD70000"/>
    <w:embedRegular r:id="rId3" w:fontKey="{8060AD5A-1D74-4E09-9BB8-B5CC27EFF440}"/>
  </w:font>
  <w:font w:name="Wingdings 2">
    <w:altName w:val="Wingdings"/>
    <w:panose1 w:val="05020102010507070707"/>
    <w:charset w:val="02"/>
    <w:family w:val="auto"/>
    <w:pitch w:val="default"/>
    <w:sig w:usb0="00000000" w:usb1="00000000" w:usb2="00000000" w:usb3="00000000" w:csb0="80000000" w:csb1="00000000"/>
    <w:embedRegular r:id="rId4" w:fontKey="{E1DAB3E4-9125-4817-9179-6D608E965447}"/>
  </w:font>
  <w:font w:name="仿宋_GB2312">
    <w:panose1 w:val="02010609030101010101"/>
    <w:charset w:val="86"/>
    <w:family w:val="modern"/>
    <w:pitch w:val="default"/>
    <w:sig w:usb0="00000001" w:usb1="080E0000" w:usb2="00000000" w:usb3="00000000" w:csb0="00040000" w:csb1="00000000"/>
    <w:embedRegular r:id="rId5" w:fontKey="{221E6820-0F7C-4092-9142-0D3BCA36A417}"/>
  </w:font>
  <w:font w:name="华文中宋">
    <w:panose1 w:val="02010600040101010101"/>
    <w:charset w:val="86"/>
    <w:family w:val="auto"/>
    <w:pitch w:val="default"/>
    <w:sig w:usb0="00000287" w:usb1="080F0000" w:usb2="00000000" w:usb3="00000000" w:csb0="0004009F" w:csb1="DFD70000"/>
    <w:embedRegular r:id="rId6" w:fontKey="{41628632-6BFE-4F97-A444-DF70DDB3A167}"/>
  </w:font>
  <w:font w:name="仿宋">
    <w:panose1 w:val="02010609060101010101"/>
    <w:charset w:val="86"/>
    <w:family w:val="auto"/>
    <w:pitch w:val="default"/>
    <w:sig w:usb0="800002BF" w:usb1="38CF7CFA" w:usb2="00000016" w:usb3="00000000" w:csb0="00040001" w:csb1="00000000"/>
    <w:embedRegular r:id="rId7" w:fontKey="{593845A3-432B-491A-9DE2-747DBA045C14}"/>
  </w:font>
  <w:font w:name="Cambria Math">
    <w:panose1 w:val="02040503050406030204"/>
    <w:charset w:val="00"/>
    <w:family w:val="roman"/>
    <w:pitch w:val="default"/>
    <w:sig w:usb0="E00006FF" w:usb1="420024FF" w:usb2="02000000" w:usb3="00000000" w:csb0="2000019F" w:csb1="00000000"/>
    <w:embedRegular r:id="rId8" w:fontKey="{1A3CC97A-D136-4466-9FF3-2CD8FE0FEECA}"/>
  </w:font>
  <w:font w:name="WPSEMBED14">
    <w:panose1 w:val="02020609040205080304"/>
    <w:charset w:val="80"/>
    <w:family w:val="auto"/>
    <w:pitch w:val="default"/>
    <w:sig w:usb0="A00002BF" w:usb1="68C7FCFB" w:usb2="00000010" w:usb3="00000000" w:csb0="4002009F" w:csb1="DFD70000"/>
  </w:font>
  <w:font w:name="WPSEMBED15">
    <w:panose1 w:val="02010609030101010101"/>
    <w:charset w:val="86"/>
    <w:family w:val="auto"/>
    <w:pitch w:val="default"/>
    <w:sig w:usb0="00000001" w:usb1="080E0000" w:usb2="00000000" w:usb3="00000000" w:csb0="00040000" w:csb1="00000000"/>
  </w:font>
  <w:font w:name="Kingsoft U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EC358">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5BFBD0">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C5BFBD0">
                    <w:pPr>
                      <w:pStyle w:val="1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526C412F">
      <w:pPr>
        <w:pStyle w:val="17"/>
        <w:snapToGrid w:val="0"/>
        <w:rPr>
          <w:rStyle w:val="33"/>
          <w:rFonts w:hint="eastAsia"/>
        </w:rPr>
      </w:pPr>
      <w:r>
        <w:rPr>
          <w:rStyle w:val="33"/>
          <w:rFonts w:hint="eastAsia"/>
        </w:rPr>
        <w:footnoteRef/>
      </w:r>
      <w:r>
        <w:rPr>
          <w:rStyle w:val="33"/>
          <w:rFonts w:hint="eastAsia"/>
        </w:rPr>
        <w:t>依据《关于做好房屋建筑和市政基础设施工程质量事故报告和调查处理工程的通知》（建质〔2010〕111号）规定。</w:t>
      </w:r>
    </w:p>
  </w:footnote>
  <w:footnote w:id="1">
    <w:p w14:paraId="490F87B1">
      <w:pPr>
        <w:pStyle w:val="17"/>
        <w:snapToGrid w:val="0"/>
        <w:rPr>
          <w:rStyle w:val="33"/>
          <w:rFonts w:hint="eastAsia"/>
        </w:rPr>
      </w:pPr>
      <w:r>
        <w:rPr>
          <w:rStyle w:val="33"/>
          <w:rFonts w:hint="eastAsia"/>
        </w:rPr>
        <w:footnoteRef/>
      </w:r>
      <w:r>
        <w:rPr>
          <w:rStyle w:val="33"/>
          <w:rFonts w:hint="eastAsia"/>
        </w:rPr>
        <w:t>依据《生产安全事故报告和调查处理条例》（国务院令第493号）规定。</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AEE93">
    <w:pPr>
      <w:pStyle w:val="15"/>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3EC36">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D0D545"/>
    <w:multiLevelType w:val="singleLevel"/>
    <w:tmpl w:val="BFD0D545"/>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4"/>
    <w:footnote w:id="5"/>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wNTc2ZWQzOTA0MzE0NWU1ZTZhZGFiZDdiZjMzYzcifQ=="/>
  </w:docVars>
  <w:rsids>
    <w:rsidRoot w:val="04C200ED"/>
    <w:rsid w:val="002108CA"/>
    <w:rsid w:val="00555609"/>
    <w:rsid w:val="00681EDA"/>
    <w:rsid w:val="00717B07"/>
    <w:rsid w:val="00BC57CD"/>
    <w:rsid w:val="00DE5743"/>
    <w:rsid w:val="01227D26"/>
    <w:rsid w:val="013D4B60"/>
    <w:rsid w:val="013F77F9"/>
    <w:rsid w:val="017133B8"/>
    <w:rsid w:val="017D31AE"/>
    <w:rsid w:val="01AD42AE"/>
    <w:rsid w:val="01BC583F"/>
    <w:rsid w:val="01CF32DE"/>
    <w:rsid w:val="01DB6127"/>
    <w:rsid w:val="02180E2A"/>
    <w:rsid w:val="028B7948"/>
    <w:rsid w:val="02B072E7"/>
    <w:rsid w:val="034620B4"/>
    <w:rsid w:val="03676684"/>
    <w:rsid w:val="036902F4"/>
    <w:rsid w:val="03EA2651"/>
    <w:rsid w:val="040D6B8B"/>
    <w:rsid w:val="041F21D1"/>
    <w:rsid w:val="047107B7"/>
    <w:rsid w:val="04965593"/>
    <w:rsid w:val="04C200ED"/>
    <w:rsid w:val="04C74740"/>
    <w:rsid w:val="04EA6DAD"/>
    <w:rsid w:val="050F05C1"/>
    <w:rsid w:val="052E656D"/>
    <w:rsid w:val="05445D91"/>
    <w:rsid w:val="057C377D"/>
    <w:rsid w:val="059127FB"/>
    <w:rsid w:val="05AA02EA"/>
    <w:rsid w:val="05BF6CDE"/>
    <w:rsid w:val="05C36FC4"/>
    <w:rsid w:val="05D62E8D"/>
    <w:rsid w:val="05FE23E4"/>
    <w:rsid w:val="060168C2"/>
    <w:rsid w:val="06372E72"/>
    <w:rsid w:val="064810A9"/>
    <w:rsid w:val="068D39FF"/>
    <w:rsid w:val="06A26B68"/>
    <w:rsid w:val="07395C28"/>
    <w:rsid w:val="08365E65"/>
    <w:rsid w:val="084B4405"/>
    <w:rsid w:val="08857D5A"/>
    <w:rsid w:val="08BC746A"/>
    <w:rsid w:val="08DC4C5E"/>
    <w:rsid w:val="08FA3336"/>
    <w:rsid w:val="092E5190"/>
    <w:rsid w:val="09375566"/>
    <w:rsid w:val="099941A3"/>
    <w:rsid w:val="09CB187F"/>
    <w:rsid w:val="09EE51E0"/>
    <w:rsid w:val="0A171CC6"/>
    <w:rsid w:val="0A3250CE"/>
    <w:rsid w:val="0A4E22FB"/>
    <w:rsid w:val="0A4E7F3C"/>
    <w:rsid w:val="0A5E78F5"/>
    <w:rsid w:val="0A8464FD"/>
    <w:rsid w:val="0AEC4F01"/>
    <w:rsid w:val="0B112AF1"/>
    <w:rsid w:val="0B9338DE"/>
    <w:rsid w:val="0BC47C2C"/>
    <w:rsid w:val="0BDE0CED"/>
    <w:rsid w:val="0BE8391A"/>
    <w:rsid w:val="0BF978D5"/>
    <w:rsid w:val="0C120997"/>
    <w:rsid w:val="0C7B4653"/>
    <w:rsid w:val="0C88602A"/>
    <w:rsid w:val="0C922E8C"/>
    <w:rsid w:val="0CFD1647"/>
    <w:rsid w:val="0D016552"/>
    <w:rsid w:val="0D2E1801"/>
    <w:rsid w:val="0D6339B7"/>
    <w:rsid w:val="0D887163"/>
    <w:rsid w:val="0DB5188A"/>
    <w:rsid w:val="0DFA2A11"/>
    <w:rsid w:val="0E197DBB"/>
    <w:rsid w:val="0E6D6359"/>
    <w:rsid w:val="0ED1719D"/>
    <w:rsid w:val="0ED71A24"/>
    <w:rsid w:val="0F8370B3"/>
    <w:rsid w:val="0F873994"/>
    <w:rsid w:val="0F8971C2"/>
    <w:rsid w:val="0FE642B6"/>
    <w:rsid w:val="0FEC7C3F"/>
    <w:rsid w:val="0FF46D31"/>
    <w:rsid w:val="10020573"/>
    <w:rsid w:val="102913E9"/>
    <w:rsid w:val="10B23902"/>
    <w:rsid w:val="10B4026F"/>
    <w:rsid w:val="10B60B86"/>
    <w:rsid w:val="10DE353E"/>
    <w:rsid w:val="117A5014"/>
    <w:rsid w:val="11EE155E"/>
    <w:rsid w:val="12767ED2"/>
    <w:rsid w:val="128807D2"/>
    <w:rsid w:val="12BA7692"/>
    <w:rsid w:val="13174AE5"/>
    <w:rsid w:val="13196F8B"/>
    <w:rsid w:val="13217712"/>
    <w:rsid w:val="13533A71"/>
    <w:rsid w:val="1372527A"/>
    <w:rsid w:val="13986D70"/>
    <w:rsid w:val="13AF6B58"/>
    <w:rsid w:val="146D463D"/>
    <w:rsid w:val="14AA5673"/>
    <w:rsid w:val="14BA1BCC"/>
    <w:rsid w:val="152A6D51"/>
    <w:rsid w:val="152A7A45"/>
    <w:rsid w:val="154E6CD0"/>
    <w:rsid w:val="15796456"/>
    <w:rsid w:val="1585525F"/>
    <w:rsid w:val="15B739BD"/>
    <w:rsid w:val="15BD1BCA"/>
    <w:rsid w:val="15E52C78"/>
    <w:rsid w:val="163A2906"/>
    <w:rsid w:val="163D313F"/>
    <w:rsid w:val="164125A5"/>
    <w:rsid w:val="16783AEC"/>
    <w:rsid w:val="16914904"/>
    <w:rsid w:val="16924BAE"/>
    <w:rsid w:val="16A668AC"/>
    <w:rsid w:val="16B8213B"/>
    <w:rsid w:val="16F83709"/>
    <w:rsid w:val="170B2D8B"/>
    <w:rsid w:val="17112A73"/>
    <w:rsid w:val="1720040C"/>
    <w:rsid w:val="17614581"/>
    <w:rsid w:val="177E5132"/>
    <w:rsid w:val="178A6601"/>
    <w:rsid w:val="17EB193D"/>
    <w:rsid w:val="185D743E"/>
    <w:rsid w:val="18932E60"/>
    <w:rsid w:val="18C57A32"/>
    <w:rsid w:val="18C80D5B"/>
    <w:rsid w:val="18F45F0D"/>
    <w:rsid w:val="19046B90"/>
    <w:rsid w:val="192B68B8"/>
    <w:rsid w:val="1A805353"/>
    <w:rsid w:val="1A845156"/>
    <w:rsid w:val="1AA94BBC"/>
    <w:rsid w:val="1AEA05DF"/>
    <w:rsid w:val="1B487F31"/>
    <w:rsid w:val="1B787A2E"/>
    <w:rsid w:val="1BAE0ABF"/>
    <w:rsid w:val="1BBC5A4A"/>
    <w:rsid w:val="1BEE218B"/>
    <w:rsid w:val="1C146536"/>
    <w:rsid w:val="1C4C33DE"/>
    <w:rsid w:val="1C8A474A"/>
    <w:rsid w:val="1C9378D2"/>
    <w:rsid w:val="1D2642A2"/>
    <w:rsid w:val="1D670577"/>
    <w:rsid w:val="1DA17203"/>
    <w:rsid w:val="1DB913DB"/>
    <w:rsid w:val="1DBA11F5"/>
    <w:rsid w:val="1DBE097F"/>
    <w:rsid w:val="1DE71C83"/>
    <w:rsid w:val="1EC27237"/>
    <w:rsid w:val="1EFC05DA"/>
    <w:rsid w:val="1F170346"/>
    <w:rsid w:val="1F917661"/>
    <w:rsid w:val="1F9D2589"/>
    <w:rsid w:val="1FA63478"/>
    <w:rsid w:val="205B0D8E"/>
    <w:rsid w:val="20931C4F"/>
    <w:rsid w:val="20D63E58"/>
    <w:rsid w:val="210C5F98"/>
    <w:rsid w:val="214178FD"/>
    <w:rsid w:val="214611D6"/>
    <w:rsid w:val="21A06893"/>
    <w:rsid w:val="21E32B5E"/>
    <w:rsid w:val="21ED35E0"/>
    <w:rsid w:val="221A3813"/>
    <w:rsid w:val="22407BB4"/>
    <w:rsid w:val="224955E9"/>
    <w:rsid w:val="22574EFE"/>
    <w:rsid w:val="22AC788E"/>
    <w:rsid w:val="22F07A78"/>
    <w:rsid w:val="231040B3"/>
    <w:rsid w:val="235002CB"/>
    <w:rsid w:val="23711FEF"/>
    <w:rsid w:val="23762DDD"/>
    <w:rsid w:val="23D22A8E"/>
    <w:rsid w:val="23EF693F"/>
    <w:rsid w:val="242920CC"/>
    <w:rsid w:val="245E07C6"/>
    <w:rsid w:val="246526AE"/>
    <w:rsid w:val="249D7540"/>
    <w:rsid w:val="24AB3C18"/>
    <w:rsid w:val="24AC1531"/>
    <w:rsid w:val="25021151"/>
    <w:rsid w:val="250B47F3"/>
    <w:rsid w:val="25457290"/>
    <w:rsid w:val="25F602DD"/>
    <w:rsid w:val="25F80DA5"/>
    <w:rsid w:val="26164C47"/>
    <w:rsid w:val="26466C94"/>
    <w:rsid w:val="266235BB"/>
    <w:rsid w:val="26751385"/>
    <w:rsid w:val="26B26BA7"/>
    <w:rsid w:val="26E42110"/>
    <w:rsid w:val="26FB65F8"/>
    <w:rsid w:val="271E5FEA"/>
    <w:rsid w:val="273075E2"/>
    <w:rsid w:val="27457A1B"/>
    <w:rsid w:val="278E3654"/>
    <w:rsid w:val="27BF5A1F"/>
    <w:rsid w:val="27C92BBA"/>
    <w:rsid w:val="282A2D36"/>
    <w:rsid w:val="28642123"/>
    <w:rsid w:val="28757E8C"/>
    <w:rsid w:val="28812772"/>
    <w:rsid w:val="29023CB8"/>
    <w:rsid w:val="2940255A"/>
    <w:rsid w:val="298133BF"/>
    <w:rsid w:val="29A077CD"/>
    <w:rsid w:val="29C64750"/>
    <w:rsid w:val="29E3739C"/>
    <w:rsid w:val="2A467D32"/>
    <w:rsid w:val="2ABF5E91"/>
    <w:rsid w:val="2ADF3CE2"/>
    <w:rsid w:val="2B381D70"/>
    <w:rsid w:val="2B6C37C8"/>
    <w:rsid w:val="2BB138D1"/>
    <w:rsid w:val="2BB4516F"/>
    <w:rsid w:val="2BE07D12"/>
    <w:rsid w:val="2C343987"/>
    <w:rsid w:val="2C45434C"/>
    <w:rsid w:val="2C7F71B4"/>
    <w:rsid w:val="2C8D572B"/>
    <w:rsid w:val="2C93195A"/>
    <w:rsid w:val="2CB66D78"/>
    <w:rsid w:val="2D0D36B6"/>
    <w:rsid w:val="2D3A499E"/>
    <w:rsid w:val="2D3C3E3E"/>
    <w:rsid w:val="2D523989"/>
    <w:rsid w:val="2D6629C0"/>
    <w:rsid w:val="2D687FBF"/>
    <w:rsid w:val="2D6C4A4A"/>
    <w:rsid w:val="2E1F2D74"/>
    <w:rsid w:val="2EC8785D"/>
    <w:rsid w:val="2F17547B"/>
    <w:rsid w:val="2F3960B7"/>
    <w:rsid w:val="2FF93442"/>
    <w:rsid w:val="305807BF"/>
    <w:rsid w:val="30D64D73"/>
    <w:rsid w:val="3119625B"/>
    <w:rsid w:val="315471D8"/>
    <w:rsid w:val="31B732C3"/>
    <w:rsid w:val="31E700F2"/>
    <w:rsid w:val="31F500A1"/>
    <w:rsid w:val="320F1351"/>
    <w:rsid w:val="322873BD"/>
    <w:rsid w:val="322F554F"/>
    <w:rsid w:val="3276317E"/>
    <w:rsid w:val="32B55A55"/>
    <w:rsid w:val="32CC36BF"/>
    <w:rsid w:val="32E922D7"/>
    <w:rsid w:val="32EB76C8"/>
    <w:rsid w:val="3321133C"/>
    <w:rsid w:val="3351311A"/>
    <w:rsid w:val="33610A26"/>
    <w:rsid w:val="33D30C84"/>
    <w:rsid w:val="33D71736"/>
    <w:rsid w:val="33FC5905"/>
    <w:rsid w:val="343D21A6"/>
    <w:rsid w:val="344C561A"/>
    <w:rsid w:val="35331788"/>
    <w:rsid w:val="355E6877"/>
    <w:rsid w:val="35C74E92"/>
    <w:rsid w:val="35D10F79"/>
    <w:rsid w:val="35D1112E"/>
    <w:rsid w:val="35ED7BFB"/>
    <w:rsid w:val="360B5E16"/>
    <w:rsid w:val="36136D0A"/>
    <w:rsid w:val="361A4FF4"/>
    <w:rsid w:val="36B10C29"/>
    <w:rsid w:val="36D6243D"/>
    <w:rsid w:val="36DF7544"/>
    <w:rsid w:val="372431A9"/>
    <w:rsid w:val="373D24BC"/>
    <w:rsid w:val="374E6478"/>
    <w:rsid w:val="37B2264E"/>
    <w:rsid w:val="37DC3A83"/>
    <w:rsid w:val="38014680"/>
    <w:rsid w:val="38267B9B"/>
    <w:rsid w:val="38697764"/>
    <w:rsid w:val="38926C41"/>
    <w:rsid w:val="392C0A3B"/>
    <w:rsid w:val="39424B74"/>
    <w:rsid w:val="39447B32"/>
    <w:rsid w:val="397C544B"/>
    <w:rsid w:val="39B527DE"/>
    <w:rsid w:val="3A3A2CE3"/>
    <w:rsid w:val="3A806A7C"/>
    <w:rsid w:val="3A8F1281"/>
    <w:rsid w:val="3A900B55"/>
    <w:rsid w:val="3AA665E2"/>
    <w:rsid w:val="3AB42A96"/>
    <w:rsid w:val="3ADE5D64"/>
    <w:rsid w:val="3B294DC3"/>
    <w:rsid w:val="3B46796D"/>
    <w:rsid w:val="3B61689A"/>
    <w:rsid w:val="3BA541E0"/>
    <w:rsid w:val="3BC27434"/>
    <w:rsid w:val="3C2D0D52"/>
    <w:rsid w:val="3C4D6CFE"/>
    <w:rsid w:val="3C544530"/>
    <w:rsid w:val="3C7E77FF"/>
    <w:rsid w:val="3CF96B37"/>
    <w:rsid w:val="3D6168CB"/>
    <w:rsid w:val="3DA02E6A"/>
    <w:rsid w:val="3DA731A6"/>
    <w:rsid w:val="3DC65A10"/>
    <w:rsid w:val="3DD32C78"/>
    <w:rsid w:val="3E17589D"/>
    <w:rsid w:val="3E40209B"/>
    <w:rsid w:val="3E4156DC"/>
    <w:rsid w:val="3E612F34"/>
    <w:rsid w:val="3EC97461"/>
    <w:rsid w:val="3F30190B"/>
    <w:rsid w:val="3F3E5E4B"/>
    <w:rsid w:val="3FAF7CCF"/>
    <w:rsid w:val="40B90E06"/>
    <w:rsid w:val="40E345BE"/>
    <w:rsid w:val="41765F5A"/>
    <w:rsid w:val="417E204F"/>
    <w:rsid w:val="41A2478F"/>
    <w:rsid w:val="41A27AEC"/>
    <w:rsid w:val="421742D4"/>
    <w:rsid w:val="421F738E"/>
    <w:rsid w:val="42334F9F"/>
    <w:rsid w:val="428914FE"/>
    <w:rsid w:val="42B605BA"/>
    <w:rsid w:val="42F72B39"/>
    <w:rsid w:val="43300440"/>
    <w:rsid w:val="43543068"/>
    <w:rsid w:val="4387343D"/>
    <w:rsid w:val="43944DF9"/>
    <w:rsid w:val="43C03ED8"/>
    <w:rsid w:val="43D63D74"/>
    <w:rsid w:val="442347E8"/>
    <w:rsid w:val="443D5B67"/>
    <w:rsid w:val="444A6219"/>
    <w:rsid w:val="445C308F"/>
    <w:rsid w:val="4469669F"/>
    <w:rsid w:val="451D65DD"/>
    <w:rsid w:val="453E18DA"/>
    <w:rsid w:val="459C6CDB"/>
    <w:rsid w:val="45D60A99"/>
    <w:rsid w:val="460C19D8"/>
    <w:rsid w:val="462E4906"/>
    <w:rsid w:val="46812734"/>
    <w:rsid w:val="46B34F8B"/>
    <w:rsid w:val="46BB09F6"/>
    <w:rsid w:val="46CE7B4A"/>
    <w:rsid w:val="46E26BDC"/>
    <w:rsid w:val="470276B2"/>
    <w:rsid w:val="47627777"/>
    <w:rsid w:val="47727F60"/>
    <w:rsid w:val="47E334DF"/>
    <w:rsid w:val="47F96828"/>
    <w:rsid w:val="486A6E89"/>
    <w:rsid w:val="486F44A0"/>
    <w:rsid w:val="48A06C6D"/>
    <w:rsid w:val="48A72109"/>
    <w:rsid w:val="49060960"/>
    <w:rsid w:val="493059DD"/>
    <w:rsid w:val="493E4527"/>
    <w:rsid w:val="4968636B"/>
    <w:rsid w:val="49896373"/>
    <w:rsid w:val="498B5309"/>
    <w:rsid w:val="499C3073"/>
    <w:rsid w:val="499E503D"/>
    <w:rsid w:val="49C32CF5"/>
    <w:rsid w:val="49FA5FEB"/>
    <w:rsid w:val="4A0F5F3A"/>
    <w:rsid w:val="4A464097"/>
    <w:rsid w:val="4A9449E8"/>
    <w:rsid w:val="4B1A0571"/>
    <w:rsid w:val="4B4A7B6A"/>
    <w:rsid w:val="4B983D0E"/>
    <w:rsid w:val="4B9F509C"/>
    <w:rsid w:val="4BDC6CF8"/>
    <w:rsid w:val="4BFF0BF2"/>
    <w:rsid w:val="4C137FAF"/>
    <w:rsid w:val="4C3677AE"/>
    <w:rsid w:val="4C465B56"/>
    <w:rsid w:val="4C59349D"/>
    <w:rsid w:val="4CA77FB6"/>
    <w:rsid w:val="4CAC6F1D"/>
    <w:rsid w:val="4CF66F3E"/>
    <w:rsid w:val="4D453A21"/>
    <w:rsid w:val="4D8C1117"/>
    <w:rsid w:val="4DFC0584"/>
    <w:rsid w:val="4E06542A"/>
    <w:rsid w:val="4E086F29"/>
    <w:rsid w:val="4E3221F7"/>
    <w:rsid w:val="4E711E04"/>
    <w:rsid w:val="4E7E53CF"/>
    <w:rsid w:val="4EAC1FAA"/>
    <w:rsid w:val="4ECC43FA"/>
    <w:rsid w:val="4EED0B13"/>
    <w:rsid w:val="4F0C7024"/>
    <w:rsid w:val="4F380341"/>
    <w:rsid w:val="4F4A3571"/>
    <w:rsid w:val="4F9D5D96"/>
    <w:rsid w:val="4FEF0804"/>
    <w:rsid w:val="50633B2E"/>
    <w:rsid w:val="508571FB"/>
    <w:rsid w:val="50863BA3"/>
    <w:rsid w:val="510F3A86"/>
    <w:rsid w:val="51255A35"/>
    <w:rsid w:val="51A451BA"/>
    <w:rsid w:val="51EE7F7C"/>
    <w:rsid w:val="523753C9"/>
    <w:rsid w:val="52410C5B"/>
    <w:rsid w:val="52506A55"/>
    <w:rsid w:val="528A0854"/>
    <w:rsid w:val="52C84ED8"/>
    <w:rsid w:val="52CA29FF"/>
    <w:rsid w:val="52F30D1F"/>
    <w:rsid w:val="5313262A"/>
    <w:rsid w:val="53603363"/>
    <w:rsid w:val="53A17FF4"/>
    <w:rsid w:val="53AB0651"/>
    <w:rsid w:val="53BB4A3D"/>
    <w:rsid w:val="53BF536C"/>
    <w:rsid w:val="53D87451"/>
    <w:rsid w:val="53F35F85"/>
    <w:rsid w:val="541F2895"/>
    <w:rsid w:val="5429409D"/>
    <w:rsid w:val="545A24A8"/>
    <w:rsid w:val="547E7F44"/>
    <w:rsid w:val="54C067AF"/>
    <w:rsid w:val="54F2623D"/>
    <w:rsid w:val="552C2EC0"/>
    <w:rsid w:val="5546361F"/>
    <w:rsid w:val="555251D5"/>
    <w:rsid w:val="555D12ED"/>
    <w:rsid w:val="55F34962"/>
    <w:rsid w:val="56243BF4"/>
    <w:rsid w:val="566A0BDF"/>
    <w:rsid w:val="567D5154"/>
    <w:rsid w:val="56C02A99"/>
    <w:rsid w:val="56D014DF"/>
    <w:rsid w:val="56DF6039"/>
    <w:rsid w:val="56FC7846"/>
    <w:rsid w:val="5740208C"/>
    <w:rsid w:val="5740490C"/>
    <w:rsid w:val="575536ED"/>
    <w:rsid w:val="57781E36"/>
    <w:rsid w:val="57A74D78"/>
    <w:rsid w:val="57E24C8E"/>
    <w:rsid w:val="58237473"/>
    <w:rsid w:val="58463AFA"/>
    <w:rsid w:val="589870FB"/>
    <w:rsid w:val="58A35F9C"/>
    <w:rsid w:val="58FD6109"/>
    <w:rsid w:val="593C217C"/>
    <w:rsid w:val="5999137D"/>
    <w:rsid w:val="5A236E98"/>
    <w:rsid w:val="5A2F1CE1"/>
    <w:rsid w:val="5A390534"/>
    <w:rsid w:val="5A62218C"/>
    <w:rsid w:val="5ABF6EB9"/>
    <w:rsid w:val="5AC25AE6"/>
    <w:rsid w:val="5AC42E7D"/>
    <w:rsid w:val="5B062A42"/>
    <w:rsid w:val="5B286E5C"/>
    <w:rsid w:val="5B5E178C"/>
    <w:rsid w:val="5BBE0E30"/>
    <w:rsid w:val="5C974299"/>
    <w:rsid w:val="5CBC1B3E"/>
    <w:rsid w:val="5CF52036"/>
    <w:rsid w:val="5D3025C8"/>
    <w:rsid w:val="5DA84284"/>
    <w:rsid w:val="5E50299B"/>
    <w:rsid w:val="5E8F7AC1"/>
    <w:rsid w:val="5E9B7945"/>
    <w:rsid w:val="5EF32416"/>
    <w:rsid w:val="5F592854"/>
    <w:rsid w:val="5F645E8C"/>
    <w:rsid w:val="5F8959EF"/>
    <w:rsid w:val="5FDC1FC3"/>
    <w:rsid w:val="5FE74ED1"/>
    <w:rsid w:val="6008663C"/>
    <w:rsid w:val="60310561"/>
    <w:rsid w:val="60651FB9"/>
    <w:rsid w:val="60670332"/>
    <w:rsid w:val="60B371C8"/>
    <w:rsid w:val="60D33F85"/>
    <w:rsid w:val="60D373D4"/>
    <w:rsid w:val="60D378F4"/>
    <w:rsid w:val="60DE326C"/>
    <w:rsid w:val="60F514A7"/>
    <w:rsid w:val="61B52ACC"/>
    <w:rsid w:val="61CA2A1B"/>
    <w:rsid w:val="61E433B1"/>
    <w:rsid w:val="61FB0E26"/>
    <w:rsid w:val="61FF4ABA"/>
    <w:rsid w:val="623E0D13"/>
    <w:rsid w:val="62496D93"/>
    <w:rsid w:val="62791D57"/>
    <w:rsid w:val="627F1CB2"/>
    <w:rsid w:val="62D35345"/>
    <w:rsid w:val="62D653F0"/>
    <w:rsid w:val="62DC3CFB"/>
    <w:rsid w:val="63041BFB"/>
    <w:rsid w:val="631269A0"/>
    <w:rsid w:val="631E0807"/>
    <w:rsid w:val="64153CF6"/>
    <w:rsid w:val="64526CF8"/>
    <w:rsid w:val="6457430E"/>
    <w:rsid w:val="64662CCF"/>
    <w:rsid w:val="64857089"/>
    <w:rsid w:val="64D63485"/>
    <w:rsid w:val="652B62C4"/>
    <w:rsid w:val="652C1D6A"/>
    <w:rsid w:val="65841133"/>
    <w:rsid w:val="65A87ECA"/>
    <w:rsid w:val="65B33BEC"/>
    <w:rsid w:val="660B3602"/>
    <w:rsid w:val="66212E26"/>
    <w:rsid w:val="66321666"/>
    <w:rsid w:val="669E42B5"/>
    <w:rsid w:val="66E17CE4"/>
    <w:rsid w:val="671C3FB3"/>
    <w:rsid w:val="677130A1"/>
    <w:rsid w:val="677B1F86"/>
    <w:rsid w:val="67BA708E"/>
    <w:rsid w:val="67C11A30"/>
    <w:rsid w:val="67DA0982"/>
    <w:rsid w:val="67EE3D0F"/>
    <w:rsid w:val="68140955"/>
    <w:rsid w:val="681646F1"/>
    <w:rsid w:val="688D300E"/>
    <w:rsid w:val="68A11FFC"/>
    <w:rsid w:val="68B71DBC"/>
    <w:rsid w:val="68FE1A22"/>
    <w:rsid w:val="690E50A9"/>
    <w:rsid w:val="69181B01"/>
    <w:rsid w:val="694C1F68"/>
    <w:rsid w:val="69BE2739"/>
    <w:rsid w:val="69C77840"/>
    <w:rsid w:val="69DD18D6"/>
    <w:rsid w:val="6A1F745E"/>
    <w:rsid w:val="6A350C4E"/>
    <w:rsid w:val="6AB04778"/>
    <w:rsid w:val="6AC34955"/>
    <w:rsid w:val="6BCB0EE9"/>
    <w:rsid w:val="6C3659BD"/>
    <w:rsid w:val="6C6929DB"/>
    <w:rsid w:val="6C727F37"/>
    <w:rsid w:val="6C787517"/>
    <w:rsid w:val="6C95040D"/>
    <w:rsid w:val="6CB322FE"/>
    <w:rsid w:val="6CC664D5"/>
    <w:rsid w:val="6CCD33BF"/>
    <w:rsid w:val="6D0D2A3E"/>
    <w:rsid w:val="6D6B2FDE"/>
    <w:rsid w:val="6E096BA4"/>
    <w:rsid w:val="6E533773"/>
    <w:rsid w:val="6E8A3EFB"/>
    <w:rsid w:val="6E9248C1"/>
    <w:rsid w:val="6ECE183D"/>
    <w:rsid w:val="6F423F95"/>
    <w:rsid w:val="6F9A0660"/>
    <w:rsid w:val="6FB839EA"/>
    <w:rsid w:val="6FCA1E38"/>
    <w:rsid w:val="6FD3454E"/>
    <w:rsid w:val="7046283D"/>
    <w:rsid w:val="706C2EEF"/>
    <w:rsid w:val="71EF5B86"/>
    <w:rsid w:val="72D27B01"/>
    <w:rsid w:val="72D40B01"/>
    <w:rsid w:val="7306762B"/>
    <w:rsid w:val="730F7446"/>
    <w:rsid w:val="735F4F8D"/>
    <w:rsid w:val="73750E39"/>
    <w:rsid w:val="73767E73"/>
    <w:rsid w:val="73A1609D"/>
    <w:rsid w:val="73B01345"/>
    <w:rsid w:val="73C31078"/>
    <w:rsid w:val="73F27BAF"/>
    <w:rsid w:val="73FA488D"/>
    <w:rsid w:val="74AE64EB"/>
    <w:rsid w:val="74D30172"/>
    <w:rsid w:val="75104791"/>
    <w:rsid w:val="75814D02"/>
    <w:rsid w:val="75E95B16"/>
    <w:rsid w:val="76022B63"/>
    <w:rsid w:val="764052D8"/>
    <w:rsid w:val="766957AF"/>
    <w:rsid w:val="76BD6322"/>
    <w:rsid w:val="76CF3B75"/>
    <w:rsid w:val="77093EA9"/>
    <w:rsid w:val="7725204A"/>
    <w:rsid w:val="772750DB"/>
    <w:rsid w:val="77336515"/>
    <w:rsid w:val="77361AE6"/>
    <w:rsid w:val="775C1F10"/>
    <w:rsid w:val="77F305DD"/>
    <w:rsid w:val="78191BAF"/>
    <w:rsid w:val="785276AB"/>
    <w:rsid w:val="78886285"/>
    <w:rsid w:val="789B25C4"/>
    <w:rsid w:val="79336CA0"/>
    <w:rsid w:val="796055BB"/>
    <w:rsid w:val="79CD5799"/>
    <w:rsid w:val="79CE4C1B"/>
    <w:rsid w:val="79D7762B"/>
    <w:rsid w:val="79E00282"/>
    <w:rsid w:val="79F53F55"/>
    <w:rsid w:val="7A7478C2"/>
    <w:rsid w:val="7A826E51"/>
    <w:rsid w:val="7ACD0560"/>
    <w:rsid w:val="7AD24979"/>
    <w:rsid w:val="7AD87AFF"/>
    <w:rsid w:val="7AE2097E"/>
    <w:rsid w:val="7AEA1E0E"/>
    <w:rsid w:val="7AFE508C"/>
    <w:rsid w:val="7B0363F4"/>
    <w:rsid w:val="7C2E56AF"/>
    <w:rsid w:val="7C3C40BE"/>
    <w:rsid w:val="7C5E4034"/>
    <w:rsid w:val="7D581EF7"/>
    <w:rsid w:val="7D8950E1"/>
    <w:rsid w:val="7D9817C8"/>
    <w:rsid w:val="7DCE51E9"/>
    <w:rsid w:val="7DD41A0F"/>
    <w:rsid w:val="7DE467BB"/>
    <w:rsid w:val="7E1150D6"/>
    <w:rsid w:val="7E301A00"/>
    <w:rsid w:val="7E730D4D"/>
    <w:rsid w:val="7ED56104"/>
    <w:rsid w:val="7F743BAB"/>
    <w:rsid w:val="7F7E679B"/>
    <w:rsid w:val="7F8B59A9"/>
    <w:rsid w:val="7F9F5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after="260" w:afterLines="0" w:line="415" w:lineRule="auto"/>
      <w:outlineLvl w:val="2"/>
    </w:pPr>
    <w:rPr>
      <w:b/>
      <w:bCs/>
      <w:kern w:val="0"/>
      <w:sz w:val="32"/>
      <w:szCs w:val="32"/>
    </w:rPr>
  </w:style>
  <w:style w:type="paragraph" w:styleId="5">
    <w:name w:val="heading 4"/>
    <w:basedOn w:val="1"/>
    <w:next w:val="6"/>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beforeLines="0" w:after="290" w:afterLines="0" w:line="376" w:lineRule="auto"/>
      <w:outlineLvl w:val="4"/>
    </w:pPr>
    <w:rPr>
      <w:b/>
      <w:bCs/>
      <w:sz w:val="28"/>
      <w:szCs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8">
    <w:name w:val="toc 7"/>
    <w:basedOn w:val="1"/>
    <w:next w:val="1"/>
    <w:qFormat/>
    <w:uiPriority w:val="39"/>
    <w:pPr>
      <w:ind w:left="1260"/>
      <w:jc w:val="left"/>
    </w:pPr>
    <w:rPr>
      <w:sz w:val="18"/>
      <w:szCs w:val="18"/>
    </w:rPr>
  </w:style>
  <w:style w:type="paragraph" w:styleId="9">
    <w:name w:val="annotation text"/>
    <w:basedOn w:val="1"/>
    <w:qFormat/>
    <w:uiPriority w:val="0"/>
    <w:pPr>
      <w:jc w:val="left"/>
    </w:pPr>
  </w:style>
  <w:style w:type="paragraph" w:styleId="10">
    <w:name w:val="Body Text 3"/>
    <w:basedOn w:val="1"/>
    <w:qFormat/>
    <w:uiPriority w:val="0"/>
    <w:rPr>
      <w:rFonts w:ascii="宋体"/>
      <w:sz w:val="24"/>
      <w:szCs w:val="20"/>
    </w:rPr>
  </w:style>
  <w:style w:type="paragraph" w:styleId="11">
    <w:name w:val="Body Text"/>
    <w:basedOn w:val="1"/>
    <w:qFormat/>
    <w:uiPriority w:val="0"/>
    <w:pPr>
      <w:spacing w:after="120" w:afterLines="0"/>
    </w:pPr>
  </w:style>
  <w:style w:type="paragraph" w:styleId="12">
    <w:name w:val="Body Text Indent"/>
    <w:basedOn w:val="1"/>
    <w:next w:val="13"/>
    <w:qFormat/>
    <w:uiPriority w:val="99"/>
    <w:pPr>
      <w:spacing w:after="120" w:afterLines="0"/>
      <w:ind w:left="420" w:leftChars="200"/>
    </w:pPr>
  </w:style>
  <w:style w:type="paragraph" w:styleId="13">
    <w:name w:val="envelope return"/>
    <w:basedOn w:val="1"/>
    <w:next w:val="8"/>
    <w:qFormat/>
    <w:uiPriority w:val="0"/>
    <w:pPr>
      <w:snapToGrid w:val="0"/>
    </w:pPr>
    <w:rPr>
      <w:rFonts w:ascii="Arial" w:hAnsi="Arial"/>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spacing w:before="120" w:beforeLines="0" w:after="120" w:afterLines="0"/>
      <w:jc w:val="left"/>
    </w:pPr>
    <w:rPr>
      <w:b/>
      <w:bCs/>
      <w:caps/>
      <w:sz w:val="20"/>
      <w:szCs w:val="20"/>
    </w:rPr>
  </w:style>
  <w:style w:type="paragraph" w:styleId="17">
    <w:name w:val="footnote text"/>
    <w:basedOn w:val="1"/>
    <w:qFormat/>
    <w:uiPriority w:val="0"/>
    <w:rPr>
      <w:sz w:val="20"/>
      <w:szCs w:val="20"/>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Body Text First Indent 2"/>
    <w:basedOn w:val="12"/>
    <w:next w:val="1"/>
    <w:qFormat/>
    <w:uiPriority w:val="99"/>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FollowedHyperlink"/>
    <w:basedOn w:val="22"/>
    <w:qFormat/>
    <w:uiPriority w:val="0"/>
    <w:rPr>
      <w:color w:val="5C5C5C"/>
      <w:u w:val="none"/>
    </w:rPr>
  </w:style>
  <w:style w:type="character" w:styleId="25">
    <w:name w:val="Emphasis"/>
    <w:basedOn w:val="22"/>
    <w:qFormat/>
    <w:uiPriority w:val="0"/>
    <w:rPr>
      <w:b/>
      <w:bCs/>
    </w:rPr>
  </w:style>
  <w:style w:type="character" w:styleId="26">
    <w:name w:val="HTML Definition"/>
    <w:basedOn w:val="22"/>
    <w:qFormat/>
    <w:uiPriority w:val="0"/>
  </w:style>
  <w:style w:type="character" w:styleId="27">
    <w:name w:val="HTML Typewriter"/>
    <w:basedOn w:val="22"/>
    <w:qFormat/>
    <w:uiPriority w:val="0"/>
    <w:rPr>
      <w:rFonts w:hint="default" w:ascii="monospace" w:hAnsi="monospace" w:eastAsia="monospace" w:cs="monospace"/>
      <w:sz w:val="20"/>
    </w:rPr>
  </w:style>
  <w:style w:type="character" w:styleId="28">
    <w:name w:val="HTML Acronym"/>
    <w:basedOn w:val="22"/>
    <w:qFormat/>
    <w:uiPriority w:val="0"/>
    <w:rPr>
      <w:vanish/>
    </w:rPr>
  </w:style>
  <w:style w:type="character" w:styleId="29">
    <w:name w:val="HTML Variable"/>
    <w:basedOn w:val="22"/>
    <w:qFormat/>
    <w:uiPriority w:val="0"/>
    <w:rPr>
      <w:bdr w:val="single" w:color="EBEBEB" w:sz="6" w:space="0"/>
      <w:shd w:val="clear" w:fill="FFFFFF"/>
    </w:rPr>
  </w:style>
  <w:style w:type="character" w:styleId="30">
    <w:name w:val="Hyperlink"/>
    <w:qFormat/>
    <w:uiPriority w:val="99"/>
    <w:rPr>
      <w:color w:val="333333"/>
      <w:u w:val="none"/>
    </w:rPr>
  </w:style>
  <w:style w:type="character" w:styleId="31">
    <w:name w:val="HTML Code"/>
    <w:basedOn w:val="22"/>
    <w:qFormat/>
    <w:uiPriority w:val="0"/>
    <w:rPr>
      <w:rFonts w:ascii="monospace" w:hAnsi="monospace" w:eastAsia="monospace" w:cs="monospace"/>
      <w:sz w:val="20"/>
    </w:rPr>
  </w:style>
  <w:style w:type="character" w:styleId="32">
    <w:name w:val="HTML Cite"/>
    <w:basedOn w:val="22"/>
    <w:qFormat/>
    <w:uiPriority w:val="0"/>
  </w:style>
  <w:style w:type="character" w:styleId="33">
    <w:name w:val="footnote reference"/>
    <w:qFormat/>
    <w:uiPriority w:val="0"/>
    <w:rPr>
      <w:vertAlign w:val="superscript"/>
    </w:rPr>
  </w:style>
  <w:style w:type="character" w:styleId="34">
    <w:name w:val="HTML Keyboard"/>
    <w:basedOn w:val="22"/>
    <w:qFormat/>
    <w:uiPriority w:val="0"/>
    <w:rPr>
      <w:rFonts w:hint="default" w:ascii="monospace" w:hAnsi="monospace" w:eastAsia="monospace" w:cs="monospace"/>
      <w:sz w:val="20"/>
    </w:rPr>
  </w:style>
  <w:style w:type="character" w:styleId="35">
    <w:name w:val="HTML Sample"/>
    <w:basedOn w:val="22"/>
    <w:qFormat/>
    <w:uiPriority w:val="0"/>
    <w:rPr>
      <w:rFonts w:hint="default" w:ascii="monospace" w:hAnsi="monospace" w:eastAsia="monospace" w:cs="monospace"/>
      <w:sz w:val="21"/>
      <w:szCs w:val="21"/>
    </w:rPr>
  </w:style>
  <w:style w:type="paragraph" w:customStyle="1" w:styleId="36">
    <w:name w:val="_Style 11"/>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7">
    <w:name w:val="p0"/>
    <w:basedOn w:val="1"/>
    <w:qFormat/>
    <w:uiPriority w:val="0"/>
    <w:pPr>
      <w:widowControl/>
    </w:pPr>
    <w:rPr>
      <w:kern w:val="0"/>
      <w:szCs w:val="21"/>
    </w:rPr>
  </w:style>
  <w:style w:type="paragraph" w:customStyle="1" w:styleId="38">
    <w:name w:val="Table Paragraph"/>
    <w:basedOn w:val="1"/>
    <w:qFormat/>
    <w:uiPriority w:val="1"/>
    <w:rPr>
      <w:rFonts w:ascii="宋体" w:hAnsi="宋体" w:eastAsia="宋体" w:cs="宋体"/>
      <w:lang w:val="zh-CN" w:eastAsia="zh-CN" w:bidi="zh-CN"/>
    </w:rPr>
  </w:style>
  <w:style w:type="paragraph" w:customStyle="1" w:styleId="3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1">
    <w:name w:val="列出段落1"/>
    <w:basedOn w:val="1"/>
    <w:qFormat/>
    <w:uiPriority w:val="34"/>
    <w:pPr>
      <w:ind w:firstLine="420" w:firstLineChars="200"/>
    </w:pPr>
  </w:style>
  <w:style w:type="paragraph" w:customStyle="1" w:styleId="42">
    <w:name w:val="Table Text"/>
    <w:basedOn w:val="1"/>
    <w:semiHidden/>
    <w:qFormat/>
    <w:uiPriority w:val="0"/>
    <w:rPr>
      <w:rFonts w:ascii="宋体" w:hAnsi="宋体" w:eastAsia="宋体" w:cs="宋体"/>
      <w:sz w:val="18"/>
      <w:szCs w:val="18"/>
      <w:lang w:val="en-US" w:eastAsia="en-US" w:bidi="ar-SA"/>
    </w:rPr>
  </w:style>
  <w:style w:type="table" w:customStyle="1" w:styleId="43">
    <w:name w:val="Table Normal"/>
    <w:unhideWhenUsed/>
    <w:qFormat/>
    <w:uiPriority w:val="0"/>
    <w:tblPr>
      <w:tblCellMar>
        <w:top w:w="0" w:type="dxa"/>
        <w:left w:w="0" w:type="dxa"/>
        <w:bottom w:w="0" w:type="dxa"/>
        <w:right w:w="0" w:type="dxa"/>
      </w:tblCellMar>
    </w:tblPr>
  </w:style>
  <w:style w:type="paragraph" w:customStyle="1" w:styleId="44">
    <w:name w:val="节标题"/>
    <w:basedOn w:val="1"/>
    <w:next w:val="1"/>
    <w:qFormat/>
    <w:uiPriority w:val="0"/>
    <w:pPr>
      <w:widowControl/>
      <w:spacing w:line="289" w:lineRule="atLeast"/>
      <w:jc w:val="center"/>
      <w:textAlignment w:val="baseline"/>
    </w:pPr>
    <w:rPr>
      <w:color w:val="000000"/>
      <w:kern w:val="0"/>
      <w:sz w:val="28"/>
      <w:szCs w:val="20"/>
      <w:u w:val="none" w:color="000000"/>
    </w:rPr>
  </w:style>
  <w:style w:type="paragraph" w:customStyle="1" w:styleId="45">
    <w:name w:val="List Paragraph"/>
    <w:basedOn w:val="1"/>
    <w:qFormat/>
    <w:uiPriority w:val="1"/>
    <w:pPr>
      <w:ind w:left="354" w:firstLine="420"/>
    </w:pPr>
    <w:rPr>
      <w:rFonts w:ascii="宋体" w:hAnsi="宋体" w:eastAsia="宋体" w:cs="宋体"/>
      <w:lang w:val="zh-CN" w:eastAsia="zh-CN" w:bidi="zh-CN"/>
    </w:rPr>
  </w:style>
  <w:style w:type="character" w:customStyle="1" w:styleId="46">
    <w:name w:val="hover"/>
    <w:basedOn w:val="22"/>
    <w:qFormat/>
    <w:uiPriority w:val="0"/>
  </w:style>
  <w:style w:type="character" w:customStyle="1" w:styleId="47">
    <w:name w:val="hover1"/>
    <w:basedOn w:val="22"/>
    <w:qFormat/>
    <w:uiPriority w:val="0"/>
    <w:rPr>
      <w:color w:val="2590EB"/>
    </w:rPr>
  </w:style>
  <w:style w:type="character" w:customStyle="1" w:styleId="48">
    <w:name w:val="hover2"/>
    <w:basedOn w:val="22"/>
    <w:qFormat/>
    <w:uiPriority w:val="0"/>
    <w:rPr>
      <w:color w:val="2590EB"/>
    </w:rPr>
  </w:style>
  <w:style w:type="character" w:customStyle="1" w:styleId="49">
    <w:name w:val="hover3"/>
    <w:basedOn w:val="22"/>
    <w:qFormat/>
    <w:uiPriority w:val="0"/>
    <w:rPr>
      <w:color w:val="2590EB"/>
      <w:shd w:val="clear" w:fill="E9F4FD"/>
    </w:rPr>
  </w:style>
  <w:style w:type="character" w:customStyle="1" w:styleId="50">
    <w:name w:val="mini-outputtext1"/>
    <w:basedOn w:val="22"/>
    <w:qFormat/>
    <w:uiPriority w:val="0"/>
  </w:style>
  <w:style w:type="character" w:customStyle="1" w:styleId="51">
    <w:name w:val="hover4"/>
    <w:basedOn w:val="22"/>
    <w:qFormat/>
    <w:uiPriority w:val="0"/>
  </w:style>
  <w:style w:type="character" w:customStyle="1" w:styleId="52">
    <w:name w:val="first-child"/>
    <w:basedOn w:val="22"/>
    <w:qFormat/>
    <w:uiPriority w:val="0"/>
  </w:style>
  <w:style w:type="character" w:customStyle="1" w:styleId="53">
    <w:name w:val="layui-this"/>
    <w:basedOn w:val="22"/>
    <w:qFormat/>
    <w:uiPriority w:val="0"/>
    <w:rPr>
      <w:bdr w:val="single" w:color="EEEEEE" w:sz="6" w:space="0"/>
      <w:shd w:val="clear" w:fill="FFFFFF"/>
    </w:rPr>
  </w:style>
  <w:style w:type="character" w:customStyle="1" w:styleId="54">
    <w:name w:val="font21"/>
    <w:basedOn w:val="22"/>
    <w:qFormat/>
    <w:uiPriority w:val="0"/>
    <w:rPr>
      <w:rFonts w:hint="default" w:ascii="Times New Roman" w:hAnsi="Times New Roman" w:cs="Times New Roman"/>
      <w:color w:val="000000"/>
      <w:sz w:val="22"/>
      <w:szCs w:val="22"/>
      <w:u w:val="none"/>
    </w:rPr>
  </w:style>
  <w:style w:type="character" w:customStyle="1" w:styleId="55">
    <w:name w:val="font11"/>
    <w:basedOn w:val="22"/>
    <w:qFormat/>
    <w:uiPriority w:val="0"/>
    <w:rPr>
      <w:rFonts w:hint="eastAsia" w:ascii="宋体" w:hAnsi="宋体" w:eastAsia="宋体" w:cs="宋体"/>
      <w:color w:val="000000"/>
      <w:sz w:val="22"/>
      <w:szCs w:val="22"/>
      <w:u w:val="none"/>
    </w:rPr>
  </w:style>
  <w:style w:type="paragraph" w:customStyle="1" w:styleId="56">
    <w:name w:val="范本-表格-宋体-五号-两端对齐"/>
    <w:basedOn w:val="1"/>
    <w:qFormat/>
    <w:uiPriority w:val="0"/>
    <w:pPr>
      <w:adjustRightInd w:val="0"/>
      <w:spacing w:line="400" w:lineRule="exact"/>
    </w:pPr>
    <w:rPr>
      <w:rFonts w:ascii="Calibri" w:hAnsi="Calibri" w:eastAsia="宋体" w:cs="Times New Roman"/>
      <w:szCs w:val="21"/>
    </w:rPr>
  </w:style>
  <w:style w:type="character" w:customStyle="1" w:styleId="57">
    <w:name w:val="font01"/>
    <w:basedOn w:val="22"/>
    <w:qFormat/>
    <w:uiPriority w:val="0"/>
    <w:rPr>
      <w:rFonts w:hint="eastAsia" w:ascii="宋体" w:hAnsi="宋体" w:eastAsia="宋体" w:cs="宋体"/>
      <w:color w:val="000000"/>
      <w:sz w:val="22"/>
      <w:szCs w:val="22"/>
      <w:u w:val="none"/>
    </w:rPr>
  </w:style>
  <w:style w:type="character" w:customStyle="1" w:styleId="58">
    <w:name w:val="font51"/>
    <w:basedOn w:val="22"/>
    <w:qFormat/>
    <w:uiPriority w:val="0"/>
    <w:rPr>
      <w:rFonts w:ascii="Calibri" w:hAnsi="Calibri" w:cs="Calibri"/>
      <w:color w:val="000000"/>
      <w:sz w:val="22"/>
      <w:szCs w:val="22"/>
      <w:u w:val="none"/>
    </w:rPr>
  </w:style>
  <w:style w:type="paragraph" w:customStyle="1" w:styleId="59">
    <w:name w:val="范本-标题-一级-黑体-三号"/>
    <w:basedOn w:val="1"/>
    <w:link w:val="64"/>
    <w:qFormat/>
    <w:uiPriority w:val="0"/>
    <w:pPr>
      <w:adjustRightInd/>
      <w:spacing w:before="120" w:after="120"/>
      <w:jc w:val="center"/>
      <w:outlineLvl w:val="0"/>
    </w:pPr>
    <w:rPr>
      <w:rFonts w:hint="eastAsia" w:ascii="黑体" w:hAnsi="黑体" w:eastAsia="黑体" w:cs="黑体"/>
      <w:bCs/>
      <w:snapToGrid w:val="0"/>
      <w:color w:val="auto"/>
      <w:sz w:val="32"/>
      <w:szCs w:val="32"/>
    </w:rPr>
  </w:style>
  <w:style w:type="paragraph" w:customStyle="1" w:styleId="60">
    <w:name w:val="范本-标题-二级-黑体-四号-左对齐"/>
    <w:basedOn w:val="1"/>
    <w:link w:val="65"/>
    <w:qFormat/>
    <w:uiPriority w:val="0"/>
    <w:pPr>
      <w:keepNext/>
      <w:keepLines/>
      <w:numPr>
        <w:ilvl w:val="0"/>
        <w:numId w:val="0"/>
      </w:numPr>
      <w:spacing w:before="100"/>
      <w:jc w:val="left"/>
      <w:outlineLvl w:val="1"/>
    </w:pPr>
    <w:rPr>
      <w:rFonts w:ascii="黑体" w:hAnsi="黑体" w:eastAsia="黑体" w:cs="黑体"/>
      <w:snapToGrid w:val="0"/>
      <w:color w:val="000000"/>
      <w:sz w:val="28"/>
      <w:szCs w:val="28"/>
    </w:rPr>
  </w:style>
  <w:style w:type="paragraph" w:customStyle="1" w:styleId="61">
    <w:name w:val="范本-表格-标题行-宋体加粗-五号-固定值20磅"/>
    <w:basedOn w:val="1"/>
    <w:qFormat/>
    <w:uiPriority w:val="0"/>
    <w:pPr>
      <w:spacing w:line="400" w:lineRule="exact"/>
      <w:jc w:val="center"/>
    </w:pPr>
    <w:rPr>
      <w:b/>
      <w:sz w:val="21"/>
    </w:rPr>
  </w:style>
  <w:style w:type="paragraph" w:customStyle="1" w:styleId="62">
    <w:name w:val="范本-表格-宋体-五号-居中"/>
    <w:basedOn w:val="1"/>
    <w:qFormat/>
    <w:uiPriority w:val="0"/>
    <w:pPr>
      <w:spacing w:line="400" w:lineRule="exact"/>
      <w:jc w:val="center"/>
    </w:pPr>
    <w:rPr>
      <w:sz w:val="21"/>
    </w:rPr>
  </w:style>
  <w:style w:type="paragraph" w:customStyle="1" w:styleId="63">
    <w:name w:val="范本-正文-宋体-五号-首行缩进2字符"/>
    <w:basedOn w:val="1"/>
    <w:qFormat/>
    <w:uiPriority w:val="0"/>
    <w:pPr>
      <w:adjustRightInd/>
      <w:ind w:firstLine="643" w:firstLineChars="200"/>
      <w:jc w:val="left"/>
      <w:outlineLvl w:val="9"/>
    </w:pPr>
    <w:rPr>
      <w:rFonts w:hint="eastAsia" w:ascii="黑体" w:hAnsi="黑体" w:cs="黑体"/>
      <w:bCs/>
      <w:snapToGrid w:val="0"/>
      <w:color w:val="auto"/>
      <w:sz w:val="21"/>
      <w:szCs w:val="32"/>
    </w:rPr>
  </w:style>
  <w:style w:type="character" w:customStyle="1" w:styleId="64">
    <w:name w:val="蚌埠范本-标题-一级-黑体-三号 Char"/>
    <w:link w:val="59"/>
    <w:qFormat/>
    <w:uiPriority w:val="0"/>
    <w:rPr>
      <w:rFonts w:hint="eastAsia" w:ascii="黑体" w:hAnsi="黑体" w:eastAsia="黑体" w:cs="黑体"/>
      <w:bCs/>
      <w:snapToGrid w:val="0"/>
      <w:color w:val="auto"/>
      <w:sz w:val="32"/>
      <w:szCs w:val="32"/>
    </w:rPr>
  </w:style>
  <w:style w:type="character" w:customStyle="1" w:styleId="65">
    <w:name w:val="蚌埠范本-标题-二级-黑体-四号-左对齐 Char"/>
    <w:link w:val="60"/>
    <w:qFormat/>
    <w:uiPriority w:val="0"/>
    <w:rPr>
      <w:rFonts w:ascii="黑体" w:hAnsi="黑体" w:eastAsia="黑体" w:cs="黑体"/>
      <w:snapToGrid w:val="0"/>
      <w:color w:val="000000"/>
      <w:sz w:val="28"/>
      <w:szCs w:val="28"/>
    </w:rPr>
  </w:style>
  <w:style w:type="character" w:customStyle="1" w:styleId="66">
    <w:name w:val="蚌埠范本-使用说明标题-黑体-三号-居中 Char"/>
    <w:link w:val="67"/>
    <w:qFormat/>
    <w:uiPriority w:val="0"/>
    <w:rPr>
      <w:rFonts w:hint="eastAsia" w:ascii="黑体" w:hAnsi="黑体" w:eastAsia="黑体"/>
      <w:snapToGrid w:val="0"/>
      <w:color w:val="000000"/>
      <w:sz w:val="32"/>
      <w:szCs w:val="32"/>
    </w:rPr>
  </w:style>
  <w:style w:type="paragraph" w:customStyle="1" w:styleId="67">
    <w:name w:val="范本-使用说明标题-黑体-三号-居中"/>
    <w:basedOn w:val="1"/>
    <w:next w:val="1"/>
    <w:link w:val="66"/>
    <w:qFormat/>
    <w:uiPriority w:val="0"/>
    <w:pPr>
      <w:spacing w:line="500" w:lineRule="exact"/>
      <w:jc w:val="center"/>
    </w:pPr>
    <w:rPr>
      <w:rFonts w:hint="eastAsia" w:ascii="黑体" w:hAnsi="黑体" w:eastAsia="黑体"/>
      <w:snapToGrid w:val="0"/>
      <w:color w:val="000000"/>
      <w:sz w:val="32"/>
      <w:szCs w:val="32"/>
    </w:rPr>
  </w:style>
  <w:style w:type="paragraph" w:customStyle="1" w:styleId="68">
    <w:name w:val="Normal_0"/>
    <w:qFormat/>
    <w:uiPriority w:val="0"/>
    <w:rPr>
      <w:rFonts w:ascii="Times New Roman" w:hAnsi="Times New Roman" w:eastAsia="宋体" w:cs="Times New Roman"/>
      <w:sz w:val="24"/>
      <w:szCs w:val="24"/>
      <w:lang w:val="en-US" w:eastAsia="zh-CN" w:bidi="ar-SA"/>
    </w:rPr>
  </w:style>
  <w:style w:type="character" w:customStyle="1" w:styleId="69">
    <w:name w:val="16"/>
    <w:basedOn w:val="22"/>
    <w:qFormat/>
    <w:uiPriority w:val="0"/>
    <w:rPr>
      <w:rFonts w:hint="eastAsia" w:ascii="黑体" w:hAnsi="宋体" w:eastAsia="黑体" w:cs="黑体"/>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157</Pages>
  <Words>17024</Words>
  <Characters>18635</Characters>
  <Lines>0</Lines>
  <Paragraphs>0</Paragraphs>
  <TotalTime>22</TotalTime>
  <ScaleCrop>false</ScaleCrop>
  <LinksUpToDate>false</LinksUpToDate>
  <CharactersWithSpaces>19145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2025-06-04T11:06:00Z</dcterms:created>
  <dc:creator>椰语百合</dc:creator>
  <cp:lastModifiedBy>韦韦</cp:lastModifiedBy>
  <cp:lastPrinted>2026-07-31T09:02:00Z</cp:lastPrinted>
  <dcterms:modified xsi:type="dcterms:W3CDTF">2026-07-31T09:33:24Z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645FE9A8C26E4A6DB93B0C06CA88E7AE_13</vt:lpwstr>
  </property>
  <property fmtid="{D5CDD505-2E9C-101B-9397-08002B2CF9AE}" pid="4" name="KSOTemplateDocerSaveRecord">
    <vt:lpwstr>eyJoZGlkIjoiZmQ5MGI3YTdkMjVkZTZjM2ZjZTQ5YjMxYTJjZjRlOWEiLCJ1c2VySWQiOiIzNjE4MjQ5In0=</vt:lpwstr>
  </property>
</Properties>
</file>