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D235D4">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p>
    <w:p w14:paraId="338DDB31">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p>
    <w:p w14:paraId="76830F33">
      <w:pPr>
        <w:tabs>
          <w:tab w:val="left" w:pos="315"/>
          <w:tab w:val="left" w:pos="8820"/>
        </w:tabs>
        <w:spacing w:before="240" w:beforeLines="100" w:after="120" w:afterLines="50" w:line="500" w:lineRule="exact"/>
        <w:ind w:right="267" w:rightChars="127"/>
        <w:jc w:val="center"/>
        <w:rPr>
          <w:rFonts w:hint="eastAsia" w:ascii="宋体" w:hAnsi="宋体" w:eastAsia="宋体"/>
          <w:b/>
          <w:bCs/>
          <w:color w:val="auto"/>
          <w:sz w:val="52"/>
          <w:szCs w:val="52"/>
          <w:highlight w:val="none"/>
          <w:lang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6C8553CA">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竞争性磋商文件</w:t>
      </w:r>
      <w:r>
        <w:rPr>
          <w:rFonts w:hint="eastAsia" w:ascii="宋体" w:hAnsi="宋体" w:eastAsia="宋体"/>
          <w:b/>
          <w:bCs/>
          <w:color w:val="auto"/>
          <w:sz w:val="52"/>
          <w:szCs w:val="52"/>
          <w:highlight w:val="none"/>
          <w:lang w:eastAsia="zh-CN"/>
        </w:rPr>
        <w:t>示范文本</w:t>
      </w:r>
      <w:r>
        <w:rPr>
          <w:rFonts w:hint="eastAsia" w:ascii="宋体" w:hAnsi="宋体" w:eastAsia="宋体"/>
          <w:b/>
          <w:bCs/>
          <w:color w:val="auto"/>
          <w:sz w:val="52"/>
          <w:szCs w:val="52"/>
          <w:highlight w:val="none"/>
        </w:rPr>
        <w:t>（货物类）</w:t>
      </w:r>
    </w:p>
    <w:bookmarkEnd w:id="0"/>
    <w:p w14:paraId="61FD9001">
      <w:pPr>
        <w:tabs>
          <w:tab w:val="left" w:pos="315"/>
          <w:tab w:val="left" w:pos="8820"/>
        </w:tabs>
        <w:spacing w:before="240" w:beforeLines="100" w:after="120"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2026版</w:t>
      </w:r>
      <w:r>
        <w:rPr>
          <w:rFonts w:hint="eastAsia" w:ascii="宋体" w:hAnsi="宋体" w:eastAsia="宋体"/>
          <w:b/>
          <w:bCs/>
          <w:color w:val="auto"/>
          <w:sz w:val="52"/>
          <w:szCs w:val="52"/>
          <w:highlight w:val="none"/>
          <w:lang w:eastAsia="zh-CN"/>
        </w:rPr>
        <w:t>）</w:t>
      </w:r>
    </w:p>
    <w:p w14:paraId="2D5BA826">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6058CEAD">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6221728">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8334E44">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38478E8B">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D53E8C9">
      <w:pPr>
        <w:tabs>
          <w:tab w:val="left" w:pos="2410"/>
        </w:tabs>
        <w:autoSpaceDE w:val="0"/>
        <w:autoSpaceDN w:val="0"/>
        <w:adjustRightInd w:val="0"/>
        <w:snapToGrid w:val="0"/>
        <w:spacing w:line="360" w:lineRule="auto"/>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val="en-US" w:eastAsia="zh-CN"/>
        </w:rPr>
        <w:t>滁州市琅琊区2026年中央自然灾害救灾资金（第三批）应急救灾物资采购项目</w:t>
      </w:r>
    </w:p>
    <w:p w14:paraId="4BAF2AB4">
      <w:pPr>
        <w:tabs>
          <w:tab w:val="left" w:pos="2410"/>
        </w:tabs>
        <w:autoSpaceDE w:val="0"/>
        <w:autoSpaceDN w:val="0"/>
        <w:adjustRightInd w:val="0"/>
        <w:snapToGrid w:val="0"/>
        <w:spacing w:line="360" w:lineRule="auto"/>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rPr>
        <w:t>HXJY1110001062843001</w:t>
      </w:r>
    </w:p>
    <w:p w14:paraId="77D571AA">
      <w:pPr>
        <w:tabs>
          <w:tab w:val="left" w:pos="2410"/>
        </w:tabs>
        <w:autoSpaceDE w:val="0"/>
        <w:autoSpaceDN w:val="0"/>
        <w:adjustRightInd w:val="0"/>
        <w:snapToGrid w:val="0"/>
        <w:spacing w:line="360" w:lineRule="auto"/>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 xml:space="preserve"> </w:t>
      </w:r>
      <w:r>
        <w:rPr>
          <w:rFonts w:hint="eastAsia" w:ascii="宋体" w:hAnsi="宋体" w:eastAsia="宋体"/>
          <w:b/>
          <w:color w:val="auto"/>
          <w:spacing w:val="20"/>
          <w:kern w:val="0"/>
          <w:sz w:val="32"/>
          <w:szCs w:val="32"/>
          <w:highlight w:val="none"/>
          <w:u w:val="single"/>
          <w:lang w:eastAsia="zh-CN"/>
        </w:rPr>
        <w:t>滁州市琅琊区应急管理局</w:t>
      </w:r>
      <w:r>
        <w:rPr>
          <w:rFonts w:hint="eastAsia" w:ascii="宋体" w:hAnsi="宋体" w:eastAsia="宋体"/>
          <w:b/>
          <w:color w:val="auto"/>
          <w:spacing w:val="20"/>
          <w:kern w:val="0"/>
          <w:sz w:val="32"/>
          <w:szCs w:val="32"/>
          <w:highlight w:val="none"/>
          <w:u w:val="single"/>
          <w:lang w:val="en-US" w:eastAsia="zh-CN"/>
        </w:rPr>
        <w:t xml:space="preserve"> </w:t>
      </w:r>
    </w:p>
    <w:p w14:paraId="4BD9B75C">
      <w:pPr>
        <w:tabs>
          <w:tab w:val="left" w:pos="2410"/>
        </w:tabs>
        <w:autoSpaceDE w:val="0"/>
        <w:autoSpaceDN w:val="0"/>
        <w:adjustRightInd w:val="0"/>
        <w:snapToGrid w:val="0"/>
        <w:spacing w:line="360" w:lineRule="auto"/>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eastAsia="zh-CN"/>
        </w:rPr>
        <w:t>滁州市城投工程咨询管理有限公司</w:t>
      </w:r>
    </w:p>
    <w:p w14:paraId="29636C2B">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54A34BA0">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pP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 xml:space="preserve">2026 </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 xml:space="preserve">9 </w:t>
      </w:r>
      <w:r>
        <w:rPr>
          <w:rFonts w:hint="eastAsia" w:ascii="宋体" w:hAnsi="宋体" w:eastAsia="宋体"/>
          <w:b/>
          <w:color w:val="auto"/>
          <w:sz w:val="36"/>
          <w:highlight w:val="none"/>
        </w:rPr>
        <w:t>月</w:t>
      </w:r>
    </w:p>
    <w:p w14:paraId="3D3137A3">
      <w:pPr>
        <w:rPr>
          <w:rFonts w:hint="eastAsia" w:ascii="宋体" w:hAnsi="宋体" w:eastAsia="宋体"/>
          <w:b/>
          <w:color w:val="auto"/>
          <w:sz w:val="36"/>
          <w:highlight w:val="none"/>
        </w:rPr>
      </w:pPr>
      <w:r>
        <w:rPr>
          <w:rFonts w:hint="eastAsia" w:ascii="宋体" w:hAnsi="宋体" w:eastAsia="宋体"/>
          <w:b/>
          <w:color w:val="auto"/>
          <w:sz w:val="36"/>
          <w:highlight w:val="none"/>
        </w:rPr>
        <w:br w:type="page"/>
      </w:r>
    </w:p>
    <w:p w14:paraId="41698324">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p>
    <w:p w14:paraId="2C0B497A">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4AD26AF1">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p>
    <w:p w14:paraId="46BEC924">
      <w:pPr>
        <w:pStyle w:val="16"/>
        <w:tabs>
          <w:tab w:val="right" w:leader="dot" w:pos="8279"/>
        </w:tabs>
        <w:rPr>
          <w:color w:val="auto"/>
          <w:highlight w:val="none"/>
        </w:rPr>
      </w:pPr>
      <w:r>
        <w:rPr>
          <w:rFonts w:asciiTheme="minorEastAsia" w:hAnsiTheme="minorEastAsia"/>
          <w:b/>
          <w:bCs/>
          <w:color w:val="auto"/>
          <w:sz w:val="24"/>
          <w:szCs w:val="24"/>
          <w:highlight w:val="none"/>
        </w:rPr>
        <w:fldChar w:fldCharType="begin"/>
      </w:r>
      <w:r>
        <w:rPr>
          <w:rFonts w:asciiTheme="minorEastAsia" w:hAnsiTheme="minorEastAsia"/>
          <w:b/>
          <w:bCs/>
          <w:color w:val="auto"/>
          <w:sz w:val="24"/>
          <w:szCs w:val="24"/>
          <w:highlight w:val="none"/>
        </w:rPr>
        <w:instrText xml:space="preserve"> </w:instrText>
      </w:r>
      <w:r>
        <w:rPr>
          <w:rFonts w:hint="eastAsia" w:asciiTheme="minorEastAsia" w:hAnsiTheme="minorEastAsia"/>
          <w:b/>
          <w:bCs/>
          <w:color w:val="auto"/>
          <w:sz w:val="24"/>
          <w:szCs w:val="24"/>
          <w:highlight w:val="none"/>
        </w:rPr>
        <w:instrText xml:space="preserve">TOC \o "1-2" \h \z \u</w:instrText>
      </w:r>
      <w:r>
        <w:rPr>
          <w:rFonts w:asciiTheme="minorEastAsia" w:hAnsiTheme="minorEastAsia"/>
          <w:b/>
          <w:bCs/>
          <w:color w:val="auto"/>
          <w:sz w:val="24"/>
          <w:szCs w:val="24"/>
          <w:highlight w:val="none"/>
        </w:rPr>
        <w:instrText xml:space="preserve"> </w:instrText>
      </w:r>
      <w:r>
        <w:rPr>
          <w:rFonts w:asciiTheme="minorEastAsia" w:hAnsiTheme="minorEastAsia"/>
          <w:b/>
          <w:bCs/>
          <w:color w:val="auto"/>
          <w:sz w:val="24"/>
          <w:szCs w:val="24"/>
          <w:highlight w:val="none"/>
        </w:rPr>
        <w:fldChar w:fldCharType="separate"/>
      </w:r>
      <w:r>
        <w:rPr>
          <w:rFonts w:asciiTheme="minorEastAsia" w:hAnsiTheme="minorEastAsia"/>
          <w:bCs/>
          <w:color w:val="auto"/>
          <w:szCs w:val="24"/>
          <w:highlight w:val="none"/>
        </w:rPr>
        <w:fldChar w:fldCharType="begin"/>
      </w:r>
      <w:r>
        <w:rPr>
          <w:rFonts w:asciiTheme="minorEastAsia" w:hAnsiTheme="minorEastAsia"/>
          <w:bCs/>
          <w:color w:val="auto"/>
          <w:szCs w:val="24"/>
          <w:highlight w:val="none"/>
        </w:rPr>
        <w:instrText xml:space="preserve"> HYPERLINK \l _Toc18770 </w:instrText>
      </w:r>
      <w:r>
        <w:rPr>
          <w:rFonts w:asciiTheme="minorEastAsia" w:hAnsiTheme="minorEastAsia"/>
          <w:bCs/>
          <w:color w:val="auto"/>
          <w:szCs w:val="24"/>
          <w:highlight w:val="none"/>
        </w:rPr>
        <w:fldChar w:fldCharType="separate"/>
      </w:r>
      <w:r>
        <w:rPr>
          <w:rFonts w:hint="eastAsia" w:asciiTheme="minorEastAsia" w:hAnsiTheme="minorEastAsia" w:eastAsiaTheme="minorEastAsia"/>
          <w:color w:val="auto"/>
          <w:highlight w:val="none"/>
        </w:rPr>
        <w:t xml:space="preserve">第一章 </w:t>
      </w:r>
      <w:r>
        <w:rPr>
          <w:rFonts w:asciiTheme="minorEastAsia" w:hAnsiTheme="minorEastAsia" w:eastAsiaTheme="minorEastAsia"/>
          <w:color w:val="auto"/>
          <w:highlight w:val="none"/>
        </w:rPr>
        <w:t xml:space="preserve"> </w:t>
      </w:r>
      <w:r>
        <w:rPr>
          <w:rFonts w:hint="eastAsia" w:asciiTheme="minorEastAsia" w:hAnsiTheme="minorEastAsia" w:eastAsiaTheme="minorEastAsia"/>
          <w:color w:val="auto"/>
          <w:highlight w:val="none"/>
        </w:rPr>
        <w:t>磋商邀请</w:t>
      </w:r>
      <w:r>
        <w:rPr>
          <w:color w:val="auto"/>
          <w:highlight w:val="none"/>
        </w:rPr>
        <w:tab/>
      </w:r>
      <w:r>
        <w:rPr>
          <w:rFonts w:hint="eastAsia"/>
          <w:color w:val="auto"/>
          <w:highlight w:val="none"/>
          <w:lang w:val="en-US" w:eastAsia="zh-CN"/>
        </w:rPr>
        <w:t>3</w:t>
      </w:r>
      <w:r>
        <w:rPr>
          <w:rFonts w:asciiTheme="minorEastAsia" w:hAnsiTheme="minorEastAsia"/>
          <w:bCs/>
          <w:color w:val="auto"/>
          <w:szCs w:val="24"/>
          <w:highlight w:val="none"/>
        </w:rPr>
        <w:fldChar w:fldCharType="end"/>
      </w:r>
    </w:p>
    <w:p w14:paraId="11C7F527">
      <w:pPr>
        <w:pStyle w:val="16"/>
        <w:tabs>
          <w:tab w:val="right" w:leader="dot" w:pos="8279"/>
        </w:tabs>
        <w:rPr>
          <w:color w:val="auto"/>
          <w:highlight w:val="none"/>
        </w:rPr>
      </w:pPr>
      <w:r>
        <w:rPr>
          <w:rFonts w:asciiTheme="minorEastAsia" w:hAnsiTheme="minorEastAsia"/>
          <w:bCs/>
          <w:color w:val="auto"/>
          <w:szCs w:val="24"/>
          <w:highlight w:val="none"/>
        </w:rPr>
        <w:fldChar w:fldCharType="begin"/>
      </w:r>
      <w:r>
        <w:rPr>
          <w:rFonts w:asciiTheme="minorEastAsia" w:hAnsiTheme="minorEastAsia"/>
          <w:bCs/>
          <w:color w:val="auto"/>
          <w:szCs w:val="24"/>
          <w:highlight w:val="none"/>
        </w:rPr>
        <w:instrText xml:space="preserve"> HYPERLINK \l _Toc31004 </w:instrText>
      </w:r>
      <w:r>
        <w:rPr>
          <w:rFonts w:asciiTheme="minorEastAsia" w:hAnsiTheme="minorEastAsia"/>
          <w:bCs/>
          <w:color w:val="auto"/>
          <w:szCs w:val="24"/>
          <w:highlight w:val="none"/>
        </w:rPr>
        <w:fldChar w:fldCharType="separate"/>
      </w:r>
      <w:r>
        <w:rPr>
          <w:rFonts w:hint="eastAsia" w:asciiTheme="minorEastAsia" w:hAnsiTheme="minorEastAsia" w:eastAsiaTheme="minorEastAsia"/>
          <w:color w:val="auto"/>
          <w:highlight w:val="none"/>
        </w:rPr>
        <w:t>第二章</w:t>
      </w:r>
      <w:r>
        <w:rPr>
          <w:rFonts w:asciiTheme="minorEastAsia" w:hAnsiTheme="minorEastAsia" w:eastAsiaTheme="minorEastAsia"/>
          <w:color w:val="auto"/>
          <w:highlight w:val="none"/>
        </w:rPr>
        <w:t xml:space="preserve"> </w:t>
      </w:r>
      <w:r>
        <w:rPr>
          <w:rFonts w:hint="eastAsia" w:asciiTheme="minorEastAsia" w:hAnsiTheme="minorEastAsia" w:eastAsiaTheme="minorEastAsia"/>
          <w:color w:val="auto"/>
          <w:highlight w:val="none"/>
        </w:rPr>
        <w:t xml:space="preserve"> 供应商</w:t>
      </w:r>
      <w:r>
        <w:rPr>
          <w:rFonts w:asciiTheme="minorEastAsia" w:hAnsiTheme="minorEastAsia" w:eastAsiaTheme="minorEastAsia"/>
          <w:color w:val="auto"/>
          <w:highlight w:val="none"/>
        </w:rPr>
        <w:t>须知</w:t>
      </w:r>
      <w:r>
        <w:rPr>
          <w:color w:val="auto"/>
          <w:highlight w:val="none"/>
        </w:rPr>
        <w:tab/>
      </w:r>
      <w:r>
        <w:rPr>
          <w:rFonts w:hint="eastAsia"/>
          <w:color w:val="auto"/>
          <w:highlight w:val="none"/>
          <w:lang w:val="en-US" w:eastAsia="zh-CN"/>
        </w:rPr>
        <w:t>6</w:t>
      </w:r>
      <w:r>
        <w:rPr>
          <w:rFonts w:asciiTheme="minorEastAsia" w:hAnsiTheme="minorEastAsia"/>
          <w:bCs/>
          <w:color w:val="auto"/>
          <w:szCs w:val="24"/>
          <w:highlight w:val="none"/>
        </w:rPr>
        <w:fldChar w:fldCharType="end"/>
      </w:r>
    </w:p>
    <w:p w14:paraId="0CD4A99C">
      <w:pPr>
        <w:pStyle w:val="16"/>
        <w:tabs>
          <w:tab w:val="right" w:leader="dot" w:pos="8279"/>
        </w:tabs>
        <w:rPr>
          <w:rFonts w:hint="eastAsia" w:eastAsiaTheme="minorEastAsia"/>
          <w:color w:val="auto"/>
          <w:highlight w:val="none"/>
          <w:lang w:val="en-US" w:eastAsia="zh-CN"/>
        </w:rPr>
      </w:pPr>
      <w:r>
        <w:rPr>
          <w:rFonts w:asciiTheme="minorEastAsia" w:hAnsiTheme="minorEastAsia"/>
          <w:bCs/>
          <w:color w:val="auto"/>
          <w:szCs w:val="24"/>
          <w:highlight w:val="none"/>
        </w:rPr>
        <w:fldChar w:fldCharType="begin"/>
      </w:r>
      <w:r>
        <w:rPr>
          <w:rFonts w:asciiTheme="minorEastAsia" w:hAnsiTheme="minorEastAsia"/>
          <w:bCs/>
          <w:color w:val="auto"/>
          <w:szCs w:val="24"/>
          <w:highlight w:val="none"/>
        </w:rPr>
        <w:instrText xml:space="preserve"> HYPERLINK \l _Toc23422 </w:instrText>
      </w:r>
      <w:r>
        <w:rPr>
          <w:rFonts w:asciiTheme="minorEastAsia" w:hAnsiTheme="minorEastAsia"/>
          <w:bCs/>
          <w:color w:val="auto"/>
          <w:szCs w:val="24"/>
          <w:highlight w:val="none"/>
        </w:rPr>
        <w:fldChar w:fldCharType="separate"/>
      </w:r>
      <w:r>
        <w:rPr>
          <w:rFonts w:hint="eastAsia" w:asciiTheme="minorEastAsia" w:hAnsiTheme="minorEastAsia" w:eastAsiaTheme="minorEastAsia"/>
          <w:color w:val="auto"/>
          <w:highlight w:val="none"/>
        </w:rPr>
        <w:t>第三章  采购需求</w:t>
      </w:r>
      <w:r>
        <w:rPr>
          <w:color w:val="auto"/>
          <w:highlight w:val="none"/>
        </w:rPr>
        <w:tab/>
      </w:r>
      <w:r>
        <w:rPr>
          <w:rFonts w:hint="eastAsia"/>
          <w:color w:val="auto"/>
          <w:highlight w:val="none"/>
          <w:lang w:val="en-US" w:eastAsia="zh-CN"/>
        </w:rPr>
        <w:t>1</w:t>
      </w:r>
      <w:r>
        <w:rPr>
          <w:rFonts w:asciiTheme="minorEastAsia" w:hAnsiTheme="minorEastAsia"/>
          <w:bCs/>
          <w:color w:val="auto"/>
          <w:szCs w:val="24"/>
          <w:highlight w:val="none"/>
        </w:rPr>
        <w:fldChar w:fldCharType="end"/>
      </w:r>
      <w:r>
        <w:rPr>
          <w:rFonts w:hint="eastAsia" w:asciiTheme="minorEastAsia" w:hAnsiTheme="minorEastAsia"/>
          <w:bCs/>
          <w:color w:val="auto"/>
          <w:szCs w:val="24"/>
          <w:highlight w:val="none"/>
          <w:lang w:val="en-US" w:eastAsia="zh-CN"/>
        </w:rPr>
        <w:t>8</w:t>
      </w:r>
    </w:p>
    <w:p w14:paraId="1B253EB0">
      <w:pPr>
        <w:pStyle w:val="16"/>
        <w:tabs>
          <w:tab w:val="right" w:leader="dot" w:pos="8279"/>
        </w:tabs>
        <w:rPr>
          <w:rFonts w:hint="eastAsia" w:eastAsiaTheme="minorEastAsia"/>
          <w:color w:val="auto"/>
          <w:highlight w:val="none"/>
          <w:lang w:val="en-US" w:eastAsia="zh-CN"/>
        </w:rPr>
      </w:pPr>
      <w:r>
        <w:rPr>
          <w:rFonts w:asciiTheme="minorEastAsia" w:hAnsiTheme="minorEastAsia"/>
          <w:bCs/>
          <w:color w:val="auto"/>
          <w:szCs w:val="24"/>
          <w:highlight w:val="none"/>
        </w:rPr>
        <w:fldChar w:fldCharType="begin"/>
      </w:r>
      <w:r>
        <w:rPr>
          <w:rFonts w:asciiTheme="minorEastAsia" w:hAnsiTheme="minorEastAsia"/>
          <w:bCs/>
          <w:color w:val="auto"/>
          <w:szCs w:val="24"/>
          <w:highlight w:val="none"/>
        </w:rPr>
        <w:instrText xml:space="preserve"> HYPERLINK \l _Toc5189 </w:instrText>
      </w:r>
      <w:r>
        <w:rPr>
          <w:rFonts w:asciiTheme="minorEastAsia" w:hAnsiTheme="minorEastAsia"/>
          <w:bCs/>
          <w:color w:val="auto"/>
          <w:szCs w:val="24"/>
          <w:highlight w:val="none"/>
        </w:rPr>
        <w:fldChar w:fldCharType="separate"/>
      </w:r>
      <w:r>
        <w:rPr>
          <w:rFonts w:hint="eastAsia" w:asciiTheme="minorEastAsia" w:hAnsiTheme="minorEastAsia" w:eastAsiaTheme="minorEastAsia"/>
          <w:color w:val="auto"/>
          <w:highlight w:val="none"/>
        </w:rPr>
        <w:t>第四章  评审方法和标准</w:t>
      </w:r>
      <w:r>
        <w:rPr>
          <w:color w:val="auto"/>
          <w:highlight w:val="none"/>
        </w:rPr>
        <w:tab/>
      </w:r>
      <w:r>
        <w:rPr>
          <w:rFonts w:hint="eastAsia"/>
          <w:color w:val="auto"/>
          <w:highlight w:val="none"/>
          <w:lang w:val="en-US" w:eastAsia="zh-CN"/>
        </w:rPr>
        <w:t>2</w:t>
      </w:r>
      <w:r>
        <w:rPr>
          <w:rFonts w:asciiTheme="minorEastAsia" w:hAnsiTheme="minorEastAsia"/>
          <w:bCs/>
          <w:color w:val="auto"/>
          <w:szCs w:val="24"/>
          <w:highlight w:val="none"/>
        </w:rPr>
        <w:fldChar w:fldCharType="end"/>
      </w:r>
      <w:r>
        <w:rPr>
          <w:rFonts w:hint="eastAsia" w:asciiTheme="minorEastAsia" w:hAnsiTheme="minorEastAsia"/>
          <w:bCs/>
          <w:color w:val="auto"/>
          <w:szCs w:val="24"/>
          <w:highlight w:val="none"/>
          <w:lang w:val="en-US" w:eastAsia="zh-CN"/>
        </w:rPr>
        <w:t>2</w:t>
      </w:r>
    </w:p>
    <w:p w14:paraId="69CA5721">
      <w:pPr>
        <w:pStyle w:val="16"/>
        <w:tabs>
          <w:tab w:val="right" w:leader="dot" w:pos="8279"/>
        </w:tabs>
        <w:rPr>
          <w:rFonts w:hint="eastAsia" w:eastAsiaTheme="minorEastAsia"/>
          <w:color w:val="auto"/>
          <w:highlight w:val="none"/>
          <w:lang w:val="en-US" w:eastAsia="zh-CN"/>
        </w:rPr>
      </w:pPr>
      <w:r>
        <w:rPr>
          <w:rFonts w:asciiTheme="minorEastAsia" w:hAnsiTheme="minorEastAsia"/>
          <w:bCs/>
          <w:color w:val="auto"/>
          <w:szCs w:val="24"/>
          <w:highlight w:val="none"/>
        </w:rPr>
        <w:fldChar w:fldCharType="begin"/>
      </w:r>
      <w:r>
        <w:rPr>
          <w:rFonts w:asciiTheme="minorEastAsia" w:hAnsiTheme="minorEastAsia"/>
          <w:bCs/>
          <w:color w:val="auto"/>
          <w:szCs w:val="24"/>
          <w:highlight w:val="none"/>
        </w:rPr>
        <w:instrText xml:space="preserve"> HYPERLINK \l _Toc355 </w:instrText>
      </w:r>
      <w:r>
        <w:rPr>
          <w:rFonts w:asciiTheme="minorEastAsia" w:hAnsiTheme="minorEastAsia"/>
          <w:bCs/>
          <w:color w:val="auto"/>
          <w:szCs w:val="24"/>
          <w:highlight w:val="none"/>
        </w:rPr>
        <w:fldChar w:fldCharType="separate"/>
      </w:r>
      <w:r>
        <w:rPr>
          <w:rFonts w:hint="eastAsia" w:asciiTheme="minorEastAsia" w:hAnsiTheme="minorEastAsia" w:eastAsiaTheme="minorEastAsia"/>
          <w:color w:val="auto"/>
          <w:highlight w:val="none"/>
        </w:rPr>
        <w:t xml:space="preserve">第五章  </w:t>
      </w:r>
      <w:r>
        <w:rPr>
          <w:rFonts w:asciiTheme="minorEastAsia" w:hAnsiTheme="minorEastAsia" w:eastAsiaTheme="minorEastAsia"/>
          <w:color w:val="auto"/>
          <w:highlight w:val="none"/>
        </w:rPr>
        <w:t>政府采购合同</w:t>
      </w:r>
      <w:r>
        <w:rPr>
          <w:color w:val="auto"/>
          <w:highlight w:val="none"/>
        </w:rPr>
        <w:tab/>
      </w:r>
      <w:r>
        <w:rPr>
          <w:rFonts w:hint="eastAsia"/>
          <w:color w:val="auto"/>
          <w:highlight w:val="none"/>
          <w:lang w:val="en-US" w:eastAsia="zh-CN"/>
        </w:rPr>
        <w:t>2</w:t>
      </w:r>
      <w:r>
        <w:rPr>
          <w:rFonts w:asciiTheme="minorEastAsia" w:hAnsiTheme="minorEastAsia"/>
          <w:bCs/>
          <w:color w:val="auto"/>
          <w:szCs w:val="24"/>
          <w:highlight w:val="none"/>
        </w:rPr>
        <w:fldChar w:fldCharType="end"/>
      </w:r>
      <w:r>
        <w:rPr>
          <w:rFonts w:hint="eastAsia" w:asciiTheme="minorEastAsia" w:hAnsiTheme="minorEastAsia"/>
          <w:bCs/>
          <w:color w:val="auto"/>
          <w:szCs w:val="24"/>
          <w:highlight w:val="none"/>
          <w:lang w:val="en-US" w:eastAsia="zh-CN"/>
        </w:rPr>
        <w:t>9</w:t>
      </w:r>
    </w:p>
    <w:p w14:paraId="24E6D248">
      <w:pPr>
        <w:pStyle w:val="16"/>
        <w:tabs>
          <w:tab w:val="right" w:leader="dot" w:pos="8279"/>
        </w:tabs>
        <w:rPr>
          <w:rFonts w:hint="eastAsia" w:eastAsiaTheme="minorEastAsia"/>
          <w:color w:val="auto"/>
          <w:highlight w:val="none"/>
          <w:lang w:val="en-US" w:eastAsia="zh-CN"/>
        </w:rPr>
      </w:pPr>
      <w:r>
        <w:rPr>
          <w:rFonts w:asciiTheme="minorEastAsia" w:hAnsiTheme="minorEastAsia"/>
          <w:bCs/>
          <w:color w:val="auto"/>
          <w:szCs w:val="24"/>
          <w:highlight w:val="none"/>
        </w:rPr>
        <w:fldChar w:fldCharType="begin"/>
      </w:r>
      <w:r>
        <w:rPr>
          <w:rFonts w:asciiTheme="minorEastAsia" w:hAnsiTheme="minorEastAsia"/>
          <w:bCs/>
          <w:color w:val="auto"/>
          <w:szCs w:val="24"/>
          <w:highlight w:val="none"/>
        </w:rPr>
        <w:instrText xml:space="preserve"> HYPERLINK \l _Toc2192 </w:instrText>
      </w:r>
      <w:r>
        <w:rPr>
          <w:rFonts w:asciiTheme="minorEastAsia" w:hAnsiTheme="minorEastAsia"/>
          <w:bCs/>
          <w:color w:val="auto"/>
          <w:szCs w:val="24"/>
          <w:highlight w:val="none"/>
        </w:rPr>
        <w:fldChar w:fldCharType="separate"/>
      </w:r>
      <w:r>
        <w:rPr>
          <w:rFonts w:hint="eastAsia" w:asciiTheme="minorEastAsia" w:hAnsiTheme="minorEastAsia" w:eastAsiaTheme="minorEastAsia"/>
          <w:color w:val="auto"/>
          <w:highlight w:val="none"/>
        </w:rPr>
        <w:t>第六章  响应文件格式</w:t>
      </w:r>
      <w:r>
        <w:rPr>
          <w:color w:val="auto"/>
          <w:highlight w:val="none"/>
        </w:rPr>
        <w:tab/>
      </w:r>
      <w:r>
        <w:rPr>
          <w:rFonts w:hint="eastAsia"/>
          <w:color w:val="auto"/>
          <w:highlight w:val="none"/>
          <w:lang w:val="en-US" w:eastAsia="zh-CN"/>
        </w:rPr>
        <w:t>3</w:t>
      </w:r>
      <w:r>
        <w:rPr>
          <w:rFonts w:asciiTheme="minorEastAsia" w:hAnsiTheme="minorEastAsia"/>
          <w:bCs/>
          <w:color w:val="auto"/>
          <w:szCs w:val="24"/>
          <w:highlight w:val="none"/>
        </w:rPr>
        <w:fldChar w:fldCharType="end"/>
      </w:r>
      <w:r>
        <w:rPr>
          <w:rFonts w:hint="eastAsia" w:asciiTheme="minorEastAsia" w:hAnsiTheme="minorEastAsia"/>
          <w:bCs/>
          <w:color w:val="auto"/>
          <w:szCs w:val="24"/>
          <w:highlight w:val="none"/>
          <w:lang w:val="en-US" w:eastAsia="zh-CN"/>
        </w:rPr>
        <w:t>9</w:t>
      </w:r>
    </w:p>
    <w:p w14:paraId="2F21D093">
      <w:pPr>
        <w:pStyle w:val="16"/>
        <w:tabs>
          <w:tab w:val="right" w:leader="dot" w:pos="8279"/>
        </w:tabs>
        <w:rPr>
          <w:rFonts w:hint="eastAsia" w:eastAsiaTheme="minorEastAsia"/>
          <w:color w:val="auto"/>
          <w:highlight w:val="none"/>
          <w:lang w:val="en-US" w:eastAsia="zh-CN"/>
        </w:rPr>
      </w:pPr>
      <w:r>
        <w:rPr>
          <w:rFonts w:asciiTheme="minorEastAsia" w:hAnsiTheme="minorEastAsia"/>
          <w:bCs/>
          <w:color w:val="auto"/>
          <w:szCs w:val="24"/>
          <w:highlight w:val="none"/>
        </w:rPr>
        <w:fldChar w:fldCharType="begin"/>
      </w:r>
      <w:r>
        <w:rPr>
          <w:rFonts w:asciiTheme="minorEastAsia" w:hAnsiTheme="minorEastAsia"/>
          <w:bCs/>
          <w:color w:val="auto"/>
          <w:szCs w:val="24"/>
          <w:highlight w:val="none"/>
        </w:rPr>
        <w:instrText xml:space="preserve"> HYPERLINK \l _Toc11841 </w:instrText>
      </w:r>
      <w:r>
        <w:rPr>
          <w:rFonts w:asciiTheme="minorEastAsia" w:hAnsiTheme="minorEastAsia"/>
          <w:bCs/>
          <w:color w:val="auto"/>
          <w:szCs w:val="24"/>
          <w:highlight w:val="none"/>
        </w:rPr>
        <w:fldChar w:fldCharType="separate"/>
      </w:r>
      <w:r>
        <w:rPr>
          <w:rFonts w:hint="eastAsia" w:ascii="宋体" w:hAnsi="宋体" w:eastAsia="宋体"/>
          <w:bCs/>
          <w:color w:val="auto"/>
          <w:highlight w:val="none"/>
        </w:rPr>
        <w:t>第</w:t>
      </w:r>
      <w:r>
        <w:rPr>
          <w:rFonts w:hint="eastAsia" w:ascii="宋体" w:hAnsi="宋体" w:eastAsia="宋体"/>
          <w:bCs/>
          <w:color w:val="auto"/>
          <w:highlight w:val="none"/>
          <w:lang w:val="en-US" w:eastAsia="zh-CN"/>
        </w:rPr>
        <w:t>七</w:t>
      </w:r>
      <w:r>
        <w:rPr>
          <w:rFonts w:hint="eastAsia" w:ascii="宋体" w:hAnsi="宋体" w:eastAsia="宋体"/>
          <w:bCs/>
          <w:color w:val="auto"/>
          <w:highlight w:val="none"/>
        </w:rPr>
        <w:t>章  政府采购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rFonts w:hint="eastAsia"/>
          <w:color w:val="auto"/>
          <w:highlight w:val="none"/>
          <w:lang w:val="en-US" w:eastAsia="zh-CN"/>
        </w:rPr>
        <w:t>4</w:t>
      </w:r>
      <w:r>
        <w:rPr>
          <w:rFonts w:asciiTheme="minorEastAsia" w:hAnsiTheme="minorEastAsia"/>
          <w:bCs/>
          <w:color w:val="auto"/>
          <w:szCs w:val="24"/>
          <w:highlight w:val="none"/>
        </w:rPr>
        <w:fldChar w:fldCharType="end"/>
      </w:r>
      <w:r>
        <w:rPr>
          <w:rFonts w:hint="eastAsia" w:asciiTheme="minorEastAsia" w:hAnsiTheme="minorEastAsia"/>
          <w:bCs/>
          <w:color w:val="auto"/>
          <w:szCs w:val="24"/>
          <w:highlight w:val="none"/>
          <w:lang w:val="en-US" w:eastAsia="zh-CN"/>
        </w:rPr>
        <w:t>9</w:t>
      </w:r>
    </w:p>
    <w:p w14:paraId="067EAE66">
      <w:pPr>
        <w:pStyle w:val="17"/>
        <w:tabs>
          <w:tab w:val="right" w:leader="dot" w:pos="8296"/>
        </w:tabs>
        <w:ind w:left="0"/>
        <w:rPr>
          <w:color w:val="auto"/>
          <w:highlight w:val="none"/>
        </w:rPr>
      </w:pPr>
      <w:r>
        <w:rPr>
          <w:rFonts w:asciiTheme="minorEastAsia" w:hAnsiTheme="minorEastAsia"/>
          <w:bCs/>
          <w:color w:val="auto"/>
          <w:szCs w:val="24"/>
          <w:highlight w:val="none"/>
        </w:rPr>
        <w:fldChar w:fldCharType="end"/>
      </w:r>
    </w:p>
    <w:p w14:paraId="6226044C">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7" w:h="16840"/>
          <w:pgMar w:top="1474" w:right="1814" w:bottom="1474" w:left="1814" w:header="851" w:footer="992" w:gutter="0"/>
          <w:cols w:space="720" w:num="1"/>
          <w:docGrid w:linePitch="462" w:charSpace="0"/>
        </w:sectPr>
      </w:pPr>
    </w:p>
    <w:p w14:paraId="151C7A67">
      <w:pPr>
        <w:spacing w:line="360" w:lineRule="auto"/>
        <w:jc w:val="center"/>
        <w:outlineLvl w:val="0"/>
        <w:rPr>
          <w:rFonts w:asciiTheme="minorEastAsia" w:hAnsiTheme="minorEastAsia" w:eastAsiaTheme="minorEastAsia"/>
          <w:b/>
          <w:color w:val="auto"/>
          <w:sz w:val="28"/>
          <w:highlight w:val="none"/>
        </w:rPr>
      </w:pPr>
      <w:bookmarkStart w:id="1" w:name="_Toc18770"/>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p>
    <w:p w14:paraId="4A0F55A7">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2" w:name="_Toc6722"/>
      <w:bookmarkStart w:id="3" w:name="_Toc28359089"/>
      <w:bookmarkStart w:id="4" w:name="_Toc35393629"/>
      <w:bookmarkStart w:id="5" w:name="_Toc28359012"/>
      <w:bookmarkStart w:id="6" w:name="_Toc35393798"/>
      <w:r>
        <w:rPr>
          <w:rFonts w:hint="eastAsia" w:ascii="宋体" w:hAnsi="宋体" w:eastAsia="宋体" w:cs="宋体"/>
          <w:b/>
          <w:bCs w:val="0"/>
          <w:color w:val="auto"/>
          <w:sz w:val="24"/>
          <w:szCs w:val="24"/>
          <w:highlight w:val="none"/>
        </w:rPr>
        <w:t>一、项目基本情况</w:t>
      </w:r>
      <w:bookmarkEnd w:id="2"/>
      <w:bookmarkEnd w:id="3"/>
      <w:bookmarkEnd w:id="4"/>
      <w:bookmarkEnd w:id="5"/>
      <w:bookmarkEnd w:id="6"/>
    </w:p>
    <w:p w14:paraId="0195BFB6">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HXJY1110001062843001</w:t>
      </w:r>
    </w:p>
    <w:p w14:paraId="0F95BB63">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rPr>
        <w:t>滁州市琅琊区2026年中央自然灾害救灾资金（第三批）应急救灾物资采购</w:t>
      </w:r>
      <w:r>
        <w:rPr>
          <w:rFonts w:hint="eastAsia" w:ascii="宋体" w:hAnsi="宋体" w:eastAsia="宋体" w:cs="宋体"/>
          <w:color w:val="auto"/>
          <w:sz w:val="24"/>
          <w:szCs w:val="24"/>
          <w:highlight w:val="none"/>
          <w:u w:val="single"/>
          <w:lang w:val="en-US" w:eastAsia="zh-CN"/>
        </w:rPr>
        <w:t>项目</w:t>
      </w:r>
    </w:p>
    <w:p w14:paraId="7883787B">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预算金额：</w:t>
      </w:r>
      <w:r>
        <w:rPr>
          <w:rFonts w:hint="eastAsia" w:ascii="宋体" w:hAnsi="宋体" w:eastAsia="宋体"/>
          <w:color w:val="auto"/>
          <w:sz w:val="24"/>
          <w:szCs w:val="18"/>
          <w:highlight w:val="none"/>
          <w:u w:val="single"/>
          <w:lang w:val="en-US" w:eastAsia="zh-CN"/>
        </w:rPr>
        <w:t>300000.00元</w:t>
      </w:r>
      <w:r>
        <w:rPr>
          <w:rFonts w:ascii="宋体" w:hAnsi="宋体" w:eastAsia="宋体"/>
          <w:color w:val="auto"/>
          <w:sz w:val="24"/>
          <w:szCs w:val="18"/>
          <w:highlight w:val="none"/>
          <w:u w:val="single"/>
        </w:rPr>
        <w:t xml:space="preserve"> </w:t>
      </w:r>
    </w:p>
    <w:p w14:paraId="263672B0">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最高限价：</w:t>
      </w:r>
      <w:r>
        <w:rPr>
          <w:rFonts w:hint="eastAsia" w:ascii="宋体" w:hAnsi="宋体" w:eastAsia="宋体"/>
          <w:color w:val="auto"/>
          <w:sz w:val="24"/>
          <w:szCs w:val="18"/>
          <w:highlight w:val="none"/>
          <w:u w:val="single"/>
          <w:lang w:val="en-US" w:eastAsia="zh-CN"/>
        </w:rPr>
        <w:t>300000.00元</w:t>
      </w:r>
      <w:r>
        <w:rPr>
          <w:rFonts w:ascii="宋体" w:hAnsi="宋体" w:eastAsia="宋体"/>
          <w:color w:val="auto"/>
          <w:sz w:val="24"/>
          <w:szCs w:val="18"/>
          <w:highlight w:val="none"/>
          <w:u w:val="single"/>
        </w:rPr>
        <w:t xml:space="preserve"> </w:t>
      </w:r>
    </w:p>
    <w:p w14:paraId="3F1BE316">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采购需求：</w:t>
      </w:r>
      <w:r>
        <w:rPr>
          <w:rFonts w:hint="eastAsia" w:ascii="宋体" w:hAnsi="宋体" w:eastAsia="宋体" w:cs="宋体"/>
          <w:color w:val="auto"/>
          <w:sz w:val="24"/>
          <w:szCs w:val="24"/>
          <w:highlight w:val="none"/>
          <w:u w:val="single"/>
        </w:rPr>
        <w:t>应急救灾物资采购</w:t>
      </w:r>
    </w:p>
    <w:p w14:paraId="4A7C9D25">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合同履行期限：</w:t>
      </w:r>
      <w:r>
        <w:rPr>
          <w:rFonts w:hint="eastAsia" w:ascii="宋体" w:hAnsi="宋体" w:eastAsia="宋体"/>
          <w:color w:val="auto"/>
          <w:sz w:val="24"/>
          <w:szCs w:val="18"/>
          <w:highlight w:val="none"/>
          <w:u w:val="single"/>
          <w:lang w:val="en-US" w:eastAsia="zh-CN"/>
        </w:rPr>
        <w:t>自合同签订后20日内完成供货、安装、调试及验收</w:t>
      </w:r>
    </w:p>
    <w:p w14:paraId="15BAE814">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Theme="minorEastAsia" w:hAnsiTheme="minorEastAsia" w:eastAsiaTheme="minorEastAsia"/>
          <w:color w:val="auto"/>
          <w:sz w:val="24"/>
          <w:highlight w:val="none"/>
        </w:rPr>
        <w:t>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w:t>
      </w:r>
    </w:p>
    <w:p w14:paraId="3F8E46D1">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7" w:name="_Toc11752"/>
      <w:bookmarkStart w:id="8" w:name="_Toc35393630"/>
      <w:bookmarkStart w:id="9" w:name="_Toc28359090"/>
      <w:bookmarkStart w:id="10" w:name="_Toc28359013"/>
      <w:bookmarkStart w:id="11" w:name="_Toc35393799"/>
      <w:r>
        <w:rPr>
          <w:rFonts w:hint="eastAsia" w:ascii="宋体" w:hAnsi="宋体" w:eastAsia="宋体" w:cs="宋体"/>
          <w:b/>
          <w:bCs w:val="0"/>
          <w:color w:val="auto"/>
          <w:sz w:val="24"/>
          <w:szCs w:val="24"/>
          <w:highlight w:val="none"/>
        </w:rPr>
        <w:t>二、申请人的资格要求：</w:t>
      </w:r>
      <w:bookmarkEnd w:id="7"/>
      <w:bookmarkEnd w:id="8"/>
      <w:bookmarkEnd w:id="9"/>
      <w:bookmarkEnd w:id="10"/>
      <w:bookmarkEnd w:id="11"/>
    </w:p>
    <w:p w14:paraId="2B050AF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1.供应商具有独立承担民事责任能力及相应供货能力。</w:t>
      </w:r>
      <w:bookmarkStart w:id="270" w:name="_GoBack"/>
      <w:bookmarkEnd w:id="270"/>
    </w:p>
    <w:p w14:paraId="39D7C04D">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12" w:name="_Toc35393800"/>
      <w:bookmarkStart w:id="13" w:name="_Toc35393631"/>
      <w:bookmarkStart w:id="14" w:name="_Toc28359091"/>
      <w:bookmarkStart w:id="15" w:name="_Toc28359014"/>
      <w:bookmarkStart w:id="16" w:name="_Toc2181"/>
      <w:r>
        <w:rPr>
          <w:rFonts w:hint="eastAsia" w:ascii="宋体" w:hAnsi="宋体" w:eastAsia="宋体" w:cs="宋体"/>
          <w:b/>
          <w:bCs w:val="0"/>
          <w:color w:val="auto"/>
          <w:sz w:val="24"/>
          <w:szCs w:val="24"/>
          <w:highlight w:val="none"/>
        </w:rPr>
        <w:t>三、获取采购文件</w:t>
      </w:r>
      <w:bookmarkEnd w:id="12"/>
      <w:bookmarkEnd w:id="13"/>
      <w:bookmarkEnd w:id="14"/>
      <w:bookmarkEnd w:id="15"/>
      <w:bookmarkEnd w:id="16"/>
    </w:p>
    <w:p w14:paraId="365EE6D3">
      <w:pPr>
        <w:spacing w:line="360" w:lineRule="auto"/>
        <w:ind w:firstLine="540"/>
        <w:rPr>
          <w:rFonts w:hint="eastAsia" w:asciiTheme="minorEastAsia" w:hAnsiTheme="minorEastAsia" w:eastAsiaTheme="minorEastAsia" w:cstheme="minorEastAsia"/>
          <w:color w:val="auto"/>
          <w:sz w:val="24"/>
          <w:szCs w:val="24"/>
          <w:highlight w:val="none"/>
          <w:u w:val="none"/>
        </w:rPr>
      </w:pPr>
      <w:bookmarkStart w:id="17" w:name="_Toc28359015"/>
      <w:bookmarkStart w:id="18" w:name="_Toc35393632"/>
      <w:bookmarkStart w:id="19" w:name="_Toc28359092"/>
      <w:bookmarkStart w:id="20" w:name="_Toc35393801"/>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single"/>
          <w:lang w:val="en-US" w:eastAsia="zh-CN"/>
        </w:rPr>
        <w:t>9</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single"/>
          <w:lang w:val="en-US" w:eastAsia="zh-CN"/>
        </w:rPr>
        <w:t>4</w:t>
      </w:r>
      <w:r>
        <w:rPr>
          <w:rFonts w:hint="eastAsia" w:asciiTheme="minorEastAsia" w:hAnsiTheme="minorEastAsia" w:eastAsiaTheme="minorEastAsia" w:cstheme="minorEastAsia"/>
          <w:color w:val="auto"/>
          <w:sz w:val="24"/>
          <w:szCs w:val="24"/>
          <w:highlight w:val="none"/>
          <w:u w:val="none"/>
        </w:rPr>
        <w:t>日</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single"/>
          <w:lang w:val="en-US" w:eastAsia="zh-CN"/>
        </w:rPr>
        <w:t>9</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single"/>
          <w:lang w:val="en-US" w:eastAsia="zh-CN"/>
        </w:rPr>
        <w:t>15</w:t>
      </w:r>
      <w:r>
        <w:rPr>
          <w:rFonts w:hint="eastAsia" w:asciiTheme="minorEastAsia" w:hAnsiTheme="minorEastAsia" w:eastAsiaTheme="minorEastAsia" w:cstheme="minorEastAsia"/>
          <w:color w:val="auto"/>
          <w:sz w:val="24"/>
          <w:szCs w:val="24"/>
          <w:highlight w:val="none"/>
          <w:u w:val="none"/>
        </w:rPr>
        <w:t>日（提供期限自本公告发布之日起不得少于5个工作日）</w:t>
      </w:r>
    </w:p>
    <w:p w14:paraId="736D9D08">
      <w:pPr>
        <w:spacing w:line="360" w:lineRule="auto"/>
        <w:ind w:firstLine="540"/>
        <w:rPr>
          <w:rFonts w:ascii="宋体" w:hAnsi="宋体" w:eastAsia="宋体"/>
          <w:color w:val="auto"/>
          <w:sz w:val="24"/>
          <w:szCs w:val="18"/>
          <w:highlight w:val="none"/>
          <w:u w:val="none"/>
        </w:rPr>
      </w:pPr>
      <w:r>
        <w:rPr>
          <w:rFonts w:hint="eastAsia" w:asciiTheme="minorEastAsia" w:hAnsiTheme="minorEastAsia" w:eastAsiaTheme="minorEastAsia" w:cstheme="minorEastAsia"/>
          <w:color w:val="auto"/>
          <w:sz w:val="24"/>
          <w:szCs w:val="24"/>
          <w:highlight w:val="none"/>
          <w:u w:val="none"/>
        </w:rPr>
        <w:t>地点：滁州市琅琊区人民政府官方网站（https://www.lyq.gov.cn/）政府信息公开 &gt; 琅琊区应急管理局政府信息公开目录 &gt; 【财政信息】 &gt; 招标采购、滁州市城投工程咨询管理有限公司（https://www.czctgczx.com/）</w:t>
      </w:r>
    </w:p>
    <w:p w14:paraId="605A569C">
      <w:pPr>
        <w:spacing w:line="360" w:lineRule="auto"/>
        <w:ind w:firstLine="540"/>
        <w:rPr>
          <w:rFonts w:hint="default"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rPr>
        <w:t>方式：</w:t>
      </w:r>
      <w:r>
        <w:rPr>
          <w:rFonts w:hint="eastAsia" w:ascii="宋体" w:hAnsi="宋体" w:eastAsia="宋体"/>
          <w:color w:val="auto"/>
          <w:sz w:val="24"/>
          <w:szCs w:val="18"/>
          <w:highlight w:val="none"/>
          <w:u w:val="none"/>
          <w:lang w:val="en-US" w:eastAsia="zh-CN"/>
        </w:rPr>
        <w:t>网上下载</w:t>
      </w:r>
    </w:p>
    <w:p w14:paraId="3B346D8C">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21" w:name="_Toc32047"/>
      <w:r>
        <w:rPr>
          <w:rFonts w:hint="eastAsia" w:ascii="宋体" w:hAnsi="宋体" w:eastAsia="宋体" w:cs="宋体"/>
          <w:b/>
          <w:bCs w:val="0"/>
          <w:color w:val="auto"/>
          <w:sz w:val="24"/>
          <w:szCs w:val="24"/>
          <w:highlight w:val="none"/>
        </w:rPr>
        <w:t>四、响应文件提交</w:t>
      </w:r>
      <w:bookmarkEnd w:id="17"/>
      <w:bookmarkEnd w:id="18"/>
      <w:bookmarkEnd w:id="19"/>
      <w:bookmarkEnd w:id="20"/>
      <w:bookmarkEnd w:id="21"/>
    </w:p>
    <w:p w14:paraId="6BD08B18">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u w:val="single"/>
          <w:lang w:val="en-US" w:eastAsia="zh-CN"/>
        </w:rPr>
        <w:t>2026</w:t>
      </w:r>
      <w:r>
        <w:rPr>
          <w:rFonts w:hint="eastAsia" w:asciiTheme="minorEastAsia" w:hAnsiTheme="minorEastAsia" w:eastAsiaTheme="minorEastAsia" w:cstheme="minorEastAsia"/>
          <w:bCs/>
          <w:color w:val="auto"/>
          <w:sz w:val="24"/>
          <w:szCs w:val="24"/>
          <w:highlight w:val="none"/>
          <w:u w:val="none"/>
        </w:rPr>
        <w:t>年</w:t>
      </w:r>
      <w:r>
        <w:rPr>
          <w:rFonts w:hint="eastAsia" w:asciiTheme="minorEastAsia" w:hAnsiTheme="minorEastAsia" w:eastAsiaTheme="minorEastAsia" w:cstheme="minorEastAsia"/>
          <w:bCs/>
          <w:color w:val="auto"/>
          <w:sz w:val="24"/>
          <w:szCs w:val="24"/>
          <w:highlight w:val="none"/>
          <w:u w:val="single"/>
          <w:lang w:val="en-US" w:eastAsia="zh-CN"/>
        </w:rPr>
        <w:t>9</w:t>
      </w:r>
      <w:r>
        <w:rPr>
          <w:rFonts w:hint="eastAsia" w:asciiTheme="minorEastAsia" w:hAnsiTheme="minorEastAsia" w:eastAsiaTheme="minorEastAsia" w:cstheme="minorEastAsia"/>
          <w:bCs/>
          <w:color w:val="auto"/>
          <w:sz w:val="24"/>
          <w:szCs w:val="24"/>
          <w:highlight w:val="none"/>
          <w:u w:val="none"/>
        </w:rPr>
        <w:t>月</w:t>
      </w:r>
      <w:r>
        <w:rPr>
          <w:rFonts w:hint="eastAsia" w:asciiTheme="minorEastAsia" w:hAnsiTheme="minorEastAsia" w:eastAsiaTheme="minorEastAsia" w:cstheme="minorEastAsia"/>
          <w:bCs/>
          <w:color w:val="auto"/>
          <w:sz w:val="24"/>
          <w:szCs w:val="24"/>
          <w:highlight w:val="none"/>
          <w:u w:val="single"/>
          <w:lang w:val="en-US" w:eastAsia="zh-CN"/>
        </w:rPr>
        <w:t>15</w:t>
      </w:r>
      <w:r>
        <w:rPr>
          <w:rFonts w:hint="eastAsia" w:asciiTheme="minorEastAsia" w:hAnsiTheme="minorEastAsia" w:eastAsiaTheme="minorEastAsia" w:cstheme="minorEastAsia"/>
          <w:bCs/>
          <w:color w:val="auto"/>
          <w:sz w:val="24"/>
          <w:szCs w:val="24"/>
          <w:highlight w:val="none"/>
          <w:u w:val="none"/>
        </w:rPr>
        <w:t>日</w:t>
      </w:r>
      <w:r>
        <w:rPr>
          <w:rFonts w:hint="eastAsia" w:asciiTheme="minorEastAsia" w:hAnsiTheme="minorEastAsia" w:eastAsiaTheme="minorEastAsia" w:cstheme="minorEastAsia"/>
          <w:bCs/>
          <w:color w:val="auto"/>
          <w:sz w:val="24"/>
          <w:szCs w:val="24"/>
          <w:highlight w:val="none"/>
          <w:u w:val="single"/>
          <w:lang w:val="en-US" w:eastAsia="zh-CN"/>
        </w:rPr>
        <w:t>9</w:t>
      </w:r>
      <w:r>
        <w:rPr>
          <w:rFonts w:hint="eastAsia" w:asciiTheme="minorEastAsia" w:hAnsiTheme="minorEastAsia" w:eastAsiaTheme="minorEastAsia" w:cstheme="minorEastAsia"/>
          <w:bCs/>
          <w:color w:val="auto"/>
          <w:sz w:val="24"/>
          <w:szCs w:val="24"/>
          <w:highlight w:val="none"/>
          <w:u w:val="none"/>
        </w:rPr>
        <w:t>点</w:t>
      </w:r>
      <w:r>
        <w:rPr>
          <w:rFonts w:hint="eastAsia" w:asciiTheme="minorEastAsia" w:hAnsiTheme="minorEastAsia" w:eastAsiaTheme="minorEastAsia" w:cstheme="minorEastAsia"/>
          <w:bCs/>
          <w:color w:val="auto"/>
          <w:sz w:val="24"/>
          <w:szCs w:val="24"/>
          <w:highlight w:val="none"/>
          <w:u w:val="single"/>
          <w:lang w:val="en-US" w:eastAsia="zh-CN"/>
        </w:rPr>
        <w:t>00</w:t>
      </w:r>
      <w:r>
        <w:rPr>
          <w:rFonts w:hint="eastAsia" w:asciiTheme="minorEastAsia" w:hAnsiTheme="minorEastAsia" w:eastAsiaTheme="minorEastAsia" w:cstheme="minorEastAsia"/>
          <w:bCs/>
          <w:color w:val="auto"/>
          <w:sz w:val="24"/>
          <w:szCs w:val="24"/>
          <w:highlight w:val="none"/>
          <w:u w:val="none"/>
        </w:rPr>
        <w:t>分</w:t>
      </w:r>
      <w:r>
        <w:rPr>
          <w:rFonts w:hint="eastAsia" w:asciiTheme="minorEastAsia" w:hAnsiTheme="minorEastAsia" w:eastAsiaTheme="minorEastAsia" w:cstheme="minorEastAsia"/>
          <w:bCs/>
          <w:color w:val="auto"/>
          <w:sz w:val="24"/>
          <w:szCs w:val="24"/>
          <w:highlight w:val="none"/>
        </w:rPr>
        <w:t>（北京时间）（从磋商文件开始发出之日起至供应商提交首次响应文件截止之日止不得少于10日）</w:t>
      </w:r>
    </w:p>
    <w:p w14:paraId="0B5951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地点：新点电子交易平台后在【滁州专区】</w:t>
      </w:r>
    </w:p>
    <w:p w14:paraId="1674E361">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22" w:name="_Toc28359093"/>
      <w:bookmarkStart w:id="23" w:name="_Toc541"/>
      <w:bookmarkStart w:id="24" w:name="_Toc35393802"/>
      <w:bookmarkStart w:id="25" w:name="_Toc35393633"/>
      <w:bookmarkStart w:id="26" w:name="_Toc28359016"/>
      <w:r>
        <w:rPr>
          <w:rFonts w:hint="eastAsia" w:ascii="宋体" w:hAnsi="宋体" w:eastAsia="宋体" w:cs="宋体"/>
          <w:b/>
          <w:bCs w:val="0"/>
          <w:color w:val="auto"/>
          <w:sz w:val="24"/>
          <w:szCs w:val="24"/>
          <w:highlight w:val="none"/>
        </w:rPr>
        <w:t>五、开启</w:t>
      </w:r>
      <w:bookmarkEnd w:id="22"/>
      <w:bookmarkEnd w:id="23"/>
      <w:bookmarkEnd w:id="24"/>
      <w:bookmarkEnd w:id="25"/>
      <w:bookmarkEnd w:id="26"/>
    </w:p>
    <w:p w14:paraId="40E685F0">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时间：</w:t>
      </w:r>
      <w:r>
        <w:rPr>
          <w:rFonts w:hint="eastAsia" w:asciiTheme="minorEastAsia" w:hAnsiTheme="minorEastAsia" w:eastAsiaTheme="minorEastAsia" w:cstheme="minorEastAsia"/>
          <w:bCs/>
          <w:color w:val="auto"/>
          <w:sz w:val="24"/>
          <w:szCs w:val="24"/>
          <w:highlight w:val="none"/>
          <w:u w:val="single"/>
          <w:lang w:val="en-US" w:eastAsia="zh-CN"/>
        </w:rPr>
        <w:t>2026</w:t>
      </w:r>
      <w:r>
        <w:rPr>
          <w:rFonts w:hint="eastAsia" w:asciiTheme="minorEastAsia" w:hAnsiTheme="minorEastAsia" w:eastAsiaTheme="minorEastAsia" w:cstheme="minorEastAsia"/>
          <w:bCs/>
          <w:color w:val="auto"/>
          <w:sz w:val="24"/>
          <w:szCs w:val="24"/>
          <w:highlight w:val="none"/>
          <w:u w:val="none"/>
        </w:rPr>
        <w:t>年</w:t>
      </w:r>
      <w:r>
        <w:rPr>
          <w:rFonts w:hint="eastAsia" w:asciiTheme="minorEastAsia" w:hAnsiTheme="minorEastAsia" w:eastAsiaTheme="minorEastAsia" w:cstheme="minorEastAsia"/>
          <w:bCs/>
          <w:color w:val="auto"/>
          <w:sz w:val="24"/>
          <w:szCs w:val="24"/>
          <w:highlight w:val="none"/>
          <w:u w:val="single"/>
          <w:lang w:val="en-US" w:eastAsia="zh-CN"/>
        </w:rPr>
        <w:t>9</w:t>
      </w:r>
      <w:r>
        <w:rPr>
          <w:rFonts w:hint="eastAsia" w:asciiTheme="minorEastAsia" w:hAnsiTheme="minorEastAsia" w:eastAsiaTheme="minorEastAsia" w:cstheme="minorEastAsia"/>
          <w:bCs/>
          <w:color w:val="auto"/>
          <w:sz w:val="24"/>
          <w:szCs w:val="24"/>
          <w:highlight w:val="none"/>
          <w:u w:val="none"/>
        </w:rPr>
        <w:t>月</w:t>
      </w:r>
      <w:r>
        <w:rPr>
          <w:rFonts w:hint="eastAsia" w:asciiTheme="minorEastAsia" w:hAnsiTheme="minorEastAsia" w:eastAsiaTheme="minorEastAsia" w:cstheme="minorEastAsia"/>
          <w:bCs/>
          <w:color w:val="auto"/>
          <w:sz w:val="24"/>
          <w:szCs w:val="24"/>
          <w:highlight w:val="none"/>
          <w:u w:val="single"/>
          <w:lang w:val="en-US" w:eastAsia="zh-CN"/>
        </w:rPr>
        <w:t>15</w:t>
      </w:r>
      <w:r>
        <w:rPr>
          <w:rFonts w:hint="eastAsia" w:asciiTheme="minorEastAsia" w:hAnsiTheme="minorEastAsia" w:eastAsiaTheme="minorEastAsia" w:cstheme="minorEastAsia"/>
          <w:bCs/>
          <w:color w:val="auto"/>
          <w:sz w:val="24"/>
          <w:szCs w:val="24"/>
          <w:highlight w:val="none"/>
          <w:u w:val="none"/>
        </w:rPr>
        <w:t>日</w:t>
      </w:r>
      <w:r>
        <w:rPr>
          <w:rFonts w:hint="eastAsia" w:asciiTheme="minorEastAsia" w:hAnsiTheme="minorEastAsia" w:eastAsiaTheme="minorEastAsia" w:cstheme="minorEastAsia"/>
          <w:bCs/>
          <w:color w:val="auto"/>
          <w:sz w:val="24"/>
          <w:szCs w:val="24"/>
          <w:highlight w:val="none"/>
          <w:u w:val="single"/>
          <w:lang w:val="en-US" w:eastAsia="zh-CN"/>
        </w:rPr>
        <w:t>9</w:t>
      </w:r>
      <w:r>
        <w:rPr>
          <w:rFonts w:hint="eastAsia" w:asciiTheme="minorEastAsia" w:hAnsiTheme="minorEastAsia" w:eastAsiaTheme="minorEastAsia" w:cstheme="minorEastAsia"/>
          <w:bCs/>
          <w:color w:val="auto"/>
          <w:sz w:val="24"/>
          <w:szCs w:val="24"/>
          <w:highlight w:val="none"/>
          <w:u w:val="none"/>
        </w:rPr>
        <w:t>点</w:t>
      </w:r>
      <w:r>
        <w:rPr>
          <w:rFonts w:hint="eastAsia" w:asciiTheme="minorEastAsia" w:hAnsiTheme="minorEastAsia" w:eastAsiaTheme="minorEastAsia" w:cstheme="minorEastAsia"/>
          <w:bCs/>
          <w:color w:val="auto"/>
          <w:sz w:val="24"/>
          <w:szCs w:val="24"/>
          <w:highlight w:val="none"/>
          <w:u w:val="single"/>
          <w:lang w:val="en-US" w:eastAsia="zh-CN"/>
        </w:rPr>
        <w:t>00</w:t>
      </w:r>
      <w:r>
        <w:rPr>
          <w:rFonts w:hint="eastAsia" w:asciiTheme="minorEastAsia" w:hAnsiTheme="minorEastAsia" w:eastAsiaTheme="minorEastAsia" w:cstheme="minorEastAsia"/>
          <w:bCs/>
          <w:color w:val="auto"/>
          <w:sz w:val="24"/>
          <w:szCs w:val="24"/>
          <w:highlight w:val="none"/>
          <w:u w:val="none"/>
        </w:rPr>
        <w:t>分</w:t>
      </w:r>
      <w:r>
        <w:rPr>
          <w:rFonts w:hint="eastAsia" w:asciiTheme="minorEastAsia" w:hAnsiTheme="minorEastAsia" w:eastAsiaTheme="minorEastAsia" w:cstheme="minorEastAsia"/>
          <w:bCs/>
          <w:color w:val="auto"/>
          <w:sz w:val="24"/>
          <w:szCs w:val="24"/>
          <w:highlight w:val="none"/>
        </w:rPr>
        <w:t>（北京时间）</w:t>
      </w:r>
    </w:p>
    <w:p w14:paraId="16A1CD29">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地点：网上开标；本项目仅接受加密电子投标文件供应商在投标截止时间前通过新点电子交易平台后在【滁州专区】（https://www.etrading.cn/BREpointSSO/login/oauth2login?regioncode=DQ_ChuZhou）交易系统递交电子投标文件。</w:t>
      </w:r>
    </w:p>
    <w:p w14:paraId="34635EE4">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27" w:name="_Toc28359094"/>
      <w:bookmarkStart w:id="28" w:name="_Toc14656"/>
      <w:bookmarkStart w:id="29" w:name="_Toc28359017"/>
      <w:bookmarkStart w:id="30" w:name="_Toc35393634"/>
      <w:bookmarkStart w:id="31" w:name="_Toc35393803"/>
      <w:r>
        <w:rPr>
          <w:rFonts w:hint="eastAsia" w:ascii="宋体" w:hAnsi="宋体" w:eastAsia="宋体" w:cs="宋体"/>
          <w:b/>
          <w:bCs w:val="0"/>
          <w:color w:val="auto"/>
          <w:sz w:val="24"/>
          <w:szCs w:val="24"/>
          <w:highlight w:val="none"/>
        </w:rPr>
        <w:t>六、公告期限</w:t>
      </w:r>
      <w:bookmarkEnd w:id="27"/>
      <w:bookmarkEnd w:id="28"/>
      <w:bookmarkEnd w:id="29"/>
      <w:bookmarkEnd w:id="30"/>
      <w:bookmarkEnd w:id="31"/>
    </w:p>
    <w:p w14:paraId="3622D17E">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自本公告发布之日起3个工作日。</w:t>
      </w:r>
    </w:p>
    <w:p w14:paraId="4831F73E">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32" w:name="_Toc35393635"/>
      <w:bookmarkStart w:id="33" w:name="_Toc35393804"/>
      <w:bookmarkStart w:id="34" w:name="_Toc13826"/>
      <w:r>
        <w:rPr>
          <w:rFonts w:hint="eastAsia" w:ascii="宋体" w:hAnsi="宋体" w:eastAsia="宋体" w:cs="宋体"/>
          <w:b/>
          <w:bCs w:val="0"/>
          <w:color w:val="auto"/>
          <w:sz w:val="24"/>
          <w:szCs w:val="24"/>
          <w:highlight w:val="none"/>
        </w:rPr>
        <w:t>七、其他补充事宜</w:t>
      </w:r>
      <w:bookmarkEnd w:id="32"/>
      <w:bookmarkEnd w:id="33"/>
      <w:bookmarkEnd w:id="34"/>
    </w:p>
    <w:p w14:paraId="5C19085C">
      <w:pPr>
        <w:pStyle w:val="8"/>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1.供应商从滁州市城投工程咨询管理有限公司（https://www.czctgczx.com/）下载。供应商自行承担因未按要求获取招标文件导致无法上传电子投标文件的风险。</w:t>
      </w:r>
    </w:p>
    <w:p w14:paraId="793CF9AF">
      <w:pPr>
        <w:pStyle w:val="8"/>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方式：（1）供应商须登录新点电子交易平台【滁州专区】查询、获取采购文件。首次登录办理入库手续，办理入库不收取任何费用。新点电子招投标统一认证平台使用相关问题（如系统登录、信息登记、录入及提交、数字证书关联等）请拨打服务电话：0512-58151515（工作日）。  </w:t>
      </w:r>
    </w:p>
    <w:p w14:paraId="228EBA04">
      <w:pPr>
        <w:pStyle w:val="8"/>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供应商登录新点电子交易平台【滁州专区】获取询价文件及其它资料（含澄清和补充说明等）。如在招标文件获取过程中遇到系统问题，请拨打技术支持服务热线0512-58151515（工作日）或者网站首页在线客服。</w:t>
      </w:r>
    </w:p>
    <w:p w14:paraId="6FDBEF4F">
      <w:pPr>
        <w:pStyle w:val="8"/>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2.招标文件及相关资料售价：人民币0元/套。</w:t>
      </w:r>
    </w:p>
    <w:p w14:paraId="7FC39CF3">
      <w:pPr>
        <w:pStyle w:val="8"/>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3.本项目开评标实行全流程电子化，开标活动在线完成。开标时供应商无需到达开标现场，不接受现场解密，实行远程解密和在线询标。各供应商认真学习《新点电子交易平台供应商操作手册》，务必掌握远程解密方法和在线回复询标方法。</w:t>
      </w:r>
    </w:p>
    <w:p w14:paraId="5466D6EF">
      <w:pPr>
        <w:pStyle w:val="8"/>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4.本项目采用不见面开标，供应商登录滁州市城投工程咨询有限公司不见面开标系统参与网上开标（网址：http://js.etrading.cn/EpointBidOpening/bidopeninghallaction/hall/login）。</w:t>
      </w:r>
    </w:p>
    <w:p w14:paraId="56E17B02">
      <w:pPr>
        <w:pStyle w:val="8"/>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供应商应在投标截止时间之前，登录新点电子交易平台【滁州专区】上传投标文件</w:t>
      </w:r>
    </w:p>
    <w:p w14:paraId="0E5E84FD">
      <w:pPr>
        <w:pStyle w:val="8"/>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5.本项目仅接受加密电子投标文件供应商在投标截止时间前通过新点电子交易平台后在【滁州专区】</w:t>
      </w:r>
    </w:p>
    <w:p w14:paraId="6174E150">
      <w:pPr>
        <w:pStyle w:val="8"/>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olor w:val="auto"/>
          <w:sz w:val="24"/>
          <w:szCs w:val="18"/>
          <w:highlight w:val="none"/>
          <w:lang w:val="en-US" w:eastAsia="zh-CN"/>
        </w:rPr>
        <w:t>（https://www.etrading.cn/BREpointSSO/login/oauth2login?regioncode=DQ_ChuZhou）交易系统递交电子投标文件。</w:t>
      </w:r>
    </w:p>
    <w:p w14:paraId="43CC1BCB">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35" w:name="_Toc35393636"/>
      <w:bookmarkStart w:id="36" w:name="_Toc28359095"/>
      <w:bookmarkStart w:id="37" w:name="_Toc35393805"/>
      <w:bookmarkStart w:id="38" w:name="_Toc15722"/>
      <w:bookmarkStart w:id="39" w:name="_Toc28359018"/>
      <w:r>
        <w:rPr>
          <w:rFonts w:hint="eastAsia" w:ascii="宋体" w:hAnsi="宋体" w:eastAsia="宋体" w:cs="宋体"/>
          <w:b/>
          <w:bCs w:val="0"/>
          <w:color w:val="auto"/>
          <w:sz w:val="24"/>
          <w:szCs w:val="24"/>
          <w:highlight w:val="none"/>
        </w:rPr>
        <w:t>八、凡对本次采购提出询问，请按以下方式联系。</w:t>
      </w:r>
      <w:bookmarkEnd w:id="35"/>
      <w:bookmarkEnd w:id="36"/>
      <w:bookmarkEnd w:id="37"/>
      <w:bookmarkEnd w:id="38"/>
      <w:bookmarkEnd w:id="39"/>
    </w:p>
    <w:p w14:paraId="4B997CC6">
      <w:pPr>
        <w:pStyle w:val="3"/>
        <w:pageBreakBefore w:val="0"/>
        <w:widowControl w:val="0"/>
        <w:kinsoku/>
        <w:wordWrap/>
        <w:overflowPunct/>
        <w:topLinePunct w:val="0"/>
        <w:autoSpaceDE/>
        <w:autoSpaceDN/>
        <w:bidi w:val="0"/>
        <w:adjustRightInd/>
        <w:snapToGrid/>
        <w:spacing w:before="0" w:after="0" w:line="360" w:lineRule="auto"/>
        <w:ind w:left="0" w:leftChars="0" w:firstLine="480" w:firstLineChars="200"/>
        <w:textAlignment w:val="auto"/>
        <w:outlineLvl w:val="2"/>
        <w:rPr>
          <w:rFonts w:hint="eastAsia" w:ascii="宋体" w:hAnsi="宋体" w:eastAsia="宋体" w:cs="宋体"/>
          <w:b w:val="0"/>
          <w:color w:val="auto"/>
          <w:sz w:val="24"/>
          <w:szCs w:val="24"/>
          <w:highlight w:val="none"/>
        </w:rPr>
      </w:pPr>
      <w:bookmarkStart w:id="40" w:name="_Toc28359096"/>
      <w:bookmarkStart w:id="41" w:name="_Toc35393806"/>
      <w:bookmarkStart w:id="42" w:name="_Toc28359019"/>
      <w:bookmarkStart w:id="43" w:name="_Toc35393637"/>
      <w:bookmarkStart w:id="44" w:name="_Toc16791"/>
      <w:r>
        <w:rPr>
          <w:rFonts w:hint="eastAsia" w:ascii="宋体" w:hAnsi="宋体" w:eastAsia="宋体" w:cs="宋体"/>
          <w:b w:val="0"/>
          <w:color w:val="auto"/>
          <w:sz w:val="24"/>
          <w:szCs w:val="24"/>
          <w:highlight w:val="none"/>
        </w:rPr>
        <w:t>1.采购人信息</w:t>
      </w:r>
      <w:bookmarkEnd w:id="40"/>
      <w:bookmarkEnd w:id="41"/>
      <w:bookmarkEnd w:id="42"/>
      <w:bookmarkEnd w:id="43"/>
      <w:bookmarkEnd w:id="44"/>
    </w:p>
    <w:p w14:paraId="67739BA0">
      <w:pPr>
        <w:spacing w:line="360" w:lineRule="auto"/>
        <w:ind w:firstLine="435"/>
        <w:rPr>
          <w:rFonts w:hint="eastAsia" w:ascii="宋体" w:hAnsi="宋体" w:eastAsia="宋体"/>
          <w:color w:val="auto"/>
          <w:sz w:val="24"/>
          <w:szCs w:val="18"/>
          <w:highlight w:val="none"/>
          <w:lang w:eastAsia="zh-CN"/>
        </w:rPr>
      </w:pPr>
      <w:bookmarkStart w:id="45" w:name="_Toc28359097"/>
      <w:bookmarkStart w:id="46" w:name="_Toc28359020"/>
      <w:bookmarkStart w:id="47" w:name="_Toc35393638"/>
      <w:bookmarkStart w:id="48" w:name="_Toc35393807"/>
      <w:bookmarkStart w:id="49" w:name="_Toc27535"/>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lang w:eastAsia="zh-CN"/>
        </w:rPr>
        <w:t>滁州市琅琊区应急管理局</w:t>
      </w:r>
    </w:p>
    <w:p w14:paraId="59262EA7">
      <w:pPr>
        <w:spacing w:line="360" w:lineRule="auto"/>
        <w:ind w:firstLine="435"/>
        <w:rPr>
          <w:rFonts w:hint="eastAsia" w:ascii="宋体" w:hAnsi="宋体" w:eastAsia="宋体"/>
          <w:color w:val="auto"/>
          <w:sz w:val="24"/>
          <w:szCs w:val="18"/>
          <w:highlight w:val="none"/>
          <w:u w:val="single"/>
          <w:lang w:eastAsia="zh-CN"/>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hint="eastAsia" w:ascii="宋体" w:hAnsi="宋体" w:eastAsia="宋体"/>
          <w:color w:val="auto"/>
          <w:sz w:val="24"/>
          <w:szCs w:val="18"/>
          <w:highlight w:val="none"/>
          <w:u w:val="single"/>
          <w:lang w:eastAsia="zh-CN"/>
        </w:rPr>
        <w:t>滁州市琅琊区濠河路99号</w:t>
      </w:r>
    </w:p>
    <w:p w14:paraId="28D89B3B">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lang w:val="en-US" w:eastAsia="zh-CN"/>
        </w:rPr>
        <w:t>曹洋</w:t>
      </w:r>
    </w:p>
    <w:p w14:paraId="18C7E2C1">
      <w:pPr>
        <w:spacing w:line="360" w:lineRule="auto"/>
        <w:ind w:firstLine="435"/>
        <w:rPr>
          <w:rFonts w:hint="default" w:ascii="宋体" w:hAnsi="宋体" w:eastAsia="宋体"/>
          <w:color w:val="auto"/>
          <w:sz w:val="24"/>
          <w:szCs w:val="18"/>
          <w:highlight w:val="none"/>
          <w:u w:val="single"/>
          <w:lang w:val="en-US" w:eastAsia="zh-CN"/>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lang w:val="en-US" w:eastAsia="zh-CN"/>
        </w:rPr>
        <w:t>0550-3026516</w:t>
      </w:r>
    </w:p>
    <w:p w14:paraId="5E59CEA5">
      <w:pPr>
        <w:pStyle w:val="3"/>
        <w:pageBreakBefore w:val="0"/>
        <w:widowControl w:val="0"/>
        <w:kinsoku/>
        <w:wordWrap/>
        <w:overflowPunct/>
        <w:topLinePunct w:val="0"/>
        <w:autoSpaceDE/>
        <w:autoSpaceDN/>
        <w:bidi w:val="0"/>
        <w:adjustRightInd/>
        <w:snapToGrid/>
        <w:spacing w:before="0" w:after="0" w:line="360" w:lineRule="auto"/>
        <w:ind w:left="0" w:leftChars="0" w:firstLine="480" w:firstLineChars="200"/>
        <w:textAlignment w:val="auto"/>
        <w:outlineLvl w:val="2"/>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2.采购代理机构信息</w:t>
      </w:r>
      <w:bookmarkEnd w:id="45"/>
      <w:bookmarkEnd w:id="46"/>
      <w:bookmarkEnd w:id="47"/>
      <w:bookmarkEnd w:id="48"/>
      <w:bookmarkEnd w:id="49"/>
    </w:p>
    <w:p w14:paraId="4CEB78EA">
      <w:pPr>
        <w:spacing w:line="360" w:lineRule="auto"/>
        <w:ind w:firstLine="435"/>
        <w:rPr>
          <w:rFonts w:hint="eastAsia" w:ascii="宋体" w:hAnsi="宋体" w:eastAsia="宋体"/>
          <w:color w:val="auto"/>
          <w:sz w:val="24"/>
          <w:szCs w:val="18"/>
          <w:highlight w:val="none"/>
          <w:lang w:eastAsia="zh-CN"/>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lang w:eastAsia="zh-CN"/>
        </w:rPr>
        <w:t>滁州市城投工程咨询管理有限公司</w:t>
      </w:r>
    </w:p>
    <w:p w14:paraId="008A7D15">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s="宋体"/>
          <w:color w:val="auto"/>
          <w:sz w:val="24"/>
          <w:szCs w:val="18"/>
          <w:highlight w:val="none"/>
          <w:u w:val="single"/>
        </w:rPr>
        <w:t>滁州市龙蟠大道109号房产商务大厦</w:t>
      </w:r>
      <w:r>
        <w:rPr>
          <w:rFonts w:hint="eastAsia" w:ascii="宋体" w:hAnsi="宋体" w:eastAsia="宋体" w:cs="宋体"/>
          <w:color w:val="auto"/>
          <w:sz w:val="24"/>
          <w:szCs w:val="18"/>
          <w:highlight w:val="none"/>
          <w:u w:val="single"/>
          <w:lang w:val="en-US" w:eastAsia="zh-CN"/>
        </w:rPr>
        <w:t>6</w:t>
      </w:r>
      <w:r>
        <w:rPr>
          <w:rFonts w:hint="eastAsia" w:ascii="宋体" w:hAnsi="宋体" w:eastAsia="宋体" w:cs="宋体"/>
          <w:color w:val="auto"/>
          <w:sz w:val="24"/>
          <w:szCs w:val="18"/>
          <w:highlight w:val="none"/>
          <w:u w:val="single"/>
        </w:rPr>
        <w:t>楼</w:t>
      </w:r>
    </w:p>
    <w:p w14:paraId="5BED3A76">
      <w:pPr>
        <w:spacing w:line="360" w:lineRule="auto"/>
        <w:ind w:firstLine="435"/>
        <w:rPr>
          <w:rFonts w:eastAsia="宋体"/>
          <w:color w:val="auto"/>
          <w:highlight w:val="none"/>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rPr>
        <w:t>杨韦</w:t>
      </w:r>
    </w:p>
    <w:p w14:paraId="36E8A4AC">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0550-3519590、18005501210</w:t>
      </w:r>
    </w:p>
    <w:p w14:paraId="6AC30C7A">
      <w:pPr>
        <w:rPr>
          <w:rFonts w:hint="eastAsia"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br w:type="page"/>
      </w:r>
    </w:p>
    <w:p w14:paraId="76510DC1">
      <w:pPr>
        <w:spacing w:line="360" w:lineRule="auto"/>
        <w:jc w:val="center"/>
        <w:outlineLvl w:val="0"/>
        <w:rPr>
          <w:rFonts w:asciiTheme="minorEastAsia" w:hAnsiTheme="minorEastAsia" w:eastAsiaTheme="minorEastAsia"/>
          <w:b/>
          <w:color w:val="auto"/>
          <w:sz w:val="28"/>
          <w:highlight w:val="none"/>
        </w:rPr>
      </w:pPr>
      <w:bookmarkStart w:id="50" w:name="_Toc31004"/>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50"/>
    </w:p>
    <w:p w14:paraId="6EA21B72">
      <w:pPr>
        <w:spacing w:line="360" w:lineRule="auto"/>
        <w:jc w:val="center"/>
        <w:outlineLvl w:val="1"/>
        <w:rPr>
          <w:rFonts w:asciiTheme="minorEastAsia" w:hAnsiTheme="minorEastAsia" w:eastAsiaTheme="minorEastAsia"/>
          <w:b/>
          <w:color w:val="auto"/>
          <w:sz w:val="24"/>
          <w:highlight w:val="none"/>
        </w:rPr>
      </w:pPr>
      <w:bookmarkStart w:id="51" w:name="_Toc1111"/>
      <w:bookmarkStart w:id="52" w:name="_Toc24907"/>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51"/>
      <w:bookmarkEnd w:id="52"/>
    </w:p>
    <w:p w14:paraId="3324127D">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本表是本项目的具体要求，是对供应商须知的具体补充和修改，如有不一致，以本表为准。</w:t>
      </w:r>
    </w:p>
    <w:tbl>
      <w:tblPr>
        <w:tblStyle w:val="22"/>
        <w:tblW w:w="57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3091"/>
        <w:gridCol w:w="5664"/>
      </w:tblGrid>
      <w:tr w14:paraId="69A0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7" w:type="pct"/>
            <w:vAlign w:val="center"/>
          </w:tcPr>
          <w:p w14:paraId="09AF9E15">
            <w:pPr>
              <w:pStyle w:val="40"/>
              <w:widowControl w:val="0"/>
              <w:spacing w:before="0" w:beforeAutospacing="0" w:after="0" w:afterAutospacing="0" w:line="360" w:lineRule="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579" w:type="pct"/>
            <w:vAlign w:val="center"/>
          </w:tcPr>
          <w:p w14:paraId="1F8B715C">
            <w:pPr>
              <w:pStyle w:val="40"/>
              <w:widowControl w:val="0"/>
              <w:spacing w:before="0" w:beforeAutospacing="0" w:after="0" w:afterAutospacing="0" w:line="360" w:lineRule="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2893" w:type="pct"/>
            <w:vAlign w:val="center"/>
          </w:tcPr>
          <w:p w14:paraId="3AF8D0B1">
            <w:pPr>
              <w:pStyle w:val="40"/>
              <w:widowControl w:val="0"/>
              <w:spacing w:before="0" w:beforeAutospacing="0" w:after="0" w:afterAutospacing="0" w:line="360" w:lineRule="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43A6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7" w:type="pct"/>
            <w:vAlign w:val="center"/>
          </w:tcPr>
          <w:p w14:paraId="4E33B8EB">
            <w:pPr>
              <w:pStyle w:val="41"/>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579" w:type="pct"/>
            <w:vAlign w:val="center"/>
          </w:tcPr>
          <w:p w14:paraId="2B125AC9">
            <w:pPr>
              <w:pStyle w:val="40"/>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2893" w:type="pct"/>
            <w:vAlign w:val="center"/>
          </w:tcPr>
          <w:p w14:paraId="292E577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 w:val="0"/>
                <w:color w:val="auto"/>
                <w:sz w:val="24"/>
                <w:highlight w:val="none"/>
              </w:rPr>
            </w:pP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tc>
      </w:tr>
      <w:tr w14:paraId="38AC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7" w:type="pct"/>
            <w:vAlign w:val="center"/>
          </w:tcPr>
          <w:p w14:paraId="731B00FC">
            <w:pPr>
              <w:pStyle w:val="41"/>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579" w:type="pct"/>
            <w:vAlign w:val="center"/>
          </w:tcPr>
          <w:p w14:paraId="534DBA29">
            <w:pPr>
              <w:pStyle w:val="40"/>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2893" w:type="pct"/>
            <w:vAlign w:val="center"/>
          </w:tcPr>
          <w:p w14:paraId="29932B22">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9</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9</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00</w:t>
            </w:r>
            <w:r>
              <w:rPr>
                <w:rFonts w:hint="eastAsia" w:ascii="宋体" w:hAnsi="宋体" w:eastAsia="宋体"/>
                <w:b w:val="0"/>
                <w:color w:val="auto"/>
                <w:sz w:val="24"/>
                <w:highlight w:val="none"/>
              </w:rPr>
              <w:t>分</w:t>
            </w:r>
          </w:p>
        </w:tc>
      </w:tr>
      <w:tr w14:paraId="55A5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27" w:type="pct"/>
            <w:vAlign w:val="center"/>
          </w:tcPr>
          <w:p w14:paraId="505913D7">
            <w:pPr>
              <w:pStyle w:val="41"/>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7.1</w:t>
            </w:r>
          </w:p>
        </w:tc>
        <w:tc>
          <w:tcPr>
            <w:tcW w:w="1579" w:type="pct"/>
            <w:vAlign w:val="center"/>
          </w:tcPr>
          <w:p w14:paraId="4018DBD6">
            <w:pPr>
              <w:pStyle w:val="40"/>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2893" w:type="pct"/>
            <w:vAlign w:val="center"/>
          </w:tcPr>
          <w:p w14:paraId="34AFD3F6">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ascii="宋体" w:hAnsi="宋体" w:eastAsia="宋体"/>
                <w:b w:val="0"/>
                <w:color w:val="auto"/>
                <w:sz w:val="24"/>
                <w:highlight w:val="none"/>
              </w:rPr>
              <w:t>不分包</w:t>
            </w:r>
          </w:p>
        </w:tc>
      </w:tr>
      <w:tr w14:paraId="650A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527" w:type="pct"/>
            <w:vAlign w:val="center"/>
          </w:tcPr>
          <w:p w14:paraId="1AD2CB0F">
            <w:pPr>
              <w:pStyle w:val="41"/>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10.1</w:t>
            </w:r>
          </w:p>
        </w:tc>
        <w:tc>
          <w:tcPr>
            <w:tcW w:w="1579" w:type="pct"/>
            <w:vAlign w:val="center"/>
          </w:tcPr>
          <w:p w14:paraId="185D96ED">
            <w:pPr>
              <w:pStyle w:val="40"/>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磋商保证金</w:t>
            </w:r>
          </w:p>
        </w:tc>
        <w:tc>
          <w:tcPr>
            <w:tcW w:w="2893" w:type="pct"/>
            <w:vAlign w:val="center"/>
          </w:tcPr>
          <w:p w14:paraId="75D8BB4E">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不收取</w:t>
            </w:r>
          </w:p>
        </w:tc>
      </w:tr>
      <w:tr w14:paraId="1CD94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7" w:type="pct"/>
            <w:vAlign w:val="center"/>
          </w:tcPr>
          <w:p w14:paraId="3151243E">
            <w:pPr>
              <w:pStyle w:val="41"/>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11</w:t>
            </w:r>
            <w:r>
              <w:rPr>
                <w:rFonts w:ascii="宋体" w:hAnsi="宋体" w:eastAsia="宋体"/>
                <w:bCs/>
                <w:color w:val="auto"/>
                <w:kern w:val="2"/>
                <w:highlight w:val="none"/>
              </w:rPr>
              <w:t>.1</w:t>
            </w:r>
          </w:p>
        </w:tc>
        <w:tc>
          <w:tcPr>
            <w:tcW w:w="1579" w:type="pct"/>
            <w:vAlign w:val="center"/>
          </w:tcPr>
          <w:p w14:paraId="50CF083C">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磋商有效期</w:t>
            </w:r>
          </w:p>
        </w:tc>
        <w:tc>
          <w:tcPr>
            <w:tcW w:w="2893" w:type="pct"/>
            <w:vAlign w:val="center"/>
          </w:tcPr>
          <w:p w14:paraId="08FD281E">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60</w:t>
            </w:r>
            <w:r>
              <w:rPr>
                <w:rFonts w:hint="eastAsia" w:ascii="宋体" w:hAnsi="宋体" w:eastAsia="宋体"/>
                <w:b w:val="0"/>
                <w:color w:val="auto"/>
                <w:sz w:val="24"/>
                <w:highlight w:val="none"/>
              </w:rPr>
              <w:t>日历日</w:t>
            </w:r>
          </w:p>
        </w:tc>
      </w:tr>
      <w:tr w14:paraId="0DFC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7" w:type="pct"/>
            <w:vAlign w:val="center"/>
          </w:tcPr>
          <w:p w14:paraId="1D2B6173">
            <w:pPr>
              <w:pStyle w:val="41"/>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12</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579" w:type="pct"/>
            <w:vAlign w:val="center"/>
          </w:tcPr>
          <w:p w14:paraId="30B4A2B8">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响应文件解密时间</w:t>
            </w:r>
          </w:p>
        </w:tc>
        <w:tc>
          <w:tcPr>
            <w:tcW w:w="2893" w:type="pct"/>
            <w:vAlign w:val="center"/>
          </w:tcPr>
          <w:p w14:paraId="552CC6F1">
            <w:pPr>
              <w:pStyle w:val="40"/>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none"/>
              </w:rPr>
              <w:t>响应文件提交截止时间后</w:t>
            </w:r>
            <w:r>
              <w:rPr>
                <w:rFonts w:hint="eastAsia" w:ascii="宋体" w:hAnsi="宋体" w:eastAsia="宋体"/>
                <w:b w:val="0"/>
                <w:color w:val="auto"/>
                <w:sz w:val="24"/>
                <w:highlight w:val="none"/>
                <w:u w:val="single"/>
                <w:lang w:val="en-US" w:eastAsia="zh-CN"/>
              </w:rPr>
              <w:t>30</w:t>
            </w:r>
            <w:r>
              <w:rPr>
                <w:rFonts w:hint="eastAsia" w:ascii="宋体" w:hAnsi="宋体" w:eastAsia="宋体"/>
                <w:b w:val="0"/>
                <w:color w:val="auto"/>
                <w:sz w:val="24"/>
                <w:highlight w:val="none"/>
                <w:u w:val="none"/>
              </w:rPr>
              <w:t>分钟内</w:t>
            </w:r>
          </w:p>
        </w:tc>
      </w:tr>
      <w:tr w14:paraId="3FBA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7" w:type="pct"/>
            <w:vAlign w:val="center"/>
          </w:tcPr>
          <w:p w14:paraId="22D751C8">
            <w:pPr>
              <w:pStyle w:val="41"/>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14.2</w:t>
            </w:r>
          </w:p>
        </w:tc>
        <w:tc>
          <w:tcPr>
            <w:tcW w:w="1579" w:type="pct"/>
            <w:vAlign w:val="center"/>
          </w:tcPr>
          <w:p w14:paraId="31714874">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评审方法</w:t>
            </w:r>
          </w:p>
        </w:tc>
        <w:tc>
          <w:tcPr>
            <w:tcW w:w="2893" w:type="pct"/>
            <w:vAlign w:val="center"/>
          </w:tcPr>
          <w:p w14:paraId="7AFA668F">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none"/>
              </w:rPr>
              <w:t>综合评分法</w:t>
            </w:r>
          </w:p>
        </w:tc>
      </w:tr>
      <w:tr w14:paraId="3326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7" w:type="pct"/>
            <w:vMerge w:val="restart"/>
            <w:vAlign w:val="center"/>
          </w:tcPr>
          <w:p w14:paraId="7AC156A7">
            <w:pPr>
              <w:pStyle w:val="41"/>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19</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579" w:type="pct"/>
            <w:vMerge w:val="restart"/>
            <w:vAlign w:val="center"/>
          </w:tcPr>
          <w:p w14:paraId="481EF380">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确定成交候选供应商和成交供应商</w:t>
            </w:r>
          </w:p>
        </w:tc>
        <w:tc>
          <w:tcPr>
            <w:tcW w:w="2893" w:type="pct"/>
            <w:vAlign w:val="center"/>
          </w:tcPr>
          <w:p w14:paraId="08E21461">
            <w:pPr>
              <w:pStyle w:val="40"/>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磋商小组推荐成交</w:t>
            </w:r>
            <w:r>
              <w:rPr>
                <w:rFonts w:ascii="宋体" w:hAnsi="宋体" w:eastAsia="宋体"/>
                <w:b w:val="0"/>
                <w:color w:val="auto"/>
                <w:sz w:val="24"/>
                <w:highlight w:val="none"/>
              </w:rPr>
              <w:t>候选</w:t>
            </w:r>
            <w:r>
              <w:rPr>
                <w:rFonts w:hint="eastAsia" w:ascii="宋体" w:hAnsi="宋体" w:eastAsia="宋体"/>
                <w:b w:val="0"/>
                <w:color w:val="auto"/>
                <w:sz w:val="24"/>
                <w:highlight w:val="none"/>
              </w:rPr>
              <w:t>供应商的</w:t>
            </w:r>
            <w:r>
              <w:rPr>
                <w:rFonts w:ascii="宋体" w:hAnsi="宋体" w:eastAsia="宋体"/>
                <w:b w:val="0"/>
                <w:color w:val="auto"/>
                <w:sz w:val="24"/>
                <w:highlight w:val="none"/>
              </w:rPr>
              <w:t>数</w:t>
            </w:r>
            <w:r>
              <w:rPr>
                <w:rFonts w:hint="eastAsia" w:ascii="宋体" w:hAnsi="宋体" w:eastAsia="宋体"/>
                <w:b w:val="0"/>
                <w:color w:val="auto"/>
                <w:sz w:val="24"/>
                <w:highlight w:val="none"/>
              </w:rPr>
              <w:t>量：3家</w:t>
            </w:r>
          </w:p>
        </w:tc>
      </w:tr>
      <w:tr w14:paraId="37FB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7" w:type="pct"/>
            <w:vMerge w:val="continue"/>
            <w:vAlign w:val="center"/>
          </w:tcPr>
          <w:p w14:paraId="0E8F0FB9">
            <w:pPr>
              <w:pStyle w:val="41"/>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p>
        </w:tc>
        <w:tc>
          <w:tcPr>
            <w:tcW w:w="1579" w:type="pct"/>
            <w:vMerge w:val="continue"/>
            <w:vAlign w:val="center"/>
          </w:tcPr>
          <w:p w14:paraId="0F7B9B91">
            <w:pPr>
              <w:pStyle w:val="40"/>
              <w:widowControl w:val="0"/>
              <w:spacing w:before="0" w:beforeAutospacing="0" w:after="0" w:afterAutospacing="0" w:line="360" w:lineRule="auto"/>
              <w:jc w:val="both"/>
              <w:rPr>
                <w:rFonts w:ascii="宋体" w:hAnsi="宋体" w:eastAsia="宋体"/>
                <w:b w:val="0"/>
                <w:color w:val="auto"/>
                <w:sz w:val="24"/>
                <w:highlight w:val="none"/>
              </w:rPr>
            </w:pPr>
          </w:p>
        </w:tc>
        <w:tc>
          <w:tcPr>
            <w:tcW w:w="2893" w:type="pct"/>
            <w:vAlign w:val="center"/>
          </w:tcPr>
          <w:p w14:paraId="24A2C7C5">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确定成交供应商：采购人委托磋商小组确定</w:t>
            </w:r>
          </w:p>
        </w:tc>
      </w:tr>
      <w:tr w14:paraId="641EA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7" w:type="pct"/>
            <w:vAlign w:val="center"/>
          </w:tcPr>
          <w:p w14:paraId="476D6A3F">
            <w:pPr>
              <w:pStyle w:val="41"/>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22</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579" w:type="pct"/>
            <w:vAlign w:val="center"/>
          </w:tcPr>
          <w:p w14:paraId="774ED867">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随成交结果公告同时公告的内容</w:t>
            </w:r>
          </w:p>
        </w:tc>
        <w:tc>
          <w:tcPr>
            <w:tcW w:w="2893" w:type="pct"/>
            <w:vAlign w:val="center"/>
          </w:tcPr>
          <w:p w14:paraId="520C9F5C">
            <w:pPr>
              <w:pStyle w:val="40"/>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p>
        </w:tc>
      </w:tr>
      <w:tr w14:paraId="0E33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7" w:type="pct"/>
            <w:vAlign w:val="center"/>
          </w:tcPr>
          <w:p w14:paraId="1D6CA806">
            <w:pPr>
              <w:pStyle w:val="41"/>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.1</w:t>
            </w:r>
          </w:p>
        </w:tc>
        <w:tc>
          <w:tcPr>
            <w:tcW w:w="1579" w:type="pct"/>
            <w:vAlign w:val="center"/>
          </w:tcPr>
          <w:p w14:paraId="077E9BDC">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成交通知书发出的形式</w:t>
            </w:r>
          </w:p>
        </w:tc>
        <w:tc>
          <w:tcPr>
            <w:tcW w:w="2893" w:type="pct"/>
            <w:vAlign w:val="center"/>
          </w:tcPr>
          <w:p w14:paraId="3FA999D3">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书面</w:t>
            </w:r>
          </w:p>
        </w:tc>
      </w:tr>
      <w:tr w14:paraId="5F1A5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7" w:type="pct"/>
            <w:vAlign w:val="center"/>
          </w:tcPr>
          <w:p w14:paraId="2439C2CD">
            <w:pPr>
              <w:pStyle w:val="41"/>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24</w:t>
            </w:r>
            <w:r>
              <w:rPr>
                <w:rFonts w:ascii="宋体" w:hAnsi="宋体" w:eastAsia="宋体"/>
                <w:bCs/>
                <w:color w:val="auto"/>
                <w:kern w:val="2"/>
                <w:highlight w:val="none"/>
              </w:rPr>
              <w:t>.1</w:t>
            </w:r>
          </w:p>
        </w:tc>
        <w:tc>
          <w:tcPr>
            <w:tcW w:w="1579" w:type="pct"/>
            <w:vAlign w:val="center"/>
          </w:tcPr>
          <w:p w14:paraId="6D34911E">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告知磋商结果的形式</w:t>
            </w:r>
          </w:p>
        </w:tc>
        <w:tc>
          <w:tcPr>
            <w:tcW w:w="2893" w:type="pct"/>
            <w:vAlign w:val="center"/>
          </w:tcPr>
          <w:p w14:paraId="12268DF0">
            <w:pPr>
              <w:pStyle w:val="40"/>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ascii="宋体" w:hAnsi="宋体" w:eastAsia="宋体"/>
                <w:b w:val="0"/>
                <w:bCs w:val="0"/>
                <w:color w:val="auto"/>
                <w:sz w:val="24"/>
                <w:szCs w:val="24"/>
                <w:highlight w:val="none"/>
              </w:rPr>
              <w:t>系统查看</w:t>
            </w:r>
          </w:p>
        </w:tc>
      </w:tr>
      <w:tr w14:paraId="6C50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7" w:type="pct"/>
            <w:vAlign w:val="center"/>
          </w:tcPr>
          <w:p w14:paraId="26FD9AF3">
            <w:pPr>
              <w:pStyle w:val="41"/>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579" w:type="pct"/>
            <w:vAlign w:val="center"/>
          </w:tcPr>
          <w:p w14:paraId="370009A5">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2893" w:type="pct"/>
          </w:tcPr>
          <w:p w14:paraId="7E6B2F58">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免收</w:t>
            </w:r>
          </w:p>
        </w:tc>
      </w:tr>
      <w:tr w14:paraId="52E0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7" w:type="pct"/>
            <w:vAlign w:val="center"/>
          </w:tcPr>
          <w:p w14:paraId="7EF1F3A5">
            <w:pPr>
              <w:pStyle w:val="41"/>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579" w:type="pct"/>
            <w:vAlign w:val="center"/>
          </w:tcPr>
          <w:p w14:paraId="09A493BE">
            <w:pPr>
              <w:pStyle w:val="40"/>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代理</w:t>
            </w:r>
            <w:r>
              <w:rPr>
                <w:rFonts w:hint="eastAsia" w:ascii="宋体" w:hAnsi="宋体" w:eastAsia="宋体"/>
                <w:b w:val="0"/>
                <w:color w:val="auto"/>
                <w:sz w:val="24"/>
                <w:highlight w:val="none"/>
              </w:rPr>
              <w:t>费</w:t>
            </w:r>
            <w:r>
              <w:rPr>
                <w:rFonts w:hint="eastAsia" w:ascii="宋体" w:hAnsi="宋体" w:eastAsia="宋体"/>
                <w:b w:val="0"/>
                <w:color w:val="auto"/>
                <w:sz w:val="24"/>
                <w:highlight w:val="none"/>
                <w:lang w:val="en-US" w:eastAsia="zh-CN"/>
              </w:rPr>
              <w:t>用</w:t>
            </w:r>
          </w:p>
        </w:tc>
        <w:tc>
          <w:tcPr>
            <w:tcW w:w="2893" w:type="pct"/>
            <w:vAlign w:val="center"/>
          </w:tcPr>
          <w:p w14:paraId="56616735">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lang w:val="en-US" w:eastAsia="zh-CN"/>
              </w:rPr>
              <w:t>成交</w:t>
            </w:r>
            <w:r>
              <w:rPr>
                <w:rFonts w:hint="eastAsia" w:ascii="宋体" w:hAnsi="宋体" w:eastAsia="宋体" w:cs="宋体"/>
                <w:color w:val="auto"/>
                <w:spacing w:val="14"/>
                <w:sz w:val="24"/>
                <w:szCs w:val="24"/>
                <w:highlight w:val="none"/>
                <w:lang w:val="en-US" w:eastAsia="zh-CN"/>
              </w:rPr>
              <w:t>供应商</w:t>
            </w:r>
          </w:p>
          <w:p w14:paraId="1B8105C7">
            <w:pPr>
              <w:pStyle w:val="40"/>
              <w:widowControl w:val="0"/>
              <w:spacing w:before="0" w:beforeAutospacing="0" w:after="0" w:afterAutospacing="0" w:line="360" w:lineRule="auto"/>
              <w:jc w:val="both"/>
              <w:rPr>
                <w:rFonts w:hint="eastAsia" w:ascii="宋体" w:hAnsi="宋体" w:eastAsia="宋体" w:cs="宋体"/>
                <w:b w:val="0"/>
                <w:bCs w:val="0"/>
                <w:color w:val="auto"/>
                <w:sz w:val="24"/>
                <w:szCs w:val="24"/>
                <w:highlight w:val="none"/>
              </w:rPr>
            </w:pPr>
            <w:r>
              <w:rPr>
                <w:rFonts w:hint="eastAsia" w:ascii="宋体" w:hAnsi="宋体" w:eastAsia="宋体"/>
                <w:b w:val="0"/>
                <w:bCs w:val="0"/>
                <w:color w:val="auto"/>
                <w:kern w:val="0"/>
                <w:sz w:val="24"/>
                <w:szCs w:val="28"/>
                <w:highlight w:val="none"/>
              </w:rPr>
              <w:t>（2）</w:t>
            </w:r>
            <w:r>
              <w:rPr>
                <w:rFonts w:hint="default" w:ascii="宋体" w:hAnsi="宋体" w:eastAsia="宋体"/>
                <w:b w:val="0"/>
                <w:bCs w:val="0"/>
                <w:color w:val="auto"/>
                <w:kern w:val="0"/>
                <w:sz w:val="24"/>
                <w:szCs w:val="28"/>
                <w:highlight w:val="none"/>
              </w:rPr>
              <w:t>收取方式</w:t>
            </w:r>
            <w:r>
              <w:rPr>
                <w:rFonts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rPr>
              <w:t>银行转账</w:t>
            </w:r>
          </w:p>
          <w:p w14:paraId="28B54A3A">
            <w:pPr>
              <w:pStyle w:val="40"/>
              <w:widowControl w:val="0"/>
              <w:spacing w:before="0" w:beforeAutospacing="0" w:after="0" w:afterAutospacing="0" w:line="360" w:lineRule="auto"/>
              <w:jc w:val="both"/>
              <w:rPr>
                <w:rFonts w:hint="default" w:ascii="宋体" w:hAnsi="宋体" w:eastAsia="宋体"/>
                <w:b w:val="0"/>
                <w:color w:val="auto"/>
                <w:sz w:val="24"/>
                <w:highlight w:val="none"/>
                <w:lang w:val="en-US"/>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仿宋_GB2312"/>
                <w:b w:val="0"/>
                <w:bCs/>
                <w:color w:val="auto"/>
                <w:kern w:val="0"/>
                <w:sz w:val="24"/>
                <w:szCs w:val="28"/>
                <w:highlight w:val="none"/>
                <w:u w:val="none"/>
                <w:lang w:val="en-US" w:eastAsia="zh-CN" w:bidi="ar-SA"/>
              </w:rPr>
              <w:t>3000元，评审费约1240元另行支付。（具体以实际发生金额为准，）</w:t>
            </w:r>
          </w:p>
        </w:tc>
      </w:tr>
      <w:tr w14:paraId="4A23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7" w:type="pct"/>
            <w:vAlign w:val="center"/>
          </w:tcPr>
          <w:p w14:paraId="022A0C83">
            <w:pPr>
              <w:pStyle w:val="41"/>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27.1</w:t>
            </w:r>
          </w:p>
        </w:tc>
        <w:tc>
          <w:tcPr>
            <w:tcW w:w="1579" w:type="pct"/>
            <w:vAlign w:val="center"/>
          </w:tcPr>
          <w:p w14:paraId="4A88ADAB">
            <w:pPr>
              <w:pStyle w:val="40"/>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2893" w:type="pct"/>
            <w:vAlign w:val="center"/>
          </w:tcPr>
          <w:p w14:paraId="3AEF7425">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val="0"/>
                <w:color w:val="auto"/>
                <w:sz w:val="24"/>
                <w:highlight w:val="none"/>
              </w:rPr>
            </w:pPr>
            <w:r>
              <w:rPr>
                <w:rFonts w:hint="eastAsia" w:ascii="宋体" w:hAnsi="宋体" w:eastAsia="宋体" w:cs="宋体"/>
                <w:b w:val="0"/>
                <w:bCs w:val="0"/>
                <w:color w:val="auto"/>
                <w:sz w:val="24"/>
                <w:szCs w:val="24"/>
                <w:highlight w:val="none"/>
                <w:lang w:val="en-US" w:eastAsia="zh-CN"/>
              </w:rPr>
              <w:t>采购人与成交供应商应当自发出成交通知书之日起7个工作日内签订合同。</w:t>
            </w:r>
          </w:p>
        </w:tc>
      </w:tr>
      <w:tr w14:paraId="17F29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7" w:type="pct"/>
            <w:vAlign w:val="center"/>
          </w:tcPr>
          <w:p w14:paraId="62DF48EF">
            <w:pPr>
              <w:pStyle w:val="41"/>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29.3</w:t>
            </w:r>
          </w:p>
        </w:tc>
        <w:tc>
          <w:tcPr>
            <w:tcW w:w="1579" w:type="pct"/>
            <w:vAlign w:val="center"/>
          </w:tcPr>
          <w:p w14:paraId="34AAFBE4">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2893" w:type="pct"/>
            <w:vAlign w:val="center"/>
          </w:tcPr>
          <w:p w14:paraId="5B1AB147">
            <w:pPr>
              <w:pStyle w:val="40"/>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b w:val="0"/>
                <w:color w:val="auto"/>
                <w:sz w:val="24"/>
                <w:highlight w:val="none"/>
              </w:rPr>
              <w:t>递交方式：</w:t>
            </w:r>
            <w:r>
              <w:rPr>
                <w:rFonts w:hint="eastAsia" w:ascii="宋体" w:hAnsi="宋体" w:eastAsia="宋体" w:cs="@仿宋_GB2312"/>
                <w:b w:val="0"/>
                <w:bCs/>
                <w:color w:val="auto"/>
                <w:kern w:val="0"/>
                <w:sz w:val="24"/>
                <w:szCs w:val="28"/>
                <w:highlight w:val="none"/>
                <w:u w:val="single"/>
                <w:lang w:val="en-US" w:eastAsia="zh-CN" w:bidi="ar-SA"/>
              </w:rPr>
              <w:t>书面形式或电子邮件（603727167@qq.com）形式进行质疑</w:t>
            </w:r>
          </w:p>
          <w:p w14:paraId="771FAC38">
            <w:pPr>
              <w:pStyle w:val="40"/>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cs="宋体"/>
                <w:b w:val="0"/>
                <w:bCs w:val="0"/>
                <w:color w:val="auto"/>
                <w:sz w:val="24"/>
                <w:szCs w:val="24"/>
                <w:highlight w:val="none"/>
                <w:u w:val="single"/>
                <w:lang w:eastAsia="zh-CN"/>
              </w:rPr>
              <w:t>滁州市琅琊区应急管理局</w:t>
            </w:r>
            <w:r>
              <w:rPr>
                <w:rFonts w:hint="eastAsia" w:ascii="宋体" w:hAnsi="宋体" w:eastAsia="宋体" w:cs="宋体"/>
                <w:b w:val="0"/>
                <w:bCs w:val="0"/>
                <w:color w:val="auto"/>
                <w:sz w:val="24"/>
                <w:szCs w:val="24"/>
                <w:highlight w:val="none"/>
                <w:u w:val="single"/>
              </w:rPr>
              <w:t>、</w:t>
            </w:r>
            <w:r>
              <w:rPr>
                <w:rFonts w:hint="eastAsia" w:ascii="宋体" w:hAnsi="宋体" w:eastAsia="宋体" w:cs="宋体"/>
                <w:b w:val="0"/>
                <w:bCs w:val="0"/>
                <w:color w:val="auto"/>
                <w:sz w:val="24"/>
                <w:szCs w:val="24"/>
                <w:highlight w:val="none"/>
                <w:u w:val="single"/>
                <w:lang w:eastAsia="zh-CN"/>
              </w:rPr>
              <w:t>滁州市城投工程咨询管理有限公司</w:t>
            </w:r>
          </w:p>
          <w:p w14:paraId="0A3B35D7">
            <w:pPr>
              <w:pStyle w:val="40"/>
              <w:widowControl w:val="0"/>
              <w:spacing w:before="0" w:beforeAutospacing="0" w:after="0" w:afterAutospacing="0" w:line="360" w:lineRule="auto"/>
              <w:jc w:val="both"/>
              <w:rPr>
                <w:rFonts w:hint="default" w:ascii="宋体" w:hAnsi="宋体" w:eastAsia="宋体"/>
                <w:b w:val="0"/>
                <w:bCs w:val="0"/>
                <w:color w:val="auto"/>
                <w:sz w:val="24"/>
                <w:szCs w:val="18"/>
                <w:highlight w:val="none"/>
                <w:lang w:val="en-US" w:eastAsia="zh-CN"/>
              </w:rPr>
            </w:pPr>
            <w:r>
              <w:rPr>
                <w:rFonts w:ascii="宋体" w:hAnsi="宋体" w:eastAsia="宋体"/>
                <w:b w:val="0"/>
                <w:color w:val="auto"/>
                <w:sz w:val="24"/>
                <w:highlight w:val="none"/>
              </w:rPr>
              <w:t>联系电话：</w:t>
            </w:r>
            <w:r>
              <w:rPr>
                <w:rFonts w:hint="eastAsia" w:ascii="宋体" w:hAnsi="宋体" w:eastAsia="宋体"/>
                <w:b w:val="0"/>
                <w:bCs w:val="0"/>
                <w:color w:val="auto"/>
                <w:kern w:val="0"/>
                <w:sz w:val="24"/>
                <w:szCs w:val="28"/>
                <w:highlight w:val="none"/>
                <w:u w:val="single"/>
                <w:lang w:val="en-US" w:eastAsia="zh-CN"/>
              </w:rPr>
              <w:t>0550-3026516、0550-3519590</w:t>
            </w:r>
          </w:p>
          <w:p w14:paraId="7CF1A240">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cs="宋体"/>
                <w:b w:val="0"/>
                <w:color w:val="auto"/>
                <w:sz w:val="24"/>
                <w:szCs w:val="24"/>
                <w:highlight w:val="none"/>
                <w:u w:val="single"/>
              </w:rPr>
              <w:t>滁州市琅琊区濠河路99号、滁州市龙蟠大道109号房产大厦</w:t>
            </w:r>
            <w:r>
              <w:rPr>
                <w:rFonts w:hint="eastAsia" w:ascii="宋体" w:hAnsi="宋体" w:eastAsia="宋体" w:cs="宋体"/>
                <w:b w:val="0"/>
                <w:color w:val="auto"/>
                <w:sz w:val="24"/>
                <w:szCs w:val="24"/>
                <w:highlight w:val="none"/>
                <w:u w:val="single"/>
                <w:lang w:val="en-US" w:eastAsia="zh-CN"/>
              </w:rPr>
              <w:t>6</w:t>
            </w:r>
            <w:r>
              <w:rPr>
                <w:rFonts w:hint="eastAsia" w:ascii="宋体" w:hAnsi="宋体" w:eastAsia="宋体" w:cs="宋体"/>
                <w:b w:val="0"/>
                <w:color w:val="auto"/>
                <w:sz w:val="24"/>
                <w:szCs w:val="24"/>
                <w:highlight w:val="none"/>
                <w:u w:val="single"/>
              </w:rPr>
              <w:t>楼</w:t>
            </w:r>
          </w:p>
        </w:tc>
      </w:tr>
      <w:tr w14:paraId="01E0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7" w:type="pct"/>
            <w:vAlign w:val="center"/>
          </w:tcPr>
          <w:p w14:paraId="298E8406">
            <w:pPr>
              <w:pStyle w:val="41"/>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30</w:t>
            </w:r>
          </w:p>
        </w:tc>
        <w:tc>
          <w:tcPr>
            <w:tcW w:w="1579" w:type="pct"/>
            <w:vAlign w:val="center"/>
          </w:tcPr>
          <w:p w14:paraId="5A5E063D">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2893" w:type="pct"/>
            <w:vAlign w:val="center"/>
          </w:tcPr>
          <w:p w14:paraId="4CF42B7C">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758E6E1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14C350F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512AB696">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610D2EA1">
            <w:pPr>
              <w:spacing w:line="360" w:lineRule="auto"/>
              <w:rPr>
                <w:rFonts w:hint="default" w:cs="@仿宋_GB2312" w:asciiTheme="minorEastAsia" w:hAnsiTheme="minorEastAsia" w:eastAsiaTheme="minorEastAsia"/>
                <w:bCs/>
                <w:color w:val="auto"/>
                <w:kern w:val="2"/>
                <w:sz w:val="24"/>
                <w:szCs w:val="24"/>
                <w:highlight w:val="none"/>
                <w:lang w:val="en-US" w:eastAsia="zh-CN" w:bidi="ar-SA"/>
              </w:rPr>
            </w:pPr>
            <w:r>
              <w:rPr>
                <w:rFonts w:hint="eastAsia" w:asciiTheme="minorEastAsia" w:hAnsiTheme="minorEastAsia" w:eastAsiaTheme="minorEastAsia"/>
                <w:bCs/>
                <w:color w:val="auto"/>
                <w:sz w:val="24"/>
                <w:szCs w:val="24"/>
                <w:highlight w:val="none"/>
              </w:rPr>
              <w:t>（5）</w:t>
            </w:r>
            <w:r>
              <w:rPr>
                <w:rFonts w:asciiTheme="minorEastAsia" w:hAnsiTheme="minorEastAsia" w:eastAsiaTheme="minorEastAsia"/>
                <w:bCs/>
                <w:color w:val="auto"/>
                <w:sz w:val="24"/>
                <w:szCs w:val="24"/>
                <w:highlight w:val="none"/>
              </w:rPr>
              <w:t>按本款前述规定仍不能形成结论的，由</w:t>
            </w:r>
            <w:r>
              <w:rPr>
                <w:rFonts w:hint="eastAsia" w:asciiTheme="minorEastAsia" w:hAnsiTheme="minorEastAsia" w:eastAsiaTheme="minorEastAsia"/>
                <w:bCs/>
                <w:color w:val="auto"/>
                <w:sz w:val="24"/>
                <w:szCs w:val="24"/>
                <w:highlight w:val="none"/>
              </w:rPr>
              <w:t>采购</w:t>
            </w:r>
            <w:r>
              <w:rPr>
                <w:rFonts w:asciiTheme="minorEastAsia" w:hAnsiTheme="minorEastAsia" w:eastAsiaTheme="minorEastAsia"/>
                <w:bCs/>
                <w:color w:val="auto"/>
                <w:sz w:val="24"/>
                <w:szCs w:val="24"/>
                <w:highlight w:val="none"/>
              </w:rPr>
              <w:t>人负责解释。</w:t>
            </w:r>
          </w:p>
        </w:tc>
      </w:tr>
    </w:tbl>
    <w:p w14:paraId="0776CA69">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53" w:name="_Toc7337"/>
      <w:bookmarkStart w:id="54" w:name="_Toc2941"/>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53"/>
      <w:bookmarkEnd w:id="54"/>
    </w:p>
    <w:p w14:paraId="5A8D9DB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3B4332D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24D9517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08F2FBF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4ADB8A1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w:t>
      </w:r>
      <w:r>
        <w:rPr>
          <w:rFonts w:hint="eastAsia" w:ascii="宋体" w:hAnsi="宋体" w:eastAsia="宋体"/>
          <w:color w:val="auto"/>
          <w:sz w:val="24"/>
          <w:highlight w:val="none"/>
        </w:rPr>
        <w:t>供应商</w:t>
      </w:r>
      <w:r>
        <w:rPr>
          <w:rFonts w:ascii="宋体" w:hAnsi="宋体" w:eastAsia="宋体"/>
          <w:color w:val="auto"/>
          <w:sz w:val="24"/>
          <w:highlight w:val="none"/>
        </w:rPr>
        <w:t>：是指向采购人提供货物、工程或者服务的法人、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w:t>
      </w:r>
      <w:r>
        <w:rPr>
          <w:rFonts w:hint="eastAsia" w:ascii="宋体" w:hAnsi="宋体" w:eastAsia="宋体"/>
          <w:color w:val="auto"/>
          <w:sz w:val="24"/>
          <w:highlight w:val="none"/>
        </w:rPr>
        <w:t>供应商</w:t>
      </w:r>
      <w:r>
        <w:rPr>
          <w:rFonts w:ascii="宋体" w:hAnsi="宋体" w:eastAsia="宋体"/>
          <w:color w:val="auto"/>
          <w:sz w:val="24"/>
          <w:highlight w:val="none"/>
        </w:rPr>
        <w:t>及其</w:t>
      </w:r>
      <w:r>
        <w:rPr>
          <w:rFonts w:hint="eastAsia" w:ascii="宋体" w:hAnsi="宋体" w:eastAsia="宋体"/>
          <w:color w:val="auto"/>
          <w:sz w:val="24"/>
          <w:highlight w:val="none"/>
        </w:rPr>
        <w:t>所</w:t>
      </w:r>
      <w:r>
        <w:rPr>
          <w:rFonts w:ascii="宋体" w:hAnsi="宋体" w:eastAsia="宋体"/>
          <w:color w:val="auto"/>
          <w:sz w:val="24"/>
          <w:highlight w:val="none"/>
        </w:rPr>
        <w:t>投货物须满足以下条件：</w:t>
      </w:r>
    </w:p>
    <w:p w14:paraId="547073A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27FA73A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w:t>
      </w:r>
      <w:r>
        <w:rPr>
          <w:rFonts w:hint="eastAsia" w:ascii="宋体" w:hAnsi="宋体" w:eastAsia="宋体"/>
          <w:color w:val="auto"/>
          <w:sz w:val="24"/>
          <w:highlight w:val="none"/>
          <w:lang w:val="en-US" w:eastAsia="zh-CN"/>
        </w:rPr>
        <w:t>磋商</w:t>
      </w:r>
      <w:r>
        <w:rPr>
          <w:rFonts w:ascii="宋体" w:hAnsi="宋体" w:eastAsia="宋体"/>
          <w:color w:val="auto"/>
          <w:sz w:val="24"/>
          <w:highlight w:val="none"/>
        </w:rPr>
        <w:t>文件。</w:t>
      </w:r>
    </w:p>
    <w:p w14:paraId="67C959C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w:t>
      </w:r>
      <w:r>
        <w:rPr>
          <w:rFonts w:hint="eastAsia" w:ascii="宋体" w:hAnsi="宋体" w:eastAsia="宋体"/>
          <w:color w:val="auto"/>
          <w:sz w:val="24"/>
          <w:highlight w:val="none"/>
          <w:lang w:val="en-US" w:eastAsia="zh-CN"/>
        </w:rPr>
        <w:t>供应商</w:t>
      </w:r>
      <w:r>
        <w:rPr>
          <w:rFonts w:ascii="宋体" w:hAnsi="宋体" w:eastAsia="宋体"/>
          <w:color w:val="auto"/>
          <w:sz w:val="24"/>
          <w:highlight w:val="none"/>
        </w:rPr>
        <w:t>应保证所投产品可履行合法报通关手续进入中国关境内。</w:t>
      </w:r>
    </w:p>
    <w:p w14:paraId="553164D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中未写明允许采购进口产品，如供应商所投产品为进口产品，其响应文件将被认定为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606D3317">
      <w:pPr>
        <w:spacing w:line="360" w:lineRule="auto"/>
        <w:ind w:firstLine="435"/>
        <w:rPr>
          <w:rFonts w:ascii="宋体" w:hAnsi="宋体" w:eastAsia="宋体"/>
          <w:color w:val="auto"/>
          <w:sz w:val="24"/>
          <w:highlight w:val="none"/>
        </w:rPr>
      </w:pPr>
      <w:bookmarkStart w:id="55" w:name="_Hlk60607583"/>
      <w:r>
        <w:rPr>
          <w:rFonts w:hint="eastAsia" w:ascii="宋体" w:hAnsi="宋体" w:eastAsia="宋体"/>
          <w:bCs/>
          <w:color w:val="auto"/>
          <w:kern w:val="0"/>
          <w:sz w:val="24"/>
          <w:szCs w:val="28"/>
          <w:highlight w:val="none"/>
          <w:lang w:val="en-US" w:eastAsia="zh-CN"/>
        </w:rPr>
        <w:t>1</w:t>
      </w:r>
      <w:r>
        <w:rPr>
          <w:rFonts w:ascii="宋体" w:hAnsi="宋体" w:eastAsia="宋体"/>
          <w:bCs/>
          <w:color w:val="auto"/>
          <w:kern w:val="0"/>
          <w:sz w:val="24"/>
          <w:szCs w:val="28"/>
          <w:highlight w:val="none"/>
        </w:rPr>
        <w:t>.5</w:t>
      </w:r>
      <w:r>
        <w:rPr>
          <w:rFonts w:hint="eastAsia" w:ascii="宋体" w:hAnsi="宋体" w:eastAsia="宋体"/>
          <w:bCs/>
          <w:color w:val="auto"/>
          <w:kern w:val="0"/>
          <w:sz w:val="24"/>
          <w:szCs w:val="28"/>
          <w:highlight w:val="none"/>
        </w:rPr>
        <w:t>若竞争性磋商公告</w:t>
      </w:r>
      <w:r>
        <w:rPr>
          <w:rFonts w:ascii="宋体" w:hAnsi="宋体" w:eastAsia="宋体"/>
          <w:bCs/>
          <w:color w:val="auto"/>
          <w:kern w:val="0"/>
          <w:sz w:val="24"/>
          <w:szCs w:val="28"/>
          <w:highlight w:val="none"/>
        </w:rPr>
        <w:t>中允许联合体</w:t>
      </w:r>
      <w:r>
        <w:rPr>
          <w:rFonts w:hint="eastAsia" w:ascii="宋体" w:hAnsi="宋体" w:eastAsia="宋体"/>
          <w:bCs/>
          <w:color w:val="auto"/>
          <w:kern w:val="0"/>
          <w:sz w:val="24"/>
          <w:szCs w:val="28"/>
          <w:highlight w:val="none"/>
        </w:rPr>
        <w:t>参加磋商</w:t>
      </w:r>
      <w:r>
        <w:rPr>
          <w:rFonts w:ascii="宋体" w:hAnsi="宋体" w:eastAsia="宋体"/>
          <w:bCs/>
          <w:color w:val="auto"/>
          <w:kern w:val="0"/>
          <w:sz w:val="24"/>
          <w:szCs w:val="28"/>
          <w:highlight w:val="none"/>
        </w:rPr>
        <w:t>，对联合体规定如下：</w:t>
      </w:r>
    </w:p>
    <w:bookmarkEnd w:id="55"/>
    <w:p w14:paraId="3041922D">
      <w:pPr>
        <w:spacing w:line="360" w:lineRule="auto"/>
        <w:ind w:firstLine="435"/>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.1</w:t>
      </w:r>
      <w:r>
        <w:rPr>
          <w:rFonts w:hint="eastAsia" w:ascii="宋体" w:hAnsi="宋体" w:eastAsia="宋体"/>
          <w:color w:val="auto"/>
          <w:sz w:val="24"/>
          <w:highlight w:val="none"/>
        </w:rPr>
        <w:t>两个以上供应商可以组成一个磋商联合体，以一个供应商的身份磋商</w:t>
      </w:r>
      <w:r>
        <w:rPr>
          <w:rFonts w:ascii="宋体" w:hAnsi="宋体" w:eastAsia="宋体"/>
          <w:color w:val="auto"/>
          <w:sz w:val="24"/>
          <w:highlight w:val="none"/>
        </w:rPr>
        <w:t>。</w:t>
      </w:r>
      <w:r>
        <w:rPr>
          <w:rFonts w:ascii="宋体" w:hAnsi="宋体" w:eastAsia="宋体"/>
          <w:b w:val="0"/>
          <w:color w:val="auto"/>
          <w:sz w:val="24"/>
          <w:highlight w:val="none"/>
        </w:rPr>
        <w:t>联合体参加磋商的，</w:t>
      </w:r>
      <w:r>
        <w:rPr>
          <w:rFonts w:hint="eastAsia" w:ascii="宋体" w:hAnsi="宋体" w:eastAsia="宋体"/>
          <w:b w:val="0"/>
          <w:color w:val="auto"/>
          <w:sz w:val="24"/>
          <w:highlight w:val="none"/>
        </w:rPr>
        <w:t>磋商文件获取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任一</w:t>
      </w:r>
      <w:r>
        <w:rPr>
          <w:rFonts w:hint="eastAsia" w:ascii="宋体" w:hAnsi="宋体" w:eastAsia="宋体"/>
          <w:b w:val="0"/>
          <w:color w:val="auto"/>
          <w:sz w:val="24"/>
          <w:highlight w:val="none"/>
        </w:rPr>
        <w:t>成员单位</w:t>
      </w:r>
      <w:r>
        <w:rPr>
          <w:rFonts w:ascii="宋体" w:hAnsi="宋体" w:eastAsia="宋体"/>
          <w:b w:val="0"/>
          <w:color w:val="auto"/>
          <w:sz w:val="24"/>
          <w:highlight w:val="none"/>
        </w:rPr>
        <w:t>办理均可。</w:t>
      </w:r>
    </w:p>
    <w:p w14:paraId="4BEFBC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.2联合体各方均应符合《中华人民共和国政府采购法》第二十二条规定的条件。</w:t>
      </w:r>
    </w:p>
    <w:p w14:paraId="71368E8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.3采购人根据采购项目对</w:t>
      </w:r>
      <w:r>
        <w:rPr>
          <w:rFonts w:hint="eastAsia" w:ascii="宋体" w:hAnsi="宋体" w:eastAsia="宋体"/>
          <w:color w:val="auto"/>
          <w:sz w:val="24"/>
          <w:highlight w:val="none"/>
        </w:rPr>
        <w:t>供应商</w:t>
      </w:r>
      <w:r>
        <w:rPr>
          <w:rFonts w:ascii="宋体" w:hAnsi="宋体" w:eastAsia="宋体"/>
          <w:color w:val="auto"/>
          <w:sz w:val="24"/>
          <w:highlight w:val="none"/>
        </w:rPr>
        <w:t>的特殊要求，联合体中至少应当有一方符合相关规定。</w:t>
      </w:r>
    </w:p>
    <w:p w14:paraId="2138A30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w:t>
      </w:r>
      <w:r>
        <w:rPr>
          <w:rFonts w:hint="eastAsia" w:ascii="宋体" w:hAnsi="宋体" w:eastAsia="宋体"/>
          <w:color w:val="auto"/>
          <w:sz w:val="24"/>
          <w:highlight w:val="none"/>
        </w:rPr>
        <w:t>响应</w:t>
      </w:r>
      <w:r>
        <w:rPr>
          <w:rFonts w:ascii="宋体" w:hAnsi="宋体" w:eastAsia="宋体"/>
          <w:color w:val="auto"/>
          <w:sz w:val="24"/>
          <w:highlight w:val="none"/>
        </w:rPr>
        <w:t>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632CF92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.5大中型企业、其他自然人、法人或者非法人组织与小型、微型企业组成联合体共同参加</w:t>
      </w:r>
      <w:r>
        <w:rPr>
          <w:rFonts w:hint="eastAsia" w:ascii="宋体" w:hAnsi="宋体" w:eastAsia="宋体"/>
          <w:color w:val="auto"/>
          <w:sz w:val="24"/>
          <w:highlight w:val="none"/>
        </w:rPr>
        <w:t>磋商</w:t>
      </w:r>
      <w:r>
        <w:rPr>
          <w:rFonts w:ascii="宋体" w:hAnsi="宋体" w:eastAsia="宋体"/>
          <w:color w:val="auto"/>
          <w:sz w:val="24"/>
          <w:highlight w:val="none"/>
        </w:rPr>
        <w:t>，</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联合协议合同</w:t>
      </w:r>
      <w:r>
        <w:rPr>
          <w:rFonts w:ascii="宋体" w:hAnsi="宋体" w:eastAsia="宋体"/>
          <w:color w:val="auto"/>
          <w:sz w:val="24"/>
          <w:highlight w:val="none"/>
        </w:rPr>
        <w:t>总金额的比例。</w:t>
      </w:r>
    </w:p>
    <w:p w14:paraId="68EA290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595DF9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.7以联合体形式参加政府采购活动的，联合体各方不得再单独参加或者与其他供应商另外组成联合体参加本项目</w:t>
      </w:r>
      <w:r>
        <w:rPr>
          <w:rFonts w:hint="eastAsia" w:ascii="宋体" w:hAnsi="宋体" w:eastAsia="宋体"/>
          <w:color w:val="auto"/>
          <w:sz w:val="24"/>
          <w:highlight w:val="none"/>
        </w:rPr>
        <w:t>磋商</w:t>
      </w:r>
      <w:r>
        <w:rPr>
          <w:rFonts w:ascii="宋体" w:hAnsi="宋体" w:eastAsia="宋体"/>
          <w:color w:val="auto"/>
          <w:sz w:val="24"/>
          <w:highlight w:val="none"/>
        </w:rPr>
        <w:t>，否则相关</w:t>
      </w:r>
      <w:r>
        <w:rPr>
          <w:rFonts w:hint="eastAsia" w:ascii="宋体" w:hAnsi="宋体" w:eastAsia="宋体"/>
          <w:color w:val="auto"/>
          <w:sz w:val="24"/>
          <w:highlight w:val="none"/>
        </w:rPr>
        <w:t>响应文件将被认定为</w:t>
      </w:r>
      <w:r>
        <w:rPr>
          <w:rFonts w:hint="eastAsia" w:ascii="宋体" w:hAnsi="宋体" w:eastAsia="宋体"/>
          <w:b/>
          <w:color w:val="auto"/>
          <w:sz w:val="24"/>
          <w:highlight w:val="none"/>
        </w:rPr>
        <w:t>响应无效</w:t>
      </w:r>
      <w:r>
        <w:rPr>
          <w:rFonts w:ascii="宋体" w:hAnsi="宋体" w:eastAsia="宋体"/>
          <w:color w:val="auto"/>
          <w:sz w:val="24"/>
          <w:highlight w:val="none"/>
        </w:rPr>
        <w:t>。</w:t>
      </w:r>
    </w:p>
    <w:p w14:paraId="5DE988C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49B9CEFA">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471FE4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684E878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27C3D8A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不论磋商的结果如何，供应商应承担其所有与准备和参加磋商有关的费用。</w:t>
      </w:r>
    </w:p>
    <w:p w14:paraId="7D178DA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4421F5BA">
      <w:pPr>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63501D0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7B08105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.1磋商文件包括下列内容：</w:t>
      </w:r>
    </w:p>
    <w:p w14:paraId="1018259F">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26FC915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5A32387D">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3C636A8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2404EDB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05F6F7CA">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5902FEB8">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53118FB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2CE6C661">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579C6D53">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如需提供样品，对样品相关要求见采购需求</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对样品的评审方法及评审标准见磋商文件第四章。</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本项目磋商时无需提供样品）</w:t>
      </w:r>
    </w:p>
    <w:p w14:paraId="6CF3A1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0EE2A46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4649242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.1供应商如对磋商文件内容有疑问，必须在</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规定的网上询问截止时间前以网上提问形式（电子交易系统）提交给采购代理机构。</w:t>
      </w:r>
    </w:p>
    <w:p w14:paraId="464D4D35">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.2采购人可主动地或在</w:t>
      </w:r>
      <w:r>
        <w:rPr>
          <w:rFonts w:hint="eastAsia" w:ascii="宋体" w:hAnsi="宋体" w:eastAsia="宋体" w:cs="宋体"/>
          <w:color w:val="auto"/>
          <w:sz w:val="24"/>
          <w:highlight w:val="none"/>
          <w:lang w:val="en-US" w:eastAsia="zh-CN"/>
        </w:rPr>
        <w:t>答复供应商</w:t>
      </w:r>
      <w:r>
        <w:rPr>
          <w:rFonts w:hint="eastAsia" w:ascii="宋体" w:hAnsi="宋体" w:eastAsia="宋体" w:cs="宋体"/>
          <w:color w:val="auto"/>
          <w:sz w:val="24"/>
          <w:highlight w:val="none"/>
        </w:rPr>
        <w:t>提出的</w:t>
      </w:r>
      <w:r>
        <w:rPr>
          <w:rFonts w:hint="eastAsia" w:ascii="宋体" w:hAnsi="宋体" w:eastAsia="宋体" w:cs="宋体"/>
          <w:color w:val="auto"/>
          <w:sz w:val="24"/>
          <w:highlight w:val="none"/>
          <w:lang w:val="en-US" w:eastAsia="zh-CN"/>
        </w:rPr>
        <w:t>询问</w:t>
      </w:r>
      <w:r>
        <w:rPr>
          <w:rFonts w:hint="eastAsia" w:ascii="宋体" w:hAnsi="宋体" w:eastAsia="宋体" w:cs="宋体"/>
          <w:color w:val="auto"/>
          <w:sz w:val="24"/>
          <w:highlight w:val="none"/>
        </w:rPr>
        <w:t>时对</w:t>
      </w:r>
      <w:r>
        <w:rPr>
          <w:rFonts w:hint="eastAsia" w:ascii="宋体" w:hAnsi="宋体" w:eastAsia="宋体" w:cs="宋体"/>
          <w:color w:val="auto"/>
          <w:sz w:val="24"/>
          <w:highlight w:val="none"/>
          <w:lang w:val="en-US" w:eastAsia="zh-CN"/>
        </w:rPr>
        <w:t>磋商</w:t>
      </w:r>
      <w:r>
        <w:rPr>
          <w:rFonts w:hint="eastAsia" w:ascii="宋体" w:hAnsi="宋体" w:eastAsia="宋体" w:cs="宋体"/>
          <w:color w:val="auto"/>
          <w:sz w:val="24"/>
          <w:highlight w:val="none"/>
        </w:rPr>
        <w:t>文件进行澄清与修改。采购代理机构将在滁州市琅琊区人民政府官方网站（https://www.lyq.gov.cn/）政府信息公开 &gt; 琅琊区应急管理局政府信息公开目录 &gt; 【财政信息】 &gt; 招标采购</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滁州市城投工程咨询管理有限公司（https://www.czctgczx.com/）以发布更正公告的方式澄清或者修改磋商文件，更正公告的内容作为磋商文件的组成部分，对供应商起约束作用。供应商应主动上网查询。</w:t>
      </w:r>
      <w:r>
        <w:rPr>
          <w:rFonts w:hint="eastAsia" w:asciiTheme="minorEastAsia" w:hAnsiTheme="minorEastAsia" w:eastAsiaTheme="minorEastAsia"/>
          <w:color w:val="auto"/>
          <w:sz w:val="24"/>
          <w:highlight w:val="none"/>
        </w:rPr>
        <w:t>采购代理机构不承担供应商未及时关注相关信息引发的相关责任。</w:t>
      </w:r>
    </w:p>
    <w:p w14:paraId="2039143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153CB08B">
      <w:pPr>
        <w:spacing w:line="360" w:lineRule="auto"/>
        <w:ind w:firstLine="435"/>
        <w:rPr>
          <w:rFonts w:hint="eastAsia" w:asciiTheme="minorEastAsia" w:hAnsiTheme="minorEastAsia" w:eastAsiaTheme="minorEastAsia"/>
          <w:iCs/>
          <w:color w:val="auto"/>
          <w:sz w:val="24"/>
          <w:highlight w:val="none"/>
          <w:lang w:eastAsia="zh-CN"/>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lang w:eastAsia="zh-CN"/>
        </w:rPr>
        <w:t>。</w:t>
      </w:r>
    </w:p>
    <w:p w14:paraId="530E546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57EFC8B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4D4830CB">
      <w:pPr>
        <w:spacing w:line="360" w:lineRule="auto"/>
        <w:ind w:firstLine="435"/>
        <w:rPr>
          <w:rFonts w:hint="default" w:eastAsiaTheme="minorEastAsia"/>
          <w:color w:val="auto"/>
          <w:highlight w:val="none"/>
          <w:lang w:val="en-US" w:eastAsia="zh-CN"/>
        </w:rPr>
      </w:pPr>
      <w:r>
        <w:rPr>
          <w:rFonts w:hint="eastAsia" w:asciiTheme="minorEastAsia" w:hAnsiTheme="minorEastAsia" w:eastAsiaTheme="minorEastAsia"/>
          <w:color w:val="auto"/>
          <w:sz w:val="24"/>
          <w:highlight w:val="none"/>
          <w:lang w:val="en-US" w:eastAsia="zh-CN"/>
        </w:rPr>
        <w:t>7.2 供应商</w:t>
      </w:r>
      <w:r>
        <w:rPr>
          <w:rFonts w:asciiTheme="minorEastAsia" w:hAnsiTheme="minorEastAsia" w:eastAsiaTheme="minorEastAsia"/>
          <w:color w:val="auto"/>
          <w:sz w:val="24"/>
          <w:highlight w:val="none"/>
        </w:rPr>
        <w:t>应当对所投分包</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lang w:val="en-US" w:eastAsia="zh-CN"/>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10C537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无论磋商文件中是否要求，供应商所投货物及伴随的服务和工程均应符合国家强制性标准。</w:t>
      </w:r>
    </w:p>
    <w:p w14:paraId="33D7E8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50536D4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6989F39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6648F4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hint="eastAsia" w:ascii="宋体" w:hAnsi="宋体" w:eastAsia="宋体"/>
          <w:color w:val="auto"/>
          <w:sz w:val="24"/>
          <w:highlight w:val="none"/>
          <w:lang w:val="en-US" w:eastAsia="zh-CN"/>
        </w:rPr>
        <w:t>供应商</w:t>
      </w:r>
      <w:r>
        <w:rPr>
          <w:rFonts w:asciiTheme="minorEastAsia" w:hAnsiTheme="minorEastAsia" w:eastAsiaTheme="minorEastAsia"/>
          <w:color w:val="auto"/>
          <w:sz w:val="24"/>
          <w:highlight w:val="none"/>
        </w:rPr>
        <w:t>应完整地按</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文件提供的</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具体内容详见本项目</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文件格式的相关内容。</w:t>
      </w:r>
    </w:p>
    <w:p w14:paraId="328916E8">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hint="eastAsia" w:ascii="宋体" w:hAnsi="宋体" w:eastAsia="宋体"/>
          <w:color w:val="auto"/>
          <w:sz w:val="24"/>
          <w:highlight w:val="none"/>
          <w:lang w:val="en-US" w:eastAsia="zh-CN"/>
        </w:rPr>
        <w:t>供应商</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文件要求的</w:t>
      </w:r>
      <w:r>
        <w:rPr>
          <w:rFonts w:asciiTheme="minorEastAsia" w:hAnsiTheme="minorEastAsia" w:eastAsiaTheme="minorEastAsia"/>
          <w:color w:val="auto"/>
          <w:sz w:val="24"/>
          <w:highlight w:val="none"/>
        </w:rPr>
        <w:t>证明文件，证明其</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内容符合</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56" w:name="_Hlk11703583"/>
      <w:r>
        <w:rPr>
          <w:rFonts w:hint="eastAsia" w:asciiTheme="minorEastAsia" w:hAnsiTheme="minorEastAsia" w:eastAsiaTheme="minorEastAsia"/>
          <w:color w:val="auto"/>
          <w:sz w:val="24"/>
          <w:highlight w:val="none"/>
          <w:lang w:val="en-US" w:eastAsia="zh-CN"/>
        </w:rPr>
        <w:t>等。</w:t>
      </w:r>
    </w:p>
    <w:bookmarkEnd w:id="56"/>
    <w:p w14:paraId="41305BB5">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w:t>
      </w:r>
      <w:r>
        <w:rPr>
          <w:rFonts w:hint="eastAsia" w:asciiTheme="minorEastAsia" w:hAnsiTheme="minorEastAsia" w:eastAsiaTheme="minorEastAsia"/>
          <w:color w:val="auto"/>
          <w:sz w:val="24"/>
          <w:highlight w:val="none"/>
          <w:lang w:val="en-US" w:eastAsia="zh-CN"/>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方案。</w:t>
      </w:r>
    </w:p>
    <w:p w14:paraId="462CBA8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658710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除磋商文件另有规定外，</w:t>
      </w:r>
      <w:r>
        <w:rPr>
          <w:rFonts w:hint="eastAsia" w:asciiTheme="minorEastAsia" w:hAnsiTheme="minorEastAsia" w:eastAsiaTheme="minorEastAsia"/>
          <w:color w:val="auto"/>
          <w:sz w:val="24"/>
          <w:highlight w:val="none"/>
        </w:rPr>
        <w:t>所有内容均应以人民币报价，供应商的磋商报价应遵守《中华人民共和国价格法》。</w:t>
      </w:r>
    </w:p>
    <w:p w14:paraId="183C809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除非磋商文件另有规定或经采购人同意支付的，最后报价均不得高于磋商文件（公告）列明的项目预算，否则其响应文件将被认定为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E57A1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20D4AC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7375992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77E141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.1本项目不收取磋商保证金。</w:t>
      </w:r>
    </w:p>
    <w:p w14:paraId="5066D9C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6F95FFE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18A16C0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7593D9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6EC8842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4D28812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.1供应商应当在第一章</w:t>
      </w:r>
      <w:r>
        <w:rPr>
          <w:rFonts w:hint="eastAsia" w:asciiTheme="minorEastAsia" w:hAnsiTheme="minorEastAsia" w:eastAsiaTheme="minorEastAsia"/>
          <w:color w:val="auto"/>
          <w:sz w:val="24"/>
          <w:highlight w:val="none"/>
          <w:u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22A0C10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18ACD24C">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val="en-US" w:eastAsia="zh-CN"/>
        </w:rPr>
        <w:t>未在规定时间内进行解密的，</w:t>
      </w:r>
      <w:r>
        <w:rPr>
          <w:rFonts w:hint="eastAsia" w:asciiTheme="minorEastAsia" w:hAnsiTheme="minorEastAsia" w:eastAsiaTheme="minorEastAsia"/>
          <w:b/>
          <w:bCs/>
          <w:color w:val="auto"/>
          <w:sz w:val="24"/>
          <w:highlight w:val="none"/>
          <w:lang w:val="en-US" w:eastAsia="zh-CN"/>
        </w:rPr>
        <w:t>响应无效。</w:t>
      </w:r>
    </w:p>
    <w:p w14:paraId="004C8FD5">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ascii="宋体" w:hAnsi="宋体" w:eastAsia="宋体"/>
          <w:color w:val="auto"/>
          <w:sz w:val="24"/>
          <w:highlight w:val="none"/>
        </w:rPr>
        <w:t>但属于磋商小组在评审中发现的计算错误并进行核实的修改、按照磋商文件的变动情况和磋商小组的要求重新提交响应文件的，不在此列。</w:t>
      </w:r>
    </w:p>
    <w:p w14:paraId="04A8F78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0C32A63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.1本项目将依法组建磋商小组，磋商小组成员由3人以上</w:t>
      </w:r>
      <w:r>
        <w:rPr>
          <w:rFonts w:hint="eastAsia" w:asciiTheme="minorEastAsia" w:hAnsiTheme="minorEastAsia" w:eastAsiaTheme="minorEastAsia"/>
          <w:color w:val="auto"/>
          <w:sz w:val="24"/>
          <w:highlight w:val="none"/>
        </w:rPr>
        <w:t>（含）</w:t>
      </w:r>
      <w:r>
        <w:rPr>
          <w:rFonts w:asciiTheme="minorEastAsia" w:hAnsiTheme="minorEastAsia" w:eastAsiaTheme="minorEastAsia"/>
          <w:color w:val="auto"/>
          <w:sz w:val="24"/>
          <w:highlight w:val="none"/>
        </w:rPr>
        <w:t>单数组成，磋商小组及其成员应当依照政府采购的有关规定履行相关职责和义务。</w:t>
      </w:r>
    </w:p>
    <w:p w14:paraId="4585C50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7212E0B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.3磋商小组应当从质量和服务均能满足磋商文件实质性响应要求的供应商中，按照评审方法和标准</w:t>
      </w:r>
      <w:r>
        <w:rPr>
          <w:rFonts w:hint="eastAsia" w:asciiTheme="minorEastAsia" w:hAnsiTheme="minorEastAsia" w:eastAsiaTheme="minorEastAsia"/>
          <w:color w:val="auto"/>
          <w:sz w:val="24"/>
          <w:highlight w:val="none"/>
        </w:rPr>
        <w:t>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29DADF7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14</w:t>
      </w:r>
      <w:r>
        <w:rPr>
          <w:rFonts w:asciiTheme="minorEastAsia" w:hAnsiTheme="minorEastAsia" w:eastAsiaTheme="minorEastAsia"/>
          <w:b/>
          <w:color w:val="auto"/>
          <w:sz w:val="24"/>
          <w:highlight w:val="none"/>
        </w:rPr>
        <w:t>.响应文件的评审与磋商</w:t>
      </w:r>
    </w:p>
    <w:p w14:paraId="72B23AD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asciiTheme="minorEastAsia" w:hAnsiTheme="minorEastAsia" w:eastAsiaTheme="minorEastAsia"/>
          <w:color w:val="auto"/>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4D17C9B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.2竞争性磋商活动采用综合评分法评审。</w:t>
      </w:r>
    </w:p>
    <w:p w14:paraId="10AE9B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7A1EC8F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.3磋商小组将按照磋商文件规定的评审方法和标准对供应商独立进行评审。评审程序如下：</w:t>
      </w:r>
    </w:p>
    <w:p w14:paraId="18EF6AD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747A43A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690E96C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0F78082F">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4CDA0EF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3F7C92D9">
      <w:pPr>
        <w:spacing w:line="360" w:lineRule="auto"/>
        <w:ind w:firstLine="435"/>
        <w:rPr>
          <w:rFonts w:hint="eastAsia"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ascii="宋体" w:hAnsi="宋体" w:eastAsia="宋体"/>
          <w:color w:val="auto"/>
          <w:sz w:val="24"/>
          <w:highlight w:val="none"/>
        </w:rPr>
        <w:t>。</w:t>
      </w:r>
    </w:p>
    <w:p w14:paraId="19A553D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.3.4 </w:t>
      </w:r>
      <w:r>
        <w:rPr>
          <w:rFonts w:hint="eastAsia" w:ascii="宋体" w:hAnsi="宋体" w:eastAsia="宋体" w:cs="宋体"/>
          <w:b/>
          <w:bCs/>
          <w:color w:val="auto"/>
          <w:sz w:val="24"/>
          <w:szCs w:val="24"/>
          <w:highlight w:val="none"/>
        </w:rPr>
        <w:t>异常低价响应审查。</w:t>
      </w:r>
      <w:r>
        <w:rPr>
          <w:rFonts w:hint="eastAsia" w:ascii="宋体" w:hAnsi="宋体" w:eastAsia="宋体" w:cs="宋体"/>
          <w:color w:val="auto"/>
          <w:sz w:val="24"/>
          <w:szCs w:val="24"/>
          <w:highlight w:val="none"/>
        </w:rPr>
        <w:t>根据《关于推进解决政府采购异常低价问题的通知》（财库〔2026〕2号），磋商小组进行异常低价响应审查。</w:t>
      </w:r>
    </w:p>
    <w:p w14:paraId="4D27CF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异常低价响应审查，实质上响应磋商文件要求的响应文件进行综合评分。经磋商确定最终采购需求和提交最后报价的供应商后，由磋商小组采用综合评分法对提交最后报价的供应商的响应文件和最后报价进行综合评分。</w:t>
      </w:r>
    </w:p>
    <w:p w14:paraId="1CE116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.4相关说明。</w:t>
      </w:r>
    </w:p>
    <w:p w14:paraId="58B69D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12A0C4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34CD5AB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39E732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16FFB02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39CB731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2821DB6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7BEB413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2C2F8C6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1C3AB7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6575C79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54A3C18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17E2324C">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76C2F27F">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电子签章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w:t>
      </w:r>
    </w:p>
    <w:p w14:paraId="50CD6575">
      <w:pPr>
        <w:spacing w:line="360" w:lineRule="auto"/>
        <w:ind w:firstLine="435"/>
        <w:rPr>
          <w:rFonts w:ascii="宋体" w:hAnsi="宋体" w:eastAsia="宋体"/>
          <w:color w:val="auto"/>
          <w:sz w:val="24"/>
          <w:highlight w:val="none"/>
        </w:rPr>
      </w:pPr>
      <w:r>
        <w:rPr>
          <w:rFonts w:hint="eastAsia" w:ascii="宋体" w:hAnsi="宋体" w:eastAsia="宋体"/>
          <w:b/>
          <w:color w:val="auto"/>
          <w:sz w:val="24"/>
          <w:highlight w:val="none"/>
        </w:rPr>
        <w:t>如有询标，授权代表（或法定代表人）可通过远程登录的方式接受网上询标，也可凭本人有效身份证明参加询标。因授权代表联系不上</w:t>
      </w:r>
      <w:r>
        <w:rPr>
          <w:rFonts w:hint="eastAsia" w:ascii="宋体" w:hAnsi="宋体" w:eastAsia="宋体"/>
          <w:b/>
          <w:bCs/>
          <w:color w:val="auto"/>
          <w:sz w:val="24"/>
          <w:highlight w:val="none"/>
        </w:rPr>
        <w:t>、没有及时登录系统等情形</w:t>
      </w:r>
      <w:r>
        <w:rPr>
          <w:rFonts w:hint="eastAsia" w:ascii="宋体" w:hAnsi="宋体" w:eastAsia="宋体"/>
          <w:b/>
          <w:color w:val="auto"/>
          <w:sz w:val="24"/>
          <w:highlight w:val="none"/>
        </w:rPr>
        <w:t>而无法接受磋商小组询标的，供应商自行承担相关风险。</w:t>
      </w:r>
    </w:p>
    <w:p w14:paraId="32468A4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2E935A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46F7372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5147A34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6B9D04AA">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17.4未在规定时间内提交报价的视同退出磋商，报价被认定为不符合要求的，按无效响应处理。</w:t>
      </w:r>
    </w:p>
    <w:p w14:paraId="3EA0A7B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487839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w:t>
      </w:r>
    </w:p>
    <w:p w14:paraId="279CE5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总得分出现两家或两家以上相同者，按最后报价由低到高排序推荐成交候选供应商；综合总得分且最后报价均相同的，则所投产品为节能产品、环境标志产品、不发达地区或少数民族地区产品者优先；若综合总</w:t>
      </w:r>
      <w:r>
        <w:rPr>
          <w:rFonts w:asciiTheme="minorEastAsia" w:hAnsiTheme="minorEastAsia" w:eastAsiaTheme="minorEastAsia"/>
          <w:color w:val="auto"/>
          <w:sz w:val="24"/>
          <w:highlight w:val="none"/>
        </w:rPr>
        <w:t>得分与</w:t>
      </w:r>
      <w:r>
        <w:rPr>
          <w:rFonts w:hint="eastAsia" w:asciiTheme="minorEastAsia" w:hAnsiTheme="minorEastAsia" w:eastAsiaTheme="minorEastAsia"/>
          <w:color w:val="auto"/>
          <w:sz w:val="24"/>
          <w:highlight w:val="none"/>
        </w:rPr>
        <w:t>最后</w:t>
      </w:r>
      <w:r>
        <w:rPr>
          <w:rFonts w:asciiTheme="minorEastAsia" w:hAnsiTheme="minorEastAsia" w:eastAsiaTheme="minorEastAsia"/>
          <w:color w:val="auto"/>
          <w:sz w:val="24"/>
          <w:highlight w:val="none"/>
        </w:rPr>
        <w:t>报价均相同</w:t>
      </w:r>
      <w:r>
        <w:rPr>
          <w:rFonts w:hint="eastAsia" w:asciiTheme="minorEastAsia" w:hAnsiTheme="minorEastAsia" w:eastAsiaTheme="minorEastAsia"/>
          <w:color w:val="auto"/>
          <w:sz w:val="24"/>
          <w:highlight w:val="none"/>
        </w:rPr>
        <w:t>且所投产品同为节能产品、环境标志产品、不发达地区或少数民族地区产品的，由磋商小组按照技术指标优劣顺序推荐成交候选供应商。</w:t>
      </w:r>
    </w:p>
    <w:p w14:paraId="58764F7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52FEDDE7">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ascii="宋体" w:hAnsi="宋体" w:eastAsia="宋体"/>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56AA2B8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572B077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1C26D39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6D74BA8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21</w:t>
      </w:r>
      <w:r>
        <w:rPr>
          <w:rFonts w:hint="eastAsia" w:ascii="宋体" w:hAnsi="宋体" w:eastAsia="宋体"/>
          <w:color w:val="auto"/>
          <w:sz w:val="24"/>
          <w:highlight w:val="none"/>
        </w:rPr>
        <w:t>.1评审将在严格保密的情况下进行。</w:t>
      </w:r>
    </w:p>
    <w:p w14:paraId="2BA1787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21</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w:t>
      </w:r>
      <w:r>
        <w:rPr>
          <w:rFonts w:hint="eastAsia" w:ascii="宋体" w:hAnsi="宋体" w:eastAsia="宋体"/>
          <w:color w:val="auto"/>
          <w:sz w:val="24"/>
          <w:highlight w:val="none"/>
        </w:rPr>
        <w:t>评审</w:t>
      </w:r>
      <w:r>
        <w:rPr>
          <w:rFonts w:ascii="宋体" w:hAnsi="宋体" w:eastAsia="宋体"/>
          <w:color w:val="auto"/>
          <w:sz w:val="24"/>
          <w:highlight w:val="none"/>
        </w:rPr>
        <w:t>工作纪律，不得</w:t>
      </w:r>
      <w:r>
        <w:rPr>
          <w:rFonts w:hint="eastAsia" w:ascii="宋体" w:hAnsi="宋体" w:eastAsia="宋体"/>
          <w:color w:val="auto"/>
          <w:sz w:val="24"/>
          <w:highlight w:val="none"/>
        </w:rPr>
        <w:t>泄露评审文件</w:t>
      </w:r>
      <w:r>
        <w:rPr>
          <w:rFonts w:ascii="宋体" w:hAnsi="宋体" w:eastAsia="宋体"/>
          <w:color w:val="auto"/>
          <w:sz w:val="24"/>
          <w:highlight w:val="none"/>
        </w:rPr>
        <w:t>、</w:t>
      </w:r>
      <w:r>
        <w:rPr>
          <w:rFonts w:hint="eastAsia" w:ascii="宋体" w:hAnsi="宋体" w:eastAsia="宋体"/>
          <w:color w:val="auto"/>
          <w:sz w:val="24"/>
          <w:highlight w:val="none"/>
        </w:rPr>
        <w:t>评审</w:t>
      </w:r>
      <w:r>
        <w:rPr>
          <w:rFonts w:ascii="宋体" w:hAnsi="宋体" w:eastAsia="宋体"/>
          <w:color w:val="auto"/>
          <w:sz w:val="24"/>
          <w:highlight w:val="none"/>
        </w:rPr>
        <w:t>情况和</w:t>
      </w:r>
      <w:r>
        <w:rPr>
          <w:rFonts w:hint="eastAsia" w:ascii="宋体" w:hAnsi="宋体" w:eastAsia="宋体"/>
          <w:color w:val="auto"/>
          <w:sz w:val="24"/>
          <w:highlight w:val="none"/>
        </w:rPr>
        <w:t>评审</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1931681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22</w:t>
      </w:r>
      <w:r>
        <w:rPr>
          <w:rFonts w:asciiTheme="minorEastAsia" w:hAnsiTheme="minorEastAsia" w:eastAsiaTheme="minorEastAsia"/>
          <w:b/>
          <w:color w:val="auto"/>
          <w:sz w:val="24"/>
          <w:highlight w:val="none"/>
        </w:rPr>
        <w:t>.成交结果公告</w:t>
      </w:r>
    </w:p>
    <w:p w14:paraId="1AB6F93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asciiTheme="minorEastAsia" w:hAnsiTheme="minorEastAsia" w:eastAsiaTheme="minorEastAsia"/>
          <w:color w:val="auto"/>
          <w:sz w:val="24"/>
          <w:highlight w:val="none"/>
        </w:rPr>
        <w:t>.1为体现“公开、公平、公正”的原则，磋商结束后，</w:t>
      </w:r>
      <w:r>
        <w:rPr>
          <w:rFonts w:hint="eastAsia" w:ascii="宋体" w:hAnsi="宋体" w:eastAsia="宋体"/>
          <w:color w:val="auto"/>
          <w:sz w:val="24"/>
          <w:szCs w:val="18"/>
          <w:highlight w:val="none"/>
        </w:rPr>
        <w:t>采购代理机构将在滁州市琅琊区人民政府官方网站（https://www.lyq.gov.cn/）政府信息公开 &gt; 琅琊区应急管理局政府信息公开目录 &gt; 【财政信息】 &gt; 招标采购</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滁州市城投工程咨询管理有限公司（https://www.czctgczx.com/）</w:t>
      </w:r>
      <w:r>
        <w:rPr>
          <w:rFonts w:asciiTheme="minorEastAsia" w:hAnsiTheme="minorEastAsia" w:eastAsiaTheme="minorEastAsia"/>
          <w:color w:val="auto"/>
          <w:sz w:val="24"/>
          <w:highlight w:val="none"/>
        </w:rPr>
        <w:t>上发布成交结果公告。</w:t>
      </w:r>
    </w:p>
    <w:p w14:paraId="5814C3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6D57810C">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23</w:t>
      </w:r>
      <w:r>
        <w:rPr>
          <w:rFonts w:ascii="宋体" w:hAnsi="宋体" w:eastAsia="宋体"/>
          <w:b/>
          <w:color w:val="auto"/>
          <w:sz w:val="24"/>
          <w:highlight w:val="none"/>
        </w:rPr>
        <w:t>.成交</w:t>
      </w:r>
      <w:r>
        <w:rPr>
          <w:rFonts w:asciiTheme="minorEastAsia" w:hAnsiTheme="minorEastAsia" w:eastAsiaTheme="minorEastAsia"/>
          <w:b/>
          <w:color w:val="auto"/>
          <w:sz w:val="24"/>
          <w:highlight w:val="none"/>
        </w:rPr>
        <w:t>通知书</w:t>
      </w:r>
    </w:p>
    <w:p w14:paraId="5E2E83C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ascii="宋体" w:hAnsi="宋体" w:eastAsia="宋体"/>
          <w:color w:val="auto"/>
          <w:sz w:val="24"/>
          <w:highlight w:val="none"/>
        </w:rPr>
        <w:t>向成交供应商发出成交通知书。</w:t>
      </w:r>
    </w:p>
    <w:p w14:paraId="485EADB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.2成交通知书对采购人和成交供应商具有同等法律效力。成交通知书发出以后，采购人改变成交结果或者成交供应商放弃成交资格，应当承担相应的法律责任。</w:t>
      </w:r>
    </w:p>
    <w:p w14:paraId="2BC8CC0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.3成交通知书是合同的组成部分。</w:t>
      </w:r>
    </w:p>
    <w:p w14:paraId="7632E47B">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24</w:t>
      </w:r>
      <w:r>
        <w:rPr>
          <w:rFonts w:ascii="宋体" w:hAnsi="宋体" w:eastAsia="宋体"/>
          <w:b/>
          <w:color w:val="auto"/>
          <w:sz w:val="24"/>
          <w:highlight w:val="none"/>
        </w:rPr>
        <w:t>.告知</w:t>
      </w:r>
      <w:r>
        <w:rPr>
          <w:rFonts w:hint="eastAsia" w:ascii="宋体" w:hAnsi="宋体" w:eastAsia="宋体"/>
          <w:b/>
          <w:color w:val="auto"/>
          <w:sz w:val="24"/>
          <w:highlight w:val="none"/>
        </w:rPr>
        <w:t>磋商</w:t>
      </w:r>
      <w:r>
        <w:rPr>
          <w:rFonts w:ascii="宋体" w:hAnsi="宋体" w:eastAsia="宋体"/>
          <w:b/>
          <w:color w:val="auto"/>
          <w:sz w:val="24"/>
          <w:highlight w:val="none"/>
        </w:rPr>
        <w:t>结果</w:t>
      </w:r>
    </w:p>
    <w:p w14:paraId="02BD87D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24</w:t>
      </w:r>
      <w:r>
        <w:rPr>
          <w:rFonts w:ascii="宋体" w:hAnsi="宋体" w:eastAsia="宋体"/>
          <w:color w:val="auto"/>
          <w:sz w:val="24"/>
          <w:highlight w:val="none"/>
        </w:rPr>
        <w:t>.1在公告</w:t>
      </w:r>
      <w:r>
        <w:rPr>
          <w:rFonts w:hint="eastAsia" w:ascii="宋体" w:hAnsi="宋体" w:eastAsia="宋体"/>
          <w:color w:val="auto"/>
          <w:sz w:val="24"/>
          <w:highlight w:val="none"/>
        </w:rPr>
        <w:t>成交</w:t>
      </w:r>
      <w:r>
        <w:rPr>
          <w:rFonts w:ascii="宋体" w:hAnsi="宋体" w:eastAsia="宋体"/>
          <w:color w:val="auto"/>
          <w:sz w:val="24"/>
          <w:highlight w:val="none"/>
        </w:rPr>
        <w:t>结果的同时，采购代理机构同时以</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规定的形式告知未</w:t>
      </w:r>
      <w:r>
        <w:rPr>
          <w:rFonts w:hint="eastAsia" w:ascii="宋体" w:hAnsi="宋体" w:eastAsia="宋体"/>
          <w:color w:val="auto"/>
          <w:sz w:val="24"/>
          <w:highlight w:val="none"/>
        </w:rPr>
        <w:t>成交供应商</w:t>
      </w:r>
      <w:r>
        <w:rPr>
          <w:rFonts w:ascii="宋体" w:hAnsi="宋体" w:eastAsia="宋体"/>
          <w:color w:val="auto"/>
          <w:sz w:val="24"/>
          <w:highlight w:val="none"/>
        </w:rPr>
        <w:t>本人的评审得分和排序。</w:t>
      </w:r>
    </w:p>
    <w:p w14:paraId="4673AAF5">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24</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采购代理机构对未成交的供应商不做未成交原因的解释。</w:t>
      </w:r>
    </w:p>
    <w:p w14:paraId="644B6FC4">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25</w:t>
      </w:r>
      <w:r>
        <w:rPr>
          <w:rFonts w:ascii="宋体" w:hAnsi="宋体" w:eastAsia="宋体"/>
          <w:b/>
          <w:color w:val="auto"/>
          <w:sz w:val="24"/>
          <w:highlight w:val="none"/>
        </w:rPr>
        <w:t>.履约保证金</w:t>
      </w:r>
    </w:p>
    <w:p w14:paraId="4CD9D18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.1成交供应商应按照</w:t>
      </w:r>
      <w:r>
        <w:rPr>
          <w:rFonts w:ascii="宋体" w:hAnsi="宋体" w:eastAsia="宋体"/>
          <w:color w:val="auto"/>
          <w:sz w:val="24"/>
          <w:highlight w:val="none"/>
          <w:u w:val="single"/>
        </w:rPr>
        <w:t>供应商须知前附表</w:t>
      </w:r>
      <w:r>
        <w:rPr>
          <w:rFonts w:ascii="宋体" w:hAnsi="宋体" w:eastAsia="宋体"/>
          <w:color w:val="auto"/>
          <w:sz w:val="24"/>
          <w:highlight w:val="none"/>
        </w:rPr>
        <w:t>规定</w:t>
      </w:r>
      <w:r>
        <w:rPr>
          <w:rFonts w:hint="eastAsia" w:ascii="宋体" w:hAnsi="宋体" w:eastAsia="宋体"/>
          <w:color w:val="auto"/>
          <w:sz w:val="24"/>
          <w:highlight w:val="none"/>
        </w:rPr>
        <w:t>缴纳</w:t>
      </w:r>
      <w:r>
        <w:rPr>
          <w:rFonts w:ascii="宋体" w:hAnsi="宋体" w:eastAsia="宋体"/>
          <w:color w:val="auto"/>
          <w:sz w:val="24"/>
          <w:highlight w:val="none"/>
        </w:rPr>
        <w:t>履约保证金。</w:t>
      </w:r>
    </w:p>
    <w:p w14:paraId="67BBA02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26B50859">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26</w:t>
      </w:r>
      <w:r>
        <w:rPr>
          <w:rFonts w:ascii="宋体" w:hAnsi="宋体" w:eastAsia="宋体"/>
          <w:b/>
          <w:color w:val="auto"/>
          <w:sz w:val="24"/>
          <w:highlight w:val="none"/>
        </w:rPr>
        <w:t>.</w:t>
      </w:r>
      <w:r>
        <w:rPr>
          <w:rFonts w:hint="eastAsia" w:ascii="宋体" w:hAnsi="宋体" w:eastAsia="宋体"/>
          <w:b/>
          <w:color w:val="auto"/>
          <w:sz w:val="24"/>
          <w:highlight w:val="none"/>
          <w:lang w:val="en-US" w:eastAsia="zh-CN"/>
        </w:rPr>
        <w:t>代理费用</w:t>
      </w:r>
    </w:p>
    <w:p w14:paraId="709794F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26</w:t>
      </w:r>
      <w:r>
        <w:rPr>
          <w:rFonts w:ascii="宋体" w:hAnsi="宋体" w:eastAsia="宋体"/>
          <w:color w:val="auto"/>
          <w:sz w:val="24"/>
          <w:highlight w:val="none"/>
        </w:rPr>
        <w:t>.1本项目</w:t>
      </w:r>
      <w:r>
        <w:rPr>
          <w:rFonts w:hint="eastAsia" w:ascii="宋体" w:hAnsi="宋体" w:eastAsia="宋体"/>
          <w:color w:val="auto"/>
          <w:sz w:val="24"/>
          <w:highlight w:val="none"/>
          <w:lang w:val="en-US" w:eastAsia="zh-CN"/>
        </w:rPr>
        <w:t>代理费用</w:t>
      </w:r>
      <w:r>
        <w:rPr>
          <w:rFonts w:ascii="宋体" w:hAnsi="宋体" w:eastAsia="宋体"/>
          <w:color w:val="auto"/>
          <w:sz w:val="24"/>
          <w:highlight w:val="none"/>
        </w:rPr>
        <w:t>的收取按</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的规定执行。</w:t>
      </w:r>
    </w:p>
    <w:p w14:paraId="717F2873">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27</w:t>
      </w:r>
      <w:r>
        <w:rPr>
          <w:rFonts w:ascii="宋体" w:hAnsi="宋体" w:eastAsia="宋体"/>
          <w:b/>
          <w:color w:val="auto"/>
          <w:sz w:val="24"/>
          <w:highlight w:val="none"/>
        </w:rPr>
        <w:t>.签订</w:t>
      </w:r>
      <w:r>
        <w:rPr>
          <w:rFonts w:asciiTheme="minorEastAsia" w:hAnsiTheme="minorEastAsia" w:eastAsiaTheme="minorEastAsia"/>
          <w:b/>
          <w:color w:val="auto"/>
          <w:sz w:val="24"/>
          <w:highlight w:val="none"/>
        </w:rPr>
        <w:t>合同</w:t>
      </w:r>
    </w:p>
    <w:p w14:paraId="52E2106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449A4EE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.2磋商文件、成交供应商的响应文件及其澄清文件等，均为签订合同的依据。</w:t>
      </w:r>
    </w:p>
    <w:p w14:paraId="769B9821">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ascii="宋体" w:hAnsi="宋体" w:eastAsia="宋体"/>
          <w:color w:val="auto"/>
          <w:sz w:val="24"/>
          <w:highlight w:val="none"/>
        </w:rPr>
        <w:t>成交供应商拒绝签订政府采购合同的不得参加对该项目重新开展的采购活动。</w:t>
      </w:r>
    </w:p>
    <w:p w14:paraId="17332482">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28</w:t>
      </w:r>
      <w:r>
        <w:rPr>
          <w:rFonts w:ascii="宋体" w:hAnsi="宋体" w:eastAsia="宋体"/>
          <w:b/>
          <w:color w:val="auto"/>
          <w:sz w:val="24"/>
          <w:highlight w:val="none"/>
        </w:rPr>
        <w:t>.廉洁</w:t>
      </w:r>
      <w:r>
        <w:rPr>
          <w:rFonts w:asciiTheme="minorEastAsia" w:hAnsiTheme="minorEastAsia" w:eastAsiaTheme="minorEastAsia"/>
          <w:b/>
          <w:color w:val="auto"/>
          <w:sz w:val="24"/>
          <w:highlight w:val="none"/>
        </w:rPr>
        <w:t>自律</w:t>
      </w:r>
      <w:r>
        <w:rPr>
          <w:rFonts w:ascii="宋体" w:hAnsi="宋体" w:eastAsia="宋体"/>
          <w:b/>
          <w:color w:val="auto"/>
          <w:sz w:val="24"/>
          <w:highlight w:val="none"/>
        </w:rPr>
        <w:t>规定</w:t>
      </w:r>
    </w:p>
    <w:p w14:paraId="5B5C292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.1采购代理机构工作人员不得以不正当手段获取政府采购代理业务，不得与采购人、供应商恶意串通。</w:t>
      </w:r>
    </w:p>
    <w:p w14:paraId="0471D4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.2采购代理机构工作人员不得接受采购人或者供应商组织的宴请、旅游、娱乐，不得收受礼品、现金、有价证券等，不得向采购人或者供应商报销应当由个人承担的费用。</w:t>
      </w:r>
    </w:p>
    <w:p w14:paraId="2782C70B">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29</w:t>
      </w:r>
      <w:r>
        <w:rPr>
          <w:rFonts w:ascii="宋体" w:hAnsi="宋体" w:eastAsia="宋体"/>
          <w:b/>
          <w:color w:val="auto"/>
          <w:sz w:val="24"/>
          <w:highlight w:val="none"/>
        </w:rPr>
        <w:t>.质疑的</w:t>
      </w:r>
      <w:r>
        <w:rPr>
          <w:rFonts w:asciiTheme="minorEastAsia" w:hAnsiTheme="minorEastAsia" w:eastAsiaTheme="minorEastAsia"/>
          <w:b/>
          <w:color w:val="auto"/>
          <w:sz w:val="24"/>
          <w:highlight w:val="none"/>
        </w:rPr>
        <w:t>提出</w:t>
      </w:r>
      <w:r>
        <w:rPr>
          <w:rFonts w:ascii="宋体" w:hAnsi="宋体" w:eastAsia="宋体"/>
          <w:b/>
          <w:color w:val="auto"/>
          <w:sz w:val="24"/>
          <w:highlight w:val="none"/>
        </w:rPr>
        <w:t>与接收</w:t>
      </w:r>
    </w:p>
    <w:p w14:paraId="6384D22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4C264B8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质疑函范本》格式（详见磋商文件）和《政府采购质疑和投诉办法》的要求，在法定质疑期内以书面形式提出质疑，超出法定质疑期提交的质疑将被拒绝。针对同一采购程序环节的质疑应一次性提出。</w:t>
      </w:r>
    </w:p>
    <w:p w14:paraId="4F70227C">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25D61484">
      <w:pPr>
        <w:spacing w:line="360" w:lineRule="auto"/>
        <w:ind w:firstLine="435"/>
        <w:rPr>
          <w:rFonts w:hint="eastAsia" w:ascii="宋体" w:hAnsi="宋体" w:eastAsia="宋体"/>
          <w:b/>
          <w:color w:val="auto"/>
          <w:sz w:val="24"/>
          <w:highlight w:val="none"/>
          <w:lang w:val="en-US" w:eastAsia="zh-CN"/>
        </w:rPr>
      </w:pPr>
      <w:r>
        <w:rPr>
          <w:rFonts w:hint="eastAsia" w:ascii="宋体" w:hAnsi="宋体" w:eastAsia="宋体"/>
          <w:color w:val="auto"/>
          <w:sz w:val="24"/>
          <w:highlight w:val="none"/>
          <w:lang w:val="en-US" w:eastAsia="zh-CN"/>
        </w:rPr>
        <w:t>注：上述条款中所要求的书面形式包含通过电子交易系统递交方式。</w:t>
      </w:r>
    </w:p>
    <w:p w14:paraId="59DDC44F">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30</w:t>
      </w:r>
      <w:r>
        <w:rPr>
          <w:rFonts w:ascii="宋体" w:hAnsi="宋体" w:eastAsia="宋体"/>
          <w:b/>
          <w:color w:val="auto"/>
          <w:sz w:val="24"/>
          <w:highlight w:val="none"/>
        </w:rPr>
        <w:t>.需要</w:t>
      </w:r>
      <w:r>
        <w:rPr>
          <w:rFonts w:asciiTheme="minorEastAsia" w:hAnsiTheme="minorEastAsia" w:eastAsiaTheme="minorEastAsia"/>
          <w:b/>
          <w:color w:val="auto"/>
          <w:sz w:val="24"/>
          <w:highlight w:val="none"/>
        </w:rPr>
        <w:t>补充</w:t>
      </w:r>
      <w:r>
        <w:rPr>
          <w:rFonts w:ascii="宋体" w:hAnsi="宋体" w:eastAsia="宋体"/>
          <w:b/>
          <w:color w:val="auto"/>
          <w:sz w:val="24"/>
          <w:highlight w:val="none"/>
        </w:rPr>
        <w:t>的其他内容</w:t>
      </w:r>
    </w:p>
    <w:p w14:paraId="40DAB98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需要补充的其他内容，见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15A24390">
      <w:pPr>
        <w:widowControl/>
        <w:jc w:val="left"/>
        <w:rPr>
          <w:rFonts w:hint="eastAsia"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br w:type="page"/>
      </w:r>
    </w:p>
    <w:p w14:paraId="4CE587D3">
      <w:pPr>
        <w:spacing w:line="360" w:lineRule="auto"/>
        <w:jc w:val="center"/>
        <w:outlineLvl w:val="0"/>
        <w:rPr>
          <w:rFonts w:asciiTheme="minorEastAsia" w:hAnsiTheme="minorEastAsia" w:eastAsiaTheme="minorEastAsia"/>
          <w:b/>
          <w:color w:val="auto"/>
          <w:sz w:val="28"/>
          <w:highlight w:val="none"/>
        </w:rPr>
      </w:pPr>
      <w:bookmarkStart w:id="57" w:name="_Toc23422"/>
      <w:r>
        <w:rPr>
          <w:rFonts w:hint="eastAsia" w:asciiTheme="minorEastAsia" w:hAnsiTheme="minorEastAsia" w:eastAsiaTheme="minorEastAsia"/>
          <w:b/>
          <w:color w:val="auto"/>
          <w:sz w:val="28"/>
          <w:highlight w:val="none"/>
        </w:rPr>
        <w:t>第三章  采购需求</w:t>
      </w:r>
      <w:bookmarkEnd w:id="57"/>
    </w:p>
    <w:p w14:paraId="6D83868A">
      <w:pPr>
        <w:spacing w:line="360" w:lineRule="auto"/>
        <w:ind w:firstLine="437"/>
        <w:outlineLvl w:val="1"/>
        <w:rPr>
          <w:rFonts w:ascii="宋体" w:hAnsi="宋体" w:eastAsia="宋体"/>
          <w:b/>
          <w:color w:val="auto"/>
          <w:sz w:val="24"/>
          <w:szCs w:val="18"/>
          <w:highlight w:val="none"/>
        </w:rPr>
      </w:pPr>
      <w:bookmarkStart w:id="58" w:name="_Toc9765"/>
      <w:bookmarkStart w:id="59" w:name="_Toc26330"/>
      <w:r>
        <w:rPr>
          <w:rFonts w:hint="eastAsia" w:ascii="宋体" w:hAnsi="宋体" w:eastAsia="宋体"/>
          <w:b/>
          <w:color w:val="auto"/>
          <w:sz w:val="24"/>
          <w:szCs w:val="18"/>
          <w:highlight w:val="none"/>
        </w:rPr>
        <w:t>一、采购需求前附表</w:t>
      </w:r>
      <w:bookmarkEnd w:id="58"/>
      <w:bookmarkEnd w:id="59"/>
    </w:p>
    <w:tbl>
      <w:tblPr>
        <w:tblStyle w:val="22"/>
        <w:tblW w:w="91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191"/>
        <w:gridCol w:w="5913"/>
      </w:tblGrid>
      <w:tr w14:paraId="3688A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6A519BB9">
            <w:pPr>
              <w:pStyle w:val="41"/>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2191" w:type="dxa"/>
            <w:vAlign w:val="center"/>
          </w:tcPr>
          <w:p w14:paraId="045D7144">
            <w:pPr>
              <w:pStyle w:val="40"/>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5913" w:type="dxa"/>
            <w:vAlign w:val="center"/>
          </w:tcPr>
          <w:p w14:paraId="34BAD3BA">
            <w:pPr>
              <w:pStyle w:val="40"/>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1D94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114C8760">
            <w:pPr>
              <w:pStyle w:val="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2191" w:type="dxa"/>
            <w:vAlign w:val="center"/>
          </w:tcPr>
          <w:p w14:paraId="1E6DEE0F">
            <w:pPr>
              <w:pStyle w:val="40"/>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5913" w:type="dxa"/>
            <w:vAlign w:val="center"/>
          </w:tcPr>
          <w:p w14:paraId="39A14853">
            <w:pPr>
              <w:pStyle w:val="40"/>
              <w:widowControl w:val="0"/>
              <w:spacing w:before="0" w:beforeAutospacing="0" w:after="0" w:afterAutospacing="0" w:line="360" w:lineRule="auto"/>
              <w:jc w:val="both"/>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lang w:val="en-US" w:eastAsia="zh-CN"/>
              </w:rPr>
              <w:t>供货、安装、调试及验收合格后一次性付清合同价款。</w:t>
            </w:r>
          </w:p>
        </w:tc>
      </w:tr>
      <w:tr w14:paraId="77AA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68311F75">
            <w:pPr>
              <w:pStyle w:val="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2191" w:type="dxa"/>
            <w:vAlign w:val="center"/>
          </w:tcPr>
          <w:p w14:paraId="675C1107">
            <w:pPr>
              <w:pStyle w:val="40"/>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5913" w:type="dxa"/>
            <w:vAlign w:val="center"/>
          </w:tcPr>
          <w:p w14:paraId="4240AD26">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滁州市琅琊区应急管理局，采购人指定地点。</w:t>
            </w:r>
          </w:p>
        </w:tc>
      </w:tr>
      <w:tr w14:paraId="00D1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2E4726AF">
            <w:pPr>
              <w:pStyle w:val="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2191" w:type="dxa"/>
            <w:vAlign w:val="center"/>
          </w:tcPr>
          <w:p w14:paraId="2334817A">
            <w:pPr>
              <w:pStyle w:val="40"/>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5913" w:type="dxa"/>
            <w:vAlign w:val="center"/>
          </w:tcPr>
          <w:p w14:paraId="498E809C">
            <w:pPr>
              <w:pStyle w:val="4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自合同签订后</w:t>
            </w:r>
            <w:r>
              <w:rPr>
                <w:rFonts w:hint="eastAsia" w:ascii="宋体" w:hAnsi="宋体" w:eastAsia="宋体"/>
                <w:b w:val="0"/>
                <w:color w:val="auto"/>
                <w:sz w:val="24"/>
                <w:highlight w:val="none"/>
                <w:lang w:val="en-US" w:eastAsia="zh-CN"/>
              </w:rPr>
              <w:t>20</w:t>
            </w:r>
            <w:r>
              <w:rPr>
                <w:rFonts w:hint="eastAsia" w:ascii="宋体" w:hAnsi="宋体" w:eastAsia="宋体"/>
                <w:b w:val="0"/>
                <w:color w:val="auto"/>
                <w:sz w:val="24"/>
                <w:highlight w:val="none"/>
              </w:rPr>
              <w:t>日内完成供货、安装、调试及验收</w:t>
            </w:r>
          </w:p>
        </w:tc>
      </w:tr>
      <w:tr w14:paraId="5665D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2988CE16">
            <w:pPr>
              <w:pStyle w:val="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2191" w:type="dxa"/>
            <w:vAlign w:val="center"/>
          </w:tcPr>
          <w:p w14:paraId="110DB235">
            <w:pPr>
              <w:pStyle w:val="40"/>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5913" w:type="dxa"/>
            <w:vAlign w:val="center"/>
          </w:tcPr>
          <w:p w14:paraId="66C6F862">
            <w:pPr>
              <w:pStyle w:val="40"/>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u w:val="none"/>
                <w:lang w:val="en-US" w:eastAsia="zh-CN"/>
              </w:rPr>
              <w:t>自验收合格之日起三年。</w:t>
            </w:r>
          </w:p>
        </w:tc>
      </w:tr>
    </w:tbl>
    <w:p w14:paraId="6AEA254B">
      <w:pPr>
        <w:spacing w:line="360" w:lineRule="auto"/>
        <w:ind w:firstLine="437"/>
        <w:outlineLvl w:val="1"/>
        <w:rPr>
          <w:rFonts w:ascii="宋体" w:hAnsi="宋体" w:eastAsia="宋体"/>
          <w:b/>
          <w:bCs/>
          <w:color w:val="auto"/>
          <w:sz w:val="24"/>
          <w:szCs w:val="18"/>
          <w:highlight w:val="none"/>
        </w:rPr>
      </w:pPr>
      <w:bookmarkStart w:id="60" w:name="_Toc22071"/>
      <w:bookmarkStart w:id="61" w:name="_Toc25323"/>
      <w:r>
        <w:rPr>
          <w:rFonts w:hint="eastAsia" w:ascii="宋体" w:hAnsi="宋体" w:eastAsia="宋体"/>
          <w:b/>
          <w:bCs/>
          <w:color w:val="auto"/>
          <w:sz w:val="24"/>
          <w:szCs w:val="18"/>
          <w:highlight w:val="none"/>
        </w:rPr>
        <w:t>二、货物需求</w:t>
      </w:r>
      <w:bookmarkEnd w:id="60"/>
      <w:bookmarkEnd w:id="61"/>
    </w:p>
    <w:tbl>
      <w:tblPr>
        <w:tblStyle w:val="22"/>
        <w:tblW w:w="10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1080"/>
        <w:gridCol w:w="6216"/>
        <w:gridCol w:w="960"/>
        <w:gridCol w:w="1321"/>
      </w:tblGrid>
      <w:tr w14:paraId="2B98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794" w:type="dxa"/>
            <w:vAlign w:val="center"/>
          </w:tcPr>
          <w:p w14:paraId="6569CAAD">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080" w:type="dxa"/>
            <w:vAlign w:val="center"/>
          </w:tcPr>
          <w:p w14:paraId="3EC45E3F">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货物名称</w:t>
            </w:r>
          </w:p>
        </w:tc>
        <w:tc>
          <w:tcPr>
            <w:tcW w:w="6216" w:type="dxa"/>
            <w:vAlign w:val="center"/>
          </w:tcPr>
          <w:p w14:paraId="11575B17">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技术参数及要求</w:t>
            </w:r>
          </w:p>
        </w:tc>
        <w:tc>
          <w:tcPr>
            <w:tcW w:w="960" w:type="dxa"/>
            <w:vAlign w:val="center"/>
          </w:tcPr>
          <w:p w14:paraId="73D730F3">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p w14:paraId="3252219D">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（单位）</w:t>
            </w:r>
          </w:p>
        </w:tc>
        <w:tc>
          <w:tcPr>
            <w:tcW w:w="1321" w:type="dxa"/>
            <w:vAlign w:val="center"/>
          </w:tcPr>
          <w:p w14:paraId="0DA4CE49">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备注</w:t>
            </w:r>
          </w:p>
        </w:tc>
      </w:tr>
      <w:tr w14:paraId="2EFF5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794" w:type="dxa"/>
            <w:vAlign w:val="center"/>
          </w:tcPr>
          <w:p w14:paraId="15A2FC62">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080" w:type="dxa"/>
            <w:vAlign w:val="center"/>
          </w:tcPr>
          <w:p w14:paraId="57242E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组合式防洪板</w:t>
            </w:r>
          </w:p>
        </w:tc>
        <w:tc>
          <w:tcPr>
            <w:tcW w:w="6216" w:type="dxa"/>
            <w:vAlign w:val="center"/>
          </w:tcPr>
          <w:p w14:paraId="407679E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1.用于堤防漫溢险情和地下车库、地下通道等临时加高；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★2.每块L型结构、高强度复合材质（材料全部都是“新料”，无“再生料”），有效挡水高度≥0.5m，且满足结构安全；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★3.防洪板高度(垂直)≥0.7m，底边长≥0.7m，弯曲强度≥65MPa,拉伸强度≥35MPa；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★4.每块宽度≥0.7m，适当间距配备弯板；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5.每块板上都有卡扣和连接结构，可进行拼接组合且牢固、设止水;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6.多块装箱包装，便于运输和储存,每箱包装内放置产品合格证1份、操作保养手册1份。</w:t>
            </w:r>
          </w:p>
        </w:tc>
        <w:tc>
          <w:tcPr>
            <w:tcW w:w="960" w:type="dxa"/>
            <w:vAlign w:val="center"/>
          </w:tcPr>
          <w:p w14:paraId="6A341532">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200块</w:t>
            </w:r>
          </w:p>
        </w:tc>
        <w:tc>
          <w:tcPr>
            <w:tcW w:w="1321" w:type="dxa"/>
            <w:vAlign w:val="center"/>
          </w:tcPr>
          <w:p w14:paraId="2FF859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供货时须提供同一生产批次产品由第三方检测机构出具的检验合格证明材料一份</w:t>
            </w:r>
          </w:p>
        </w:tc>
      </w:tr>
      <w:tr w14:paraId="767F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Align w:val="center"/>
          </w:tcPr>
          <w:p w14:paraId="3A503DD3">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080" w:type="dxa"/>
            <w:vAlign w:val="center"/>
          </w:tcPr>
          <w:p w14:paraId="089F7C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防汛专用沙袋</w:t>
            </w:r>
          </w:p>
        </w:tc>
        <w:tc>
          <w:tcPr>
            <w:tcW w:w="6216" w:type="dxa"/>
            <w:vAlign w:val="center"/>
          </w:tcPr>
          <w:p w14:paraId="4EE8764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1.用于堤防漫溢险情和地下车库、地下通道等临时加高；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★2.标准尺寸≥70cm*30cm，尺寸规整统一，装填后成型饱满、堆叠稳固；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★3.采用加密4*4涤纶帆布，双面有机硅防水涂层，面料克重≥400g/㎡，面料防水、防霉、抗紫外线、不易掉色，户外长期存放不腐坏，缝线双线锁边，针脚间距≤0.8cm，底部双层双层对折加固缝制；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4.抽绳式封口，内置PP高强度扎绳，绳长≥40cm，打结牢固不滑脱；可完全折叠，不占用库房空间；                                                                                                               5.统一军绿色，印有“防汛专用”白色字样；每100条为一件，每件包装内必须放置产品合格证，包装外印白色标志如下：防汛专用沙袋、规格、数量、重量、生产厂家、生产日期。</w:t>
            </w:r>
          </w:p>
        </w:tc>
        <w:tc>
          <w:tcPr>
            <w:tcW w:w="960" w:type="dxa"/>
            <w:vAlign w:val="center"/>
          </w:tcPr>
          <w:p w14:paraId="167B7D6E">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7368条</w:t>
            </w:r>
          </w:p>
        </w:tc>
        <w:tc>
          <w:tcPr>
            <w:tcW w:w="1321" w:type="dxa"/>
            <w:vAlign w:val="center"/>
          </w:tcPr>
          <w:p w14:paraId="2ECD73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供货时须提供同一生产批次产品由第三方检测机构出具的检验合格证明材料一份</w:t>
            </w:r>
          </w:p>
        </w:tc>
      </w:tr>
      <w:tr w14:paraId="13B3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94" w:type="dxa"/>
            <w:vAlign w:val="center"/>
          </w:tcPr>
          <w:p w14:paraId="03E7945F">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080" w:type="dxa"/>
            <w:vAlign w:val="center"/>
          </w:tcPr>
          <w:p w14:paraId="2E9B84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舷外机</w:t>
            </w:r>
          </w:p>
        </w:tc>
        <w:tc>
          <w:tcPr>
            <w:tcW w:w="6216" w:type="dxa"/>
            <w:vAlign w:val="center"/>
          </w:tcPr>
          <w:p w14:paraId="296D5E9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1.规格：二冲40马力后操/手启动/长轴；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2.详细参数：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长度：≥1085mm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宽度：≥365mm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高度：≥1350mm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艉板高度：555±5mm；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3.净重：78.4±1kg；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4.全功率运行转速：4500～5500 r/min；</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★5.最大输出功率：≥29.4（40）；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6.怠速：750~850 r/min；</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7.气缸数目：2个；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★8.排量：≥703cm³；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★9.缸径x冲程：≥80.0×70.0(3.15×2.76)；</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10.操作方式：手柄；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11.起动方式：手启动；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12.换档位置：前进-空档-倒档；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13.传动比：≥2.00（26/13）；</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14.倾角倾斜系统：手动倾斜；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15.燃油箱容积：≥24.5L；</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16.齿轮油量：≥430ml；</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17.螺旋桨规格：3-11 1/8"×13"-G；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18.发动机燃油混合比（汽油和机油）：25：1/50：1。</w:t>
            </w:r>
          </w:p>
        </w:tc>
        <w:tc>
          <w:tcPr>
            <w:tcW w:w="960" w:type="dxa"/>
            <w:vAlign w:val="center"/>
          </w:tcPr>
          <w:p w14:paraId="2EEFF71A">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2台</w:t>
            </w:r>
          </w:p>
        </w:tc>
        <w:tc>
          <w:tcPr>
            <w:tcW w:w="1321" w:type="dxa"/>
            <w:vAlign w:val="center"/>
          </w:tcPr>
          <w:p w14:paraId="60F4A7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供货时须提供同一生产批次产品由第三方检测机构出具的检验合格证明材料一份</w:t>
            </w:r>
          </w:p>
        </w:tc>
      </w:tr>
      <w:tr w14:paraId="5AA7D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Align w:val="center"/>
          </w:tcPr>
          <w:p w14:paraId="14EF833A">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080" w:type="dxa"/>
            <w:vAlign w:val="center"/>
          </w:tcPr>
          <w:p w14:paraId="1B01F4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橡皮艇</w:t>
            </w:r>
          </w:p>
        </w:tc>
        <w:tc>
          <w:tcPr>
            <w:tcW w:w="6216" w:type="dxa"/>
            <w:vAlign w:val="center"/>
          </w:tcPr>
          <w:p w14:paraId="385D7D5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1.用途：用于江河、水库、湖泊等水域防汛抢险，开展落水人员搜救、孤岛救援和人员快速转移；</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★2.规格：长*宽*筒径：4.3m*2.0m*0.5m；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3.承载人数：≥8人；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4.颜色：红黑色；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5.船全体周围有安全拉绳；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★6.PVC厚度：≥0.9mm；底部加防撞装甲；橡皮舟主体材料为：PVC夹网聚氯乙烯；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7.气囊数：5个；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8.有效载重：≥1000kg；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9.有效载人：≥8人；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10.船重：90±5kg（不含舷外机和防撞装甲重量）；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11.工作压力：≥0.25bar；</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12.结构为：V型船底，水阻小；底板为防滑铝合金材质，并由阳极氧化的铝合金纵梁加固；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★13.最大载重：≥1000KG；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14.可配备2冲程30马力长轴船外机或40马力长轴船外机。</w:t>
            </w:r>
          </w:p>
        </w:tc>
        <w:tc>
          <w:tcPr>
            <w:tcW w:w="960" w:type="dxa"/>
            <w:vAlign w:val="center"/>
          </w:tcPr>
          <w:p w14:paraId="3AC79CE7">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2艘</w:t>
            </w:r>
          </w:p>
        </w:tc>
        <w:tc>
          <w:tcPr>
            <w:tcW w:w="1321" w:type="dxa"/>
            <w:vAlign w:val="center"/>
          </w:tcPr>
          <w:p w14:paraId="4DE345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供货时须提供同一生产批次产品由第三方检测机构出具的检验合格证明材料一份</w:t>
            </w:r>
          </w:p>
        </w:tc>
      </w:tr>
      <w:tr w14:paraId="62F1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Align w:val="center"/>
          </w:tcPr>
          <w:p w14:paraId="452AD4DB">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080" w:type="dxa"/>
            <w:vAlign w:val="center"/>
          </w:tcPr>
          <w:p w14:paraId="11D320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手台机动泵</w:t>
            </w:r>
          </w:p>
        </w:tc>
        <w:tc>
          <w:tcPr>
            <w:tcW w:w="6216" w:type="dxa"/>
            <w:vAlign w:val="center"/>
          </w:tcPr>
          <w:p w14:paraId="677092D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★1.发动机：二冲程水冷汽油发动机，排量≥617mL，额定功率约≥34kW（46马力），最高转速5200rpm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2.额定流量 0.8MPa压力下1000L/min（16.7L/s），0.6MPa压力下1300L/min；</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★3.额定扬程≥110m，额定工作压力≥0.8MPa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★4.最大吸深 9m，引水时间≤20s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6.接口规格 进水口φ80mm，出水口φ65mm（适配标准消防水带）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7.启动方式：电启动+手拉绳启动双模式，自动阻风门设计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8.油箱容量≥18L，标准油耗≤9L/h，续航约≥2小时；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9.外形尺寸：≥700×620×730mm，干重约85kg，2-3人可人力搬运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10.引水系统：无油真空泵，手动引水，快速自吸。</w:t>
            </w:r>
          </w:p>
        </w:tc>
        <w:tc>
          <w:tcPr>
            <w:tcW w:w="960" w:type="dxa"/>
            <w:vAlign w:val="center"/>
          </w:tcPr>
          <w:p w14:paraId="00D494AB">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4台</w:t>
            </w:r>
          </w:p>
        </w:tc>
        <w:tc>
          <w:tcPr>
            <w:tcW w:w="1321" w:type="dxa"/>
            <w:vAlign w:val="center"/>
          </w:tcPr>
          <w:p w14:paraId="3DD728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供货时须提供同一生产批次产品由第三方检测机构出具的检验合格证明材料一份</w:t>
            </w:r>
          </w:p>
        </w:tc>
      </w:tr>
      <w:tr w14:paraId="115F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794" w:type="dxa"/>
            <w:vAlign w:val="center"/>
          </w:tcPr>
          <w:p w14:paraId="57530FF6">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080" w:type="dxa"/>
            <w:vAlign w:val="center"/>
          </w:tcPr>
          <w:p w14:paraId="78C289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浮挺泵</w:t>
            </w:r>
          </w:p>
        </w:tc>
        <w:tc>
          <w:tcPr>
            <w:tcW w:w="6216" w:type="dxa"/>
            <w:vAlign w:val="center"/>
          </w:tcPr>
          <w:p w14:paraId="140F1AC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1.机型：单缸四冲程风冷汽油发动机；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2.泵型：离心式消防泵，泵体、叶轮采用耐腐蚀合金材质；进水口内置不锈钢过滤网，阻挡10mm以上杂物；</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3.进出水口径：进水≥φ80mm，出水标准≥φ65mm快速消防接口；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★4.吸水性能：浅水≤8cm即可正常吸水；额定压力≥0.4MPa：流量≥15L/s（900L/min）；最大流量≥1500L/min；</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★5.浮艇泵最大功率≥11kW，扬程≥60m，便于快速供水；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6.整体重量（不含汽油）≤60kg；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7.油箱容积≥4升，额定功率运行时间大于40min；</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8.启动方式：手拉式启动＋蓄电池启动；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9.所有电气控制、点火、启动线路全防水密封，防水工业插头连接，可雨中持续作业；</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★10.可选无线遥控启停，遥控距离≥150m，遥控具备急停功能；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11.在1.0Ma的压力下运行。泵壳无渗漏现象；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12.整机无外露尖锐边角，配备一体化手提/吊装把手；                                                                                                                                                                ★13.技术性能符合GB 6245-2025《消防泵》的要求。</w:t>
            </w:r>
          </w:p>
        </w:tc>
        <w:tc>
          <w:tcPr>
            <w:tcW w:w="960" w:type="dxa"/>
            <w:vAlign w:val="center"/>
          </w:tcPr>
          <w:p w14:paraId="17B6546B">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2台</w:t>
            </w:r>
          </w:p>
        </w:tc>
        <w:tc>
          <w:tcPr>
            <w:tcW w:w="1321" w:type="dxa"/>
            <w:vAlign w:val="center"/>
          </w:tcPr>
          <w:p w14:paraId="07F357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供货时须提供同一生产批次产品由第三方检测机构出具的检验合格证明材料一份</w:t>
            </w:r>
          </w:p>
        </w:tc>
      </w:tr>
      <w:tr w14:paraId="6C54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Align w:val="center"/>
          </w:tcPr>
          <w:p w14:paraId="7E290F43">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080" w:type="dxa"/>
            <w:vAlign w:val="center"/>
          </w:tcPr>
          <w:p w14:paraId="67E4FC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伸缩 （打捞）杆</w:t>
            </w:r>
          </w:p>
        </w:tc>
        <w:tc>
          <w:tcPr>
            <w:tcW w:w="6216" w:type="dxa"/>
            <w:vAlign w:val="center"/>
          </w:tcPr>
          <w:p w14:paraId="36A0899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★1.折叠后长度(米):≤1.9米，展开长度(米):≥6米，重量(公斤):≤3Kg；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2.总节数：4节，救援工具头：9个；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3.浮球：重量≤1300g,直径≤220mm,高度≥290mm；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3.浮力棒：内长≥600mm,内宽≥300mm,重量≤500g；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4.单钩：钩口宽≥145mm,长度≥320mm,重量≤275g；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5.三角爪钩：爪钩半径≥135mm,长度≥320mm,重量≤600g；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6.身体套锁：弧长≥840mm,内弧宽≥450mm,重量≤600g；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7.D型自锁钩：长度≥300mm,钳口内宽≥60mm,重量≤700g；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8.弹力捕获器：长度≥400mm,重量≤350g；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9.救援绳包：重量≤1000g；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10.断裂强力≥2500N。                                                                                                                                                                                     ★11.杆体材质：碳纤维。</w:t>
            </w:r>
          </w:p>
        </w:tc>
        <w:tc>
          <w:tcPr>
            <w:tcW w:w="960" w:type="dxa"/>
            <w:vAlign w:val="center"/>
          </w:tcPr>
          <w:p w14:paraId="2A5BDDA5">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6根</w:t>
            </w:r>
          </w:p>
        </w:tc>
        <w:tc>
          <w:tcPr>
            <w:tcW w:w="1321" w:type="dxa"/>
            <w:vAlign w:val="center"/>
          </w:tcPr>
          <w:p w14:paraId="565E52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供货时须提供同一生产批次产品由第三方检测机构出具的检验合格证明材料一份</w:t>
            </w:r>
          </w:p>
        </w:tc>
      </w:tr>
      <w:tr w14:paraId="7C29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Align w:val="center"/>
          </w:tcPr>
          <w:p w14:paraId="05A770AB">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080" w:type="dxa"/>
            <w:vAlign w:val="center"/>
          </w:tcPr>
          <w:p w14:paraId="0A8CA8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漂浮绳</w:t>
            </w:r>
          </w:p>
        </w:tc>
        <w:tc>
          <w:tcPr>
            <w:tcW w:w="6216" w:type="dxa"/>
            <w:vAlign w:val="center"/>
          </w:tcPr>
          <w:p w14:paraId="680454B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★1.长度：50m；材质：丙纶长丝（PP），遇水漂浮、不吸水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★2.直径与拉力对照： ≥8mm：破断拉力≥12kN，承重≥1200kg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3.标配：橙色反光/普通绳+塑料浮环+不锈钢登山钩</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4.颜色：橘红（高可视）。</w:t>
            </w:r>
          </w:p>
        </w:tc>
        <w:tc>
          <w:tcPr>
            <w:tcW w:w="960" w:type="dxa"/>
            <w:vAlign w:val="center"/>
          </w:tcPr>
          <w:p w14:paraId="692BFB0B">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5根</w:t>
            </w:r>
          </w:p>
        </w:tc>
        <w:tc>
          <w:tcPr>
            <w:tcW w:w="1321" w:type="dxa"/>
            <w:vAlign w:val="center"/>
          </w:tcPr>
          <w:p w14:paraId="620E49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供货时须提供同一生产批次产品由第三方检测机构出具的检验合格证明材料一份</w:t>
            </w:r>
          </w:p>
        </w:tc>
      </w:tr>
    </w:tbl>
    <w:p w14:paraId="1C5E04CF">
      <w:pPr>
        <w:spacing w:line="360" w:lineRule="auto"/>
        <w:ind w:firstLine="437"/>
        <w:outlineLvl w:val="1"/>
        <w:rPr>
          <w:rFonts w:ascii="宋体" w:hAnsi="宋体" w:eastAsia="宋体"/>
          <w:b/>
          <w:bCs/>
          <w:color w:val="auto"/>
          <w:sz w:val="24"/>
          <w:szCs w:val="18"/>
          <w:highlight w:val="none"/>
        </w:rPr>
      </w:pPr>
      <w:bookmarkStart w:id="62" w:name="_Toc2341"/>
      <w:bookmarkStart w:id="63" w:name="_Toc32728"/>
      <w:r>
        <w:rPr>
          <w:rFonts w:hint="eastAsia" w:ascii="宋体" w:hAnsi="宋体" w:eastAsia="宋体"/>
          <w:b/>
          <w:bCs/>
          <w:color w:val="auto"/>
          <w:sz w:val="24"/>
          <w:szCs w:val="18"/>
          <w:highlight w:val="none"/>
        </w:rPr>
        <w:t>三、报价要求</w:t>
      </w:r>
      <w:bookmarkEnd w:id="62"/>
      <w:bookmarkEnd w:id="63"/>
    </w:p>
    <w:p w14:paraId="4103BB9F">
      <w:pPr>
        <w:spacing w:line="360" w:lineRule="auto"/>
        <w:ind w:firstLine="435"/>
        <w:rPr>
          <w:rFonts w:hint="eastAsia" w:asciiTheme="minorEastAsia" w:hAnsiTheme="minorEastAsia" w:eastAsiaTheme="minorEastAsia"/>
          <w:b/>
          <w:color w:val="auto"/>
          <w:sz w:val="28"/>
          <w:highlight w:val="none"/>
        </w:rPr>
      </w:pPr>
      <w:r>
        <w:rPr>
          <w:rFonts w:hint="eastAsia" w:ascii="宋体" w:hAnsi="宋体" w:eastAsia="宋体" w:cs="宋体"/>
          <w:color w:val="auto"/>
          <w:sz w:val="24"/>
          <w:szCs w:val="24"/>
          <w:highlight w:val="none"/>
          <w:lang w:val="en-US" w:eastAsia="zh-CN"/>
        </w:rPr>
        <w:t>投标报价</w:t>
      </w:r>
      <w:r>
        <w:rPr>
          <w:rFonts w:hint="eastAsia" w:ascii="宋体" w:hAnsi="宋体" w:eastAsia="宋体" w:cs="宋体"/>
          <w:color w:val="auto"/>
          <w:sz w:val="24"/>
          <w:szCs w:val="24"/>
          <w:highlight w:val="none"/>
        </w:rPr>
        <w:t>包括了货物及其配套的设计、采购、制造、检测、试验、运输、保险、仓储、税费以及现场落地、安装及安装耗损、调试、培训、技术服务（包括技术资料、图纸的提供）质保期内的售后服务保障等所有费用。</w:t>
      </w:r>
      <w:r>
        <w:rPr>
          <w:rFonts w:hint="eastAsia" w:asciiTheme="minorEastAsia" w:hAnsiTheme="minorEastAsia" w:eastAsiaTheme="minorEastAsia"/>
          <w:b/>
          <w:color w:val="auto"/>
          <w:sz w:val="28"/>
          <w:highlight w:val="none"/>
        </w:rPr>
        <w:br w:type="page"/>
      </w:r>
    </w:p>
    <w:p w14:paraId="72D49CBB">
      <w:pPr>
        <w:spacing w:line="360" w:lineRule="auto"/>
        <w:jc w:val="center"/>
        <w:outlineLvl w:val="0"/>
        <w:rPr>
          <w:rFonts w:asciiTheme="minorEastAsia" w:hAnsiTheme="minorEastAsia" w:eastAsiaTheme="minorEastAsia"/>
          <w:b/>
          <w:color w:val="auto"/>
          <w:sz w:val="28"/>
          <w:highlight w:val="none"/>
        </w:rPr>
      </w:pPr>
      <w:bookmarkStart w:id="64" w:name="_Toc5189"/>
      <w:r>
        <w:rPr>
          <w:rFonts w:hint="eastAsia" w:asciiTheme="minorEastAsia" w:hAnsiTheme="minorEastAsia" w:eastAsiaTheme="minorEastAsia"/>
          <w:b/>
          <w:color w:val="auto"/>
          <w:sz w:val="28"/>
          <w:highlight w:val="none"/>
        </w:rPr>
        <w:t>第四章  评审方法和标准</w:t>
      </w:r>
      <w:bookmarkEnd w:id="64"/>
    </w:p>
    <w:p w14:paraId="2E740372">
      <w:pPr>
        <w:spacing w:line="360" w:lineRule="auto"/>
        <w:ind w:firstLine="437"/>
        <w:outlineLvl w:val="1"/>
        <w:rPr>
          <w:rFonts w:asciiTheme="minorEastAsia" w:hAnsiTheme="minorEastAsia" w:eastAsiaTheme="minorEastAsia"/>
          <w:b/>
          <w:color w:val="auto"/>
          <w:sz w:val="24"/>
          <w:highlight w:val="none"/>
        </w:rPr>
      </w:pPr>
      <w:bookmarkStart w:id="65" w:name="_Toc12542"/>
      <w:bookmarkStart w:id="66" w:name="_Toc3557"/>
      <w:r>
        <w:rPr>
          <w:rFonts w:hint="eastAsia" w:asciiTheme="minorEastAsia" w:hAnsiTheme="minorEastAsia" w:eastAsiaTheme="minorEastAsia"/>
          <w:b/>
          <w:color w:val="auto"/>
          <w:sz w:val="24"/>
          <w:highlight w:val="none"/>
        </w:rPr>
        <w:t>一、总则</w:t>
      </w:r>
      <w:bookmarkEnd w:id="65"/>
      <w:bookmarkEnd w:id="66"/>
    </w:p>
    <w:p w14:paraId="267E9F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 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1C1C2E90">
      <w:pPr>
        <w:spacing w:line="360" w:lineRule="auto"/>
        <w:ind w:firstLine="437"/>
        <w:outlineLvl w:val="1"/>
        <w:rPr>
          <w:rFonts w:asciiTheme="minorEastAsia" w:hAnsiTheme="minorEastAsia" w:eastAsiaTheme="minorEastAsia"/>
          <w:b/>
          <w:color w:val="auto"/>
          <w:sz w:val="24"/>
          <w:highlight w:val="none"/>
        </w:rPr>
      </w:pPr>
      <w:bookmarkStart w:id="67" w:name="_Toc7624"/>
      <w:bookmarkStart w:id="68" w:name="_Toc27956"/>
      <w:r>
        <w:rPr>
          <w:rFonts w:hint="eastAsia" w:asciiTheme="minorEastAsia" w:hAnsiTheme="minorEastAsia" w:eastAsiaTheme="minorEastAsia"/>
          <w:b/>
          <w:color w:val="auto"/>
          <w:sz w:val="24"/>
          <w:highlight w:val="none"/>
        </w:rPr>
        <w:t>二、评审方法</w:t>
      </w:r>
      <w:bookmarkEnd w:id="67"/>
      <w:bookmarkEnd w:id="68"/>
    </w:p>
    <w:p w14:paraId="1AC6FA99">
      <w:pPr>
        <w:spacing w:line="360" w:lineRule="auto"/>
        <w:ind w:firstLine="435"/>
        <w:outlineLvl w:val="2"/>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2.1初审</w:t>
      </w:r>
      <w:r>
        <w:rPr>
          <w:rFonts w:hint="eastAsia" w:asciiTheme="minorEastAsia" w:hAnsiTheme="minorEastAsia" w:eastAsiaTheme="minorEastAsia"/>
          <w:color w:val="auto"/>
          <w:sz w:val="24"/>
          <w:highlight w:val="none"/>
          <w:lang w:val="en-US" w:eastAsia="zh-CN"/>
        </w:rPr>
        <w:t xml:space="preserve"> </w:t>
      </w:r>
    </w:p>
    <w:p w14:paraId="3FEA04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22"/>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1651"/>
        <w:gridCol w:w="4556"/>
        <w:gridCol w:w="1898"/>
      </w:tblGrid>
      <w:tr w14:paraId="0515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139FD59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lang w:val="en-US" w:eastAsia="zh-CN"/>
              </w:rPr>
              <w:t>初审</w:t>
            </w:r>
            <w:r>
              <w:rPr>
                <w:rFonts w:hint="eastAsia" w:ascii="宋体" w:hAnsi="宋体" w:eastAsia="宋体"/>
                <w:b/>
                <w:color w:val="auto"/>
                <w:sz w:val="24"/>
                <w:szCs w:val="22"/>
                <w:highlight w:val="none"/>
              </w:rPr>
              <w:t>表</w:t>
            </w:r>
          </w:p>
        </w:tc>
      </w:tr>
      <w:tr w14:paraId="47C9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tcBorders>
              <w:bottom w:val="single" w:color="auto" w:sz="4" w:space="0"/>
            </w:tcBorders>
            <w:vAlign w:val="center"/>
          </w:tcPr>
          <w:p w14:paraId="2D2CC14A">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2" w:type="pct"/>
            <w:tcBorders>
              <w:bottom w:val="single" w:color="auto" w:sz="4" w:space="0"/>
            </w:tcBorders>
            <w:vAlign w:val="center"/>
          </w:tcPr>
          <w:p w14:paraId="26697152">
            <w:pPr>
              <w:pStyle w:val="41"/>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审查指标</w:t>
            </w:r>
          </w:p>
        </w:tc>
        <w:tc>
          <w:tcPr>
            <w:tcW w:w="2600" w:type="pct"/>
            <w:tcBorders>
              <w:bottom w:val="single" w:color="auto" w:sz="4" w:space="0"/>
            </w:tcBorders>
            <w:vAlign w:val="center"/>
          </w:tcPr>
          <w:p w14:paraId="7CBCB84D">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审查标准</w:t>
            </w:r>
          </w:p>
        </w:tc>
        <w:tc>
          <w:tcPr>
            <w:tcW w:w="1082" w:type="pct"/>
            <w:tcBorders>
              <w:bottom w:val="single" w:color="auto" w:sz="4" w:space="0"/>
            </w:tcBorders>
            <w:vAlign w:val="center"/>
          </w:tcPr>
          <w:p w14:paraId="2D0DC822">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038ED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5" w:type="pct"/>
            <w:tcBorders>
              <w:bottom w:val="single" w:color="auto" w:sz="4" w:space="0"/>
            </w:tcBorders>
            <w:vAlign w:val="center"/>
          </w:tcPr>
          <w:p w14:paraId="6411C92C">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2" w:type="pct"/>
            <w:tcBorders>
              <w:bottom w:val="single" w:color="auto" w:sz="4" w:space="0"/>
            </w:tcBorders>
            <w:vAlign w:val="center"/>
          </w:tcPr>
          <w:p w14:paraId="7F8F5019">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600" w:type="pct"/>
            <w:tcBorders>
              <w:bottom w:val="single" w:color="auto" w:sz="4" w:space="0"/>
            </w:tcBorders>
            <w:vAlign w:val="center"/>
          </w:tcPr>
          <w:p w14:paraId="6B351CC7">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6DDCE591">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0AC5B91C">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0B5A6611">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24D99AAC">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082" w:type="pct"/>
            <w:vAlign w:val="center"/>
          </w:tcPr>
          <w:p w14:paraId="0BC585AF">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的联合体各方均须提供。</w:t>
            </w:r>
          </w:p>
        </w:tc>
      </w:tr>
      <w:tr w14:paraId="2A00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5" w:type="pct"/>
            <w:tcBorders>
              <w:bottom w:val="single" w:color="auto" w:sz="4" w:space="0"/>
            </w:tcBorders>
            <w:vAlign w:val="center"/>
          </w:tcPr>
          <w:p w14:paraId="363C5BCB">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2" w:type="pct"/>
            <w:tcBorders>
              <w:bottom w:val="single" w:color="auto" w:sz="4" w:space="0"/>
            </w:tcBorders>
            <w:vAlign w:val="center"/>
          </w:tcPr>
          <w:p w14:paraId="56BB50EA">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供应商资格声明书</w:t>
            </w:r>
          </w:p>
        </w:tc>
        <w:tc>
          <w:tcPr>
            <w:tcW w:w="2600" w:type="pct"/>
            <w:tcBorders>
              <w:bottom w:val="single" w:color="auto" w:sz="4" w:space="0"/>
            </w:tcBorders>
            <w:vAlign w:val="center"/>
          </w:tcPr>
          <w:p w14:paraId="39B8A15E">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w:t>
            </w:r>
            <w:r>
              <w:rPr>
                <w:rFonts w:hint="eastAsia" w:ascii="宋体" w:hAnsi="宋体" w:eastAsia="宋体" w:cs="宋体"/>
                <w:color w:val="auto"/>
                <w:sz w:val="24"/>
                <w:szCs w:val="24"/>
                <w:highlight w:val="none"/>
                <w:lang w:val="en-US" w:eastAsia="zh-CN"/>
              </w:rPr>
              <w:t>磋商</w:t>
            </w:r>
            <w:r>
              <w:rPr>
                <w:rFonts w:ascii="宋体" w:hAnsi="宋体" w:eastAsia="宋体" w:cs="宋体"/>
                <w:color w:val="auto"/>
                <w:sz w:val="24"/>
                <w:szCs w:val="24"/>
                <w:highlight w:val="none"/>
              </w:rPr>
              <w:t>文件要求的《</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资格声明书》</w:t>
            </w:r>
            <w:r>
              <w:rPr>
                <w:rFonts w:hint="eastAsia" w:ascii="宋体" w:hAnsi="宋体" w:eastAsia="宋体" w:cs="宋体"/>
                <w:color w:val="auto"/>
                <w:sz w:val="24"/>
                <w:szCs w:val="24"/>
                <w:highlight w:val="none"/>
                <w:lang w:eastAsia="zh-CN"/>
              </w:rPr>
              <w:t>。</w:t>
            </w:r>
          </w:p>
        </w:tc>
        <w:tc>
          <w:tcPr>
            <w:tcW w:w="1082" w:type="pct"/>
            <w:vAlign w:val="center"/>
          </w:tcPr>
          <w:p w14:paraId="15FE5D0F">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7983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tcBorders>
              <w:bottom w:val="single" w:color="auto" w:sz="4" w:space="0"/>
            </w:tcBorders>
            <w:vAlign w:val="center"/>
          </w:tcPr>
          <w:p w14:paraId="6D648604">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2" w:type="pct"/>
            <w:tcBorders>
              <w:bottom w:val="single" w:color="auto" w:sz="4" w:space="0"/>
            </w:tcBorders>
            <w:vAlign w:val="center"/>
          </w:tcPr>
          <w:p w14:paraId="1B1437BA">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600" w:type="pct"/>
            <w:tcBorders>
              <w:bottom w:val="single" w:color="auto" w:sz="4" w:space="0"/>
            </w:tcBorders>
            <w:vAlign w:val="center"/>
          </w:tcPr>
          <w:p w14:paraId="56A18883">
            <w:pPr>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不得存在</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须知正文第1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82" w:type="pct"/>
            <w:tcBorders>
              <w:bottom w:val="single" w:color="auto" w:sz="4" w:space="0"/>
            </w:tcBorders>
            <w:vAlign w:val="center"/>
          </w:tcPr>
          <w:p w14:paraId="7217900E">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w:t>
            </w:r>
            <w:r>
              <w:rPr>
                <w:rFonts w:hint="eastAsia" w:ascii="宋体" w:hAnsi="宋体" w:eastAsia="宋体" w:cs="宋体"/>
                <w:color w:val="auto"/>
                <w:sz w:val="24"/>
                <w:szCs w:val="24"/>
                <w:highlight w:val="none"/>
                <w:lang w:val="en-US" w:eastAsia="zh-CN"/>
              </w:rPr>
              <w:t>供应商提</w:t>
            </w:r>
            <w:r>
              <w:rPr>
                <w:rFonts w:hint="eastAsia" w:ascii="宋体" w:hAnsi="宋体" w:eastAsia="宋体" w:cs="宋体"/>
                <w:color w:val="auto"/>
                <w:sz w:val="24"/>
                <w:szCs w:val="24"/>
                <w:highlight w:val="none"/>
              </w:rPr>
              <w:t>供，由采购人或采购代理机构查询。</w:t>
            </w:r>
          </w:p>
        </w:tc>
      </w:tr>
      <w:tr w14:paraId="74420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44D1EF5E">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4</w:t>
            </w:r>
          </w:p>
        </w:tc>
        <w:tc>
          <w:tcPr>
            <w:tcW w:w="942" w:type="pct"/>
            <w:vAlign w:val="center"/>
          </w:tcPr>
          <w:p w14:paraId="6225A875">
            <w:pPr>
              <w:spacing w:after="50" w:line="360" w:lineRule="auto"/>
              <w:ind w:right="-10"/>
              <w:jc w:val="both"/>
              <w:rPr>
                <w:rFonts w:ascii="宋体" w:hAnsi="宋体" w:eastAsia="宋体" w:cs="宋体"/>
                <w:color w:val="auto"/>
                <w:spacing w:val="10"/>
                <w:sz w:val="24"/>
                <w:szCs w:val="24"/>
                <w:highlight w:val="none"/>
                <w:lang w:val="en-US" w:eastAsia="zh-CN"/>
              </w:rPr>
            </w:pPr>
            <w:r>
              <w:rPr>
                <w:rFonts w:hint="eastAsia" w:ascii="宋体" w:hAnsi="宋体" w:eastAsia="宋体" w:cs="宋体"/>
                <w:color w:val="auto"/>
                <w:spacing w:val="10"/>
                <w:sz w:val="24"/>
                <w:szCs w:val="24"/>
                <w:highlight w:val="none"/>
                <w:lang w:eastAsia="zh-CN"/>
              </w:rPr>
              <w:t>本项目</w:t>
            </w:r>
            <w:r>
              <w:rPr>
                <w:rFonts w:ascii="宋体" w:hAnsi="宋体" w:eastAsia="宋体" w:cs="宋体"/>
                <w:color w:val="auto"/>
                <w:spacing w:val="10"/>
                <w:sz w:val="24"/>
                <w:szCs w:val="24"/>
                <w:highlight w:val="none"/>
              </w:rPr>
              <w:t>资格要求</w:t>
            </w:r>
          </w:p>
        </w:tc>
        <w:tc>
          <w:tcPr>
            <w:tcW w:w="2600" w:type="pct"/>
            <w:vAlign w:val="center"/>
          </w:tcPr>
          <w:p w14:paraId="6DCBAFDC">
            <w:pPr>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w:t>
            </w:r>
            <w:r>
              <w:rPr>
                <w:rFonts w:hint="eastAsia" w:ascii="宋体" w:hAnsi="宋体" w:eastAsia="宋体" w:cs="宋体"/>
                <w:color w:val="auto"/>
                <w:spacing w:val="10"/>
                <w:sz w:val="24"/>
                <w:szCs w:val="24"/>
                <w:highlight w:val="none"/>
                <w:lang w:val="en-US" w:eastAsia="zh-CN"/>
              </w:rPr>
              <w:t>磋商</w:t>
            </w:r>
            <w:r>
              <w:rPr>
                <w:rFonts w:ascii="宋体" w:hAnsi="宋体" w:eastAsia="宋体" w:cs="宋体"/>
                <w:color w:val="auto"/>
                <w:spacing w:val="10"/>
                <w:sz w:val="24"/>
                <w:szCs w:val="24"/>
                <w:highlight w:val="none"/>
              </w:rPr>
              <w:t>邀请》</w:t>
            </w:r>
          </w:p>
        </w:tc>
        <w:tc>
          <w:tcPr>
            <w:tcW w:w="1082" w:type="pct"/>
            <w:vAlign w:val="center"/>
          </w:tcPr>
          <w:p w14:paraId="02C9BE6E">
            <w:pPr>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438D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76493125">
            <w:pPr>
              <w:adjustRightInd w:val="0"/>
              <w:snapToGrid w:val="0"/>
              <w:spacing w:line="360" w:lineRule="auto"/>
              <w:ind w:right="-10" w:rightChars="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5</w:t>
            </w:r>
          </w:p>
        </w:tc>
        <w:tc>
          <w:tcPr>
            <w:tcW w:w="942" w:type="pct"/>
            <w:vAlign w:val="center"/>
          </w:tcPr>
          <w:p w14:paraId="3D9DC4C8">
            <w:pPr>
              <w:spacing w:after="50" w:line="360" w:lineRule="auto"/>
              <w:ind w:right="-10" w:rightChars="0"/>
              <w:jc w:val="center"/>
              <w:rPr>
                <w:rFonts w:hint="default"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color w:val="auto"/>
                <w:sz w:val="24"/>
                <w:szCs w:val="28"/>
                <w:highlight w:val="none"/>
                <w:lang w:val="en-US" w:eastAsia="zh-CN"/>
              </w:rPr>
              <w:t>磋商响应函</w:t>
            </w:r>
          </w:p>
        </w:tc>
        <w:tc>
          <w:tcPr>
            <w:tcW w:w="2600" w:type="pct"/>
            <w:vAlign w:val="center"/>
          </w:tcPr>
          <w:p w14:paraId="3D230125">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szCs w:val="28"/>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082" w:type="pct"/>
            <w:vAlign w:val="center"/>
          </w:tcPr>
          <w:p w14:paraId="2E4CD05A">
            <w:pPr>
              <w:adjustRightInd w:val="0"/>
              <w:snapToGrid w:val="0"/>
              <w:spacing w:line="360" w:lineRule="auto"/>
              <w:ind w:right="-10" w:rightChars="0"/>
              <w:jc w:val="center"/>
              <w:rPr>
                <w:rFonts w:hint="eastAsia"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7CBFC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0D6923C5">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6</w:t>
            </w:r>
          </w:p>
        </w:tc>
        <w:tc>
          <w:tcPr>
            <w:tcW w:w="942" w:type="pct"/>
            <w:vAlign w:val="center"/>
          </w:tcPr>
          <w:p w14:paraId="2DD5A504">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授权书</w:t>
            </w:r>
          </w:p>
        </w:tc>
        <w:tc>
          <w:tcPr>
            <w:tcW w:w="2600" w:type="pct"/>
            <w:vAlign w:val="center"/>
          </w:tcPr>
          <w:p w14:paraId="3B542F2A">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格式、填写要求符合</w:t>
            </w:r>
            <w:r>
              <w:rPr>
                <w:rFonts w:hint="eastAsia" w:ascii="宋体" w:hAnsi="宋体" w:eastAsia="宋体" w:cs="宋体"/>
                <w:color w:val="auto"/>
                <w:spacing w:val="10"/>
                <w:sz w:val="24"/>
                <w:szCs w:val="24"/>
                <w:highlight w:val="none"/>
                <w:lang w:val="en-US" w:eastAsia="zh-CN"/>
              </w:rPr>
              <w:t>磋商</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082" w:type="pct"/>
            <w:vAlign w:val="center"/>
          </w:tcPr>
          <w:p w14:paraId="2F578418">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法定代表人参加</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的无需此件，提供身份证明即可。详见第六章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72CB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6F8940B5">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7</w:t>
            </w:r>
          </w:p>
        </w:tc>
        <w:tc>
          <w:tcPr>
            <w:tcW w:w="942" w:type="pct"/>
            <w:vAlign w:val="center"/>
          </w:tcPr>
          <w:p w14:paraId="37759EFB">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报价</w:t>
            </w:r>
          </w:p>
        </w:tc>
        <w:tc>
          <w:tcPr>
            <w:tcW w:w="2600" w:type="pct"/>
            <w:vAlign w:val="center"/>
          </w:tcPr>
          <w:p w14:paraId="205B6A9C">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color w:val="auto"/>
                <w:spacing w:val="10"/>
                <w:sz w:val="24"/>
                <w:szCs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highlight w:val="none"/>
              </w:rPr>
              <w:t>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082" w:type="pct"/>
            <w:vAlign w:val="center"/>
          </w:tcPr>
          <w:p w14:paraId="0F4676DA">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01F35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37A2F101">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8</w:t>
            </w:r>
          </w:p>
        </w:tc>
        <w:tc>
          <w:tcPr>
            <w:tcW w:w="942" w:type="pct"/>
            <w:vAlign w:val="center"/>
          </w:tcPr>
          <w:p w14:paraId="50BA9866">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商务响应情况</w:t>
            </w:r>
          </w:p>
        </w:tc>
        <w:tc>
          <w:tcPr>
            <w:tcW w:w="2600" w:type="pct"/>
            <w:vAlign w:val="center"/>
          </w:tcPr>
          <w:p w14:paraId="199DC322">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color w:val="auto"/>
                <w:spacing w:val="10"/>
                <w:sz w:val="24"/>
                <w:szCs w:val="24"/>
                <w:highlight w:val="none"/>
                <w:lang w:val="en-US" w:eastAsia="zh-CN"/>
              </w:rPr>
              <w:t>磋商</w:t>
            </w:r>
            <w:r>
              <w:rPr>
                <w:rFonts w:hint="eastAsia" w:asciiTheme="minorEastAsia" w:hAnsiTheme="minorEastAsia" w:eastAsiaTheme="minorEastAsia"/>
                <w:color w:val="auto"/>
                <w:sz w:val="24"/>
                <w:szCs w:val="28"/>
                <w:highlight w:val="none"/>
              </w:rPr>
              <w:t>文件采购需求中对付款方式、供货及安装期限、供货及安装地点、免费质保期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082" w:type="pct"/>
            <w:vAlign w:val="center"/>
          </w:tcPr>
          <w:p w14:paraId="6FFCC22F">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32AE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16D932C7">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9</w:t>
            </w:r>
          </w:p>
        </w:tc>
        <w:tc>
          <w:tcPr>
            <w:tcW w:w="942" w:type="pct"/>
            <w:vAlign w:val="center"/>
          </w:tcPr>
          <w:p w14:paraId="208080AF">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技术响应情况</w:t>
            </w:r>
          </w:p>
        </w:tc>
        <w:tc>
          <w:tcPr>
            <w:tcW w:w="2600" w:type="pct"/>
            <w:vAlign w:val="center"/>
          </w:tcPr>
          <w:p w14:paraId="1DDF3778">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color w:val="auto"/>
                <w:spacing w:val="10"/>
                <w:sz w:val="24"/>
                <w:szCs w:val="24"/>
                <w:highlight w:val="none"/>
                <w:lang w:val="en-US" w:eastAsia="zh-CN"/>
              </w:rPr>
              <w:t>磋商</w:t>
            </w:r>
            <w:r>
              <w:rPr>
                <w:rFonts w:hint="eastAsia" w:asciiTheme="minorEastAsia" w:hAnsiTheme="minorEastAsia" w:eastAsiaTheme="minorEastAsia"/>
                <w:color w:val="auto"/>
                <w:sz w:val="24"/>
                <w:szCs w:val="28"/>
                <w:highlight w:val="none"/>
              </w:rPr>
              <w:t>文件采购需求中货物技术参数</w:t>
            </w:r>
            <w:r>
              <w:rPr>
                <w:rFonts w:hint="eastAsia" w:asciiTheme="minorEastAsia" w:hAnsiTheme="minorEastAsia" w:eastAsiaTheme="minorEastAsia"/>
                <w:color w:val="auto"/>
                <w:sz w:val="24"/>
                <w:szCs w:val="28"/>
                <w:highlight w:val="none"/>
                <w:lang w:val="en-US" w:eastAsia="zh-CN"/>
              </w:rPr>
              <w:t>等实质性要求</w:t>
            </w:r>
          </w:p>
        </w:tc>
        <w:tc>
          <w:tcPr>
            <w:tcW w:w="1082" w:type="pct"/>
            <w:vAlign w:val="center"/>
          </w:tcPr>
          <w:p w14:paraId="42F68083">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0D22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363B9A74">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10</w:t>
            </w:r>
          </w:p>
        </w:tc>
        <w:tc>
          <w:tcPr>
            <w:tcW w:w="942" w:type="pct"/>
            <w:vAlign w:val="center"/>
          </w:tcPr>
          <w:p w14:paraId="01C56494">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其他要求</w:t>
            </w:r>
          </w:p>
        </w:tc>
        <w:tc>
          <w:tcPr>
            <w:tcW w:w="2600" w:type="pct"/>
            <w:vAlign w:val="center"/>
          </w:tcPr>
          <w:p w14:paraId="11013B5F">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符合法律、行政法规规定的其他条件或</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文件列明的其他</w:t>
            </w:r>
            <w:r>
              <w:rPr>
                <w:rFonts w:hint="eastAsia" w:asciiTheme="minorEastAsia" w:hAnsiTheme="minorEastAsia" w:eastAsiaTheme="minorEastAsia"/>
                <w:color w:val="auto"/>
                <w:sz w:val="24"/>
                <w:szCs w:val="28"/>
                <w:highlight w:val="none"/>
                <w:lang w:val="en-US" w:eastAsia="zh-CN"/>
              </w:rPr>
              <w:t>实质性要求</w:t>
            </w:r>
          </w:p>
        </w:tc>
        <w:tc>
          <w:tcPr>
            <w:tcW w:w="1082" w:type="pct"/>
            <w:vAlign w:val="center"/>
          </w:tcPr>
          <w:p w14:paraId="731E9E36">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p>
        </w:tc>
      </w:tr>
    </w:tbl>
    <w:p w14:paraId="47C365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32A459D7">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审查</w:t>
      </w:r>
    </w:p>
    <w:tbl>
      <w:tblPr>
        <w:tblStyle w:val="22"/>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A55AF2A">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242D7536">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63EC8315">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3262601">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4828CEF5">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异常低价响应审查</w:t>
            </w:r>
          </w:p>
        </w:tc>
        <w:tc>
          <w:tcPr>
            <w:tcW w:w="4439" w:type="dxa"/>
            <w:tcBorders>
              <w:bottom w:val="single" w:color="auto" w:sz="4" w:space="0"/>
            </w:tcBorders>
            <w:vAlign w:val="center"/>
          </w:tcPr>
          <w:p w14:paraId="14855D12">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（1）报价＜全部通过初审供应商响应报价平均值×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12D6E1A2">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（2）报价＜通过初审的次低报价供应商响应报价×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595C90C5">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（3）报价＜采购项目最高限价（如采购项目未设定最高限价的，以采购项目预算金额作为最高限价）×</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6545F9B4">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（4）磋商小组基于专业判断，认为供应商报价过低，有可能影响产品质量或者不能诚信履约的其他情形。</w:t>
            </w:r>
          </w:p>
          <w:p w14:paraId="22EF0DF8">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提醒：</w:t>
            </w:r>
          </w:p>
          <w:p w14:paraId="5CB21018">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（1）上述第（1）项数值计算：涉及总价、单价的精确到“分”并四舍五入，涉及费率的精确到小数点后两位，第三位四舍五入（例：如平均值为123.456元，即为123.46元；如平均值为80.126%，即为80.13%）。</w:t>
            </w:r>
          </w:p>
          <w:p w14:paraId="6EF1AE16">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（2）上述第（1）项至第（2）项中的供应商响应报价为最后承诺报价。</w:t>
            </w:r>
          </w:p>
        </w:tc>
        <w:tc>
          <w:tcPr>
            <w:tcW w:w="2260" w:type="dxa"/>
            <w:vAlign w:val="center"/>
          </w:tcPr>
          <w:p w14:paraId="4F4E35C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5C50771">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093365C8">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rPr>
        <w:t>根据《关于推进解决政府采购异常低价问题的通知》（财库〔2026〕2号），</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153DDD6B">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rPr>
      </w:pPr>
      <w:r>
        <w:rPr>
          <w:rFonts w:hint="eastAsia" w:ascii="宋体" w:hAnsi="宋体" w:eastAsia="宋体"/>
          <w:color w:val="auto"/>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项情形，供应商已随响应文件一并提交相关书面说明及必要的证明材料的，在评审现场可不再重复提交。</w:t>
      </w:r>
    </w:p>
    <w:p w14:paraId="669F48D6">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rPr>
      </w:pPr>
      <w:r>
        <w:rPr>
          <w:rFonts w:hint="eastAsia" w:ascii="宋体" w:hAnsi="宋体" w:eastAsia="宋体"/>
          <w:color w:val="auto"/>
          <w:sz w:val="24"/>
          <w:highlight w:val="none"/>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47C7BF08">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Arial"/>
          <w:color w:val="auto"/>
          <w:sz w:val="24"/>
          <w:highlight w:val="none"/>
          <w:lang w:val="en-US" w:eastAsia="zh-CN"/>
        </w:rPr>
      </w:pPr>
      <w:r>
        <w:rPr>
          <w:rFonts w:hint="eastAsia" w:ascii="宋体" w:hAnsi="宋体" w:eastAsia="宋体"/>
          <w:color w:val="auto"/>
          <w:sz w:val="24"/>
          <w:highlight w:val="none"/>
        </w:rPr>
        <w:t xml:space="preserve">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 </w:t>
      </w:r>
    </w:p>
    <w:p w14:paraId="3A058284">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5DD055B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ascii="宋体" w:hAnsi="宋体" w:eastAsia="宋体"/>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6FCB36C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rPr>
        <w:t>%。具体评分细则如下：</w:t>
      </w:r>
    </w:p>
    <w:p w14:paraId="6862DF66">
      <w:pPr>
        <w:pStyle w:val="8"/>
        <w:rPr>
          <w:color w:val="auto"/>
          <w:highlight w:val="none"/>
        </w:rPr>
      </w:pPr>
    </w:p>
    <w:tbl>
      <w:tblPr>
        <w:tblStyle w:val="22"/>
        <w:tblW w:w="5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1"/>
        <w:gridCol w:w="1277"/>
        <w:gridCol w:w="6251"/>
        <w:gridCol w:w="1343"/>
      </w:tblGrid>
      <w:tr w14:paraId="2F3A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74" w:type="pct"/>
            <w:tcBorders>
              <w:top w:val="single" w:color="auto" w:sz="4" w:space="0"/>
              <w:left w:val="single" w:color="auto" w:sz="4" w:space="0"/>
              <w:bottom w:val="single" w:color="auto" w:sz="4" w:space="0"/>
              <w:right w:val="single" w:color="auto" w:sz="4" w:space="0"/>
            </w:tcBorders>
            <w:vAlign w:val="center"/>
          </w:tcPr>
          <w:p w14:paraId="49B655F0">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类别</w:t>
            </w:r>
          </w:p>
        </w:tc>
        <w:tc>
          <w:tcPr>
            <w:tcW w:w="637" w:type="pct"/>
            <w:tcBorders>
              <w:top w:val="single" w:color="auto" w:sz="4" w:space="0"/>
              <w:left w:val="single" w:color="auto" w:sz="4" w:space="0"/>
              <w:bottom w:val="single" w:color="auto" w:sz="4" w:space="0"/>
              <w:right w:val="single" w:color="auto" w:sz="4" w:space="0"/>
            </w:tcBorders>
            <w:vAlign w:val="center"/>
          </w:tcPr>
          <w:p w14:paraId="621F51B8">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评分内容</w:t>
            </w:r>
          </w:p>
        </w:tc>
        <w:tc>
          <w:tcPr>
            <w:tcW w:w="3118" w:type="pct"/>
            <w:tcBorders>
              <w:top w:val="single" w:color="auto" w:sz="4" w:space="0"/>
              <w:left w:val="single" w:color="auto" w:sz="4" w:space="0"/>
              <w:bottom w:val="single" w:color="auto" w:sz="4" w:space="0"/>
              <w:right w:val="single" w:color="auto" w:sz="4" w:space="0"/>
            </w:tcBorders>
            <w:vAlign w:val="center"/>
          </w:tcPr>
          <w:p w14:paraId="7764E457">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c>
          <w:tcPr>
            <w:tcW w:w="670" w:type="pct"/>
            <w:tcBorders>
              <w:top w:val="single" w:color="auto" w:sz="4" w:space="0"/>
              <w:left w:val="single" w:color="auto" w:sz="4" w:space="0"/>
              <w:bottom w:val="single" w:color="auto" w:sz="4" w:space="0"/>
              <w:right w:val="single" w:color="auto" w:sz="4" w:space="0"/>
            </w:tcBorders>
            <w:vAlign w:val="center"/>
          </w:tcPr>
          <w:p w14:paraId="40A68BD9">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分值范围</w:t>
            </w:r>
          </w:p>
        </w:tc>
      </w:tr>
      <w:tr w14:paraId="7ABBA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vMerge w:val="restart"/>
            <w:tcBorders>
              <w:top w:val="single" w:color="auto" w:sz="4" w:space="0"/>
              <w:left w:val="single" w:color="auto" w:sz="4" w:space="0"/>
              <w:right w:val="single" w:color="auto" w:sz="4" w:space="0"/>
            </w:tcBorders>
            <w:vAlign w:val="center"/>
          </w:tcPr>
          <w:p w14:paraId="2C7CA9E1">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技术资信分</w:t>
            </w:r>
          </w:p>
          <w:p w14:paraId="5BE2CABC">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70</w:t>
            </w:r>
            <w:r>
              <w:rPr>
                <w:rFonts w:hint="eastAsia" w:ascii="宋体" w:hAnsi="宋体" w:eastAsia="宋体" w:cs="宋体"/>
                <w:color w:val="auto"/>
                <w:sz w:val="24"/>
                <w:szCs w:val="24"/>
                <w:highlight w:val="none"/>
              </w:rPr>
              <w:t>分）</w:t>
            </w:r>
          </w:p>
        </w:tc>
        <w:tc>
          <w:tcPr>
            <w:tcW w:w="637" w:type="pct"/>
            <w:tcBorders>
              <w:top w:val="single" w:color="auto" w:sz="4" w:space="0"/>
              <w:left w:val="single" w:color="auto" w:sz="4" w:space="0"/>
              <w:bottom w:val="single" w:color="auto" w:sz="4" w:space="0"/>
              <w:right w:val="single" w:color="auto" w:sz="4" w:space="0"/>
            </w:tcBorders>
            <w:vAlign w:val="center"/>
          </w:tcPr>
          <w:p w14:paraId="7B0C1793">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供应商业绩</w:t>
            </w:r>
          </w:p>
        </w:tc>
        <w:tc>
          <w:tcPr>
            <w:tcW w:w="3118" w:type="pct"/>
            <w:tcBorders>
              <w:top w:val="single" w:color="auto" w:sz="4" w:space="0"/>
              <w:left w:val="single" w:color="auto" w:sz="4" w:space="0"/>
              <w:bottom w:val="single" w:color="auto" w:sz="4" w:space="0"/>
              <w:right w:val="single" w:color="auto" w:sz="4" w:space="0"/>
            </w:tcBorders>
            <w:vAlign w:val="center"/>
          </w:tcPr>
          <w:p w14:paraId="22C41885">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年1月1日以来，</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具有</w:t>
            </w:r>
            <w:r>
              <w:rPr>
                <w:rFonts w:hint="eastAsia" w:ascii="宋体" w:hAnsi="宋体" w:eastAsia="宋体" w:cs="宋体"/>
                <w:color w:val="auto"/>
                <w:sz w:val="24"/>
                <w:szCs w:val="24"/>
                <w:highlight w:val="none"/>
                <w:lang w:val="en-US" w:eastAsia="zh-CN"/>
              </w:rPr>
              <w:t>类似</w:t>
            </w:r>
            <w:r>
              <w:rPr>
                <w:rFonts w:hint="eastAsia" w:ascii="宋体" w:hAnsi="宋体" w:eastAsia="宋体" w:cs="宋体"/>
                <w:color w:val="auto"/>
                <w:sz w:val="24"/>
                <w:szCs w:val="24"/>
                <w:highlight w:val="none"/>
              </w:rPr>
              <w:t>应急救灾</w:t>
            </w:r>
            <w:r>
              <w:rPr>
                <w:rFonts w:hint="eastAsia" w:ascii="宋体" w:hAnsi="宋体" w:eastAsia="宋体" w:cs="宋体"/>
                <w:color w:val="auto"/>
                <w:sz w:val="24"/>
                <w:szCs w:val="24"/>
                <w:highlight w:val="none"/>
                <w:lang w:val="en-US" w:eastAsia="zh-CN"/>
              </w:rPr>
              <w:t>物资供货</w:t>
            </w:r>
            <w:r>
              <w:rPr>
                <w:rFonts w:hint="eastAsia" w:ascii="宋体" w:hAnsi="宋体" w:eastAsia="宋体" w:cs="宋体"/>
                <w:color w:val="auto"/>
                <w:sz w:val="24"/>
                <w:szCs w:val="24"/>
                <w:highlight w:val="none"/>
              </w:rPr>
              <w:t>业绩，每提供</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个有效业绩得</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分，满分</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7A55B9A0">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注：1）业绩时间以合同签订时间为准；</w:t>
            </w:r>
          </w:p>
          <w:p w14:paraId="4A083BBD">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投标文件中提供以上业绩合同扫描件</w:t>
            </w:r>
          </w:p>
        </w:tc>
        <w:tc>
          <w:tcPr>
            <w:tcW w:w="670" w:type="pct"/>
            <w:tcBorders>
              <w:top w:val="single" w:color="auto" w:sz="4" w:space="0"/>
              <w:left w:val="single" w:color="auto" w:sz="4" w:space="0"/>
              <w:bottom w:val="single" w:color="auto" w:sz="4" w:space="0"/>
              <w:right w:val="single" w:color="auto" w:sz="4" w:space="0"/>
            </w:tcBorders>
            <w:vAlign w:val="center"/>
          </w:tcPr>
          <w:p w14:paraId="7591B6CA">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0-8分</w:t>
            </w:r>
          </w:p>
        </w:tc>
      </w:tr>
      <w:tr w14:paraId="2B2DA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vMerge w:val="continue"/>
            <w:tcBorders>
              <w:left w:val="single" w:color="auto" w:sz="4" w:space="0"/>
              <w:right w:val="single" w:color="auto" w:sz="4" w:space="0"/>
            </w:tcBorders>
            <w:vAlign w:val="center"/>
          </w:tcPr>
          <w:p w14:paraId="249D203A">
            <w:pPr>
              <w:keepNext w:val="0"/>
              <w:keepLines w:val="0"/>
              <w:pageBreakBefore w:val="0"/>
              <w:widowControl w:val="0"/>
              <w:kinsoku/>
              <w:wordWrap/>
              <w:overflowPunct/>
              <w:topLinePunct w:val="0"/>
              <w:autoSpaceDE/>
              <w:autoSpaceDN/>
              <w:bidi w:val="0"/>
              <w:spacing w:line="360" w:lineRule="auto"/>
              <w:ind w:firstLine="435"/>
              <w:jc w:val="center"/>
              <w:textAlignment w:val="auto"/>
              <w:rPr>
                <w:rFonts w:hint="eastAsia" w:ascii="宋体" w:hAnsi="宋体" w:eastAsia="宋体" w:cs="宋体"/>
                <w:b/>
                <w:bCs/>
                <w:color w:val="auto"/>
                <w:sz w:val="24"/>
                <w:szCs w:val="24"/>
                <w:highlight w:val="none"/>
              </w:rPr>
            </w:pPr>
          </w:p>
        </w:tc>
        <w:tc>
          <w:tcPr>
            <w:tcW w:w="637" w:type="pct"/>
            <w:tcBorders>
              <w:top w:val="single" w:color="auto" w:sz="4" w:space="0"/>
              <w:left w:val="single" w:color="auto" w:sz="4" w:space="0"/>
              <w:bottom w:val="single" w:color="auto" w:sz="4" w:space="0"/>
              <w:right w:val="single" w:color="auto" w:sz="4" w:space="0"/>
            </w:tcBorders>
            <w:vAlign w:val="center"/>
          </w:tcPr>
          <w:p w14:paraId="4F1138FF">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技术参数</w:t>
            </w:r>
          </w:p>
        </w:tc>
        <w:tc>
          <w:tcPr>
            <w:tcW w:w="3118" w:type="pct"/>
            <w:tcBorders>
              <w:top w:val="single" w:color="auto" w:sz="4" w:space="0"/>
              <w:left w:val="single" w:color="auto" w:sz="4" w:space="0"/>
              <w:bottom w:val="single" w:color="auto" w:sz="4" w:space="0"/>
              <w:right w:val="single" w:color="auto" w:sz="4" w:space="0"/>
            </w:tcBorders>
            <w:vAlign w:val="center"/>
          </w:tcPr>
          <w:p w14:paraId="0B24921E">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未</w:t>
            </w:r>
            <w:r>
              <w:rPr>
                <w:rFonts w:hint="eastAsia" w:ascii="宋体" w:hAnsi="宋体" w:eastAsia="宋体" w:cs="宋体"/>
                <w:color w:val="auto"/>
                <w:sz w:val="24"/>
                <w:szCs w:val="24"/>
                <w:highlight w:val="none"/>
              </w:rPr>
              <w:t>标注的参数为必须响应参数，不得负偏离，否则</w:t>
            </w:r>
            <w:r>
              <w:rPr>
                <w:rFonts w:hint="eastAsia" w:ascii="宋体" w:hAnsi="宋体" w:eastAsia="宋体" w:cs="宋体"/>
                <w:color w:val="auto"/>
                <w:sz w:val="24"/>
                <w:szCs w:val="24"/>
                <w:highlight w:val="none"/>
                <w:lang w:val="en-US" w:eastAsia="zh-CN"/>
              </w:rPr>
              <w:t>按</w:t>
            </w:r>
            <w:r>
              <w:rPr>
                <w:rFonts w:hint="eastAsia" w:ascii="宋体" w:hAnsi="宋体" w:eastAsia="宋体" w:cs="宋体"/>
                <w:color w:val="auto"/>
                <w:sz w:val="24"/>
                <w:szCs w:val="24"/>
                <w:highlight w:val="none"/>
              </w:rPr>
              <w:t>无效</w:t>
            </w:r>
            <w:r>
              <w:rPr>
                <w:rFonts w:hint="eastAsia" w:ascii="宋体" w:hAnsi="宋体" w:eastAsia="宋体" w:cs="宋体"/>
                <w:color w:val="auto"/>
                <w:sz w:val="24"/>
                <w:szCs w:val="24"/>
                <w:highlight w:val="none"/>
                <w:lang w:val="en-US" w:eastAsia="zh-CN"/>
              </w:rPr>
              <w:t>标处理</w:t>
            </w:r>
            <w:r>
              <w:rPr>
                <w:rFonts w:hint="eastAsia" w:ascii="宋体" w:hAnsi="宋体" w:eastAsia="宋体" w:cs="宋体"/>
                <w:color w:val="auto"/>
                <w:sz w:val="24"/>
                <w:szCs w:val="24"/>
                <w:highlight w:val="none"/>
              </w:rPr>
              <w:t>；</w:t>
            </w:r>
          </w:p>
          <w:p w14:paraId="14587A38">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2.标注“★”符号的参数，每满足一项得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分，共</w:t>
            </w: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项，共</w:t>
            </w:r>
            <w:r>
              <w:rPr>
                <w:rFonts w:hint="eastAsia" w:ascii="宋体" w:hAnsi="宋体" w:eastAsia="宋体" w:cs="宋体"/>
                <w:color w:val="auto"/>
                <w:sz w:val="24"/>
                <w:szCs w:val="24"/>
                <w:highlight w:val="none"/>
                <w:lang w:val="en-US" w:eastAsia="zh-CN"/>
              </w:rPr>
              <w:t>42</w:t>
            </w:r>
            <w:r>
              <w:rPr>
                <w:rFonts w:hint="eastAsia" w:ascii="宋体" w:hAnsi="宋体" w:eastAsia="宋体" w:cs="宋体"/>
                <w:color w:val="auto"/>
                <w:sz w:val="24"/>
                <w:szCs w:val="24"/>
                <w:highlight w:val="none"/>
              </w:rPr>
              <w:t>分；</w:t>
            </w:r>
          </w:p>
          <w:p w14:paraId="05BD8D35">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如某项标识中包含多条技术参数或要求，则该项标识所含内容均需满足或优于招标文件要求，否则不予认可。</w:t>
            </w:r>
          </w:p>
          <w:p w14:paraId="723C4F9D">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以技术响应表、货物</w:t>
            </w:r>
            <w:r>
              <w:rPr>
                <w:rFonts w:hint="eastAsia" w:ascii="宋体" w:hAnsi="宋体" w:eastAsia="宋体" w:cs="宋体"/>
                <w:b/>
                <w:bCs/>
                <w:color w:val="auto"/>
                <w:sz w:val="24"/>
                <w:szCs w:val="24"/>
                <w:highlight w:val="none"/>
                <w:lang w:val="en-US" w:eastAsia="zh-CN"/>
              </w:rPr>
              <w:t>需求</w:t>
            </w:r>
            <w:r>
              <w:rPr>
                <w:rFonts w:hint="eastAsia" w:ascii="宋体" w:hAnsi="宋体" w:eastAsia="宋体" w:cs="宋体"/>
                <w:b/>
                <w:bCs/>
                <w:color w:val="auto"/>
                <w:sz w:val="24"/>
                <w:szCs w:val="24"/>
                <w:highlight w:val="none"/>
              </w:rPr>
              <w:t>中要求提供的证明材料作为评审依据。</w:t>
            </w:r>
          </w:p>
        </w:tc>
        <w:tc>
          <w:tcPr>
            <w:tcW w:w="670" w:type="pct"/>
            <w:tcBorders>
              <w:top w:val="single" w:color="auto" w:sz="4" w:space="0"/>
              <w:left w:val="single" w:color="auto" w:sz="4" w:space="0"/>
              <w:bottom w:val="single" w:color="auto" w:sz="4" w:space="0"/>
              <w:right w:val="single" w:color="auto" w:sz="4" w:space="0"/>
            </w:tcBorders>
            <w:vAlign w:val="center"/>
          </w:tcPr>
          <w:p w14:paraId="2C466BF1">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0-44分</w:t>
            </w:r>
          </w:p>
        </w:tc>
      </w:tr>
      <w:tr w14:paraId="5B5E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vMerge w:val="continue"/>
            <w:tcBorders>
              <w:left w:val="single" w:color="auto" w:sz="4" w:space="0"/>
              <w:right w:val="single" w:color="auto" w:sz="4" w:space="0"/>
            </w:tcBorders>
            <w:vAlign w:val="center"/>
          </w:tcPr>
          <w:p w14:paraId="1187F048">
            <w:pPr>
              <w:keepNext w:val="0"/>
              <w:keepLines w:val="0"/>
              <w:pageBreakBefore w:val="0"/>
              <w:widowControl w:val="0"/>
              <w:kinsoku/>
              <w:wordWrap/>
              <w:overflowPunct/>
              <w:topLinePunct w:val="0"/>
              <w:autoSpaceDE/>
              <w:autoSpaceDN/>
              <w:bidi w:val="0"/>
              <w:spacing w:line="360" w:lineRule="auto"/>
              <w:ind w:firstLine="435"/>
              <w:jc w:val="center"/>
              <w:textAlignment w:val="auto"/>
              <w:rPr>
                <w:rFonts w:hint="eastAsia" w:ascii="宋体" w:hAnsi="宋体" w:eastAsia="宋体" w:cs="宋体"/>
                <w:b/>
                <w:bCs/>
                <w:color w:val="auto"/>
                <w:sz w:val="24"/>
                <w:szCs w:val="24"/>
                <w:highlight w:val="none"/>
              </w:rPr>
            </w:pPr>
          </w:p>
        </w:tc>
        <w:tc>
          <w:tcPr>
            <w:tcW w:w="637" w:type="pct"/>
            <w:tcBorders>
              <w:top w:val="single" w:color="auto" w:sz="4" w:space="0"/>
              <w:left w:val="single" w:color="auto" w:sz="4" w:space="0"/>
              <w:bottom w:val="single" w:color="auto" w:sz="4" w:space="0"/>
              <w:right w:val="single" w:color="auto" w:sz="4" w:space="0"/>
            </w:tcBorders>
            <w:vAlign w:val="center"/>
          </w:tcPr>
          <w:p w14:paraId="70BFB19D">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项目实施方案</w:t>
            </w:r>
          </w:p>
        </w:tc>
        <w:tc>
          <w:tcPr>
            <w:tcW w:w="3118" w:type="pct"/>
            <w:tcBorders>
              <w:top w:val="single" w:color="auto" w:sz="4" w:space="0"/>
              <w:left w:val="single" w:color="auto" w:sz="4" w:space="0"/>
              <w:bottom w:val="single" w:color="auto" w:sz="4" w:space="0"/>
              <w:right w:val="single" w:color="auto" w:sz="4" w:space="0"/>
            </w:tcBorders>
            <w:vAlign w:val="center"/>
          </w:tcPr>
          <w:p w14:paraId="070C0B22">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根据投标人的项目实施方案，合理情况进行综合评分。</w:t>
            </w:r>
          </w:p>
          <w:p w14:paraId="4E32F5A5">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与本项目的具体特点和实际需要适应度高，利于项目实施，有针对性，得</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6D43D21B">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与本项目的具体特点和实际需要适应度匹配，便于项目实施，但针对性有待提高，得</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0F776ADF">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与本项目的具体特点以及项目实际需要适应程度不够有待完善，得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326E9B6E">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差的或未提供相关内容的不得分。</w:t>
            </w:r>
          </w:p>
        </w:tc>
        <w:tc>
          <w:tcPr>
            <w:tcW w:w="670" w:type="pct"/>
            <w:tcBorders>
              <w:top w:val="single" w:color="auto" w:sz="4" w:space="0"/>
              <w:left w:val="single" w:color="auto" w:sz="4" w:space="0"/>
              <w:bottom w:val="single" w:color="auto" w:sz="4" w:space="0"/>
              <w:right w:val="single" w:color="auto" w:sz="4" w:space="0"/>
            </w:tcBorders>
            <w:vAlign w:val="center"/>
          </w:tcPr>
          <w:p w14:paraId="1B5BF56C">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0-6分</w:t>
            </w:r>
          </w:p>
        </w:tc>
      </w:tr>
      <w:tr w14:paraId="1D87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vMerge w:val="continue"/>
            <w:tcBorders>
              <w:left w:val="single" w:color="auto" w:sz="4" w:space="0"/>
              <w:right w:val="single" w:color="auto" w:sz="4" w:space="0"/>
            </w:tcBorders>
            <w:vAlign w:val="center"/>
          </w:tcPr>
          <w:p w14:paraId="748F531E">
            <w:pPr>
              <w:keepNext w:val="0"/>
              <w:keepLines w:val="0"/>
              <w:pageBreakBefore w:val="0"/>
              <w:widowControl w:val="0"/>
              <w:kinsoku/>
              <w:wordWrap/>
              <w:overflowPunct/>
              <w:topLinePunct w:val="0"/>
              <w:autoSpaceDE/>
              <w:autoSpaceDN/>
              <w:bidi w:val="0"/>
              <w:spacing w:line="360" w:lineRule="auto"/>
              <w:ind w:firstLine="435"/>
              <w:jc w:val="center"/>
              <w:textAlignment w:val="auto"/>
              <w:rPr>
                <w:rFonts w:hint="eastAsia" w:ascii="宋体" w:hAnsi="宋体" w:eastAsia="宋体" w:cs="宋体"/>
                <w:b/>
                <w:bCs/>
                <w:color w:val="auto"/>
                <w:sz w:val="24"/>
                <w:szCs w:val="24"/>
                <w:highlight w:val="none"/>
              </w:rPr>
            </w:pPr>
          </w:p>
        </w:tc>
        <w:tc>
          <w:tcPr>
            <w:tcW w:w="637" w:type="pct"/>
            <w:tcBorders>
              <w:top w:val="single" w:color="auto" w:sz="4" w:space="0"/>
              <w:left w:val="single" w:color="auto" w:sz="4" w:space="0"/>
              <w:bottom w:val="single" w:color="auto" w:sz="4" w:space="0"/>
              <w:right w:val="single" w:color="auto" w:sz="4" w:space="0"/>
            </w:tcBorders>
            <w:vAlign w:val="center"/>
          </w:tcPr>
          <w:p w14:paraId="248C517E">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售后服务及维保方案</w:t>
            </w:r>
          </w:p>
        </w:tc>
        <w:tc>
          <w:tcPr>
            <w:tcW w:w="3118" w:type="pct"/>
            <w:tcBorders>
              <w:top w:val="single" w:color="auto" w:sz="4" w:space="0"/>
              <w:left w:val="single" w:color="auto" w:sz="4" w:space="0"/>
              <w:bottom w:val="single" w:color="auto" w:sz="4" w:space="0"/>
              <w:right w:val="single" w:color="auto" w:sz="4" w:space="0"/>
            </w:tcBorders>
            <w:vAlign w:val="center"/>
          </w:tcPr>
          <w:p w14:paraId="1B6609F7">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根据投标人的售后服务及维保体系完备、售后技术服务承诺、保修内容进行综合评分。</w:t>
            </w:r>
          </w:p>
          <w:p w14:paraId="6C1F77DE">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服务响应时间响应迅速，能够妥善解决问题得</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4427240D">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响应及时，基本保障项目需要得</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1F4BDC18">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能够响应服务要求，细节有待完善得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0D1773C2">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差的或未提供相关内容的不得分。</w:t>
            </w:r>
          </w:p>
        </w:tc>
        <w:tc>
          <w:tcPr>
            <w:tcW w:w="670" w:type="pct"/>
            <w:tcBorders>
              <w:top w:val="single" w:color="auto" w:sz="4" w:space="0"/>
              <w:left w:val="single" w:color="auto" w:sz="4" w:space="0"/>
              <w:bottom w:val="single" w:color="auto" w:sz="4" w:space="0"/>
              <w:right w:val="single" w:color="auto" w:sz="4" w:space="0"/>
            </w:tcBorders>
            <w:vAlign w:val="center"/>
          </w:tcPr>
          <w:p w14:paraId="5E954F65">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0-6分</w:t>
            </w:r>
          </w:p>
        </w:tc>
      </w:tr>
      <w:tr w14:paraId="7D33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vMerge w:val="continue"/>
            <w:tcBorders>
              <w:left w:val="single" w:color="auto" w:sz="4" w:space="0"/>
              <w:right w:val="single" w:color="auto" w:sz="4" w:space="0"/>
            </w:tcBorders>
            <w:vAlign w:val="center"/>
          </w:tcPr>
          <w:p w14:paraId="477AFB24">
            <w:pPr>
              <w:keepNext w:val="0"/>
              <w:keepLines w:val="0"/>
              <w:pageBreakBefore w:val="0"/>
              <w:widowControl w:val="0"/>
              <w:kinsoku/>
              <w:wordWrap/>
              <w:overflowPunct/>
              <w:topLinePunct w:val="0"/>
              <w:autoSpaceDE/>
              <w:autoSpaceDN/>
              <w:bidi w:val="0"/>
              <w:spacing w:line="360" w:lineRule="auto"/>
              <w:ind w:firstLine="435"/>
              <w:jc w:val="center"/>
              <w:textAlignment w:val="auto"/>
              <w:rPr>
                <w:rFonts w:hint="eastAsia" w:ascii="宋体" w:hAnsi="宋体" w:eastAsia="宋体" w:cs="宋体"/>
                <w:b/>
                <w:bCs/>
                <w:color w:val="auto"/>
                <w:sz w:val="24"/>
                <w:szCs w:val="24"/>
                <w:highlight w:val="none"/>
              </w:rPr>
            </w:pPr>
          </w:p>
        </w:tc>
        <w:tc>
          <w:tcPr>
            <w:tcW w:w="637" w:type="pct"/>
            <w:tcBorders>
              <w:top w:val="single" w:color="auto" w:sz="4" w:space="0"/>
              <w:left w:val="single" w:color="auto" w:sz="4" w:space="0"/>
              <w:bottom w:val="single" w:color="auto" w:sz="4" w:space="0"/>
              <w:right w:val="single" w:color="auto" w:sz="4" w:space="0"/>
            </w:tcBorders>
            <w:vAlign w:val="center"/>
          </w:tcPr>
          <w:p w14:paraId="6D45F961">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培训方案</w:t>
            </w:r>
          </w:p>
        </w:tc>
        <w:tc>
          <w:tcPr>
            <w:tcW w:w="3118" w:type="pct"/>
            <w:tcBorders>
              <w:top w:val="single" w:color="auto" w:sz="4" w:space="0"/>
              <w:left w:val="single" w:color="auto" w:sz="4" w:space="0"/>
              <w:bottom w:val="single" w:color="auto" w:sz="4" w:space="0"/>
              <w:right w:val="single" w:color="auto" w:sz="4" w:space="0"/>
            </w:tcBorders>
            <w:vAlign w:val="center"/>
          </w:tcPr>
          <w:p w14:paraId="579586A1">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培训服务方案应包括培训人员、培训时间、培训方式和培训内容等，其中培训内容应包括此次项目购买的全部设备。</w:t>
            </w:r>
          </w:p>
          <w:p w14:paraId="4A806DA5">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方案完全贴合项目实际需求与</w:t>
            </w:r>
            <w:r>
              <w:rPr>
                <w:rFonts w:hint="eastAsia" w:ascii="宋体" w:hAnsi="宋体" w:eastAsia="宋体" w:cs="宋体"/>
                <w:color w:val="auto"/>
                <w:sz w:val="24"/>
                <w:szCs w:val="24"/>
                <w:highlight w:val="none"/>
                <w:lang w:val="en-US" w:eastAsia="zh-CN"/>
              </w:rPr>
              <w:t>使用</w:t>
            </w:r>
            <w:r>
              <w:rPr>
                <w:rFonts w:hint="eastAsia" w:ascii="宋体" w:hAnsi="宋体" w:eastAsia="宋体" w:cs="宋体"/>
                <w:color w:val="auto"/>
                <w:sz w:val="24"/>
                <w:szCs w:val="24"/>
                <w:highlight w:val="none"/>
              </w:rPr>
              <w:t>现状，内容全面，表述清晰的，得</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p w14:paraId="72E257E2">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方案具有对本项目的针对性，内容基本全面，表述内容清晰，培训方案有具体的时间节点安排，得</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w:t>
            </w:r>
          </w:p>
          <w:p w14:paraId="32885CB4">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方案与本项目具体实施内容不贴合，出现与本项目无关内容，具体培训方案空洞的得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w:t>
            </w:r>
          </w:p>
          <w:p w14:paraId="6F969309">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未提供的不得分。</w:t>
            </w:r>
          </w:p>
        </w:tc>
        <w:tc>
          <w:tcPr>
            <w:tcW w:w="670" w:type="pct"/>
            <w:tcBorders>
              <w:top w:val="single" w:color="auto" w:sz="4" w:space="0"/>
              <w:left w:val="single" w:color="auto" w:sz="4" w:space="0"/>
              <w:bottom w:val="single" w:color="auto" w:sz="4" w:space="0"/>
              <w:right w:val="single" w:color="auto" w:sz="4" w:space="0"/>
            </w:tcBorders>
            <w:vAlign w:val="center"/>
          </w:tcPr>
          <w:p w14:paraId="5D099A0F">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0-6分</w:t>
            </w:r>
          </w:p>
        </w:tc>
      </w:tr>
      <w:tr w14:paraId="3905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tcBorders>
              <w:left w:val="single" w:color="auto" w:sz="4" w:space="0"/>
              <w:right w:val="single" w:color="auto" w:sz="4" w:space="0"/>
            </w:tcBorders>
            <w:vAlign w:val="center"/>
          </w:tcPr>
          <w:p w14:paraId="0C28F24A">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p w14:paraId="5EFACAB1">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p>
        </w:tc>
        <w:tc>
          <w:tcPr>
            <w:tcW w:w="4425" w:type="pct"/>
            <w:gridSpan w:val="3"/>
            <w:tcBorders>
              <w:top w:val="single" w:color="auto" w:sz="4" w:space="0"/>
              <w:left w:val="single" w:color="auto" w:sz="4" w:space="0"/>
              <w:bottom w:val="single" w:color="auto" w:sz="4" w:space="0"/>
              <w:right w:val="single" w:color="auto" w:sz="4" w:space="0"/>
            </w:tcBorders>
            <w:vAlign w:val="center"/>
          </w:tcPr>
          <w:p w14:paraId="5F39FCBB">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价格分统一采用低价优先法，即满足磋商文件要求且最后报价最低的供应商的价格为磋商基准价，其价格分为满分</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分。其他供应商的价格分统一按照下列公式计算：</w:t>
            </w:r>
          </w:p>
          <w:p w14:paraId="1F5EC848">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磋商报价得分＝（磋商基准价/最后磋商报价）×</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％×100</w:t>
            </w:r>
          </w:p>
        </w:tc>
      </w:tr>
    </w:tbl>
    <w:p w14:paraId="7D52CD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308CF1E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（1）磋商小组各成员应当独立对每个有效响应的文件进行评价、打分，然后汇总每个供应商每项评分因素的得分</w:t>
      </w:r>
      <w:r>
        <w:rPr>
          <w:rFonts w:asciiTheme="minorEastAsia" w:hAnsiTheme="minorEastAsia" w:eastAsiaTheme="minorEastAsia"/>
          <w:color w:val="auto"/>
          <w:sz w:val="24"/>
          <w:highlight w:val="none"/>
        </w:rPr>
        <w:t>，再</w:t>
      </w:r>
      <w:r>
        <w:rPr>
          <w:rFonts w:hint="eastAsia" w:asciiTheme="minorEastAsia" w:hAnsiTheme="minorEastAsia" w:eastAsiaTheme="minorEastAsia"/>
          <w:color w:val="auto"/>
          <w:sz w:val="24"/>
          <w:highlight w:val="none"/>
        </w:rPr>
        <w:t>取各位评委评分之平均值，四舍五入保留至小数点后两位数，得到该供应商的技术资信分。</w:t>
      </w:r>
    </w:p>
    <w:p w14:paraId="7DE0B4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将每个</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的技术资信分加上根据上述标准计算出的价格分，即为该</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的综合总得分。</w:t>
      </w:r>
    </w:p>
    <w:p w14:paraId="6D3444FE">
      <w:pPr>
        <w:spacing w:line="360" w:lineRule="auto"/>
        <w:ind w:firstLine="437"/>
        <w:outlineLvl w:val="1"/>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三、无效投标条款</w:t>
      </w:r>
    </w:p>
    <w:p w14:paraId="0947C3F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3.1投标文件有下列情形之一的,其投标文件拒收:</w:t>
      </w:r>
    </w:p>
    <w:p w14:paraId="21352EE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 未在开标截止时间前通过网上招标投标系统递交有效电子投标文件的，开标系统不予接收，投标将被拒绝。</w:t>
      </w:r>
    </w:p>
    <w:p w14:paraId="1054FD6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投标企业接到远程解密指令后，须在规定时间内解密。因投标人自身原因导致投标文件在规定时间内未能解密、解密失败或解密超时，投标文件无效；解密时间：从本项目解密程序开始时计时，至完成投标文件解密时间，不得超过</w:t>
      </w:r>
      <w:r>
        <w:rPr>
          <w:rFonts w:hint="eastAsia" w:asciiTheme="minorEastAsia" w:hAnsiTheme="minorEastAsia" w:eastAsiaTheme="minorEastAsia"/>
          <w:color w:val="auto"/>
          <w:sz w:val="24"/>
          <w:highlight w:val="none"/>
          <w:lang w:val="en-US" w:eastAsia="zh-CN"/>
        </w:rPr>
        <w:t>30</w:t>
      </w:r>
      <w:r>
        <w:rPr>
          <w:rFonts w:hint="eastAsia" w:asciiTheme="minorEastAsia" w:hAnsiTheme="minorEastAsia" w:eastAsiaTheme="minorEastAsia"/>
          <w:color w:val="auto"/>
          <w:sz w:val="24"/>
          <w:highlight w:val="none"/>
        </w:rPr>
        <w:t>分钟，否则投标文件将被拒绝。</w:t>
      </w:r>
    </w:p>
    <w:p w14:paraId="278B309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3.2投标人有下列情形之一的,资格审查后其投标作无效投标处理：</w:t>
      </w:r>
    </w:p>
    <w:p w14:paraId="21D2E8B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(1)投标人为本项目提供招标代理服务的；</w:t>
      </w:r>
    </w:p>
    <w:p w14:paraId="33369D9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(2)投标人与在本项目代理机构存在相互任职或工作的；</w:t>
      </w:r>
    </w:p>
    <w:p w14:paraId="5149171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(3)与采购人存在利害关系可能影响采购公正性的法人、其他组织或者个人；</w:t>
      </w:r>
    </w:p>
    <w:p w14:paraId="7C0736F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(4)招标公告写明专门面向中小企业采购，投标人提供的货物非中小企业制造的；</w:t>
      </w:r>
    </w:p>
    <w:p w14:paraId="3BD3FC9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(5)要求供应商以联合体形式参加采购活动，投标人非联合体或者联合协议中中小企业合同金额未达到应当达到的比例；</w:t>
      </w:r>
    </w:p>
    <w:p w14:paraId="4E8D1CE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(6)要求获得采购合同的供应商向中小企业分包，投标人未提供分包意向协议或者分包意向协议中中小企业合同金额未达到应当达到的比例；</w:t>
      </w:r>
    </w:p>
    <w:p w14:paraId="169B3FD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(7)评标专家无法查看并检验电子投标文件中相关资料的；</w:t>
      </w:r>
    </w:p>
    <w:p w14:paraId="5CECADC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(8)联合体投标未提交联合体协议的；</w:t>
      </w:r>
    </w:p>
    <w:p w14:paraId="7ED2F47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(9)责令停产停业的；</w:t>
      </w:r>
    </w:p>
    <w:p w14:paraId="7DF894C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(10)暂停或者取消参与政府采购项目资格的；</w:t>
      </w:r>
    </w:p>
    <w:p w14:paraId="446F73C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(11)投标人单位负责人为同一人或者存在直接控股、管理关系的不同单位的；</w:t>
      </w:r>
    </w:p>
    <w:p w14:paraId="02B94DA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(12)投标人基本资格条件和特定资格条件中有一项及以上不符合要求的；</w:t>
      </w:r>
    </w:p>
    <w:p w14:paraId="19E571B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(13)开标时查询投标文件制作机器码、文件创建标识码及造价软件加密锁号。若存在投标文件制作机器码或创建标识码或造价软件加密锁号信息与其他投标人雷同的，投标无效；</w:t>
      </w:r>
    </w:p>
    <w:p w14:paraId="12473B3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(14)其它情形，经评标委员会委提出按无效投标处理的；</w:t>
      </w:r>
    </w:p>
    <w:p w14:paraId="51B87CE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(15)投标人投标MAC地址一致，由评标委员会否决其投标；</w:t>
      </w:r>
    </w:p>
    <w:p w14:paraId="2D9BCF4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(16)投标人单方面出现其他投标人材料的；</w:t>
      </w:r>
    </w:p>
    <w:p w14:paraId="4D6AD2B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(17)投标人联系人或联系电话相同的，由评标委员会否决其投标；</w:t>
      </w:r>
    </w:p>
    <w:p w14:paraId="1621C79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(18)招标公告未写明允许采购进口产品，投标人所投产品为进口产品的；</w:t>
      </w:r>
    </w:p>
    <w:p w14:paraId="28F2A5E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(19)招标文件规定的其它无效投标情形。</w:t>
      </w:r>
    </w:p>
    <w:p w14:paraId="7FD4462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 投标人有下列情形之一的,符合性审查后其投标按无效投标处理：</w:t>
      </w:r>
    </w:p>
    <w:p w14:paraId="0D94CDF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(1)投标文件签字、盖章不全，经评标委员会一致认定对开评标内容有实质性影响并的；</w:t>
      </w:r>
    </w:p>
    <w:p w14:paraId="20AF522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(2)未按规定的格式填写导致实质性内容不全以及实质上不响应，或者关键字迹模糊、无法辨认</w:t>
      </w:r>
      <w:r>
        <w:rPr>
          <w:rFonts w:hint="eastAsia" w:asciiTheme="minorEastAsia" w:hAnsiTheme="minorEastAsia" w:eastAsiaTheme="minorEastAsia"/>
          <w:color w:val="auto"/>
          <w:sz w:val="24"/>
          <w:highlight w:val="none"/>
          <w:lang w:val="en-US" w:eastAsia="zh-CN"/>
        </w:rPr>
        <w:t>的</w:t>
      </w:r>
      <w:r>
        <w:rPr>
          <w:rFonts w:hint="eastAsia" w:asciiTheme="minorEastAsia" w:hAnsiTheme="minorEastAsia" w:eastAsiaTheme="minorEastAsia"/>
          <w:color w:val="auto"/>
          <w:sz w:val="24"/>
          <w:highlight w:val="none"/>
        </w:rPr>
        <w:t>；</w:t>
      </w:r>
    </w:p>
    <w:p w14:paraId="00F07E7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(3)同一投标人提交两个以上不同的投标文件或者投标报价，但招标文件规定提交备选方案的除外；</w:t>
      </w:r>
    </w:p>
    <w:p w14:paraId="252F4C5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(4)投标文件没有对招标文件的实质性要求和条件作出响应;</w:t>
      </w:r>
    </w:p>
    <w:p w14:paraId="2291055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(5)投标报价超出规定的投标限价或公布的采购预算的或投标人的投标报价各项单价高于招标文件给定的单价最高限价；</w:t>
      </w:r>
    </w:p>
    <w:p w14:paraId="3086CE7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(6)不按评标委员会要求澄清、说明或补正的，或者评标委员会根据招标文件的规定对投标文件的计算错误进行修正后，投标人不接受修正的投标报价的。</w:t>
      </w:r>
    </w:p>
    <w:p w14:paraId="3EAC2E2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(7)其它情形，经评标委员会委提出按无效投标处理的；</w:t>
      </w:r>
    </w:p>
    <w:p w14:paraId="6E73216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(8)投标文件含有采购人不能接受的附加条件的；</w:t>
      </w:r>
    </w:p>
    <w:p w14:paraId="51D4B05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(9)招标文件规定的其它无效投标情形。</w:t>
      </w:r>
    </w:p>
    <w:p w14:paraId="677D469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3.4 投标人有下列情形之一的, 详细评审后其投标按无效投标处理：</w:t>
      </w:r>
    </w:p>
    <w:p w14:paraId="4C09813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(1)投标产品不符合必须强制执行的国家标准的；</w:t>
      </w:r>
    </w:p>
    <w:p w14:paraId="23AF18F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(2)投标人有串通投标、弄虚作假、行贿等违法行为；</w:t>
      </w:r>
    </w:p>
    <w:p w14:paraId="0F5C6FA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(3)投标文件含有违反国家法律、法规的内容，或附有采购人不能接受的条件的；</w:t>
      </w:r>
    </w:p>
    <w:p w14:paraId="68332F0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(4)拒不确认评标委员会评审修正的投标无效；</w:t>
      </w:r>
    </w:p>
    <w:p w14:paraId="0EA1157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(5)其它情形，经评标委员会委提出按无效投标处理的；</w:t>
      </w:r>
    </w:p>
    <w:p w14:paraId="0B480AE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(6)招标文件规定的其它无效投标情形。</w:t>
      </w:r>
      <w:r>
        <w:rPr>
          <w:rFonts w:asciiTheme="minorEastAsia" w:hAnsiTheme="minorEastAsia" w:eastAsiaTheme="minorEastAsia"/>
          <w:color w:val="auto"/>
          <w:sz w:val="24"/>
          <w:highlight w:val="none"/>
        </w:rPr>
        <w:br w:type="page"/>
      </w:r>
    </w:p>
    <w:p w14:paraId="2277A901">
      <w:pPr>
        <w:spacing w:line="360" w:lineRule="auto"/>
        <w:jc w:val="center"/>
        <w:outlineLvl w:val="0"/>
        <w:rPr>
          <w:rFonts w:asciiTheme="minorEastAsia" w:hAnsiTheme="minorEastAsia" w:eastAsiaTheme="minorEastAsia"/>
          <w:b/>
          <w:color w:val="auto"/>
          <w:sz w:val="28"/>
          <w:highlight w:val="none"/>
        </w:rPr>
      </w:pPr>
      <w:bookmarkStart w:id="69" w:name="_Toc63440929"/>
      <w:bookmarkStart w:id="70" w:name="_Toc355"/>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69"/>
      <w:bookmarkEnd w:id="70"/>
    </w:p>
    <w:p w14:paraId="679176EB">
      <w:pPr>
        <w:spacing w:line="360" w:lineRule="auto"/>
        <w:jc w:val="center"/>
        <w:outlineLvl w:val="1"/>
        <w:rPr>
          <w:rFonts w:ascii="宋体" w:hAnsi="宋体" w:eastAsia="宋体"/>
          <w:b/>
          <w:color w:val="auto"/>
          <w:sz w:val="24"/>
          <w:highlight w:val="none"/>
        </w:rPr>
      </w:pPr>
      <w:r>
        <w:rPr>
          <w:rFonts w:hint="eastAsia" w:ascii="宋体" w:hAnsi="宋体" w:eastAsia="宋体"/>
          <w:b/>
          <w:color w:val="auto"/>
          <w:sz w:val="24"/>
          <w:highlight w:val="none"/>
        </w:rPr>
        <w:t>第一部分 合同书</w:t>
      </w:r>
    </w:p>
    <w:p w14:paraId="528BF641">
      <w:pPr>
        <w:spacing w:line="480" w:lineRule="auto"/>
        <w:jc w:val="center"/>
        <w:rPr>
          <w:rFonts w:ascii="宋体" w:hAnsi="宋体" w:eastAsia="宋体" w:cs="Times New Roman"/>
          <w:b/>
          <w:color w:val="auto"/>
          <w:sz w:val="24"/>
          <w:szCs w:val="24"/>
          <w:highlight w:val="none"/>
        </w:rPr>
      </w:pPr>
    </w:p>
    <w:p w14:paraId="5E72F022">
      <w:pPr>
        <w:spacing w:line="480" w:lineRule="auto"/>
        <w:jc w:val="center"/>
        <w:rPr>
          <w:rFonts w:ascii="宋体" w:hAnsi="宋体" w:eastAsia="宋体" w:cs="Times New Roman"/>
          <w:b/>
          <w:color w:val="auto"/>
          <w:sz w:val="24"/>
          <w:szCs w:val="24"/>
          <w:highlight w:val="none"/>
        </w:rPr>
      </w:pPr>
    </w:p>
    <w:p w14:paraId="7A731DFE">
      <w:pPr>
        <w:spacing w:line="480" w:lineRule="auto"/>
        <w:jc w:val="center"/>
        <w:rPr>
          <w:rFonts w:ascii="宋体" w:hAnsi="宋体" w:eastAsia="宋体" w:cs="Times New Roman"/>
          <w:b/>
          <w:color w:val="auto"/>
          <w:sz w:val="24"/>
          <w:szCs w:val="24"/>
          <w:highlight w:val="none"/>
        </w:rPr>
      </w:pPr>
    </w:p>
    <w:p w14:paraId="2FE52179">
      <w:pPr>
        <w:spacing w:before="120" w:line="480" w:lineRule="auto"/>
        <w:ind w:left="960"/>
        <w:rPr>
          <w:rFonts w:hint="eastAsia"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项目名称：</w:t>
      </w:r>
      <w:r>
        <w:rPr>
          <w:rFonts w:hint="eastAsia" w:ascii="宋体" w:hAnsi="宋体" w:eastAsia="宋体" w:cs="Times New Roman"/>
          <w:color w:val="auto"/>
          <w:sz w:val="24"/>
          <w:szCs w:val="24"/>
          <w:highlight w:val="none"/>
          <w:u w:val="single"/>
        </w:rPr>
        <w:t>滁州市琅琊区2026年中央自然灾害救灾资金（第三批）应急救灾物资采购</w:t>
      </w:r>
    </w:p>
    <w:p w14:paraId="57DC50CC">
      <w:pPr>
        <w:spacing w:before="120" w:line="480" w:lineRule="auto"/>
        <w:ind w:left="960"/>
        <w:rPr>
          <w:rFonts w:hint="eastAsia" w:ascii="宋体" w:hAnsi="宋体" w:eastAsia="宋体" w:cs="Times New Roman"/>
          <w:color w:val="auto"/>
          <w:sz w:val="24"/>
          <w:szCs w:val="24"/>
          <w:highlight w:val="none"/>
          <w:u w:val="single"/>
          <w:lang w:val="en-US" w:eastAsia="zh-CN"/>
        </w:rPr>
      </w:pPr>
      <w:r>
        <w:rPr>
          <w:rFonts w:hint="eastAsia" w:ascii="宋体" w:hAnsi="宋体" w:eastAsia="宋体" w:cs="Times New Roman"/>
          <w:color w:val="auto"/>
          <w:sz w:val="24"/>
          <w:szCs w:val="24"/>
          <w:highlight w:val="none"/>
        </w:rPr>
        <w:t>项目编号：</w:t>
      </w:r>
      <w:r>
        <w:rPr>
          <w:rFonts w:hint="eastAsia" w:ascii="宋体" w:hAnsi="宋体" w:eastAsia="宋体" w:cs="Times New Roman"/>
          <w:color w:val="auto"/>
          <w:sz w:val="24"/>
          <w:szCs w:val="24"/>
          <w:highlight w:val="none"/>
          <w:u w:val="single"/>
          <w:lang w:val="en-US" w:eastAsia="zh-CN"/>
        </w:rPr>
        <w:t xml:space="preserve">                                   </w:t>
      </w:r>
    </w:p>
    <w:p w14:paraId="6EDA62F1">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甲方（采购人）：</w:t>
      </w:r>
      <w:r>
        <w:rPr>
          <w:rFonts w:hint="eastAsia" w:ascii="宋体" w:hAnsi="宋体" w:eastAsia="宋体" w:cs="Times New Roman"/>
          <w:color w:val="auto"/>
          <w:sz w:val="24"/>
          <w:szCs w:val="24"/>
          <w:highlight w:val="none"/>
          <w:u w:val="single"/>
        </w:rPr>
        <w:t xml:space="preserve">                              </w:t>
      </w:r>
    </w:p>
    <w:p w14:paraId="4B12A6D2">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乙方（</w:t>
      </w:r>
      <w:r>
        <w:rPr>
          <w:rFonts w:hint="eastAsia" w:ascii="宋体" w:hAnsi="宋体" w:eastAsia="宋体" w:cs="Times New Roman"/>
          <w:color w:val="auto"/>
          <w:sz w:val="24"/>
          <w:szCs w:val="24"/>
          <w:highlight w:val="none"/>
          <w:lang w:val="en-US" w:eastAsia="zh-CN"/>
        </w:rPr>
        <w:t>成交</w:t>
      </w:r>
      <w:r>
        <w:rPr>
          <w:rFonts w:hint="eastAsia" w:ascii="宋体" w:hAnsi="宋体" w:eastAsia="宋体" w:cs="Times New Roman"/>
          <w:color w:val="auto"/>
          <w:sz w:val="24"/>
          <w:szCs w:val="24"/>
          <w:highlight w:val="none"/>
        </w:rPr>
        <w:t>人）：</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p>
    <w:p w14:paraId="25969617">
      <w:pPr>
        <w:spacing w:before="120" w:line="480" w:lineRule="auto"/>
        <w:ind w:firstLine="960" w:firstLineChars="40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签订地：</w:t>
      </w:r>
      <w:r>
        <w:rPr>
          <w:rFonts w:hint="eastAsia" w:ascii="宋体" w:hAnsi="宋体" w:eastAsia="宋体" w:cs="Times New Roman"/>
          <w:color w:val="auto"/>
          <w:sz w:val="24"/>
          <w:szCs w:val="24"/>
          <w:highlight w:val="none"/>
          <w:u w:val="single"/>
        </w:rPr>
        <w:t xml:space="preserve">                                     </w:t>
      </w:r>
    </w:p>
    <w:p w14:paraId="1D08B4FE">
      <w:pPr>
        <w:spacing w:before="120" w:line="480" w:lineRule="auto"/>
        <w:ind w:firstLine="960" w:firstLineChars="4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签订日期：</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w:t>
      </w:r>
    </w:p>
    <w:p w14:paraId="7214366F">
      <w:pPr>
        <w:widowControl/>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br w:type="page"/>
      </w:r>
    </w:p>
    <w:p w14:paraId="0C79291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u w:val="single"/>
          <w:lang w:eastAsia="zh-CN"/>
        </w:rPr>
        <w:t>滁州市琅琊区应急管理局</w:t>
      </w:r>
      <w:r>
        <w:rPr>
          <w:rFonts w:hint="eastAsia" w:ascii="宋体" w:hAnsi="宋体" w:eastAsia="宋体"/>
          <w:color w:val="auto"/>
          <w:sz w:val="24"/>
          <w:highlight w:val="none"/>
        </w:rPr>
        <w:t>（</w:t>
      </w:r>
      <w:r>
        <w:rPr>
          <w:rFonts w:hint="eastAsia" w:ascii="宋体" w:hAnsi="宋体" w:eastAsia="宋体" w:cs="Times New Roman"/>
          <w:color w:val="auto"/>
          <w:sz w:val="24"/>
          <w:szCs w:val="24"/>
          <w:highlight w:val="none"/>
          <w:lang w:val="zh-CN"/>
        </w:rPr>
        <w:t>以下简称：甲方</w:t>
      </w:r>
      <w:r>
        <w:rPr>
          <w:rFonts w:hint="eastAsia" w:ascii="宋体" w:hAnsi="宋体" w:eastAsia="宋体"/>
          <w:color w:val="auto"/>
          <w:sz w:val="24"/>
          <w:highlight w:val="none"/>
        </w:rPr>
        <w:t>）通过</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组织的</w:t>
      </w:r>
      <w:r>
        <w:rPr>
          <w:rFonts w:hint="eastAsia" w:ascii="宋体" w:hAnsi="宋体" w:eastAsia="宋体"/>
          <w:color w:val="auto"/>
          <w:sz w:val="24"/>
          <w:highlight w:val="none"/>
          <w:u w:val="single"/>
          <w:lang w:val="en-US" w:eastAsia="zh-CN"/>
        </w:rPr>
        <w:t>竞争性磋商</w:t>
      </w:r>
      <w:r>
        <w:rPr>
          <w:rFonts w:hint="eastAsia" w:ascii="宋体" w:hAnsi="宋体" w:eastAsia="宋体"/>
          <w:color w:val="auto"/>
          <w:sz w:val="24"/>
          <w:highlight w:val="none"/>
        </w:rPr>
        <w:t>方式采购活动，经</w:t>
      </w:r>
      <w:r>
        <w:rPr>
          <w:rFonts w:hint="eastAsia" w:ascii="宋体" w:hAnsi="宋体" w:eastAsia="宋体"/>
          <w:color w:val="auto"/>
          <w:sz w:val="24"/>
          <w:highlight w:val="none"/>
          <w:u w:val="single"/>
        </w:rPr>
        <w:t>评标委员会</w:t>
      </w:r>
      <w:r>
        <w:rPr>
          <w:rFonts w:hint="eastAsia" w:ascii="宋体" w:hAnsi="宋体" w:eastAsia="宋体"/>
          <w:color w:val="auto"/>
          <w:sz w:val="24"/>
          <w:highlight w:val="none"/>
        </w:rPr>
        <w:t>评定，</w:t>
      </w:r>
      <w:r>
        <w:rPr>
          <w:rFonts w:hint="eastAsia" w:ascii="宋体" w:hAnsi="宋体" w:eastAsia="宋体" w:cs="Times New Roman"/>
          <w:i/>
          <w:iCs/>
          <w:color w:val="auto"/>
          <w:sz w:val="24"/>
          <w:szCs w:val="24"/>
          <w:highlight w:val="none"/>
          <w:u w:val="single"/>
        </w:rPr>
        <w:t>（</w:t>
      </w:r>
      <w:r>
        <w:rPr>
          <w:rFonts w:hint="eastAsia" w:ascii="宋体" w:hAnsi="宋体" w:eastAsia="宋体" w:cs="Times New Roman"/>
          <w:i/>
          <w:iCs/>
          <w:color w:val="auto"/>
          <w:sz w:val="24"/>
          <w:szCs w:val="24"/>
          <w:highlight w:val="none"/>
          <w:u w:val="single"/>
          <w:lang w:val="en-US" w:eastAsia="zh-CN"/>
        </w:rPr>
        <w:t>成交人</w:t>
      </w:r>
      <w:r>
        <w:rPr>
          <w:rFonts w:hint="eastAsia" w:ascii="宋体" w:hAnsi="宋体" w:eastAsia="宋体" w:cs="Times New Roman"/>
          <w:i/>
          <w:iCs/>
          <w:color w:val="auto"/>
          <w:sz w:val="24"/>
          <w:szCs w:val="24"/>
          <w:highlight w:val="none"/>
          <w:u w:val="single"/>
        </w:rPr>
        <w:t>名称）</w:t>
      </w:r>
      <w:r>
        <w:rPr>
          <w:rFonts w:hint="eastAsia" w:ascii="宋体" w:hAnsi="宋体" w:eastAsia="宋体"/>
          <w:color w:val="auto"/>
          <w:sz w:val="24"/>
          <w:highlight w:val="none"/>
        </w:rPr>
        <w:t>（</w:t>
      </w:r>
      <w:r>
        <w:rPr>
          <w:rFonts w:hint="eastAsia" w:ascii="宋体" w:hAnsi="宋体" w:eastAsia="宋体" w:cs="Times New Roman"/>
          <w:color w:val="auto"/>
          <w:sz w:val="24"/>
          <w:szCs w:val="24"/>
          <w:highlight w:val="none"/>
          <w:lang w:val="zh-CN"/>
        </w:rPr>
        <w:t>以下简称：乙方</w:t>
      </w:r>
      <w:r>
        <w:rPr>
          <w:rFonts w:hint="eastAsia" w:ascii="宋体" w:hAnsi="宋体" w:eastAsia="宋体"/>
          <w:color w:val="auto"/>
          <w:sz w:val="24"/>
          <w:highlight w:val="none"/>
        </w:rPr>
        <w:t>）为本项目</w:t>
      </w:r>
      <w:r>
        <w:rPr>
          <w:rFonts w:hint="eastAsia" w:ascii="宋体" w:hAnsi="宋体" w:eastAsia="宋体"/>
          <w:color w:val="auto"/>
          <w:sz w:val="24"/>
          <w:highlight w:val="none"/>
          <w:lang w:val="en-US" w:eastAsia="zh-CN"/>
        </w:rPr>
        <w:t>成交</w:t>
      </w:r>
      <w:r>
        <w:rPr>
          <w:rFonts w:hint="eastAsia" w:ascii="宋体" w:hAnsi="宋体" w:eastAsia="宋体"/>
          <w:color w:val="auto"/>
          <w:sz w:val="24"/>
          <w:highlight w:val="none"/>
        </w:rPr>
        <w:t>人，现</w:t>
      </w:r>
      <w:r>
        <w:rPr>
          <w:rFonts w:hint="eastAsia" w:ascii="宋体" w:hAnsi="宋体" w:eastAsia="宋体" w:cs="Times New Roman"/>
          <w:color w:val="auto"/>
          <w:sz w:val="24"/>
          <w:szCs w:val="24"/>
          <w:highlight w:val="none"/>
        </w:rPr>
        <w:t>按照采购文件确定的事项签订本合同。</w:t>
      </w:r>
    </w:p>
    <w:p w14:paraId="1F299559">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olor w:val="auto"/>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195329D6">
      <w:pPr>
        <w:spacing w:line="360" w:lineRule="auto"/>
        <w:ind w:firstLine="437"/>
        <w:outlineLvl w:val="2"/>
        <w:rPr>
          <w:rFonts w:ascii="宋体" w:hAnsi="宋体" w:eastAsia="宋体" w:cs="Times New Roman"/>
          <w:b/>
          <w:bCs/>
          <w:color w:val="auto"/>
          <w:sz w:val="24"/>
          <w:szCs w:val="24"/>
          <w:highlight w:val="none"/>
          <w:lang w:val="zh-CN"/>
        </w:rPr>
      </w:pPr>
      <w:bookmarkStart w:id="71" w:name="_Toc3029"/>
      <w:bookmarkStart w:id="72" w:name="_Toc2232"/>
      <w:bookmarkStart w:id="73" w:name="_Toc24059"/>
      <w:r>
        <w:rPr>
          <w:rFonts w:hint="eastAsia" w:ascii="宋体" w:hAnsi="宋体" w:eastAsia="宋体" w:cs="Times New Roman"/>
          <w:b/>
          <w:bCs/>
          <w:color w:val="auto"/>
          <w:sz w:val="24"/>
          <w:szCs w:val="24"/>
          <w:highlight w:val="none"/>
          <w:lang w:val="zh-CN"/>
        </w:rPr>
        <w:t>1.1</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合同组成部分</w:t>
      </w:r>
      <w:bookmarkEnd w:id="71"/>
      <w:bookmarkEnd w:id="72"/>
      <w:bookmarkEnd w:id="73"/>
    </w:p>
    <w:p w14:paraId="2678BA8E">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00999BD4">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1.1.1本合同及其补充合同、变更协议；</w:t>
      </w:r>
    </w:p>
    <w:p w14:paraId="1FFBB702">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1.1.2</w:t>
      </w:r>
      <w:r>
        <w:rPr>
          <w:rFonts w:hint="eastAsia" w:ascii="宋体" w:hAnsi="宋体" w:eastAsia="宋体" w:cs="Times New Roman"/>
          <w:color w:val="auto"/>
          <w:sz w:val="24"/>
          <w:szCs w:val="24"/>
          <w:highlight w:val="none"/>
          <w:lang w:val="en-US" w:eastAsia="zh-CN"/>
        </w:rPr>
        <w:t>成交</w:t>
      </w:r>
      <w:r>
        <w:rPr>
          <w:rFonts w:hint="eastAsia" w:ascii="宋体" w:hAnsi="宋体" w:eastAsia="宋体" w:cs="Times New Roman"/>
          <w:color w:val="auto"/>
          <w:sz w:val="24"/>
          <w:szCs w:val="24"/>
          <w:highlight w:val="none"/>
          <w:lang w:val="zh-CN"/>
        </w:rPr>
        <w:t>通知书；</w:t>
      </w:r>
    </w:p>
    <w:p w14:paraId="16A89AE7">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1.1.3</w:t>
      </w:r>
      <w:r>
        <w:rPr>
          <w:rFonts w:hint="eastAsia" w:ascii="宋体" w:hAnsi="宋体" w:eastAsia="宋体" w:cs="Times New Roman"/>
          <w:color w:val="auto"/>
          <w:sz w:val="24"/>
          <w:szCs w:val="24"/>
          <w:highlight w:val="none"/>
          <w:lang w:val="en-US" w:eastAsia="zh-CN"/>
        </w:rPr>
        <w:t>响应</w:t>
      </w:r>
      <w:r>
        <w:rPr>
          <w:rFonts w:hint="eastAsia" w:ascii="宋体" w:hAnsi="宋体" w:eastAsia="宋体" w:cs="Times New Roman"/>
          <w:color w:val="auto"/>
          <w:sz w:val="24"/>
          <w:szCs w:val="24"/>
          <w:highlight w:val="none"/>
          <w:lang w:val="zh-CN"/>
        </w:rPr>
        <w:t>文件（含澄清或者说明文件）；</w:t>
      </w:r>
    </w:p>
    <w:p w14:paraId="5D4B405C">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1.1.4</w:t>
      </w:r>
      <w:r>
        <w:rPr>
          <w:rFonts w:hint="eastAsia" w:ascii="宋体" w:hAnsi="宋体" w:eastAsia="宋体" w:cs="Times New Roman"/>
          <w:color w:val="auto"/>
          <w:sz w:val="24"/>
          <w:szCs w:val="24"/>
          <w:highlight w:val="none"/>
          <w:lang w:val="en-US" w:eastAsia="zh-CN"/>
        </w:rPr>
        <w:t>竞争性磋商</w:t>
      </w:r>
      <w:r>
        <w:rPr>
          <w:rFonts w:hint="eastAsia" w:ascii="宋体" w:hAnsi="宋体" w:eastAsia="宋体" w:cs="Times New Roman"/>
          <w:color w:val="auto"/>
          <w:sz w:val="24"/>
          <w:szCs w:val="24"/>
          <w:highlight w:val="none"/>
          <w:lang w:val="zh-CN"/>
        </w:rPr>
        <w:t>文件（含澄清或者修改文件）；</w:t>
      </w:r>
    </w:p>
    <w:p w14:paraId="2AF0E09A">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1.1.5其他相关采购文件。</w:t>
      </w:r>
    </w:p>
    <w:p w14:paraId="75E54790">
      <w:pPr>
        <w:spacing w:line="360" w:lineRule="auto"/>
        <w:ind w:firstLine="437"/>
        <w:outlineLvl w:val="2"/>
        <w:rPr>
          <w:rFonts w:ascii="宋体" w:hAnsi="宋体" w:eastAsia="宋体" w:cs="Times New Roman"/>
          <w:b/>
          <w:bCs/>
          <w:color w:val="auto"/>
          <w:sz w:val="24"/>
          <w:szCs w:val="24"/>
          <w:highlight w:val="none"/>
          <w:lang w:val="zh-CN"/>
        </w:rPr>
      </w:pPr>
      <w:bookmarkStart w:id="74" w:name="_Toc24300"/>
      <w:bookmarkStart w:id="75" w:name="_Toc21295"/>
      <w:bookmarkStart w:id="76" w:name="_Toc27126"/>
      <w:r>
        <w:rPr>
          <w:rFonts w:hint="eastAsia" w:ascii="宋体" w:hAnsi="宋体" w:eastAsia="宋体" w:cs="Times New Roman"/>
          <w:b/>
          <w:bCs/>
          <w:color w:val="auto"/>
          <w:sz w:val="24"/>
          <w:szCs w:val="24"/>
          <w:highlight w:val="none"/>
          <w:lang w:val="zh-CN"/>
        </w:rPr>
        <w:t>1.2</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货物</w:t>
      </w:r>
      <w:bookmarkEnd w:id="74"/>
      <w:bookmarkEnd w:id="75"/>
      <w:bookmarkEnd w:id="76"/>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515"/>
        <w:gridCol w:w="1515"/>
        <w:gridCol w:w="1512"/>
        <w:gridCol w:w="1512"/>
        <w:gridCol w:w="1508"/>
      </w:tblGrid>
      <w:tr w14:paraId="57329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77F7546C">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序号</w:t>
            </w:r>
          </w:p>
        </w:tc>
        <w:tc>
          <w:tcPr>
            <w:tcW w:w="1515" w:type="dxa"/>
            <w:vAlign w:val="center"/>
          </w:tcPr>
          <w:p w14:paraId="666EAFD7">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货物名称</w:t>
            </w:r>
          </w:p>
        </w:tc>
        <w:tc>
          <w:tcPr>
            <w:tcW w:w="1515" w:type="dxa"/>
            <w:vAlign w:val="center"/>
          </w:tcPr>
          <w:p w14:paraId="3F5CA7A4">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规格型号</w:t>
            </w:r>
          </w:p>
        </w:tc>
        <w:tc>
          <w:tcPr>
            <w:tcW w:w="1512" w:type="dxa"/>
            <w:vAlign w:val="center"/>
          </w:tcPr>
          <w:p w14:paraId="609824EE">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单位</w:t>
            </w:r>
          </w:p>
        </w:tc>
        <w:tc>
          <w:tcPr>
            <w:tcW w:w="1512" w:type="dxa"/>
            <w:vAlign w:val="center"/>
          </w:tcPr>
          <w:p w14:paraId="47CD9CF2">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数量</w:t>
            </w:r>
          </w:p>
        </w:tc>
        <w:tc>
          <w:tcPr>
            <w:tcW w:w="1508" w:type="dxa"/>
            <w:vAlign w:val="center"/>
          </w:tcPr>
          <w:p w14:paraId="360ACBA1">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生产厂商</w:t>
            </w:r>
          </w:p>
        </w:tc>
      </w:tr>
      <w:tr w14:paraId="57805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4C1FC9AD">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w:t>
            </w:r>
          </w:p>
        </w:tc>
        <w:tc>
          <w:tcPr>
            <w:tcW w:w="1515" w:type="dxa"/>
            <w:vAlign w:val="center"/>
          </w:tcPr>
          <w:p w14:paraId="7A88C970">
            <w:pPr>
              <w:jc w:val="center"/>
              <w:rPr>
                <w:rFonts w:ascii="宋体" w:hAnsi="宋体" w:eastAsia="宋体" w:cs="Times New Roman"/>
                <w:color w:val="auto"/>
                <w:sz w:val="24"/>
                <w:szCs w:val="24"/>
                <w:highlight w:val="none"/>
                <w:lang w:val="zh-CN"/>
              </w:rPr>
            </w:pPr>
          </w:p>
        </w:tc>
        <w:tc>
          <w:tcPr>
            <w:tcW w:w="1515" w:type="dxa"/>
            <w:vAlign w:val="center"/>
          </w:tcPr>
          <w:p w14:paraId="6CA4B47D">
            <w:pPr>
              <w:jc w:val="center"/>
              <w:rPr>
                <w:rFonts w:ascii="宋体" w:hAnsi="宋体" w:eastAsia="宋体" w:cs="Times New Roman"/>
                <w:color w:val="auto"/>
                <w:sz w:val="24"/>
                <w:szCs w:val="24"/>
                <w:highlight w:val="none"/>
                <w:lang w:val="zh-CN"/>
              </w:rPr>
            </w:pPr>
          </w:p>
        </w:tc>
        <w:tc>
          <w:tcPr>
            <w:tcW w:w="1512" w:type="dxa"/>
            <w:vAlign w:val="center"/>
          </w:tcPr>
          <w:p w14:paraId="05AD0158">
            <w:pPr>
              <w:jc w:val="center"/>
              <w:rPr>
                <w:rFonts w:ascii="宋体" w:hAnsi="宋体" w:eastAsia="宋体" w:cs="Times New Roman"/>
                <w:color w:val="auto"/>
                <w:sz w:val="24"/>
                <w:szCs w:val="24"/>
                <w:highlight w:val="none"/>
                <w:lang w:val="zh-CN"/>
              </w:rPr>
            </w:pPr>
          </w:p>
        </w:tc>
        <w:tc>
          <w:tcPr>
            <w:tcW w:w="1512" w:type="dxa"/>
            <w:vAlign w:val="center"/>
          </w:tcPr>
          <w:p w14:paraId="59195007">
            <w:pPr>
              <w:jc w:val="center"/>
              <w:rPr>
                <w:rFonts w:ascii="宋体" w:hAnsi="宋体" w:eastAsia="宋体" w:cs="Times New Roman"/>
                <w:color w:val="auto"/>
                <w:sz w:val="24"/>
                <w:szCs w:val="24"/>
                <w:highlight w:val="none"/>
                <w:lang w:val="zh-CN"/>
              </w:rPr>
            </w:pPr>
          </w:p>
        </w:tc>
        <w:tc>
          <w:tcPr>
            <w:tcW w:w="1508" w:type="dxa"/>
            <w:vAlign w:val="center"/>
          </w:tcPr>
          <w:p w14:paraId="3B200C30">
            <w:pPr>
              <w:jc w:val="center"/>
              <w:rPr>
                <w:rFonts w:ascii="宋体" w:hAnsi="宋体" w:eastAsia="宋体" w:cs="Times New Roman"/>
                <w:color w:val="auto"/>
                <w:sz w:val="24"/>
                <w:szCs w:val="24"/>
                <w:highlight w:val="none"/>
                <w:lang w:val="zh-CN"/>
              </w:rPr>
            </w:pPr>
          </w:p>
        </w:tc>
      </w:tr>
      <w:tr w14:paraId="2FE0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71FBB800">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2</w:t>
            </w:r>
          </w:p>
        </w:tc>
        <w:tc>
          <w:tcPr>
            <w:tcW w:w="1515" w:type="dxa"/>
            <w:vAlign w:val="center"/>
          </w:tcPr>
          <w:p w14:paraId="60CEC684">
            <w:pPr>
              <w:jc w:val="center"/>
              <w:rPr>
                <w:rFonts w:ascii="宋体" w:hAnsi="宋体" w:eastAsia="宋体" w:cs="Times New Roman"/>
                <w:color w:val="auto"/>
                <w:sz w:val="24"/>
                <w:szCs w:val="24"/>
                <w:highlight w:val="none"/>
                <w:lang w:val="zh-CN"/>
              </w:rPr>
            </w:pPr>
          </w:p>
        </w:tc>
        <w:tc>
          <w:tcPr>
            <w:tcW w:w="1515" w:type="dxa"/>
            <w:vAlign w:val="center"/>
          </w:tcPr>
          <w:p w14:paraId="77A2B328">
            <w:pPr>
              <w:jc w:val="center"/>
              <w:rPr>
                <w:rFonts w:ascii="宋体" w:hAnsi="宋体" w:eastAsia="宋体" w:cs="Times New Roman"/>
                <w:color w:val="auto"/>
                <w:sz w:val="24"/>
                <w:szCs w:val="24"/>
                <w:highlight w:val="none"/>
                <w:lang w:val="zh-CN"/>
              </w:rPr>
            </w:pPr>
          </w:p>
        </w:tc>
        <w:tc>
          <w:tcPr>
            <w:tcW w:w="1512" w:type="dxa"/>
            <w:vAlign w:val="center"/>
          </w:tcPr>
          <w:p w14:paraId="37BFF361">
            <w:pPr>
              <w:jc w:val="center"/>
              <w:rPr>
                <w:rFonts w:ascii="宋体" w:hAnsi="宋体" w:eastAsia="宋体" w:cs="Times New Roman"/>
                <w:color w:val="auto"/>
                <w:sz w:val="24"/>
                <w:szCs w:val="24"/>
                <w:highlight w:val="none"/>
                <w:lang w:val="zh-CN"/>
              </w:rPr>
            </w:pPr>
          </w:p>
        </w:tc>
        <w:tc>
          <w:tcPr>
            <w:tcW w:w="1512" w:type="dxa"/>
            <w:vAlign w:val="center"/>
          </w:tcPr>
          <w:p w14:paraId="59E88ECD">
            <w:pPr>
              <w:jc w:val="center"/>
              <w:rPr>
                <w:rFonts w:ascii="宋体" w:hAnsi="宋体" w:eastAsia="宋体" w:cs="Times New Roman"/>
                <w:color w:val="auto"/>
                <w:sz w:val="24"/>
                <w:szCs w:val="24"/>
                <w:highlight w:val="none"/>
                <w:lang w:val="zh-CN"/>
              </w:rPr>
            </w:pPr>
          </w:p>
        </w:tc>
        <w:tc>
          <w:tcPr>
            <w:tcW w:w="1508" w:type="dxa"/>
            <w:vAlign w:val="center"/>
          </w:tcPr>
          <w:p w14:paraId="49BB4203">
            <w:pPr>
              <w:jc w:val="center"/>
              <w:rPr>
                <w:rFonts w:ascii="宋体" w:hAnsi="宋体" w:eastAsia="宋体" w:cs="Times New Roman"/>
                <w:color w:val="auto"/>
                <w:sz w:val="24"/>
                <w:szCs w:val="24"/>
                <w:highlight w:val="none"/>
                <w:lang w:val="zh-CN"/>
              </w:rPr>
            </w:pPr>
          </w:p>
        </w:tc>
      </w:tr>
      <w:tr w14:paraId="0F0A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4A92242F">
            <w:pPr>
              <w:jc w:val="center"/>
              <w:rPr>
                <w:rFonts w:ascii="宋体" w:hAnsi="宋体" w:eastAsia="宋体" w:cs="Times New Roman"/>
                <w:color w:val="auto"/>
                <w:sz w:val="24"/>
                <w:szCs w:val="24"/>
                <w:highlight w:val="none"/>
                <w:lang w:val="zh-CN"/>
              </w:rPr>
            </w:pPr>
            <w:r>
              <w:rPr>
                <w:rFonts w:ascii="宋体" w:hAnsi="宋体" w:eastAsia="宋体" w:cs="Times New Roman"/>
                <w:color w:val="auto"/>
                <w:sz w:val="24"/>
                <w:szCs w:val="24"/>
                <w:highlight w:val="none"/>
                <w:lang w:val="zh-CN"/>
              </w:rPr>
              <w:t>3</w:t>
            </w:r>
          </w:p>
        </w:tc>
        <w:tc>
          <w:tcPr>
            <w:tcW w:w="1515" w:type="dxa"/>
            <w:vAlign w:val="center"/>
          </w:tcPr>
          <w:p w14:paraId="6382FAB6">
            <w:pPr>
              <w:jc w:val="center"/>
              <w:rPr>
                <w:rFonts w:ascii="宋体" w:hAnsi="宋体" w:eastAsia="宋体" w:cs="Times New Roman"/>
                <w:color w:val="auto"/>
                <w:sz w:val="24"/>
                <w:szCs w:val="24"/>
                <w:highlight w:val="none"/>
                <w:lang w:val="zh-CN"/>
              </w:rPr>
            </w:pPr>
          </w:p>
        </w:tc>
        <w:tc>
          <w:tcPr>
            <w:tcW w:w="1515" w:type="dxa"/>
            <w:vAlign w:val="center"/>
          </w:tcPr>
          <w:p w14:paraId="32D8F794">
            <w:pPr>
              <w:jc w:val="center"/>
              <w:rPr>
                <w:rFonts w:ascii="宋体" w:hAnsi="宋体" w:eastAsia="宋体" w:cs="Times New Roman"/>
                <w:color w:val="auto"/>
                <w:sz w:val="24"/>
                <w:szCs w:val="24"/>
                <w:highlight w:val="none"/>
                <w:lang w:val="zh-CN"/>
              </w:rPr>
            </w:pPr>
          </w:p>
        </w:tc>
        <w:tc>
          <w:tcPr>
            <w:tcW w:w="1512" w:type="dxa"/>
            <w:vAlign w:val="center"/>
          </w:tcPr>
          <w:p w14:paraId="489EABFA">
            <w:pPr>
              <w:jc w:val="center"/>
              <w:rPr>
                <w:rFonts w:ascii="宋体" w:hAnsi="宋体" w:eastAsia="宋体" w:cs="Times New Roman"/>
                <w:color w:val="auto"/>
                <w:sz w:val="24"/>
                <w:szCs w:val="24"/>
                <w:highlight w:val="none"/>
                <w:lang w:val="zh-CN"/>
              </w:rPr>
            </w:pPr>
          </w:p>
        </w:tc>
        <w:tc>
          <w:tcPr>
            <w:tcW w:w="1512" w:type="dxa"/>
            <w:vAlign w:val="center"/>
          </w:tcPr>
          <w:p w14:paraId="0A386D0A">
            <w:pPr>
              <w:jc w:val="center"/>
              <w:rPr>
                <w:rFonts w:ascii="宋体" w:hAnsi="宋体" w:eastAsia="宋体" w:cs="Times New Roman"/>
                <w:color w:val="auto"/>
                <w:sz w:val="24"/>
                <w:szCs w:val="24"/>
                <w:highlight w:val="none"/>
                <w:lang w:val="zh-CN"/>
              </w:rPr>
            </w:pPr>
          </w:p>
        </w:tc>
        <w:tc>
          <w:tcPr>
            <w:tcW w:w="1508" w:type="dxa"/>
            <w:vAlign w:val="center"/>
          </w:tcPr>
          <w:p w14:paraId="31BBDC98">
            <w:pPr>
              <w:jc w:val="center"/>
              <w:rPr>
                <w:rFonts w:ascii="宋体" w:hAnsi="宋体" w:eastAsia="宋体" w:cs="Times New Roman"/>
                <w:color w:val="auto"/>
                <w:sz w:val="24"/>
                <w:szCs w:val="24"/>
                <w:highlight w:val="none"/>
                <w:lang w:val="zh-CN"/>
              </w:rPr>
            </w:pPr>
          </w:p>
        </w:tc>
      </w:tr>
      <w:tr w14:paraId="72EF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215F7ACE">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w:t>
            </w:r>
          </w:p>
        </w:tc>
        <w:tc>
          <w:tcPr>
            <w:tcW w:w="1515" w:type="dxa"/>
            <w:vAlign w:val="center"/>
          </w:tcPr>
          <w:p w14:paraId="66F704C1">
            <w:pPr>
              <w:jc w:val="center"/>
              <w:rPr>
                <w:rFonts w:ascii="宋体" w:hAnsi="宋体" w:eastAsia="宋体" w:cs="Times New Roman"/>
                <w:color w:val="auto"/>
                <w:sz w:val="24"/>
                <w:szCs w:val="24"/>
                <w:highlight w:val="none"/>
                <w:lang w:val="zh-CN"/>
              </w:rPr>
            </w:pPr>
          </w:p>
        </w:tc>
        <w:tc>
          <w:tcPr>
            <w:tcW w:w="1515" w:type="dxa"/>
            <w:vAlign w:val="center"/>
          </w:tcPr>
          <w:p w14:paraId="2D7E4ABD">
            <w:pPr>
              <w:jc w:val="center"/>
              <w:rPr>
                <w:rFonts w:ascii="宋体" w:hAnsi="宋体" w:eastAsia="宋体" w:cs="Times New Roman"/>
                <w:color w:val="auto"/>
                <w:sz w:val="24"/>
                <w:szCs w:val="24"/>
                <w:highlight w:val="none"/>
                <w:lang w:val="zh-CN"/>
              </w:rPr>
            </w:pPr>
          </w:p>
        </w:tc>
        <w:tc>
          <w:tcPr>
            <w:tcW w:w="1512" w:type="dxa"/>
            <w:vAlign w:val="center"/>
          </w:tcPr>
          <w:p w14:paraId="6105FA57">
            <w:pPr>
              <w:jc w:val="center"/>
              <w:rPr>
                <w:rFonts w:ascii="宋体" w:hAnsi="宋体" w:eastAsia="宋体" w:cs="Times New Roman"/>
                <w:color w:val="auto"/>
                <w:sz w:val="24"/>
                <w:szCs w:val="24"/>
                <w:highlight w:val="none"/>
                <w:lang w:val="zh-CN"/>
              </w:rPr>
            </w:pPr>
          </w:p>
        </w:tc>
        <w:tc>
          <w:tcPr>
            <w:tcW w:w="1512" w:type="dxa"/>
            <w:vAlign w:val="center"/>
          </w:tcPr>
          <w:p w14:paraId="3D61D8F6">
            <w:pPr>
              <w:jc w:val="center"/>
              <w:rPr>
                <w:rFonts w:ascii="宋体" w:hAnsi="宋体" w:eastAsia="宋体" w:cs="Times New Roman"/>
                <w:color w:val="auto"/>
                <w:sz w:val="24"/>
                <w:szCs w:val="24"/>
                <w:highlight w:val="none"/>
                <w:lang w:val="zh-CN"/>
              </w:rPr>
            </w:pPr>
          </w:p>
        </w:tc>
        <w:tc>
          <w:tcPr>
            <w:tcW w:w="1508" w:type="dxa"/>
            <w:vAlign w:val="center"/>
          </w:tcPr>
          <w:p w14:paraId="6DCD2AC8">
            <w:pPr>
              <w:jc w:val="center"/>
              <w:rPr>
                <w:rFonts w:ascii="宋体" w:hAnsi="宋体" w:eastAsia="宋体" w:cs="Times New Roman"/>
                <w:color w:val="auto"/>
                <w:sz w:val="24"/>
                <w:szCs w:val="24"/>
                <w:highlight w:val="none"/>
                <w:lang w:val="zh-CN"/>
              </w:rPr>
            </w:pPr>
          </w:p>
        </w:tc>
      </w:tr>
    </w:tbl>
    <w:p w14:paraId="5F195703">
      <w:pPr>
        <w:spacing w:line="360" w:lineRule="auto"/>
        <w:ind w:firstLine="437"/>
        <w:outlineLvl w:val="2"/>
        <w:rPr>
          <w:rFonts w:ascii="宋体" w:hAnsi="宋体" w:eastAsia="宋体" w:cs="Times New Roman"/>
          <w:b/>
          <w:bCs/>
          <w:color w:val="auto"/>
          <w:sz w:val="24"/>
          <w:szCs w:val="24"/>
          <w:highlight w:val="none"/>
          <w:lang w:val="zh-CN"/>
        </w:rPr>
      </w:pPr>
      <w:bookmarkStart w:id="77" w:name="_Toc21551"/>
      <w:bookmarkStart w:id="78" w:name="_Toc23292"/>
      <w:bookmarkStart w:id="79" w:name="_Toc21631"/>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 xml:space="preserve">3 </w:t>
      </w:r>
      <w:r>
        <w:rPr>
          <w:rFonts w:hint="eastAsia" w:ascii="宋体" w:hAnsi="宋体" w:eastAsia="宋体" w:cs="Times New Roman"/>
          <w:b/>
          <w:bCs/>
          <w:color w:val="auto"/>
          <w:sz w:val="24"/>
          <w:szCs w:val="24"/>
          <w:highlight w:val="none"/>
          <w:lang w:val="zh-CN"/>
        </w:rPr>
        <w:t>价款</w:t>
      </w:r>
      <w:bookmarkEnd w:id="77"/>
      <w:bookmarkEnd w:id="78"/>
      <w:bookmarkEnd w:id="79"/>
    </w:p>
    <w:p w14:paraId="6A2BF39E">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本合同总价为</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元</w:t>
      </w:r>
      <w:r>
        <w:rPr>
          <w:rFonts w:hint="eastAsia" w:ascii="宋体" w:hAnsi="宋体" w:eastAsia="宋体" w:cs="Times New Roman"/>
          <w:color w:val="auto"/>
          <w:sz w:val="24"/>
          <w:szCs w:val="24"/>
          <w:highlight w:val="none"/>
        </w:rPr>
        <w:t>（大写：人民币</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元）</w:t>
      </w:r>
      <w:r>
        <w:rPr>
          <w:rFonts w:ascii="宋体" w:hAnsi="宋体" w:eastAsia="宋体" w:cs="Times New Roman"/>
          <w:color w:val="auto"/>
          <w:sz w:val="24"/>
          <w:szCs w:val="24"/>
          <w:highlight w:val="none"/>
        </w:rPr>
        <w:t>。</w:t>
      </w:r>
    </w:p>
    <w:p w14:paraId="332DD2F6">
      <w:pPr>
        <w:spacing w:line="360" w:lineRule="auto"/>
        <w:ind w:firstLine="435"/>
        <w:rPr>
          <w:rFonts w:ascii="宋体" w:hAnsi="宋体" w:eastAsia="宋体" w:cs="Times New Roman"/>
          <w:color w:val="auto"/>
          <w:sz w:val="24"/>
          <w:szCs w:val="24"/>
          <w:highlight w:val="none"/>
          <w:u w:val="single"/>
        </w:rPr>
      </w:pPr>
      <w:r>
        <w:rPr>
          <w:rFonts w:ascii="宋体" w:hAnsi="宋体" w:eastAsia="宋体" w:cs="Times New Roman"/>
          <w:color w:val="auto"/>
          <w:sz w:val="24"/>
          <w:szCs w:val="24"/>
          <w:highlight w:val="none"/>
        </w:rPr>
        <w:t>分项价格：</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1669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0002E3B0">
            <w:pPr>
              <w:jc w:val="center"/>
              <w:rPr>
                <w:rFonts w:ascii="宋体" w:hAnsi="宋体" w:eastAsia="宋体" w:cs="Times New Roman"/>
                <w:color w:val="auto"/>
                <w:sz w:val="24"/>
                <w:szCs w:val="24"/>
                <w:highlight w:val="none"/>
                <w:lang w:val="zh-CN"/>
              </w:rPr>
            </w:pPr>
            <w:r>
              <w:rPr>
                <w:rFonts w:ascii="宋体" w:hAnsi="宋体" w:eastAsia="宋体" w:cs="Times New Roman"/>
                <w:color w:val="auto"/>
                <w:sz w:val="24"/>
                <w:szCs w:val="24"/>
                <w:highlight w:val="none"/>
                <w:lang w:val="zh-CN"/>
              </w:rPr>
              <w:t>序号</w:t>
            </w:r>
          </w:p>
        </w:tc>
        <w:tc>
          <w:tcPr>
            <w:tcW w:w="4316" w:type="dxa"/>
            <w:vAlign w:val="center"/>
          </w:tcPr>
          <w:p w14:paraId="09E592E2">
            <w:pPr>
              <w:ind w:firstLine="200"/>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分项名称</w:t>
            </w:r>
          </w:p>
        </w:tc>
        <w:tc>
          <w:tcPr>
            <w:tcW w:w="3237" w:type="dxa"/>
            <w:gridSpan w:val="2"/>
            <w:vAlign w:val="center"/>
          </w:tcPr>
          <w:p w14:paraId="4740A791">
            <w:pPr>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分项价格</w:t>
            </w:r>
          </w:p>
        </w:tc>
      </w:tr>
      <w:tr w14:paraId="3044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5FEBDAB2">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w:t>
            </w:r>
          </w:p>
        </w:tc>
        <w:tc>
          <w:tcPr>
            <w:tcW w:w="4316" w:type="dxa"/>
            <w:vAlign w:val="center"/>
          </w:tcPr>
          <w:p w14:paraId="7631C803">
            <w:pPr>
              <w:ind w:firstLine="200"/>
              <w:jc w:val="center"/>
              <w:rPr>
                <w:rFonts w:ascii="宋体" w:hAnsi="宋体" w:eastAsia="宋体" w:cs="Times New Roman"/>
                <w:color w:val="auto"/>
                <w:sz w:val="24"/>
                <w:szCs w:val="24"/>
                <w:highlight w:val="none"/>
              </w:rPr>
            </w:pPr>
          </w:p>
        </w:tc>
        <w:tc>
          <w:tcPr>
            <w:tcW w:w="3237" w:type="dxa"/>
            <w:gridSpan w:val="2"/>
            <w:vAlign w:val="center"/>
          </w:tcPr>
          <w:p w14:paraId="6ED303C3">
            <w:pPr>
              <w:ind w:firstLine="200"/>
              <w:jc w:val="center"/>
              <w:rPr>
                <w:rFonts w:ascii="宋体" w:hAnsi="宋体" w:eastAsia="宋体" w:cs="Times New Roman"/>
                <w:color w:val="auto"/>
                <w:sz w:val="24"/>
                <w:szCs w:val="24"/>
                <w:highlight w:val="none"/>
              </w:rPr>
            </w:pPr>
          </w:p>
        </w:tc>
      </w:tr>
      <w:tr w14:paraId="5350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655580A">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2</w:t>
            </w:r>
          </w:p>
        </w:tc>
        <w:tc>
          <w:tcPr>
            <w:tcW w:w="4316" w:type="dxa"/>
            <w:vAlign w:val="center"/>
          </w:tcPr>
          <w:p w14:paraId="531F4628">
            <w:pPr>
              <w:ind w:firstLine="200"/>
              <w:jc w:val="center"/>
              <w:rPr>
                <w:rFonts w:ascii="宋体" w:hAnsi="宋体" w:eastAsia="宋体" w:cs="Times New Roman"/>
                <w:color w:val="auto"/>
                <w:sz w:val="24"/>
                <w:szCs w:val="24"/>
                <w:highlight w:val="none"/>
              </w:rPr>
            </w:pPr>
          </w:p>
        </w:tc>
        <w:tc>
          <w:tcPr>
            <w:tcW w:w="3237" w:type="dxa"/>
            <w:gridSpan w:val="2"/>
            <w:vAlign w:val="center"/>
          </w:tcPr>
          <w:p w14:paraId="71D35428">
            <w:pPr>
              <w:ind w:firstLine="200"/>
              <w:jc w:val="center"/>
              <w:rPr>
                <w:rFonts w:ascii="宋体" w:hAnsi="宋体" w:eastAsia="宋体" w:cs="Times New Roman"/>
                <w:color w:val="auto"/>
                <w:sz w:val="24"/>
                <w:szCs w:val="24"/>
                <w:highlight w:val="none"/>
              </w:rPr>
            </w:pPr>
          </w:p>
        </w:tc>
      </w:tr>
      <w:tr w14:paraId="694C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E280C7F">
            <w:pPr>
              <w:jc w:val="center"/>
              <w:rPr>
                <w:rFonts w:ascii="宋体" w:hAnsi="宋体" w:eastAsia="宋体" w:cs="Times New Roman"/>
                <w:color w:val="auto"/>
                <w:sz w:val="24"/>
                <w:szCs w:val="24"/>
                <w:highlight w:val="none"/>
                <w:lang w:val="zh-CN"/>
              </w:rPr>
            </w:pPr>
            <w:r>
              <w:rPr>
                <w:rFonts w:ascii="宋体" w:hAnsi="宋体" w:eastAsia="宋体" w:cs="Times New Roman"/>
                <w:color w:val="auto"/>
                <w:sz w:val="24"/>
                <w:szCs w:val="24"/>
                <w:highlight w:val="none"/>
                <w:lang w:val="zh-CN"/>
              </w:rPr>
              <w:t>3</w:t>
            </w:r>
          </w:p>
        </w:tc>
        <w:tc>
          <w:tcPr>
            <w:tcW w:w="4316" w:type="dxa"/>
            <w:vAlign w:val="center"/>
          </w:tcPr>
          <w:p w14:paraId="71743881">
            <w:pPr>
              <w:ind w:firstLine="200"/>
              <w:jc w:val="center"/>
              <w:rPr>
                <w:rFonts w:ascii="宋体" w:hAnsi="宋体" w:eastAsia="宋体" w:cs="Times New Roman"/>
                <w:color w:val="auto"/>
                <w:sz w:val="24"/>
                <w:szCs w:val="24"/>
                <w:highlight w:val="none"/>
              </w:rPr>
            </w:pPr>
          </w:p>
        </w:tc>
        <w:tc>
          <w:tcPr>
            <w:tcW w:w="3237" w:type="dxa"/>
            <w:gridSpan w:val="2"/>
            <w:vAlign w:val="center"/>
          </w:tcPr>
          <w:p w14:paraId="12A89AF0">
            <w:pPr>
              <w:ind w:firstLine="200"/>
              <w:jc w:val="center"/>
              <w:rPr>
                <w:rFonts w:ascii="宋体" w:hAnsi="宋体" w:eastAsia="宋体" w:cs="Times New Roman"/>
                <w:color w:val="auto"/>
                <w:sz w:val="24"/>
                <w:szCs w:val="24"/>
                <w:highlight w:val="none"/>
              </w:rPr>
            </w:pPr>
          </w:p>
        </w:tc>
      </w:tr>
      <w:tr w14:paraId="0B20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3A2BC28D">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w:t>
            </w:r>
          </w:p>
        </w:tc>
        <w:tc>
          <w:tcPr>
            <w:tcW w:w="4316" w:type="dxa"/>
            <w:vAlign w:val="center"/>
          </w:tcPr>
          <w:p w14:paraId="3BD37DC1">
            <w:pPr>
              <w:ind w:firstLine="200"/>
              <w:jc w:val="center"/>
              <w:rPr>
                <w:rFonts w:ascii="宋体" w:hAnsi="宋体" w:eastAsia="宋体" w:cs="Times New Roman"/>
                <w:color w:val="auto"/>
                <w:sz w:val="24"/>
                <w:szCs w:val="24"/>
                <w:highlight w:val="none"/>
              </w:rPr>
            </w:pPr>
          </w:p>
        </w:tc>
        <w:tc>
          <w:tcPr>
            <w:tcW w:w="3237" w:type="dxa"/>
            <w:gridSpan w:val="2"/>
            <w:vAlign w:val="center"/>
          </w:tcPr>
          <w:p w14:paraId="3B8C297C">
            <w:pPr>
              <w:ind w:firstLine="200"/>
              <w:jc w:val="center"/>
              <w:rPr>
                <w:rFonts w:ascii="宋体" w:hAnsi="宋体" w:eastAsia="宋体" w:cs="Times New Roman"/>
                <w:color w:val="auto"/>
                <w:sz w:val="24"/>
                <w:szCs w:val="24"/>
                <w:highlight w:val="none"/>
              </w:rPr>
            </w:pPr>
          </w:p>
        </w:tc>
      </w:tr>
      <w:tr w14:paraId="794D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6F875C6E">
            <w:pPr>
              <w:ind w:firstLine="200"/>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总价</w:t>
            </w:r>
          </w:p>
        </w:tc>
        <w:tc>
          <w:tcPr>
            <w:tcW w:w="3237" w:type="dxa"/>
            <w:gridSpan w:val="2"/>
            <w:vAlign w:val="center"/>
          </w:tcPr>
          <w:p w14:paraId="36F1E791">
            <w:pPr>
              <w:ind w:firstLine="200"/>
              <w:jc w:val="center"/>
              <w:rPr>
                <w:rFonts w:ascii="宋体" w:hAnsi="宋体" w:eastAsia="宋体" w:cs="Times New Roman"/>
                <w:color w:val="auto"/>
                <w:sz w:val="24"/>
                <w:szCs w:val="24"/>
                <w:highlight w:val="none"/>
              </w:rPr>
            </w:pPr>
          </w:p>
        </w:tc>
      </w:tr>
    </w:tbl>
    <w:p w14:paraId="29506899">
      <w:pPr>
        <w:spacing w:line="360" w:lineRule="auto"/>
        <w:ind w:firstLine="437"/>
        <w:outlineLvl w:val="2"/>
        <w:rPr>
          <w:rFonts w:ascii="宋体" w:hAnsi="宋体" w:eastAsia="宋体" w:cs="Times New Roman"/>
          <w:b/>
          <w:bCs/>
          <w:color w:val="auto"/>
          <w:sz w:val="24"/>
          <w:szCs w:val="24"/>
          <w:highlight w:val="none"/>
          <w:lang w:val="zh-CN"/>
        </w:rPr>
      </w:pPr>
      <w:bookmarkStart w:id="80" w:name="_Toc10340"/>
      <w:bookmarkStart w:id="81" w:name="_Toc1814"/>
      <w:bookmarkStart w:id="82" w:name="_Toc22618"/>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4 付款方式和发票开具方式</w:t>
      </w:r>
      <w:bookmarkEnd w:id="80"/>
      <w:bookmarkEnd w:id="81"/>
      <w:bookmarkEnd w:id="82"/>
    </w:p>
    <w:p w14:paraId="0CC97CD8">
      <w:pPr>
        <w:spacing w:line="360" w:lineRule="auto"/>
        <w:ind w:firstLine="435"/>
        <w:rPr>
          <w:rFonts w:ascii="宋体" w:hAnsi="宋体" w:eastAsia="宋体" w:cs="Times New Roman"/>
          <w:color w:val="auto"/>
          <w:sz w:val="24"/>
          <w:szCs w:val="24"/>
          <w:highlight w:val="none"/>
          <w:u w:val="single"/>
        </w:rPr>
      </w:pPr>
      <w:bookmarkStart w:id="83" w:name="_Toc19304"/>
      <w:bookmarkStart w:id="84" w:name="_Toc2846"/>
      <w:bookmarkStart w:id="85" w:name="_Toc32071"/>
      <w:bookmarkStart w:id="86" w:name="_Toc21423"/>
      <w:bookmarkStart w:id="87" w:name="_Toc27250"/>
      <w:bookmarkStart w:id="88" w:name="_Toc19554"/>
      <w:r>
        <w:rPr>
          <w:rFonts w:hint="eastAsia" w:ascii="宋体" w:hAnsi="宋体" w:eastAsia="宋体" w:cs="Times New Roman"/>
          <w:color w:val="auto"/>
          <w:sz w:val="24"/>
          <w:szCs w:val="24"/>
          <w:highlight w:val="none"/>
        </w:rPr>
        <w:t>1.4.1</w:t>
      </w:r>
      <w:r>
        <w:rPr>
          <w:rFonts w:ascii="宋体" w:hAnsi="宋体" w:eastAsia="宋体" w:cs="Times New Roman"/>
          <w:color w:val="auto"/>
          <w:sz w:val="24"/>
          <w:szCs w:val="24"/>
          <w:highlight w:val="none"/>
        </w:rPr>
        <w:t>付款方式：</w:t>
      </w:r>
      <w:r>
        <w:rPr>
          <w:rFonts w:hint="eastAsia" w:ascii="宋体" w:hAnsi="宋体" w:eastAsia="宋体" w:cs="Times New Roman"/>
          <w:color w:val="auto"/>
          <w:sz w:val="24"/>
          <w:szCs w:val="24"/>
          <w:highlight w:val="none"/>
          <w:u w:val="single"/>
        </w:rPr>
        <w:t>供货、安装、调试及验收合格后一次性付清合同价款。</w:t>
      </w:r>
    </w:p>
    <w:p w14:paraId="28C713FB">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1.4.2发票开具方式：</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满足采购人需求即可</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78564FC8">
      <w:pPr>
        <w:spacing w:line="360" w:lineRule="auto"/>
        <w:ind w:firstLine="437"/>
        <w:outlineLvl w:val="2"/>
        <w:rPr>
          <w:rFonts w:ascii="宋体" w:hAnsi="宋体" w:eastAsia="宋体" w:cs="Times New Roman"/>
          <w:b/>
          <w:bCs/>
          <w:color w:val="auto"/>
          <w:sz w:val="24"/>
          <w:szCs w:val="24"/>
          <w:highlight w:val="none"/>
          <w:lang w:val="zh-CN"/>
        </w:rPr>
      </w:pPr>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5 货物交付期限</w:t>
      </w:r>
      <w:r>
        <w:rPr>
          <w:rFonts w:hint="eastAsia" w:ascii="宋体" w:hAnsi="宋体" w:eastAsia="宋体" w:cs="Times New Roman"/>
          <w:b/>
          <w:bCs/>
          <w:color w:val="auto"/>
          <w:sz w:val="24"/>
          <w:szCs w:val="24"/>
          <w:highlight w:val="none"/>
          <w:lang w:val="zh-CN"/>
        </w:rPr>
        <w:t>、地点和方式</w:t>
      </w:r>
      <w:bookmarkEnd w:id="83"/>
      <w:bookmarkEnd w:id="84"/>
      <w:bookmarkEnd w:id="85"/>
    </w:p>
    <w:p w14:paraId="223FB66D">
      <w:pPr>
        <w:spacing w:line="360" w:lineRule="auto"/>
        <w:ind w:firstLine="435"/>
        <w:rPr>
          <w:rFonts w:hint="default" w:ascii="宋体" w:hAnsi="宋体" w:eastAsia="宋体" w:cs="Times New Roman"/>
          <w:color w:val="auto"/>
          <w:sz w:val="24"/>
          <w:szCs w:val="24"/>
          <w:highlight w:val="none"/>
          <w:u w:val="single"/>
          <w:lang w:val="en-US" w:eastAsia="zh-CN"/>
        </w:rPr>
      </w:pPr>
      <w:r>
        <w:rPr>
          <w:rFonts w:hint="eastAsia" w:ascii="宋体" w:hAnsi="宋体" w:eastAsia="宋体" w:cs="Times New Roman"/>
          <w:color w:val="auto"/>
          <w:sz w:val="24"/>
          <w:szCs w:val="24"/>
          <w:highlight w:val="none"/>
        </w:rPr>
        <w:t>1.5.1交付期限：</w:t>
      </w:r>
      <w:r>
        <w:rPr>
          <w:rFonts w:hint="eastAsia" w:ascii="宋体" w:hAnsi="宋体" w:eastAsia="宋体" w:cs="Times New Roman"/>
          <w:color w:val="auto"/>
          <w:sz w:val="24"/>
          <w:szCs w:val="24"/>
          <w:highlight w:val="none"/>
          <w:u w:val="single"/>
        </w:rPr>
        <w:t>自合同签订后</w:t>
      </w:r>
      <w:r>
        <w:rPr>
          <w:rFonts w:hint="eastAsia" w:ascii="宋体" w:hAnsi="宋体" w:eastAsia="宋体" w:cs="Times New Roman"/>
          <w:color w:val="auto"/>
          <w:sz w:val="24"/>
          <w:szCs w:val="24"/>
          <w:highlight w:val="none"/>
          <w:u w:val="single"/>
          <w:lang w:val="en-US" w:eastAsia="zh-CN"/>
        </w:rPr>
        <w:t>20</w:t>
      </w:r>
      <w:r>
        <w:rPr>
          <w:rFonts w:hint="eastAsia" w:ascii="宋体" w:hAnsi="宋体" w:eastAsia="宋体" w:cs="Times New Roman"/>
          <w:color w:val="auto"/>
          <w:sz w:val="24"/>
          <w:szCs w:val="24"/>
          <w:highlight w:val="none"/>
          <w:u w:val="single"/>
        </w:rPr>
        <w:t>日内完成供货、安装、调试及验收</w:t>
      </w:r>
    </w:p>
    <w:p w14:paraId="0146365D">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1.5.2交付地点</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rPr>
        <w:t>滁州市琅琊区应急管理局，采购人指定地点；</w:t>
      </w:r>
    </w:p>
    <w:p w14:paraId="7DA03B30">
      <w:pPr>
        <w:spacing w:line="360" w:lineRule="auto"/>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1.5.3交付方式：</w:t>
      </w:r>
      <w:r>
        <w:rPr>
          <w:rFonts w:hint="eastAsia" w:ascii="宋体" w:hAnsi="宋体" w:eastAsia="宋体" w:cs="Times New Roman"/>
          <w:color w:val="auto"/>
          <w:sz w:val="24"/>
          <w:szCs w:val="24"/>
          <w:highlight w:val="none"/>
          <w:u w:val="single"/>
        </w:rPr>
        <w:t xml:space="preserve"> 现实交付                        </w:t>
      </w:r>
      <w:r>
        <w:rPr>
          <w:rFonts w:hint="eastAsia" w:ascii="宋体" w:hAnsi="宋体" w:eastAsia="宋体" w:cs="Times New Roman"/>
          <w:color w:val="auto"/>
          <w:sz w:val="24"/>
          <w:szCs w:val="24"/>
          <w:highlight w:val="none"/>
        </w:rPr>
        <w:t>；</w:t>
      </w:r>
    </w:p>
    <w:p w14:paraId="070BA37E">
      <w:pPr>
        <w:spacing w:line="360" w:lineRule="auto"/>
        <w:ind w:firstLine="437"/>
        <w:outlineLvl w:val="2"/>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1.5.4免费质保期：</w:t>
      </w:r>
      <w:r>
        <w:rPr>
          <w:rFonts w:hint="eastAsia" w:ascii="宋体" w:hAnsi="宋体" w:eastAsia="宋体" w:cs="Times New Roman"/>
          <w:color w:val="auto"/>
          <w:sz w:val="24"/>
          <w:szCs w:val="24"/>
          <w:highlight w:val="none"/>
          <w:u w:val="single"/>
        </w:rPr>
        <w:t>验收合格之日起</w:t>
      </w:r>
      <w:r>
        <w:rPr>
          <w:rFonts w:hint="eastAsia" w:ascii="宋体" w:hAnsi="宋体" w:eastAsia="宋体" w:cs="Times New Roman"/>
          <w:color w:val="auto"/>
          <w:sz w:val="24"/>
          <w:szCs w:val="24"/>
          <w:highlight w:val="none"/>
          <w:u w:val="single"/>
          <w:lang w:val="en-US" w:eastAsia="zh-CN"/>
        </w:rPr>
        <w:t>三</w:t>
      </w:r>
      <w:r>
        <w:rPr>
          <w:rFonts w:hint="eastAsia" w:ascii="宋体" w:hAnsi="宋体" w:eastAsia="宋体" w:cs="Times New Roman"/>
          <w:color w:val="auto"/>
          <w:sz w:val="24"/>
          <w:szCs w:val="24"/>
          <w:highlight w:val="none"/>
          <w:u w:val="single"/>
        </w:rPr>
        <w:t>年的免费质保服务。</w:t>
      </w:r>
    </w:p>
    <w:p w14:paraId="648BCBF3">
      <w:pPr>
        <w:spacing w:line="360" w:lineRule="auto"/>
        <w:ind w:firstLine="437"/>
        <w:outlineLvl w:val="2"/>
        <w:rPr>
          <w:rFonts w:ascii="宋体" w:hAnsi="宋体" w:eastAsia="宋体" w:cs="Times New Roman"/>
          <w:b/>
          <w:bCs/>
          <w:color w:val="auto"/>
          <w:sz w:val="24"/>
          <w:szCs w:val="24"/>
          <w:highlight w:val="none"/>
          <w:lang w:val="zh-CN"/>
        </w:rPr>
      </w:pPr>
      <w:r>
        <w:rPr>
          <w:rFonts w:hint="eastAsia" w:ascii="宋体" w:hAnsi="宋体" w:eastAsia="宋体" w:cs="Times New Roman"/>
          <w:b/>
          <w:bCs/>
          <w:color w:val="auto"/>
          <w:sz w:val="24"/>
          <w:szCs w:val="24"/>
          <w:highlight w:val="none"/>
          <w:lang w:val="zh-CN"/>
        </w:rPr>
        <w:t>1.6 违约责任</w:t>
      </w:r>
      <w:bookmarkEnd w:id="86"/>
      <w:bookmarkEnd w:id="87"/>
      <w:bookmarkEnd w:id="88"/>
    </w:p>
    <w:p w14:paraId="621C0570">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1.6.1</w:t>
      </w:r>
      <w:r>
        <w:rPr>
          <w:rFonts w:ascii="宋体" w:hAnsi="宋体" w:eastAsia="宋体" w:cs="Times New Roman"/>
          <w:color w:val="auto"/>
          <w:sz w:val="24"/>
          <w:szCs w:val="24"/>
          <w:highlight w:val="none"/>
        </w:rPr>
        <w:t>除不可抗力外，如果乙方没有按照本合同约定的期限</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地点和方式交付货物，那么甲方可要求乙方支付违约金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违约金按每迟延交付货物一日的应交付而未交付货物价格的</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0.5</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%计算</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最高限额为</w:t>
      </w:r>
      <w:r>
        <w:rPr>
          <w:rFonts w:hint="eastAsia" w:ascii="宋体" w:hAnsi="宋体" w:eastAsia="宋体" w:cs="Times New Roman"/>
          <w:color w:val="auto"/>
          <w:sz w:val="24"/>
          <w:szCs w:val="24"/>
          <w:highlight w:val="none"/>
        </w:rPr>
        <w:t>本</w:t>
      </w:r>
      <w:r>
        <w:rPr>
          <w:rFonts w:ascii="宋体" w:hAnsi="宋体" w:eastAsia="宋体" w:cs="Times New Roman"/>
          <w:color w:val="auto"/>
          <w:sz w:val="24"/>
          <w:szCs w:val="24"/>
          <w:highlight w:val="none"/>
        </w:rPr>
        <w:t>合同总价的</w:t>
      </w:r>
      <w:r>
        <w:rPr>
          <w:rFonts w:hint="eastAsia" w:ascii="宋体" w:hAnsi="宋体" w:eastAsia="宋体" w:cs="Times New Roman"/>
          <w:color w:val="auto"/>
          <w:sz w:val="24"/>
          <w:szCs w:val="24"/>
          <w:highlight w:val="none"/>
          <w:u w:val="single"/>
        </w:rPr>
        <w:t xml:space="preserve"> 5 </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迟延交付货物的违约金计算数额达到前述最高限额之日起</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甲方有权在要求乙方支付违约金的同时</w:t>
      </w:r>
      <w:r>
        <w:rPr>
          <w:rFonts w:hint="eastAsia" w:ascii="宋体" w:hAnsi="宋体" w:eastAsia="宋体" w:cs="Times New Roman"/>
          <w:color w:val="auto"/>
          <w:sz w:val="24"/>
          <w:szCs w:val="24"/>
          <w:highlight w:val="none"/>
        </w:rPr>
        <w:t>，书面通知乙方</w:t>
      </w:r>
      <w:r>
        <w:rPr>
          <w:rFonts w:ascii="宋体" w:hAnsi="宋体" w:eastAsia="宋体" w:cs="Times New Roman"/>
          <w:color w:val="auto"/>
          <w:sz w:val="24"/>
          <w:szCs w:val="24"/>
          <w:highlight w:val="none"/>
        </w:rPr>
        <w:t>解除本合同</w:t>
      </w:r>
      <w:r>
        <w:rPr>
          <w:rFonts w:hint="eastAsia" w:ascii="宋体" w:hAnsi="宋体" w:eastAsia="宋体" w:cs="Times New Roman"/>
          <w:color w:val="auto"/>
          <w:sz w:val="24"/>
          <w:szCs w:val="24"/>
          <w:highlight w:val="none"/>
        </w:rPr>
        <w:t>；</w:t>
      </w:r>
    </w:p>
    <w:p w14:paraId="6809838F">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1.6.2</w:t>
      </w:r>
      <w:r>
        <w:rPr>
          <w:rFonts w:ascii="宋体" w:hAnsi="宋体" w:eastAsia="宋体" w:cs="Times New Roman"/>
          <w:color w:val="auto"/>
          <w:sz w:val="24"/>
          <w:szCs w:val="24"/>
          <w:highlight w:val="none"/>
        </w:rPr>
        <w:t>除不可抗力外，如果甲方没有按照本合同约定的付款方式付款，那么乙方可要求甲方支付违约金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违约金按每迟延</w:t>
      </w:r>
      <w:r>
        <w:rPr>
          <w:rFonts w:hint="eastAsia" w:ascii="宋体" w:hAnsi="宋体" w:eastAsia="宋体" w:cs="Times New Roman"/>
          <w:color w:val="auto"/>
          <w:sz w:val="24"/>
          <w:szCs w:val="24"/>
          <w:highlight w:val="none"/>
        </w:rPr>
        <w:t>付款</w:t>
      </w:r>
      <w:r>
        <w:rPr>
          <w:rFonts w:ascii="宋体" w:hAnsi="宋体" w:eastAsia="宋体" w:cs="Times New Roman"/>
          <w:color w:val="auto"/>
          <w:sz w:val="24"/>
          <w:szCs w:val="24"/>
          <w:highlight w:val="none"/>
        </w:rPr>
        <w:t>一日的应付而未付款的</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0.5</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%计算</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最高限额为</w:t>
      </w:r>
      <w:r>
        <w:rPr>
          <w:rFonts w:hint="eastAsia" w:ascii="宋体" w:hAnsi="宋体" w:eastAsia="宋体" w:cs="Times New Roman"/>
          <w:color w:val="auto"/>
          <w:sz w:val="24"/>
          <w:szCs w:val="24"/>
          <w:highlight w:val="none"/>
        </w:rPr>
        <w:t>本</w:t>
      </w:r>
      <w:r>
        <w:rPr>
          <w:rFonts w:ascii="宋体" w:hAnsi="宋体" w:eastAsia="宋体" w:cs="Times New Roman"/>
          <w:color w:val="auto"/>
          <w:sz w:val="24"/>
          <w:szCs w:val="24"/>
          <w:highlight w:val="none"/>
        </w:rPr>
        <w:t>合同总价的</w:t>
      </w:r>
      <w:r>
        <w:rPr>
          <w:rFonts w:hint="eastAsia" w:ascii="宋体" w:hAnsi="宋体" w:eastAsia="宋体" w:cs="Times New Roman"/>
          <w:color w:val="auto"/>
          <w:sz w:val="24"/>
          <w:szCs w:val="24"/>
          <w:highlight w:val="none"/>
          <w:u w:val="single"/>
        </w:rPr>
        <w:t xml:space="preserve">5 </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迟延</w:t>
      </w:r>
      <w:r>
        <w:rPr>
          <w:rFonts w:hint="eastAsia" w:ascii="宋体" w:hAnsi="宋体" w:eastAsia="宋体" w:cs="Times New Roman"/>
          <w:color w:val="auto"/>
          <w:sz w:val="24"/>
          <w:szCs w:val="24"/>
          <w:highlight w:val="none"/>
        </w:rPr>
        <w:t>付款</w:t>
      </w:r>
      <w:r>
        <w:rPr>
          <w:rFonts w:ascii="宋体" w:hAnsi="宋体" w:eastAsia="宋体" w:cs="Times New Roman"/>
          <w:color w:val="auto"/>
          <w:sz w:val="24"/>
          <w:szCs w:val="24"/>
          <w:highlight w:val="none"/>
        </w:rPr>
        <w:t>的违约金计算数额达到前述最高限额之日起</w:t>
      </w:r>
      <w:r>
        <w:rPr>
          <w:rFonts w:hint="eastAsia" w:ascii="宋体" w:hAnsi="宋体" w:eastAsia="宋体" w:cs="Times New Roman"/>
          <w:color w:val="auto"/>
          <w:sz w:val="24"/>
          <w:szCs w:val="24"/>
          <w:highlight w:val="none"/>
        </w:rPr>
        <w:t>，乙</w:t>
      </w:r>
      <w:r>
        <w:rPr>
          <w:rFonts w:ascii="宋体" w:hAnsi="宋体" w:eastAsia="宋体" w:cs="Times New Roman"/>
          <w:color w:val="auto"/>
          <w:sz w:val="24"/>
          <w:szCs w:val="24"/>
          <w:highlight w:val="none"/>
        </w:rPr>
        <w:t>方有权在要求甲方支付违约金的同时</w:t>
      </w:r>
      <w:r>
        <w:rPr>
          <w:rFonts w:hint="eastAsia" w:ascii="宋体" w:hAnsi="宋体" w:eastAsia="宋体" w:cs="Times New Roman"/>
          <w:color w:val="auto"/>
          <w:sz w:val="24"/>
          <w:szCs w:val="24"/>
          <w:highlight w:val="none"/>
        </w:rPr>
        <w:t>，书面通知甲方</w:t>
      </w:r>
      <w:r>
        <w:rPr>
          <w:rFonts w:ascii="宋体" w:hAnsi="宋体" w:eastAsia="宋体" w:cs="Times New Roman"/>
          <w:color w:val="auto"/>
          <w:sz w:val="24"/>
          <w:szCs w:val="24"/>
          <w:highlight w:val="none"/>
        </w:rPr>
        <w:t>解除本合同</w:t>
      </w:r>
      <w:r>
        <w:rPr>
          <w:rFonts w:hint="eastAsia" w:ascii="宋体" w:hAnsi="宋体" w:eastAsia="宋体" w:cs="Times New Roman"/>
          <w:color w:val="auto"/>
          <w:sz w:val="24"/>
          <w:szCs w:val="24"/>
          <w:highlight w:val="none"/>
        </w:rPr>
        <w:t>；</w:t>
      </w:r>
    </w:p>
    <w:p w14:paraId="5008F80A">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320717A">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EAE00A2">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45AF9E1">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713111F7">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1.6.7因甲方未按合同约定支付价款、未按合同约定受领标的物、擅自解除合同导致乙方遭受的直接损失，乙方可向甲方申请赔偿，赔偿金额由双方协商一致；</w:t>
      </w:r>
      <w:r>
        <w:rPr>
          <w:rFonts w:hint="eastAsia" w:ascii="宋体" w:hAnsi="宋体" w:eastAsia="宋体" w:cs="Times New Roman"/>
          <w:color w:val="auto"/>
          <w:sz w:val="24"/>
          <w:szCs w:val="24"/>
          <w:highlight w:val="none"/>
        </w:rPr>
        <w:t>针对因政策变化等原因不能签订合同或解除合同时，造成乙方合法利益受损的情形，可以给予乙方合理补偿，补偿金额不得超过乙方的直接损失。</w:t>
      </w:r>
    </w:p>
    <w:p w14:paraId="028B19C9">
      <w:pPr>
        <w:spacing w:line="360" w:lineRule="auto"/>
        <w:ind w:firstLine="437"/>
        <w:outlineLvl w:val="2"/>
        <w:rPr>
          <w:rFonts w:ascii="宋体" w:hAnsi="宋体" w:eastAsia="宋体" w:cs="Times New Roman"/>
          <w:b/>
          <w:bCs/>
          <w:color w:val="auto"/>
          <w:sz w:val="24"/>
          <w:szCs w:val="24"/>
          <w:highlight w:val="none"/>
          <w:lang w:val="zh-CN"/>
        </w:rPr>
      </w:pPr>
      <w:bookmarkStart w:id="89" w:name="_Toc28375"/>
      <w:bookmarkStart w:id="90" w:name="_Toc16021"/>
      <w:bookmarkStart w:id="91" w:name="_Toc15583"/>
      <w:r>
        <w:rPr>
          <w:rFonts w:hint="eastAsia" w:ascii="宋体" w:hAnsi="宋体" w:eastAsia="宋体" w:cs="Times New Roman"/>
          <w:b/>
          <w:bCs/>
          <w:color w:val="auto"/>
          <w:sz w:val="24"/>
          <w:szCs w:val="24"/>
          <w:highlight w:val="none"/>
          <w:lang w:val="zh-CN"/>
        </w:rPr>
        <w:t>1.7</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合同</w:t>
      </w:r>
      <w:r>
        <w:rPr>
          <w:rFonts w:ascii="宋体" w:hAnsi="宋体" w:eastAsia="宋体" w:cs="Times New Roman"/>
          <w:b/>
          <w:bCs/>
          <w:color w:val="auto"/>
          <w:sz w:val="24"/>
          <w:szCs w:val="24"/>
          <w:highlight w:val="none"/>
          <w:lang w:val="zh-CN"/>
        </w:rPr>
        <w:t>争议的解决</w:t>
      </w:r>
      <w:bookmarkEnd w:id="89"/>
      <w:bookmarkEnd w:id="90"/>
      <w:bookmarkEnd w:id="91"/>
    </w:p>
    <w:p w14:paraId="2D68DA9C">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本合</w:t>
      </w:r>
      <w:r>
        <w:rPr>
          <w:rFonts w:ascii="宋体" w:hAnsi="宋体" w:eastAsia="宋体" w:cs="Times New Roman"/>
          <w:color w:val="auto"/>
          <w:sz w:val="24"/>
          <w:szCs w:val="24"/>
          <w:highlight w:val="none"/>
        </w:rPr>
        <w:t>同履行过程中发生的任何争议，双方当事人均可</w:t>
      </w:r>
      <w:r>
        <w:rPr>
          <w:rFonts w:hint="eastAsia" w:ascii="宋体" w:hAnsi="宋体" w:eastAsia="宋体" w:cs="Times New Roman"/>
          <w:color w:val="auto"/>
          <w:sz w:val="24"/>
          <w:szCs w:val="24"/>
          <w:highlight w:val="none"/>
        </w:rPr>
        <w:t>通过和解或者调解解决；不愿和解、调解或者和解、调解不成的，可以选择下列第</w:t>
      </w:r>
      <w:r>
        <w:rPr>
          <w:rFonts w:hint="eastAsia" w:ascii="宋体" w:hAnsi="宋体" w:eastAsia="宋体" w:cs="Times New Roman"/>
          <w:color w:val="auto"/>
          <w:sz w:val="24"/>
          <w:szCs w:val="24"/>
          <w:highlight w:val="none"/>
          <w:u w:val="single"/>
        </w:rPr>
        <w:t xml:space="preserve"> 1.7.2 </w:t>
      </w:r>
      <w:r>
        <w:rPr>
          <w:rFonts w:hint="eastAsia" w:ascii="宋体" w:hAnsi="宋体" w:eastAsia="宋体" w:cs="Times New Roman"/>
          <w:color w:val="auto"/>
          <w:sz w:val="24"/>
          <w:szCs w:val="24"/>
          <w:highlight w:val="none"/>
        </w:rPr>
        <w:t>种方式解决：</w:t>
      </w:r>
    </w:p>
    <w:p w14:paraId="2A975B0E">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1.7.1将争议提交</w:t>
      </w:r>
      <w:r>
        <w:rPr>
          <w:rFonts w:hint="eastAsia" w:ascii="宋体" w:hAnsi="宋体" w:eastAsia="宋体" w:cs="Times New Roman"/>
          <w:color w:val="auto"/>
          <w:sz w:val="24"/>
          <w:szCs w:val="24"/>
          <w:highlight w:val="none"/>
          <w:u w:val="single"/>
        </w:rPr>
        <w:t xml:space="preserve"> 滁州 </w:t>
      </w:r>
      <w:r>
        <w:rPr>
          <w:rFonts w:hint="eastAsia" w:ascii="宋体" w:hAnsi="宋体" w:eastAsia="宋体" w:cs="Times New Roman"/>
          <w:color w:val="auto"/>
          <w:sz w:val="24"/>
          <w:szCs w:val="24"/>
          <w:highlight w:val="none"/>
        </w:rPr>
        <w:t>仲裁委员会依申请仲裁时其现行有效的仲裁规则裁决；</w:t>
      </w:r>
    </w:p>
    <w:p w14:paraId="0B8D0467">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1.7.2向</w:t>
      </w:r>
      <w:r>
        <w:rPr>
          <w:rFonts w:hint="eastAsia" w:ascii="宋体" w:hAnsi="宋体" w:eastAsia="宋体" w:cs="Times New Roman"/>
          <w:color w:val="auto"/>
          <w:sz w:val="24"/>
          <w:szCs w:val="24"/>
          <w:highlight w:val="none"/>
          <w:u w:val="single"/>
        </w:rPr>
        <w:t xml:space="preserve">  滁州</w:t>
      </w:r>
      <w:r>
        <w:rPr>
          <w:rFonts w:hint="eastAsia" w:ascii="宋体" w:hAnsi="宋体" w:eastAsia="宋体" w:cs="Times New Roman"/>
          <w:color w:val="auto"/>
          <w:sz w:val="24"/>
          <w:szCs w:val="24"/>
          <w:highlight w:val="none"/>
          <w:u w:val="single"/>
          <w:lang w:val="en-US" w:eastAsia="zh-CN"/>
        </w:rPr>
        <w:t>市琅琊区</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人民法院起诉。</w:t>
      </w:r>
    </w:p>
    <w:p w14:paraId="3BEE8E81">
      <w:pPr>
        <w:spacing w:line="360" w:lineRule="auto"/>
        <w:ind w:firstLine="437"/>
        <w:outlineLvl w:val="2"/>
        <w:rPr>
          <w:rFonts w:ascii="宋体" w:hAnsi="宋体" w:eastAsia="宋体" w:cs="Times New Roman"/>
          <w:b/>
          <w:bCs/>
          <w:color w:val="auto"/>
          <w:sz w:val="24"/>
          <w:szCs w:val="24"/>
          <w:highlight w:val="none"/>
          <w:lang w:val="zh-CN"/>
        </w:rPr>
      </w:pPr>
      <w:bookmarkStart w:id="92" w:name="_Toc7245"/>
      <w:bookmarkStart w:id="93" w:name="_Toc11173"/>
      <w:bookmarkStart w:id="94" w:name="_Toc15322"/>
      <w:r>
        <w:rPr>
          <w:rFonts w:hint="eastAsia" w:ascii="宋体" w:hAnsi="宋体" w:eastAsia="宋体" w:cs="Times New Roman"/>
          <w:b/>
          <w:bCs/>
          <w:color w:val="auto"/>
          <w:sz w:val="24"/>
          <w:szCs w:val="24"/>
          <w:highlight w:val="none"/>
          <w:lang w:val="zh-CN"/>
        </w:rPr>
        <w:t>1.8</w:t>
      </w:r>
      <w:r>
        <w:rPr>
          <w:rFonts w:ascii="宋体" w:hAnsi="宋体" w:eastAsia="宋体" w:cs="Times New Roman"/>
          <w:b/>
          <w:bCs/>
          <w:color w:val="auto"/>
          <w:sz w:val="24"/>
          <w:szCs w:val="24"/>
          <w:highlight w:val="none"/>
          <w:lang w:val="zh-CN"/>
        </w:rPr>
        <w:t xml:space="preserve"> 合同生效</w:t>
      </w:r>
      <w:bookmarkEnd w:id="92"/>
      <w:bookmarkEnd w:id="93"/>
      <w:bookmarkEnd w:id="94"/>
    </w:p>
    <w:p w14:paraId="49DDAF59">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本合同自</w:t>
      </w:r>
      <w:r>
        <w:rPr>
          <w:rFonts w:hint="eastAsia" w:ascii="宋体" w:hAnsi="宋体" w:eastAsia="宋体" w:cs="Times New Roman"/>
          <w:color w:val="auto"/>
          <w:sz w:val="24"/>
          <w:szCs w:val="24"/>
          <w:highlight w:val="none"/>
        </w:rPr>
        <w:t>双方当事人盖章时</w:t>
      </w:r>
      <w:r>
        <w:rPr>
          <w:rFonts w:ascii="宋体" w:hAnsi="宋体" w:eastAsia="宋体" w:cs="Times New Roman"/>
          <w:color w:val="auto"/>
          <w:sz w:val="24"/>
          <w:szCs w:val="24"/>
          <w:highlight w:val="none"/>
        </w:rPr>
        <w:t>生效。</w:t>
      </w:r>
    </w:p>
    <w:p w14:paraId="589CC3EB">
      <w:pPr>
        <w:autoSpaceDE w:val="0"/>
        <w:autoSpaceDN w:val="0"/>
        <w:adjustRightInd w:val="0"/>
        <w:spacing w:line="560" w:lineRule="exact"/>
        <w:rPr>
          <w:rFonts w:ascii="宋体" w:hAnsi="宋体" w:eastAsia="宋体" w:cs="Times New Roman"/>
          <w:color w:val="auto"/>
          <w:sz w:val="24"/>
          <w:szCs w:val="24"/>
          <w:highlight w:val="none"/>
          <w:lang w:val="zh-CN"/>
        </w:rPr>
      </w:pPr>
    </w:p>
    <w:p w14:paraId="1114FF5E">
      <w:pPr>
        <w:autoSpaceDE w:val="0"/>
        <w:autoSpaceDN w:val="0"/>
        <w:adjustRightInd w:val="0"/>
        <w:spacing w:line="560" w:lineRule="exact"/>
        <w:rPr>
          <w:rFonts w:ascii="宋体" w:hAnsi="宋体" w:eastAsia="宋体" w:cs="Times New Roman"/>
          <w:bCs/>
          <w:color w:val="auto"/>
          <w:sz w:val="24"/>
          <w:szCs w:val="24"/>
          <w:highlight w:val="none"/>
          <w:lang w:val="zh-CN"/>
        </w:rPr>
      </w:pPr>
      <w:r>
        <w:rPr>
          <w:rFonts w:hint="eastAsia" w:ascii="宋体" w:hAnsi="宋体" w:eastAsia="宋体" w:cs="Times New Roman"/>
          <w:bCs/>
          <w:color w:val="auto"/>
          <w:sz w:val="24"/>
          <w:szCs w:val="24"/>
          <w:highlight w:val="none"/>
          <w:lang w:val="zh-CN"/>
        </w:rPr>
        <w:t xml:space="preserve">甲 </w:t>
      </w:r>
      <w:r>
        <w:rPr>
          <w:rFonts w:ascii="宋体" w:hAnsi="宋体" w:eastAsia="宋体" w:cs="Times New Roman"/>
          <w:bCs/>
          <w:color w:val="auto"/>
          <w:sz w:val="24"/>
          <w:szCs w:val="24"/>
          <w:highlight w:val="none"/>
          <w:lang w:val="zh-CN"/>
        </w:rPr>
        <w:t xml:space="preserve">   </w:t>
      </w:r>
      <w:r>
        <w:rPr>
          <w:rFonts w:hint="eastAsia" w:ascii="宋体" w:hAnsi="宋体" w:eastAsia="宋体" w:cs="Times New Roman"/>
          <w:bCs/>
          <w:color w:val="auto"/>
          <w:sz w:val="24"/>
          <w:szCs w:val="24"/>
          <w:highlight w:val="none"/>
          <w:lang w:val="zh-CN"/>
        </w:rPr>
        <w:t>方：</w:t>
      </w:r>
      <w:r>
        <w:rPr>
          <w:rFonts w:hint="eastAsia" w:ascii="宋体" w:hAnsi="宋体" w:eastAsia="宋体" w:cs="Times New Roman"/>
          <w:bCs/>
          <w:color w:val="auto"/>
          <w:sz w:val="24"/>
          <w:szCs w:val="24"/>
          <w:highlight w:val="none"/>
          <w:u w:val="single"/>
          <w:lang w:val="zh-CN"/>
        </w:rPr>
        <w:t xml:space="preserve">    （单位盖章）     </w:t>
      </w:r>
      <w:r>
        <w:rPr>
          <w:rFonts w:hint="eastAsia" w:ascii="宋体" w:hAnsi="宋体" w:eastAsia="宋体" w:cs="Times New Roman"/>
          <w:bCs/>
          <w:color w:val="auto"/>
          <w:sz w:val="24"/>
          <w:szCs w:val="24"/>
          <w:highlight w:val="none"/>
          <w:lang w:val="zh-CN"/>
        </w:rPr>
        <w:t xml:space="preserve">          乙方：</w:t>
      </w:r>
      <w:r>
        <w:rPr>
          <w:rFonts w:hint="eastAsia" w:ascii="宋体" w:hAnsi="宋体" w:eastAsia="宋体" w:cs="Times New Roman"/>
          <w:bCs/>
          <w:color w:val="auto"/>
          <w:sz w:val="24"/>
          <w:szCs w:val="24"/>
          <w:highlight w:val="none"/>
          <w:u w:val="single"/>
          <w:lang w:val="zh-CN"/>
        </w:rPr>
        <w:t xml:space="preserve">    （单位盖章）     </w:t>
      </w:r>
    </w:p>
    <w:p w14:paraId="6D956953">
      <w:pPr>
        <w:autoSpaceDE w:val="0"/>
        <w:autoSpaceDN w:val="0"/>
        <w:adjustRightInd w:val="0"/>
        <w:spacing w:line="560" w:lineRule="exact"/>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 xml:space="preserve">法定代表人                             </w:t>
      </w:r>
      <w:r>
        <w:rPr>
          <w:rFonts w:ascii="宋体" w:hAnsi="宋体" w:eastAsia="宋体" w:cs="Times New Roman"/>
          <w:color w:val="auto"/>
          <w:sz w:val="24"/>
          <w:szCs w:val="24"/>
          <w:highlight w:val="none"/>
          <w:lang w:val="zh-CN"/>
        </w:rPr>
        <w:t xml:space="preserve">  </w:t>
      </w:r>
      <w:r>
        <w:rPr>
          <w:rFonts w:hint="eastAsia" w:ascii="宋体" w:hAnsi="宋体" w:eastAsia="宋体" w:cs="Times New Roman"/>
          <w:color w:val="auto"/>
          <w:sz w:val="24"/>
          <w:szCs w:val="24"/>
          <w:highlight w:val="none"/>
          <w:lang w:val="zh-CN"/>
        </w:rPr>
        <w:t>法定代表人</w:t>
      </w:r>
    </w:p>
    <w:p w14:paraId="17F68D7D">
      <w:pPr>
        <w:autoSpaceDE w:val="0"/>
        <w:autoSpaceDN w:val="0"/>
        <w:adjustRightInd w:val="0"/>
        <w:spacing w:line="560" w:lineRule="exact"/>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或授权代表（签字）：                      或授权代表（签字）：</w:t>
      </w:r>
    </w:p>
    <w:p w14:paraId="689EC375">
      <w:pPr>
        <w:widowControl/>
        <w:spacing w:line="560" w:lineRule="exact"/>
        <w:jc w:val="left"/>
        <w:rPr>
          <w:rFonts w:ascii="宋体" w:hAnsi="宋体" w:eastAsia="宋体" w:cs="Times New Roman"/>
          <w:bCs/>
          <w:color w:val="auto"/>
          <w:sz w:val="24"/>
          <w:szCs w:val="24"/>
          <w:highlight w:val="none"/>
        </w:rPr>
      </w:pPr>
      <w:bookmarkStart w:id="95" w:name="_Toc331685783"/>
      <w:r>
        <w:rPr>
          <w:rFonts w:hint="eastAsia" w:ascii="宋体" w:hAnsi="宋体" w:eastAsia="宋体" w:cs="Times New Roman"/>
          <w:bCs/>
          <w:color w:val="auto"/>
          <w:sz w:val="24"/>
          <w:szCs w:val="24"/>
          <w:highlight w:val="none"/>
        </w:rPr>
        <w:t>时间：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月</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日               时间：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月</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日</w:t>
      </w:r>
    </w:p>
    <w:p w14:paraId="2DBD518C">
      <w:pPr>
        <w:widowControl/>
        <w:jc w:val="lef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p>
    <w:p w14:paraId="52EE2CDE">
      <w:pPr>
        <w:rPr>
          <w:rFonts w:ascii="宋体" w:hAnsi="宋体" w:eastAsia="宋体"/>
          <w:color w:val="auto"/>
          <w:sz w:val="24"/>
          <w:szCs w:val="24"/>
          <w:highlight w:val="none"/>
        </w:rPr>
      </w:pPr>
      <w:r>
        <w:rPr>
          <w:rFonts w:hint="eastAsia" w:ascii="宋体" w:hAnsi="宋体" w:eastAsia="宋体"/>
          <w:color w:val="auto"/>
          <w:sz w:val="24"/>
          <w:szCs w:val="24"/>
          <w:highlight w:val="none"/>
        </w:rPr>
        <w:br w:type="page"/>
      </w:r>
    </w:p>
    <w:p w14:paraId="163C25A8">
      <w:pPr>
        <w:spacing w:line="360" w:lineRule="auto"/>
        <w:jc w:val="center"/>
        <w:outlineLvl w:val="1"/>
        <w:rPr>
          <w:rFonts w:ascii="宋体" w:hAnsi="宋体" w:eastAsia="宋体"/>
          <w:b/>
          <w:color w:val="auto"/>
          <w:sz w:val="24"/>
          <w:highlight w:val="none"/>
        </w:rPr>
      </w:pPr>
      <w:r>
        <w:rPr>
          <w:rFonts w:hint="eastAsia" w:ascii="宋体" w:hAnsi="宋体" w:eastAsia="宋体"/>
          <w:b/>
          <w:color w:val="auto"/>
          <w:sz w:val="24"/>
          <w:highlight w:val="none"/>
        </w:rPr>
        <w:t>第二部分</w:t>
      </w:r>
      <w:r>
        <w:rPr>
          <w:rFonts w:ascii="宋体" w:hAnsi="宋体" w:eastAsia="宋体"/>
          <w:b/>
          <w:color w:val="auto"/>
          <w:sz w:val="24"/>
          <w:highlight w:val="none"/>
        </w:rPr>
        <w:t xml:space="preserve"> </w:t>
      </w:r>
      <w:r>
        <w:rPr>
          <w:rFonts w:hint="eastAsia" w:ascii="宋体" w:hAnsi="宋体" w:eastAsia="宋体"/>
          <w:b/>
          <w:color w:val="auto"/>
          <w:sz w:val="24"/>
          <w:highlight w:val="none"/>
        </w:rPr>
        <w:t>合同一般条款</w:t>
      </w:r>
      <w:bookmarkEnd w:id="95"/>
    </w:p>
    <w:p w14:paraId="1C7D4BD1">
      <w:pPr>
        <w:spacing w:line="500" w:lineRule="exact"/>
        <w:ind w:firstLine="437"/>
        <w:jc w:val="left"/>
        <w:outlineLvl w:val="2"/>
        <w:rPr>
          <w:rFonts w:ascii="宋体" w:hAnsi="宋体" w:eastAsia="宋体" w:cs="Times New Roman"/>
          <w:b/>
          <w:bCs/>
          <w:color w:val="auto"/>
          <w:sz w:val="24"/>
          <w:szCs w:val="24"/>
          <w:highlight w:val="none"/>
          <w:lang w:val="zh-CN"/>
        </w:rPr>
      </w:pPr>
      <w:bookmarkStart w:id="96" w:name="_Toc28763"/>
      <w:bookmarkStart w:id="97" w:name="_Ref467379101"/>
      <w:bookmarkStart w:id="98" w:name="_Ref467378404"/>
      <w:bookmarkStart w:id="99" w:name="_Ref467379214"/>
      <w:bookmarkStart w:id="100" w:name="_Toc16917"/>
      <w:bookmarkStart w:id="101" w:name="_Ref467379094"/>
      <w:bookmarkStart w:id="102" w:name="_Ref467378463"/>
      <w:bookmarkStart w:id="103" w:name="_Toc487900349"/>
      <w:bookmarkStart w:id="104" w:name="_Ref467379195"/>
      <w:bookmarkStart w:id="105" w:name="_Toc279701240"/>
      <w:bookmarkStart w:id="106" w:name="_Toc19614"/>
      <w:bookmarkStart w:id="107" w:name="_Ref467379109"/>
      <w:bookmarkStart w:id="108" w:name="_Ref467378499"/>
      <w:bookmarkStart w:id="109" w:name="_Ref467379225"/>
      <w:bookmarkStart w:id="110" w:name="_Ref467379205"/>
      <w:bookmarkStart w:id="111" w:name="_Toc259093669"/>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 xml:space="preserve"> 定义</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0DD243BB">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本合同中的下列</w:t>
      </w:r>
      <w:r>
        <w:rPr>
          <w:rFonts w:hint="eastAsia" w:ascii="宋体" w:hAnsi="宋体" w:eastAsia="宋体" w:cs="Times New Roman"/>
          <w:color w:val="auto"/>
          <w:sz w:val="24"/>
          <w:szCs w:val="24"/>
          <w:highlight w:val="none"/>
        </w:rPr>
        <w:t>词</w:t>
      </w:r>
      <w:r>
        <w:rPr>
          <w:rFonts w:ascii="宋体" w:hAnsi="宋体" w:eastAsia="宋体" w:cs="Times New Roman"/>
          <w:color w:val="auto"/>
          <w:sz w:val="24"/>
          <w:szCs w:val="24"/>
          <w:highlight w:val="none"/>
        </w:rPr>
        <w:t>语应</w:t>
      </w:r>
      <w:r>
        <w:rPr>
          <w:rFonts w:hint="eastAsia" w:ascii="宋体" w:hAnsi="宋体" w:eastAsia="宋体" w:cs="Times New Roman"/>
          <w:color w:val="auto"/>
          <w:sz w:val="24"/>
          <w:szCs w:val="24"/>
          <w:highlight w:val="none"/>
        </w:rPr>
        <w:t>按以下内容进行</w:t>
      </w:r>
      <w:r>
        <w:rPr>
          <w:rFonts w:ascii="宋体" w:hAnsi="宋体" w:eastAsia="宋体" w:cs="Times New Roman"/>
          <w:color w:val="auto"/>
          <w:sz w:val="24"/>
          <w:szCs w:val="24"/>
          <w:highlight w:val="none"/>
        </w:rPr>
        <w:t>解释：</w:t>
      </w:r>
    </w:p>
    <w:p w14:paraId="567D1641">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“合同”系指采购人和中标人签订的载明双方当事人所达成的协议，并包括所有的附件、附录和构成合同的其他文件。</w:t>
      </w:r>
    </w:p>
    <w:p w14:paraId="17CB93BB">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1.2“合同价”系指根据合同约定，中标人在完全履行合同义务后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采购人应支付给中标人的价格。</w:t>
      </w:r>
    </w:p>
    <w:p w14:paraId="77EF37C9">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1.3“货物”系指</w:t>
      </w:r>
      <w:r>
        <w:rPr>
          <w:rFonts w:hint="eastAsia" w:ascii="宋体" w:hAnsi="宋体" w:eastAsia="宋体" w:cs="Times New Roman"/>
          <w:color w:val="auto"/>
          <w:sz w:val="24"/>
          <w:szCs w:val="24"/>
          <w:highlight w:val="none"/>
        </w:rPr>
        <w:t>中标人</w:t>
      </w:r>
      <w:r>
        <w:rPr>
          <w:rFonts w:ascii="宋体" w:hAnsi="宋体" w:eastAsia="宋体" w:cs="Times New Roman"/>
          <w:color w:val="auto"/>
          <w:sz w:val="24"/>
          <w:szCs w:val="24"/>
          <w:highlight w:val="none"/>
        </w:rPr>
        <w:t>根据合同约定应向采购人交付的一切</w:t>
      </w:r>
      <w:r>
        <w:rPr>
          <w:rFonts w:hint="eastAsia" w:ascii="宋体" w:hAnsi="宋体" w:eastAsia="宋体" w:cs="Times New Roman"/>
          <w:color w:val="auto"/>
          <w:sz w:val="24"/>
          <w:szCs w:val="24"/>
          <w:highlight w:val="none"/>
        </w:rPr>
        <w:t>各种形态和种类的物品，包括原材料、燃料、设备、</w:t>
      </w:r>
      <w:r>
        <w:rPr>
          <w:rFonts w:ascii="宋体" w:hAnsi="宋体" w:eastAsia="宋体" w:cs="Times New Roman"/>
          <w:color w:val="auto"/>
          <w:sz w:val="24"/>
          <w:szCs w:val="24"/>
          <w:highlight w:val="none"/>
        </w:rPr>
        <w:t>机械、仪表、备件</w:t>
      </w:r>
      <w:r>
        <w:rPr>
          <w:rFonts w:hint="eastAsia" w:ascii="宋体" w:hAnsi="宋体" w:eastAsia="宋体" w:cs="Times New Roman"/>
          <w:color w:val="auto"/>
          <w:sz w:val="24"/>
          <w:szCs w:val="24"/>
          <w:highlight w:val="none"/>
        </w:rPr>
        <w:t>、计算机软件、产品等</w:t>
      </w:r>
      <w:r>
        <w:rPr>
          <w:rFonts w:ascii="宋体" w:hAnsi="宋体" w:eastAsia="宋体" w:cs="Times New Roman"/>
          <w:color w:val="auto"/>
          <w:sz w:val="24"/>
          <w:szCs w:val="24"/>
          <w:highlight w:val="none"/>
        </w:rPr>
        <w:t>，并包括工具、手册等其他相关资料。</w:t>
      </w:r>
    </w:p>
    <w:p w14:paraId="2F3C0578">
      <w:pPr>
        <w:spacing w:line="500" w:lineRule="exact"/>
        <w:ind w:firstLine="435"/>
        <w:jc w:val="left"/>
        <w:rPr>
          <w:rFonts w:ascii="宋体" w:hAnsi="宋体" w:eastAsia="宋体" w:cs="Times New Roman"/>
          <w:color w:val="auto"/>
          <w:sz w:val="24"/>
          <w:szCs w:val="24"/>
          <w:highlight w:val="none"/>
        </w:rPr>
      </w:pPr>
      <w:bookmarkStart w:id="112" w:name="_Ref467378840"/>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甲方</w:t>
      </w:r>
      <w:r>
        <w:rPr>
          <w:rFonts w:ascii="宋体" w:hAnsi="宋体" w:eastAsia="宋体" w:cs="Times New Roman"/>
          <w:color w:val="auto"/>
          <w:sz w:val="24"/>
          <w:szCs w:val="24"/>
          <w:highlight w:val="none"/>
        </w:rPr>
        <w:t>”系指与</w:t>
      </w:r>
      <w:r>
        <w:rPr>
          <w:rFonts w:hint="eastAsia" w:ascii="宋体" w:hAnsi="宋体" w:eastAsia="宋体" w:cs="Times New Roman"/>
          <w:color w:val="auto"/>
          <w:sz w:val="24"/>
          <w:szCs w:val="24"/>
          <w:highlight w:val="none"/>
        </w:rPr>
        <w:t>中标人</w:t>
      </w:r>
      <w:r>
        <w:rPr>
          <w:rFonts w:ascii="宋体" w:hAnsi="宋体" w:eastAsia="宋体" w:cs="Times New Roman"/>
          <w:color w:val="auto"/>
          <w:sz w:val="24"/>
          <w:szCs w:val="24"/>
          <w:highlight w:val="none"/>
        </w:rPr>
        <w:t>签署合同的采购人</w:t>
      </w:r>
      <w:bookmarkEnd w:id="112"/>
      <w:r>
        <w:rPr>
          <w:rFonts w:hint="eastAsia" w:ascii="宋体" w:hAnsi="宋体" w:eastAsia="宋体" w:cs="Times New Roman"/>
          <w:color w:val="auto"/>
          <w:sz w:val="24"/>
          <w:szCs w:val="24"/>
          <w:highlight w:val="none"/>
        </w:rPr>
        <w:t>；采购人委托采购代理机构代表其与乙方签订合同的，采购人的授权委托书作为合同附件。</w:t>
      </w:r>
    </w:p>
    <w:p w14:paraId="2CAA925A">
      <w:pPr>
        <w:spacing w:line="500" w:lineRule="exact"/>
        <w:ind w:firstLine="435"/>
        <w:jc w:val="left"/>
        <w:rPr>
          <w:rFonts w:ascii="宋体" w:hAnsi="宋体" w:eastAsia="宋体" w:cs="Times New Roman"/>
          <w:color w:val="auto"/>
          <w:sz w:val="24"/>
          <w:szCs w:val="24"/>
          <w:highlight w:val="none"/>
        </w:rPr>
      </w:pPr>
      <w:bookmarkStart w:id="113" w:name="_Ref467379400"/>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5</w:t>
      </w:r>
      <w:r>
        <w:rPr>
          <w:rFonts w:ascii="宋体" w:hAnsi="宋体" w:eastAsia="宋体" w:cs="Times New Roman"/>
          <w:color w:val="auto"/>
          <w:sz w:val="24"/>
          <w:szCs w:val="24"/>
          <w:highlight w:val="none"/>
        </w:rPr>
        <w:t>“乙方”系指根据合同约定交付货物的中标人</w:t>
      </w:r>
      <w:bookmarkEnd w:id="113"/>
      <w:r>
        <w:rPr>
          <w:rFonts w:hint="eastAsia" w:ascii="宋体" w:hAnsi="宋体" w:eastAsia="宋体" w:cs="Times New Roman"/>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26BD64A8">
      <w:pPr>
        <w:spacing w:line="500" w:lineRule="exact"/>
        <w:ind w:firstLine="435"/>
        <w:jc w:val="left"/>
        <w:rPr>
          <w:rFonts w:ascii="宋体" w:hAnsi="宋体" w:eastAsia="宋体" w:cs="Times New Roman"/>
          <w:color w:val="auto"/>
          <w:sz w:val="24"/>
          <w:szCs w:val="24"/>
          <w:highlight w:val="none"/>
        </w:rPr>
      </w:pPr>
      <w:bookmarkStart w:id="114" w:name="_Ref467379436"/>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6</w:t>
      </w:r>
      <w:r>
        <w:rPr>
          <w:rFonts w:ascii="宋体" w:hAnsi="宋体" w:eastAsia="宋体" w:cs="Times New Roman"/>
          <w:color w:val="auto"/>
          <w:sz w:val="24"/>
          <w:szCs w:val="24"/>
          <w:highlight w:val="none"/>
        </w:rPr>
        <w:t>“现场”系指合同约定货物将要运至</w:t>
      </w:r>
      <w:r>
        <w:rPr>
          <w:rFonts w:hint="eastAsia" w:ascii="宋体" w:hAnsi="宋体" w:eastAsia="宋体" w:cs="Times New Roman"/>
          <w:color w:val="auto"/>
          <w:sz w:val="24"/>
          <w:szCs w:val="24"/>
          <w:highlight w:val="none"/>
        </w:rPr>
        <w:t>或者</w:t>
      </w:r>
      <w:r>
        <w:rPr>
          <w:rFonts w:ascii="宋体" w:hAnsi="宋体" w:eastAsia="宋体" w:cs="Times New Roman"/>
          <w:color w:val="auto"/>
          <w:sz w:val="24"/>
          <w:szCs w:val="24"/>
          <w:highlight w:val="none"/>
        </w:rPr>
        <w:t>安装的地点。</w:t>
      </w:r>
      <w:bookmarkEnd w:id="114"/>
    </w:p>
    <w:p w14:paraId="4ACB5254">
      <w:pPr>
        <w:spacing w:line="500" w:lineRule="exact"/>
        <w:ind w:firstLine="437"/>
        <w:jc w:val="left"/>
        <w:outlineLvl w:val="2"/>
        <w:rPr>
          <w:rFonts w:ascii="宋体" w:hAnsi="宋体" w:eastAsia="宋体" w:cs="Times New Roman"/>
          <w:b/>
          <w:bCs/>
          <w:color w:val="auto"/>
          <w:sz w:val="24"/>
          <w:szCs w:val="24"/>
          <w:highlight w:val="none"/>
          <w:lang w:val="zh-CN"/>
        </w:rPr>
      </w:pPr>
      <w:bookmarkStart w:id="115" w:name="_Toc32504"/>
      <w:bookmarkStart w:id="116" w:name="_Toc27635"/>
      <w:bookmarkStart w:id="117" w:name="_Toc279701241"/>
      <w:bookmarkStart w:id="118" w:name="_Toc487900350"/>
      <w:bookmarkStart w:id="119" w:name="_Toc259093670"/>
      <w:bookmarkStart w:id="120" w:name="_Toc13336"/>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2 技术规范</w:t>
      </w:r>
      <w:bookmarkEnd w:id="115"/>
      <w:bookmarkEnd w:id="116"/>
      <w:bookmarkEnd w:id="117"/>
      <w:bookmarkEnd w:id="118"/>
      <w:bookmarkEnd w:id="119"/>
      <w:bookmarkEnd w:id="120"/>
    </w:p>
    <w:p w14:paraId="75223D6C">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货物所应遵守的技术规范应与采购文件规定的技术规范和技术规范附件(如果有的话)及其技术规范偏差表(如果被甲方接受的话)相一致</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如果采购文件中没有技术规范的相应说明，那么应以国家有关部门最新颁布的相应标准</w:t>
      </w:r>
      <w:r>
        <w:rPr>
          <w:rFonts w:hint="eastAsia" w:ascii="宋体" w:hAnsi="宋体" w:eastAsia="宋体" w:cs="Times New Roman"/>
          <w:color w:val="auto"/>
          <w:sz w:val="24"/>
          <w:szCs w:val="24"/>
          <w:highlight w:val="none"/>
        </w:rPr>
        <w:t>和</w:t>
      </w:r>
      <w:r>
        <w:rPr>
          <w:rFonts w:ascii="宋体" w:hAnsi="宋体" w:eastAsia="宋体" w:cs="Times New Roman"/>
          <w:color w:val="auto"/>
          <w:sz w:val="24"/>
          <w:szCs w:val="24"/>
          <w:highlight w:val="none"/>
        </w:rPr>
        <w:t>规范为准。</w:t>
      </w:r>
    </w:p>
    <w:p w14:paraId="3D9B616E">
      <w:pPr>
        <w:spacing w:line="500" w:lineRule="exact"/>
        <w:ind w:firstLine="437"/>
        <w:jc w:val="left"/>
        <w:outlineLvl w:val="2"/>
        <w:rPr>
          <w:rFonts w:ascii="宋体" w:hAnsi="宋体" w:eastAsia="宋体" w:cs="Times New Roman"/>
          <w:b/>
          <w:bCs/>
          <w:color w:val="auto"/>
          <w:sz w:val="24"/>
          <w:szCs w:val="24"/>
          <w:highlight w:val="none"/>
          <w:lang w:val="zh-CN"/>
        </w:rPr>
      </w:pPr>
      <w:bookmarkStart w:id="121" w:name="_Toc9829"/>
      <w:bookmarkStart w:id="122" w:name="_Toc259093671"/>
      <w:bookmarkStart w:id="123" w:name="_Toc31634"/>
      <w:bookmarkStart w:id="124" w:name="_Toc487900351"/>
      <w:bookmarkStart w:id="125" w:name="_Toc27853"/>
      <w:bookmarkStart w:id="126" w:name="_Toc279701242"/>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3 知识产权</w:t>
      </w:r>
      <w:bookmarkEnd w:id="121"/>
      <w:bookmarkEnd w:id="122"/>
      <w:bookmarkEnd w:id="123"/>
      <w:bookmarkEnd w:id="124"/>
      <w:bookmarkEnd w:id="125"/>
      <w:bookmarkEnd w:id="126"/>
    </w:p>
    <w:p w14:paraId="0CF582EB">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2.3.1乙</w:t>
      </w:r>
      <w:r>
        <w:rPr>
          <w:rFonts w:ascii="宋体" w:hAnsi="宋体" w:eastAsia="宋体" w:cs="Times New Roman"/>
          <w:color w:val="auto"/>
          <w:sz w:val="24"/>
          <w:szCs w:val="24"/>
          <w:highlight w:val="none"/>
        </w:rPr>
        <w:t>方应保证甲方在使用该货物或其任何一部分时不受任何第三方提出的侵犯其著作权、商标权、专利权等知识产权方面的起诉</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如果任何第三方提出侵权</w:t>
      </w:r>
      <w:r>
        <w:rPr>
          <w:rFonts w:hint="eastAsia" w:ascii="宋体" w:hAnsi="宋体" w:eastAsia="宋体" w:cs="Times New Roman"/>
          <w:color w:val="auto"/>
          <w:sz w:val="24"/>
          <w:szCs w:val="24"/>
          <w:highlight w:val="none"/>
        </w:rPr>
        <w:t>指控</w:t>
      </w:r>
      <w:r>
        <w:rPr>
          <w:rFonts w:ascii="宋体" w:hAnsi="宋体" w:eastAsia="宋体" w:cs="Times New Roman"/>
          <w:color w:val="auto"/>
          <w:sz w:val="24"/>
          <w:szCs w:val="24"/>
          <w:highlight w:val="none"/>
        </w:rPr>
        <w:t>，那么乙方须与该第三方交涉并承担由此发生的一切责任、费用和赔偿</w:t>
      </w:r>
      <w:r>
        <w:rPr>
          <w:rFonts w:hint="eastAsia" w:ascii="宋体" w:hAnsi="宋体" w:eastAsia="宋体" w:cs="Times New Roman"/>
          <w:color w:val="auto"/>
          <w:sz w:val="24"/>
          <w:szCs w:val="24"/>
          <w:highlight w:val="none"/>
        </w:rPr>
        <w:t>；</w:t>
      </w:r>
    </w:p>
    <w:p w14:paraId="41AC2F90">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2.3.2具有知识产权的计算机软件等货物的知识产权归属，</w:t>
      </w:r>
      <w:r>
        <w:rPr>
          <w:rFonts w:ascii="宋体" w:hAnsi="宋体" w:eastAsia="宋体" w:cs="Times New Roman"/>
          <w:color w:val="auto"/>
          <w:sz w:val="24"/>
          <w:szCs w:val="24"/>
          <w:highlight w:val="none"/>
        </w:rPr>
        <w:t>详见</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w:t>
      </w:r>
    </w:p>
    <w:p w14:paraId="05A97804">
      <w:pPr>
        <w:spacing w:line="500" w:lineRule="exact"/>
        <w:ind w:firstLine="437"/>
        <w:jc w:val="left"/>
        <w:outlineLvl w:val="2"/>
        <w:rPr>
          <w:rFonts w:ascii="宋体" w:hAnsi="宋体" w:eastAsia="宋体" w:cs="Times New Roman"/>
          <w:b/>
          <w:color w:val="auto"/>
          <w:sz w:val="24"/>
          <w:szCs w:val="24"/>
          <w:highlight w:val="none"/>
        </w:rPr>
      </w:pPr>
      <w:bookmarkStart w:id="127" w:name="_Toc29149"/>
      <w:bookmarkStart w:id="128" w:name="_Toc11932"/>
      <w:bookmarkStart w:id="129" w:name="_Toc4194"/>
      <w:r>
        <w:rPr>
          <w:rFonts w:hint="eastAsia" w:ascii="宋体" w:hAnsi="宋体" w:eastAsia="宋体" w:cs="Times New Roman"/>
          <w:b/>
          <w:bCs/>
          <w:color w:val="auto"/>
          <w:sz w:val="24"/>
          <w:szCs w:val="24"/>
          <w:highlight w:val="none"/>
          <w:lang w:val="zh-CN"/>
        </w:rPr>
        <w:t>2.4</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包装和装运</w:t>
      </w:r>
      <w:bookmarkEnd w:id="127"/>
      <w:bookmarkEnd w:id="128"/>
      <w:bookmarkEnd w:id="129"/>
    </w:p>
    <w:p w14:paraId="516DD69E">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2.4.1除</w:t>
      </w:r>
      <w:r>
        <w:rPr>
          <w:rFonts w:ascii="宋体" w:hAnsi="宋体" w:eastAsia="宋体" w:cs="Times New Roman"/>
          <w:b/>
          <w:i/>
          <w:color w:val="auto"/>
          <w:sz w:val="24"/>
          <w:szCs w:val="24"/>
          <w:highlight w:val="none"/>
          <w:u w:val="single"/>
        </w:rPr>
        <w:t>合同专用条款</w:t>
      </w:r>
      <w:r>
        <w:rPr>
          <w:rFonts w:hint="eastAsia" w:ascii="宋体" w:hAnsi="宋体" w:eastAsia="宋体" w:cs="Times New Roman"/>
          <w:color w:val="auto"/>
          <w:sz w:val="24"/>
          <w:szCs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7DCF48D5">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2.4.2装运货物的要求和通知，详见</w:t>
      </w:r>
      <w:r>
        <w:rPr>
          <w:rFonts w:ascii="宋体" w:hAnsi="宋体" w:eastAsia="宋体" w:cs="Times New Roman"/>
          <w:b/>
          <w:i/>
          <w:color w:val="auto"/>
          <w:sz w:val="24"/>
          <w:szCs w:val="24"/>
          <w:highlight w:val="none"/>
          <w:u w:val="single"/>
        </w:rPr>
        <w:t>合同专用条款</w:t>
      </w:r>
      <w:r>
        <w:rPr>
          <w:rFonts w:hint="eastAsia" w:ascii="宋体" w:hAnsi="宋体" w:eastAsia="宋体" w:cs="Times New Roman"/>
          <w:color w:val="auto"/>
          <w:sz w:val="24"/>
          <w:szCs w:val="24"/>
          <w:highlight w:val="none"/>
        </w:rPr>
        <w:t>。</w:t>
      </w:r>
    </w:p>
    <w:p w14:paraId="142A00A1">
      <w:pPr>
        <w:spacing w:line="500" w:lineRule="exact"/>
        <w:ind w:firstLine="437"/>
        <w:jc w:val="left"/>
        <w:outlineLvl w:val="2"/>
        <w:rPr>
          <w:rFonts w:ascii="宋体" w:hAnsi="宋体" w:eastAsia="宋体" w:cs="Times New Roman"/>
          <w:b/>
          <w:bCs/>
          <w:color w:val="auto"/>
          <w:sz w:val="24"/>
          <w:szCs w:val="24"/>
          <w:highlight w:val="none"/>
          <w:lang w:val="zh-CN"/>
        </w:rPr>
      </w:pPr>
      <w:bookmarkStart w:id="130" w:name="_Ref467379527"/>
      <w:bookmarkStart w:id="131" w:name="_Ref467379542"/>
      <w:bookmarkStart w:id="132" w:name="_Toc259093674"/>
      <w:bookmarkStart w:id="133" w:name="_Ref467378541"/>
      <w:bookmarkStart w:id="134" w:name="_Ref467378591"/>
      <w:bookmarkStart w:id="135" w:name="_Ref467379536"/>
      <w:bookmarkStart w:id="136" w:name="_Toc487900354"/>
      <w:bookmarkStart w:id="137" w:name="_Toc279701245"/>
      <w:bookmarkStart w:id="138" w:name="_Toc26182"/>
      <w:bookmarkStart w:id="139" w:name="_Toc19074"/>
      <w:bookmarkStart w:id="140" w:name="_Toc30272"/>
      <w:r>
        <w:rPr>
          <w:rFonts w:hint="eastAsia" w:ascii="宋体" w:hAnsi="宋体" w:eastAsia="宋体" w:cs="Times New Roman"/>
          <w:b/>
          <w:bCs/>
          <w:color w:val="auto"/>
          <w:sz w:val="24"/>
          <w:szCs w:val="24"/>
          <w:highlight w:val="none"/>
          <w:lang w:val="zh-CN"/>
        </w:rPr>
        <w:t>2.</w:t>
      </w:r>
      <w:bookmarkEnd w:id="130"/>
      <w:bookmarkEnd w:id="131"/>
      <w:bookmarkEnd w:id="132"/>
      <w:bookmarkEnd w:id="133"/>
      <w:bookmarkEnd w:id="134"/>
      <w:bookmarkEnd w:id="135"/>
      <w:bookmarkEnd w:id="136"/>
      <w:bookmarkEnd w:id="137"/>
      <w:r>
        <w:rPr>
          <w:rFonts w:hint="eastAsia" w:ascii="宋体" w:hAnsi="宋体" w:eastAsia="宋体" w:cs="Times New Roman"/>
          <w:b/>
          <w:bCs/>
          <w:color w:val="auto"/>
          <w:sz w:val="24"/>
          <w:szCs w:val="24"/>
          <w:highlight w:val="none"/>
          <w:lang w:val="zh-CN"/>
        </w:rPr>
        <w:t>5</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履约检查和问题反馈</w:t>
      </w:r>
      <w:bookmarkEnd w:id="138"/>
      <w:bookmarkEnd w:id="139"/>
      <w:bookmarkEnd w:id="140"/>
    </w:p>
    <w:p w14:paraId="2A66CDAC">
      <w:pPr>
        <w:spacing w:line="500" w:lineRule="exact"/>
        <w:ind w:firstLine="435"/>
        <w:jc w:val="left"/>
        <w:rPr>
          <w:rFonts w:ascii="宋体" w:hAnsi="宋体" w:eastAsia="宋体" w:cs="Times New Roman"/>
          <w:color w:val="auto"/>
          <w:sz w:val="24"/>
          <w:szCs w:val="24"/>
          <w:highlight w:val="none"/>
        </w:rPr>
      </w:pPr>
      <w:bookmarkStart w:id="141" w:name="_Ref467379657"/>
      <w:r>
        <w:rPr>
          <w:rFonts w:hint="eastAsia" w:ascii="宋体" w:hAnsi="宋体" w:eastAsia="宋体" w:cs="Times New Roman"/>
          <w:color w:val="auto"/>
          <w:sz w:val="24"/>
          <w:szCs w:val="24"/>
          <w:highlight w:val="none"/>
        </w:rPr>
        <w:t>2.5</w:t>
      </w:r>
      <w:r>
        <w:rPr>
          <w:rFonts w:ascii="宋体" w:hAnsi="宋体" w:eastAsia="宋体" w:cs="Times New Roman"/>
          <w:color w:val="auto"/>
          <w:sz w:val="24"/>
          <w:szCs w:val="24"/>
          <w:highlight w:val="none"/>
        </w:rPr>
        <w:t>.1</w:t>
      </w:r>
      <w:bookmarkEnd w:id="141"/>
      <w:bookmarkStart w:id="142" w:name="_Toc186431854"/>
      <w:bookmarkStart w:id="143" w:name="_Ref467379793"/>
      <w:bookmarkStart w:id="144" w:name="_Toc279701247"/>
      <w:bookmarkStart w:id="145" w:name="_Ref467379807"/>
      <w:bookmarkStart w:id="146" w:name="_Toc487900357"/>
      <w:bookmarkStart w:id="147" w:name="_Toc259093676"/>
      <w:r>
        <w:rPr>
          <w:rFonts w:ascii="宋体" w:hAnsi="宋体" w:eastAsia="宋体" w:cs="Times New Roman"/>
          <w:color w:val="auto"/>
          <w:sz w:val="24"/>
          <w:szCs w:val="24"/>
          <w:highlight w:val="none"/>
        </w:rPr>
        <w:t>甲方</w:t>
      </w:r>
      <w:r>
        <w:rPr>
          <w:rFonts w:hint="eastAsia" w:ascii="宋体" w:hAnsi="宋体" w:eastAsia="宋体" w:cs="Times New Roman"/>
          <w:color w:val="auto"/>
          <w:sz w:val="24"/>
          <w:szCs w:val="24"/>
          <w:highlight w:val="none"/>
        </w:rPr>
        <w:t>有权</w:t>
      </w:r>
      <w:r>
        <w:rPr>
          <w:rFonts w:ascii="宋体" w:hAnsi="宋体" w:eastAsia="宋体" w:cs="Times New Roman"/>
          <w:color w:val="auto"/>
          <w:sz w:val="24"/>
          <w:szCs w:val="24"/>
          <w:highlight w:val="none"/>
        </w:rPr>
        <w:t>在其认为必要时</w:t>
      </w:r>
      <w:r>
        <w:rPr>
          <w:rFonts w:hint="eastAsia" w:ascii="宋体" w:hAnsi="宋体" w:eastAsia="宋体" w:cs="Times New Roman"/>
          <w:color w:val="auto"/>
          <w:sz w:val="24"/>
          <w:szCs w:val="24"/>
          <w:highlight w:val="none"/>
        </w:rPr>
        <w:t>，对乙方是否能够按照合同约定交付货物进行履约检查，以确保乙方所交付的货物能够依约满足甲方项目需求，但不得因履约检查妨碍乙方的正常工作，乙方应予积极配合；</w:t>
      </w:r>
    </w:p>
    <w:p w14:paraId="44ED0744">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2.5.2合同履行期间，甲方有权将履行过程中出现的问题反馈给乙方，双方当事人应以书面形式约定需要完善和改进的内容</w:t>
      </w:r>
      <w:bookmarkEnd w:id="142"/>
      <w:bookmarkStart w:id="148" w:name="_Toc186431855"/>
      <w:r>
        <w:rPr>
          <w:rFonts w:hint="eastAsia" w:ascii="宋体" w:hAnsi="宋体" w:eastAsia="宋体" w:cs="Times New Roman"/>
          <w:color w:val="auto"/>
          <w:sz w:val="24"/>
          <w:szCs w:val="24"/>
          <w:highlight w:val="none"/>
        </w:rPr>
        <w:t>。</w:t>
      </w:r>
    </w:p>
    <w:bookmarkEnd w:id="148"/>
    <w:p w14:paraId="543C95FE">
      <w:pPr>
        <w:spacing w:line="500" w:lineRule="exact"/>
        <w:ind w:firstLine="437"/>
        <w:jc w:val="left"/>
        <w:outlineLvl w:val="2"/>
        <w:rPr>
          <w:rFonts w:ascii="宋体" w:hAnsi="宋体" w:eastAsia="宋体" w:cs="Times New Roman"/>
          <w:b/>
          <w:bCs/>
          <w:color w:val="auto"/>
          <w:sz w:val="24"/>
          <w:szCs w:val="24"/>
          <w:highlight w:val="none"/>
          <w:lang w:val="zh-CN"/>
        </w:rPr>
      </w:pPr>
      <w:bookmarkStart w:id="149" w:name="_Toc28451"/>
      <w:bookmarkStart w:id="150" w:name="_Toc7836"/>
      <w:bookmarkStart w:id="151" w:name="_Toc19219"/>
      <w:r>
        <w:rPr>
          <w:rFonts w:hint="eastAsia" w:ascii="宋体" w:hAnsi="宋体" w:eastAsia="宋体" w:cs="Times New Roman"/>
          <w:b/>
          <w:bCs/>
          <w:color w:val="auto"/>
          <w:sz w:val="24"/>
          <w:szCs w:val="24"/>
          <w:highlight w:val="none"/>
          <w:lang w:val="zh-CN"/>
        </w:rPr>
        <w:t xml:space="preserve">2.6 </w:t>
      </w:r>
      <w:r>
        <w:rPr>
          <w:rFonts w:ascii="宋体" w:hAnsi="宋体" w:eastAsia="宋体" w:cs="Times New Roman"/>
          <w:b/>
          <w:bCs/>
          <w:color w:val="auto"/>
          <w:sz w:val="24"/>
          <w:szCs w:val="24"/>
          <w:highlight w:val="none"/>
          <w:lang w:val="zh-CN"/>
        </w:rPr>
        <w:t>结算方式和付款条件</w:t>
      </w:r>
      <w:bookmarkEnd w:id="143"/>
      <w:bookmarkEnd w:id="144"/>
      <w:bookmarkEnd w:id="145"/>
      <w:bookmarkEnd w:id="146"/>
      <w:bookmarkEnd w:id="147"/>
      <w:bookmarkEnd w:id="149"/>
      <w:bookmarkEnd w:id="150"/>
      <w:bookmarkEnd w:id="151"/>
    </w:p>
    <w:p w14:paraId="33530665">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详见</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w:t>
      </w:r>
    </w:p>
    <w:p w14:paraId="1329115C">
      <w:pPr>
        <w:spacing w:line="500" w:lineRule="exact"/>
        <w:ind w:firstLine="437"/>
        <w:jc w:val="left"/>
        <w:outlineLvl w:val="2"/>
        <w:rPr>
          <w:rFonts w:ascii="宋体" w:hAnsi="宋体" w:eastAsia="宋体" w:cs="Times New Roman"/>
          <w:b/>
          <w:bCs/>
          <w:color w:val="auto"/>
          <w:sz w:val="24"/>
          <w:szCs w:val="24"/>
          <w:highlight w:val="none"/>
          <w:lang w:val="zh-CN"/>
        </w:rPr>
      </w:pPr>
      <w:bookmarkStart w:id="152" w:name="_Toc259093677"/>
      <w:bookmarkStart w:id="153" w:name="_Ref467379863"/>
      <w:bookmarkStart w:id="154" w:name="_Toc487900358"/>
      <w:bookmarkStart w:id="155" w:name="_Ref467379923"/>
      <w:bookmarkStart w:id="156" w:name="_Ref467379852"/>
      <w:bookmarkStart w:id="157" w:name="_Toc279701248"/>
      <w:bookmarkStart w:id="158" w:name="_Toc774"/>
      <w:bookmarkStart w:id="159" w:name="_Toc3225"/>
      <w:bookmarkStart w:id="160" w:name="_Toc16110"/>
      <w:r>
        <w:rPr>
          <w:rFonts w:hint="eastAsia" w:ascii="宋体" w:hAnsi="宋体" w:eastAsia="宋体" w:cs="Times New Roman"/>
          <w:b/>
          <w:bCs/>
          <w:color w:val="auto"/>
          <w:sz w:val="24"/>
          <w:szCs w:val="24"/>
          <w:highlight w:val="none"/>
          <w:lang w:val="zh-CN"/>
        </w:rPr>
        <w:t xml:space="preserve">2.7 </w:t>
      </w:r>
      <w:r>
        <w:rPr>
          <w:rFonts w:ascii="宋体" w:hAnsi="宋体" w:eastAsia="宋体" w:cs="Times New Roman"/>
          <w:b/>
          <w:bCs/>
          <w:color w:val="auto"/>
          <w:sz w:val="24"/>
          <w:szCs w:val="24"/>
          <w:highlight w:val="none"/>
          <w:lang w:val="zh-CN"/>
        </w:rPr>
        <w:t>技术资料</w:t>
      </w:r>
      <w:bookmarkEnd w:id="152"/>
      <w:bookmarkEnd w:id="153"/>
      <w:bookmarkEnd w:id="154"/>
      <w:bookmarkEnd w:id="155"/>
      <w:bookmarkEnd w:id="156"/>
      <w:bookmarkEnd w:id="157"/>
      <w:r>
        <w:rPr>
          <w:rFonts w:ascii="宋体" w:hAnsi="宋体" w:eastAsia="宋体" w:cs="Times New Roman"/>
          <w:b/>
          <w:bCs/>
          <w:color w:val="auto"/>
          <w:sz w:val="24"/>
          <w:szCs w:val="24"/>
          <w:highlight w:val="none"/>
          <w:lang w:val="zh-CN"/>
        </w:rPr>
        <w:t>和保密义务</w:t>
      </w:r>
      <w:bookmarkEnd w:id="158"/>
      <w:bookmarkEnd w:id="159"/>
      <w:bookmarkEnd w:id="160"/>
    </w:p>
    <w:p w14:paraId="298BA089">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2.7</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乙方有权依据合同约定和项目需要，向甲方了解有关情况，调阅有关资料等，甲方应予积极配合；</w:t>
      </w:r>
    </w:p>
    <w:p w14:paraId="6C9A5E64">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2.7.2乙方有义务妥善保管和保护由甲方提供的前款信息和资料等；</w:t>
      </w:r>
    </w:p>
    <w:p w14:paraId="79240C20">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2.7</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cs="Times New Roman"/>
          <w:color w:val="auto"/>
          <w:sz w:val="24"/>
          <w:szCs w:val="24"/>
          <w:highlight w:val="none"/>
        </w:rPr>
        <w:t>技术情报</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技术资料</w:t>
      </w:r>
      <w:r>
        <w:rPr>
          <w:rFonts w:hint="eastAsia" w:ascii="宋体" w:hAnsi="宋体" w:eastAsia="宋体" w:cs="Times New Roman"/>
          <w:color w:val="auto"/>
          <w:sz w:val="24"/>
          <w:szCs w:val="24"/>
          <w:highlight w:val="none"/>
        </w:rPr>
        <w:t>、商业秘密和商业信息等，并采取一切合理和必要措施和方式防止任何第三方接触到对方当事人的上述保密信息和资料。</w:t>
      </w:r>
    </w:p>
    <w:p w14:paraId="76F213BE">
      <w:pPr>
        <w:spacing w:line="500" w:lineRule="exact"/>
        <w:ind w:firstLine="437"/>
        <w:jc w:val="left"/>
        <w:outlineLvl w:val="2"/>
        <w:rPr>
          <w:rFonts w:ascii="宋体" w:hAnsi="宋体" w:eastAsia="宋体" w:cs="Times New Roman"/>
          <w:b/>
          <w:bCs/>
          <w:color w:val="auto"/>
          <w:sz w:val="24"/>
          <w:szCs w:val="24"/>
          <w:highlight w:val="none"/>
          <w:lang w:val="zh-CN"/>
        </w:rPr>
      </w:pPr>
      <w:bookmarkStart w:id="161" w:name="_Toc7860"/>
      <w:r>
        <w:rPr>
          <w:rFonts w:ascii="宋体" w:hAnsi="宋体" w:eastAsia="宋体" w:cs="Times New Roman"/>
          <w:b/>
          <w:bCs/>
          <w:color w:val="auto"/>
          <w:sz w:val="24"/>
          <w:szCs w:val="24"/>
          <w:highlight w:val="none"/>
          <w:lang w:val="zh-CN"/>
        </w:rPr>
        <w:t>2.8 质量保证</w:t>
      </w:r>
      <w:bookmarkEnd w:id="161"/>
    </w:p>
    <w:p w14:paraId="3FEC646C">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2.8.1乙方应建立和完善履行合同的内部质量保证体系，并提供相关内部规章制度给甲方，以便甲方进行监督检查；</w:t>
      </w:r>
    </w:p>
    <w:p w14:paraId="6AD55B9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2.8.2乙方应保证履行合同的人员数量和素质、软件和硬件设备的配置、场地、环境和设施等满足全面履行合同的要求，并应接受甲方的监督检查。</w:t>
      </w:r>
    </w:p>
    <w:p w14:paraId="1626F62A">
      <w:pPr>
        <w:spacing w:line="500" w:lineRule="exact"/>
        <w:ind w:firstLine="437"/>
        <w:jc w:val="left"/>
        <w:outlineLvl w:val="2"/>
        <w:rPr>
          <w:rFonts w:ascii="宋体" w:hAnsi="宋体" w:eastAsia="宋体" w:cs="Times New Roman"/>
          <w:b/>
          <w:bCs/>
          <w:color w:val="auto"/>
          <w:sz w:val="24"/>
          <w:szCs w:val="24"/>
          <w:highlight w:val="none"/>
          <w:lang w:val="zh-CN"/>
        </w:rPr>
      </w:pPr>
      <w:bookmarkStart w:id="162" w:name="_Toc17244"/>
      <w:bookmarkStart w:id="163" w:name="_Toc259093681"/>
      <w:bookmarkStart w:id="164" w:name="_Toc487900362"/>
      <w:bookmarkStart w:id="165" w:name="_Toc279701252"/>
      <w:r>
        <w:rPr>
          <w:rFonts w:ascii="宋体" w:hAnsi="宋体" w:eastAsia="宋体" w:cs="Times New Roman"/>
          <w:b/>
          <w:bCs/>
          <w:color w:val="auto"/>
          <w:sz w:val="24"/>
          <w:szCs w:val="24"/>
          <w:highlight w:val="none"/>
          <w:lang w:val="zh-CN"/>
        </w:rPr>
        <w:t>2.9 货物的风险负担</w:t>
      </w:r>
      <w:bookmarkEnd w:id="162"/>
    </w:p>
    <w:p w14:paraId="6FBE6220">
      <w:pPr>
        <w:spacing w:line="500" w:lineRule="exact"/>
        <w:ind w:firstLine="435"/>
        <w:jc w:val="left"/>
        <w:rPr>
          <w:rFonts w:ascii="宋体" w:hAnsi="宋体" w:eastAsia="宋体" w:cs="Times New Roman"/>
          <w:b/>
          <w:color w:val="auto"/>
          <w:sz w:val="24"/>
          <w:szCs w:val="24"/>
          <w:highlight w:val="none"/>
        </w:rPr>
      </w:pPr>
      <w:r>
        <w:rPr>
          <w:rFonts w:hint="eastAsia" w:ascii="宋体" w:hAnsi="宋体" w:eastAsia="宋体" w:cs="Times New Roman"/>
          <w:color w:val="auto"/>
          <w:sz w:val="24"/>
          <w:szCs w:val="24"/>
          <w:highlight w:val="none"/>
        </w:rPr>
        <w:t>货物或者在途货物或者交付给第一承运人后的货物毁损、灭失的风险负担</w:t>
      </w:r>
      <w:r>
        <w:rPr>
          <w:rFonts w:ascii="宋体" w:hAnsi="宋体" w:eastAsia="宋体" w:cs="Times New Roman"/>
          <w:color w:val="auto"/>
          <w:sz w:val="24"/>
          <w:szCs w:val="24"/>
          <w:highlight w:val="none"/>
        </w:rPr>
        <w:t>详见</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w:t>
      </w:r>
    </w:p>
    <w:p w14:paraId="75C760A8">
      <w:pPr>
        <w:spacing w:line="500" w:lineRule="exact"/>
        <w:ind w:firstLine="437"/>
        <w:jc w:val="left"/>
        <w:outlineLvl w:val="2"/>
        <w:rPr>
          <w:rFonts w:ascii="宋体" w:hAnsi="宋体" w:eastAsia="宋体" w:cs="Times New Roman"/>
          <w:b/>
          <w:bCs/>
          <w:color w:val="auto"/>
          <w:sz w:val="24"/>
          <w:szCs w:val="24"/>
          <w:highlight w:val="none"/>
          <w:lang w:val="zh-CN"/>
        </w:rPr>
      </w:pPr>
      <w:bookmarkStart w:id="166" w:name="_Toc14055"/>
      <w:r>
        <w:rPr>
          <w:rFonts w:ascii="宋体" w:hAnsi="宋体" w:eastAsia="宋体" w:cs="Times New Roman"/>
          <w:b/>
          <w:bCs/>
          <w:color w:val="auto"/>
          <w:sz w:val="24"/>
          <w:szCs w:val="24"/>
          <w:highlight w:val="none"/>
          <w:lang w:val="zh-CN"/>
        </w:rPr>
        <w:t>2.10 延迟交货</w:t>
      </w:r>
      <w:bookmarkEnd w:id="163"/>
      <w:bookmarkEnd w:id="164"/>
      <w:bookmarkEnd w:id="165"/>
      <w:bookmarkEnd w:id="166"/>
    </w:p>
    <w:p w14:paraId="7CD3F0C2">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在合同履行过程中，如果乙方遇到不能按时交付货物的情况，应及时以书面形式将不能按时</w:t>
      </w:r>
      <w:r>
        <w:rPr>
          <w:rFonts w:hint="eastAsia" w:ascii="宋体" w:hAnsi="宋体" w:eastAsia="宋体" w:cs="Times New Roman"/>
          <w:color w:val="auto"/>
          <w:sz w:val="24"/>
          <w:szCs w:val="24"/>
          <w:highlight w:val="none"/>
        </w:rPr>
        <w:t>交付货物</w:t>
      </w:r>
      <w:r>
        <w:rPr>
          <w:rFonts w:ascii="宋体" w:hAnsi="宋体" w:eastAsia="宋体" w:cs="Times New Roman"/>
          <w:color w:val="auto"/>
          <w:sz w:val="24"/>
          <w:szCs w:val="24"/>
          <w:highlight w:val="none"/>
        </w:rPr>
        <w:t>的理由、预期延误时间通知甲方</w:t>
      </w:r>
      <w:r>
        <w:rPr>
          <w:rFonts w:hint="eastAsia" w:ascii="宋体" w:hAnsi="宋体" w:eastAsia="宋体" w:cs="Times New Roman"/>
          <w:color w:val="auto"/>
          <w:sz w:val="24"/>
          <w:szCs w:val="24"/>
          <w:highlight w:val="none"/>
        </w:rPr>
        <w:t>；甲</w:t>
      </w:r>
      <w:r>
        <w:rPr>
          <w:rFonts w:ascii="宋体" w:hAnsi="宋体" w:eastAsia="宋体" w:cs="Times New Roman"/>
          <w:color w:val="auto"/>
          <w:sz w:val="24"/>
          <w:szCs w:val="24"/>
          <w:highlight w:val="none"/>
        </w:rPr>
        <w:t>方收到乙方通知后，认为其理由正当的，可以书面形式酌情同意乙方可以延长交货的具体时间。</w:t>
      </w:r>
    </w:p>
    <w:p w14:paraId="69C839AF">
      <w:pPr>
        <w:spacing w:line="500" w:lineRule="exact"/>
        <w:ind w:firstLine="437"/>
        <w:jc w:val="left"/>
        <w:outlineLvl w:val="2"/>
        <w:rPr>
          <w:rFonts w:ascii="宋体" w:hAnsi="宋体" w:eastAsia="宋体" w:cs="Times New Roman"/>
          <w:b/>
          <w:bCs/>
          <w:color w:val="auto"/>
          <w:sz w:val="24"/>
          <w:szCs w:val="24"/>
          <w:highlight w:val="none"/>
          <w:lang w:val="zh-CN"/>
        </w:rPr>
      </w:pPr>
      <w:bookmarkStart w:id="167" w:name="_Toc7502"/>
      <w:bookmarkStart w:id="168" w:name="_Toc259093683"/>
      <w:bookmarkStart w:id="169" w:name="_Toc487900364"/>
      <w:bookmarkStart w:id="170" w:name="_Ref467378121"/>
      <w:bookmarkStart w:id="171" w:name="_Toc279701254"/>
      <w:r>
        <w:rPr>
          <w:rFonts w:ascii="宋体" w:hAnsi="宋体" w:eastAsia="宋体" w:cs="Times New Roman"/>
          <w:b/>
          <w:bCs/>
          <w:color w:val="auto"/>
          <w:sz w:val="24"/>
          <w:szCs w:val="24"/>
          <w:highlight w:val="none"/>
          <w:lang w:val="zh-CN"/>
        </w:rPr>
        <w:t>2.11 合同变更</w:t>
      </w:r>
      <w:bookmarkEnd w:id="167"/>
    </w:p>
    <w:p w14:paraId="4159EE7A">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2.11.1双方当事人协商一致，可以签订书面补充合同的形式变更合同，但不得违背采购文件确定的事项；</w:t>
      </w:r>
    </w:p>
    <w:p w14:paraId="321E9A7C">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2.11.2合同继续履行将损害国家利益和社会公共利益的，双方当事人应当以书面形式变更合同。有过错的一方应当承担赔偿责任，双方当事人都有过错的，各自承担相应的责任。</w:t>
      </w:r>
      <w:bookmarkStart w:id="172" w:name="_Toc279701259"/>
      <w:bookmarkStart w:id="173" w:name="_Toc487900369"/>
      <w:bookmarkStart w:id="174" w:name="_Toc259093688"/>
    </w:p>
    <w:p w14:paraId="5B194A8E">
      <w:pPr>
        <w:spacing w:line="500" w:lineRule="exact"/>
        <w:ind w:firstLine="437"/>
        <w:jc w:val="left"/>
        <w:outlineLvl w:val="2"/>
        <w:rPr>
          <w:rFonts w:ascii="宋体" w:hAnsi="宋体" w:eastAsia="宋体" w:cs="Times New Roman"/>
          <w:b/>
          <w:bCs/>
          <w:color w:val="auto"/>
          <w:sz w:val="24"/>
          <w:szCs w:val="24"/>
          <w:highlight w:val="none"/>
          <w:lang w:val="zh-CN"/>
        </w:rPr>
      </w:pPr>
      <w:bookmarkStart w:id="175" w:name="_Toc15237"/>
      <w:bookmarkStart w:id="176" w:name="_Toc22955"/>
      <w:bookmarkStart w:id="177" w:name="_Toc10366"/>
      <w:r>
        <w:rPr>
          <w:rFonts w:hint="eastAsia" w:ascii="宋体" w:hAnsi="宋体" w:eastAsia="宋体" w:cs="Times New Roman"/>
          <w:b/>
          <w:bCs/>
          <w:color w:val="auto"/>
          <w:sz w:val="24"/>
          <w:szCs w:val="24"/>
          <w:highlight w:val="none"/>
          <w:lang w:val="zh-CN"/>
        </w:rPr>
        <w:t xml:space="preserve">2.12 </w:t>
      </w:r>
      <w:r>
        <w:rPr>
          <w:rFonts w:ascii="宋体" w:hAnsi="宋体" w:eastAsia="宋体" w:cs="Times New Roman"/>
          <w:b/>
          <w:bCs/>
          <w:color w:val="auto"/>
          <w:sz w:val="24"/>
          <w:szCs w:val="24"/>
          <w:highlight w:val="none"/>
          <w:lang w:val="zh-CN"/>
        </w:rPr>
        <w:t>合同转让</w:t>
      </w:r>
      <w:bookmarkEnd w:id="172"/>
      <w:bookmarkEnd w:id="173"/>
      <w:bookmarkEnd w:id="174"/>
      <w:r>
        <w:rPr>
          <w:rFonts w:ascii="宋体" w:hAnsi="宋体" w:eastAsia="宋体" w:cs="Times New Roman"/>
          <w:b/>
          <w:bCs/>
          <w:color w:val="auto"/>
          <w:sz w:val="24"/>
          <w:szCs w:val="24"/>
          <w:highlight w:val="none"/>
          <w:lang w:val="zh-CN"/>
        </w:rPr>
        <w:t>和分包</w:t>
      </w:r>
      <w:bookmarkEnd w:id="175"/>
      <w:bookmarkEnd w:id="176"/>
      <w:bookmarkEnd w:id="177"/>
    </w:p>
    <w:p w14:paraId="744E1CAC">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合同的权利义务依法不</w:t>
      </w:r>
      <w:r>
        <w:rPr>
          <w:rFonts w:hint="eastAsia" w:ascii="宋体" w:hAnsi="宋体" w:eastAsia="宋体" w:cs="Times New Roman"/>
          <w:color w:val="auto"/>
          <w:sz w:val="24"/>
          <w:szCs w:val="24"/>
          <w:highlight w:val="none"/>
        </w:rPr>
        <w:t>得</w:t>
      </w:r>
      <w:r>
        <w:rPr>
          <w:rFonts w:ascii="宋体" w:hAnsi="宋体" w:eastAsia="宋体" w:cs="Times New Roman"/>
          <w:color w:val="auto"/>
          <w:sz w:val="24"/>
          <w:szCs w:val="24"/>
          <w:highlight w:val="none"/>
        </w:rPr>
        <w:t>转让</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但经甲方</w:t>
      </w:r>
      <w:r>
        <w:rPr>
          <w:rFonts w:hint="eastAsia" w:ascii="宋体" w:hAnsi="宋体" w:eastAsia="宋体" w:cs="Times New Roman"/>
          <w:color w:val="auto"/>
          <w:sz w:val="24"/>
          <w:szCs w:val="24"/>
          <w:highlight w:val="none"/>
        </w:rPr>
        <w:t>同意，乙方可以依法采取分包方式履行合同，即：依法可以</w:t>
      </w:r>
      <w:r>
        <w:rPr>
          <w:rFonts w:ascii="宋体" w:hAnsi="宋体" w:eastAsia="宋体" w:cs="Times New Roman"/>
          <w:color w:val="auto"/>
          <w:sz w:val="24"/>
          <w:szCs w:val="24"/>
          <w:highlight w:val="none"/>
        </w:rPr>
        <w:t>将合同项下的部分非主体、非关键性工作分包给他人完成</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接受分包的人应当具备相应的资格条件，并不得再次分包</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且乙方应就分包项目向甲方负责</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并</w:t>
      </w:r>
      <w:r>
        <w:rPr>
          <w:rFonts w:hint="eastAsia" w:ascii="宋体" w:hAnsi="宋体" w:eastAsia="宋体" w:cs="Times New Roman"/>
          <w:color w:val="auto"/>
          <w:sz w:val="24"/>
          <w:szCs w:val="24"/>
          <w:highlight w:val="none"/>
        </w:rPr>
        <w:t>与分包供应商就分包项目向甲方承担连带责任。</w:t>
      </w:r>
    </w:p>
    <w:p w14:paraId="73AEF2AF">
      <w:pPr>
        <w:spacing w:line="500" w:lineRule="exact"/>
        <w:ind w:firstLine="437"/>
        <w:jc w:val="left"/>
        <w:outlineLvl w:val="2"/>
        <w:rPr>
          <w:rFonts w:ascii="宋体" w:hAnsi="宋体" w:eastAsia="宋体" w:cs="Times New Roman"/>
          <w:b/>
          <w:bCs/>
          <w:color w:val="auto"/>
          <w:sz w:val="24"/>
          <w:szCs w:val="24"/>
          <w:highlight w:val="none"/>
          <w:lang w:val="zh-CN"/>
        </w:rPr>
      </w:pPr>
      <w:bookmarkStart w:id="178" w:name="_Toc13566"/>
      <w:bookmarkStart w:id="179" w:name="_Toc14066"/>
      <w:bookmarkStart w:id="180" w:name="_Toc16508"/>
      <w:r>
        <w:rPr>
          <w:rFonts w:hint="eastAsia" w:ascii="宋体" w:hAnsi="宋体" w:eastAsia="宋体" w:cs="Times New Roman"/>
          <w:b/>
          <w:bCs/>
          <w:color w:val="auto"/>
          <w:sz w:val="24"/>
          <w:szCs w:val="24"/>
          <w:highlight w:val="none"/>
          <w:lang w:val="zh-CN"/>
        </w:rPr>
        <w:t>2.13</w:t>
      </w:r>
      <w:r>
        <w:rPr>
          <w:rFonts w:ascii="宋体" w:hAnsi="宋体" w:eastAsia="宋体" w:cs="Times New Roman"/>
          <w:b/>
          <w:bCs/>
          <w:color w:val="auto"/>
          <w:sz w:val="24"/>
          <w:szCs w:val="24"/>
          <w:highlight w:val="none"/>
          <w:lang w:val="zh-CN"/>
        </w:rPr>
        <w:t xml:space="preserve"> 不可抗力</w:t>
      </w:r>
      <w:bookmarkEnd w:id="178"/>
      <w:bookmarkEnd w:id="179"/>
      <w:bookmarkEnd w:id="180"/>
    </w:p>
    <w:p w14:paraId="19A11BB0">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2.13</w:t>
      </w:r>
      <w:r>
        <w:rPr>
          <w:rFonts w:ascii="宋体" w:hAnsi="宋体" w:eastAsia="宋体" w:cs="Times New Roman"/>
          <w:color w:val="auto"/>
          <w:sz w:val="24"/>
          <w:szCs w:val="24"/>
          <w:highlight w:val="none"/>
        </w:rPr>
        <w:t>.1如果任何一方遭遇法律规定的不可抗力，致使合同履行受阻时，履行合同的期限应予延长，延长的期限应相当于不可抗力所影响的时间</w:t>
      </w:r>
      <w:r>
        <w:rPr>
          <w:rFonts w:hint="eastAsia" w:ascii="宋体" w:hAnsi="宋体" w:eastAsia="宋体" w:cs="Times New Roman"/>
          <w:color w:val="auto"/>
          <w:sz w:val="24"/>
          <w:szCs w:val="24"/>
          <w:highlight w:val="none"/>
        </w:rPr>
        <w:t>；</w:t>
      </w:r>
    </w:p>
    <w:p w14:paraId="54AFE902">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2.13.2因不可抗力致使不能实现合同目的的，当事人可以解除合同；</w:t>
      </w:r>
    </w:p>
    <w:p w14:paraId="7B8AC2CC">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2.13.3因</w:t>
      </w:r>
      <w:r>
        <w:rPr>
          <w:rFonts w:ascii="宋体" w:hAnsi="宋体" w:eastAsia="宋体" w:cs="Times New Roman"/>
          <w:color w:val="auto"/>
          <w:sz w:val="24"/>
          <w:szCs w:val="24"/>
          <w:highlight w:val="none"/>
        </w:rPr>
        <w:t>不可抗力致使合同有变更必要的，双方当事人应在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约定时间内以书面形式变更合同</w:t>
      </w:r>
      <w:r>
        <w:rPr>
          <w:rFonts w:hint="eastAsia" w:ascii="宋体" w:hAnsi="宋体" w:eastAsia="宋体" w:cs="Times New Roman"/>
          <w:color w:val="auto"/>
          <w:sz w:val="24"/>
          <w:szCs w:val="24"/>
          <w:highlight w:val="none"/>
        </w:rPr>
        <w:t>；</w:t>
      </w:r>
    </w:p>
    <w:p w14:paraId="155FFA7B">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2.13</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受</w:t>
      </w:r>
      <w:r>
        <w:rPr>
          <w:rFonts w:hint="eastAsia" w:ascii="宋体" w:hAnsi="宋体" w:eastAsia="宋体" w:cs="Times New Roman"/>
          <w:color w:val="auto"/>
          <w:sz w:val="24"/>
          <w:szCs w:val="24"/>
          <w:highlight w:val="none"/>
        </w:rPr>
        <w:t>不可抗力</w:t>
      </w:r>
      <w:r>
        <w:rPr>
          <w:rFonts w:ascii="宋体" w:hAnsi="宋体" w:eastAsia="宋体" w:cs="Times New Roman"/>
          <w:color w:val="auto"/>
          <w:sz w:val="24"/>
          <w:szCs w:val="24"/>
          <w:highlight w:val="none"/>
        </w:rPr>
        <w:t>影响的一方在不可抗力发生后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应在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约定时间内以书面形式通知</w:t>
      </w:r>
      <w:r>
        <w:rPr>
          <w:rFonts w:hint="eastAsia" w:ascii="宋体" w:hAnsi="宋体" w:eastAsia="宋体" w:cs="Times New Roman"/>
          <w:color w:val="auto"/>
          <w:sz w:val="24"/>
          <w:szCs w:val="24"/>
          <w:highlight w:val="none"/>
        </w:rPr>
        <w:t>对</w:t>
      </w:r>
      <w:r>
        <w:rPr>
          <w:rFonts w:ascii="宋体" w:hAnsi="宋体" w:eastAsia="宋体" w:cs="Times New Roman"/>
          <w:color w:val="auto"/>
          <w:sz w:val="24"/>
          <w:szCs w:val="24"/>
          <w:highlight w:val="none"/>
        </w:rPr>
        <w:t>方当事人，并在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约定时间内，将有关部门出具的证明文件送达</w:t>
      </w:r>
      <w:r>
        <w:rPr>
          <w:rFonts w:hint="eastAsia" w:ascii="宋体" w:hAnsi="宋体" w:eastAsia="宋体" w:cs="Times New Roman"/>
          <w:color w:val="auto"/>
          <w:sz w:val="24"/>
          <w:szCs w:val="24"/>
          <w:highlight w:val="none"/>
        </w:rPr>
        <w:t>对方当事人</w:t>
      </w:r>
      <w:r>
        <w:rPr>
          <w:rFonts w:ascii="宋体" w:hAnsi="宋体" w:eastAsia="宋体" w:cs="Times New Roman"/>
          <w:color w:val="auto"/>
          <w:sz w:val="24"/>
          <w:szCs w:val="24"/>
          <w:highlight w:val="none"/>
        </w:rPr>
        <w:t>。</w:t>
      </w:r>
    </w:p>
    <w:p w14:paraId="1E190997">
      <w:pPr>
        <w:spacing w:line="500" w:lineRule="exact"/>
        <w:ind w:firstLine="437"/>
        <w:jc w:val="left"/>
        <w:outlineLvl w:val="2"/>
        <w:rPr>
          <w:rFonts w:ascii="宋体" w:hAnsi="宋体" w:eastAsia="宋体" w:cs="Times New Roman"/>
          <w:b/>
          <w:bCs/>
          <w:color w:val="auto"/>
          <w:sz w:val="24"/>
          <w:szCs w:val="24"/>
          <w:highlight w:val="none"/>
          <w:lang w:val="zh-CN"/>
        </w:rPr>
      </w:pPr>
      <w:bookmarkStart w:id="181" w:name="_Toc487900365"/>
      <w:bookmarkStart w:id="182" w:name="_Toc279701255"/>
      <w:bookmarkStart w:id="183" w:name="_Toc689"/>
      <w:bookmarkStart w:id="184" w:name="_Toc259093684"/>
      <w:bookmarkStart w:id="185" w:name="_Toc6969"/>
      <w:bookmarkStart w:id="186" w:name="_Toc30676"/>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w:t>
      </w:r>
      <w:r>
        <w:rPr>
          <w:rFonts w:hint="eastAsia" w:ascii="宋体" w:hAnsi="宋体" w:eastAsia="宋体" w:cs="Times New Roman"/>
          <w:b/>
          <w:bCs/>
          <w:color w:val="auto"/>
          <w:sz w:val="24"/>
          <w:szCs w:val="24"/>
          <w:highlight w:val="none"/>
          <w:lang w:val="zh-CN"/>
        </w:rPr>
        <w:t xml:space="preserve">4 </w:t>
      </w:r>
      <w:r>
        <w:rPr>
          <w:rFonts w:ascii="宋体" w:hAnsi="宋体" w:eastAsia="宋体" w:cs="Times New Roman"/>
          <w:b/>
          <w:bCs/>
          <w:color w:val="auto"/>
          <w:sz w:val="24"/>
          <w:szCs w:val="24"/>
          <w:highlight w:val="none"/>
          <w:lang w:val="zh-CN"/>
        </w:rPr>
        <w:t>税费</w:t>
      </w:r>
      <w:bookmarkEnd w:id="181"/>
      <w:bookmarkEnd w:id="182"/>
      <w:bookmarkEnd w:id="183"/>
      <w:bookmarkEnd w:id="184"/>
      <w:bookmarkEnd w:id="185"/>
      <w:bookmarkEnd w:id="186"/>
    </w:p>
    <w:p w14:paraId="4191B594">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与合同有关的一切税费</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均按照中华人民共和国法律的相关规定</w:t>
      </w:r>
      <w:r>
        <w:rPr>
          <w:rFonts w:hint="eastAsia" w:ascii="宋体" w:hAnsi="宋体" w:eastAsia="宋体" w:cs="Times New Roman"/>
          <w:color w:val="auto"/>
          <w:sz w:val="24"/>
          <w:szCs w:val="24"/>
          <w:highlight w:val="none"/>
        </w:rPr>
        <w:t>缴纳</w:t>
      </w:r>
      <w:r>
        <w:rPr>
          <w:rFonts w:ascii="宋体" w:hAnsi="宋体" w:eastAsia="宋体" w:cs="Times New Roman"/>
          <w:color w:val="auto"/>
          <w:sz w:val="24"/>
          <w:szCs w:val="24"/>
          <w:highlight w:val="none"/>
        </w:rPr>
        <w:t>。</w:t>
      </w:r>
    </w:p>
    <w:p w14:paraId="0DEFD2CC">
      <w:pPr>
        <w:spacing w:line="500" w:lineRule="exact"/>
        <w:ind w:firstLine="437"/>
        <w:jc w:val="left"/>
        <w:outlineLvl w:val="2"/>
        <w:rPr>
          <w:rFonts w:ascii="宋体" w:hAnsi="宋体" w:eastAsia="宋体" w:cs="Times New Roman"/>
          <w:b/>
          <w:bCs/>
          <w:color w:val="auto"/>
          <w:sz w:val="24"/>
          <w:szCs w:val="24"/>
          <w:highlight w:val="none"/>
          <w:lang w:val="zh-CN"/>
        </w:rPr>
      </w:pPr>
      <w:bookmarkStart w:id="187" w:name="_Toc7102"/>
      <w:bookmarkStart w:id="188" w:name="_Toc279701258"/>
      <w:bookmarkStart w:id="189" w:name="_Toc487900368"/>
      <w:bookmarkStart w:id="190" w:name="_Toc16959"/>
      <w:bookmarkStart w:id="191" w:name="_Toc8298"/>
      <w:bookmarkStart w:id="192" w:name="_Toc259093687"/>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w:t>
      </w:r>
      <w:r>
        <w:rPr>
          <w:rFonts w:hint="eastAsia" w:ascii="宋体" w:hAnsi="宋体" w:eastAsia="宋体" w:cs="Times New Roman"/>
          <w:b/>
          <w:bCs/>
          <w:color w:val="auto"/>
          <w:sz w:val="24"/>
          <w:szCs w:val="24"/>
          <w:highlight w:val="none"/>
          <w:lang w:val="zh-CN"/>
        </w:rPr>
        <w:t xml:space="preserve">5 </w:t>
      </w:r>
      <w:r>
        <w:rPr>
          <w:rFonts w:ascii="宋体" w:hAnsi="宋体" w:eastAsia="宋体" w:cs="Times New Roman"/>
          <w:b/>
          <w:bCs/>
          <w:color w:val="auto"/>
          <w:sz w:val="24"/>
          <w:szCs w:val="24"/>
          <w:highlight w:val="none"/>
          <w:lang w:val="zh-CN"/>
        </w:rPr>
        <w:t>乙方破产</w:t>
      </w:r>
      <w:bookmarkEnd w:id="187"/>
      <w:bookmarkEnd w:id="188"/>
      <w:bookmarkEnd w:id="189"/>
      <w:bookmarkEnd w:id="190"/>
      <w:bookmarkEnd w:id="191"/>
      <w:bookmarkEnd w:id="192"/>
    </w:p>
    <w:p w14:paraId="4476A264">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如果乙方破产导致合同无法履行时，甲方可以书面形式通知乙方终止合同且不给予乙方任何补偿和赔偿</w:t>
      </w:r>
      <w:r>
        <w:rPr>
          <w:rFonts w:hint="eastAsia" w:ascii="宋体" w:hAnsi="宋体" w:eastAsia="宋体" w:cs="Times New Roman"/>
          <w:color w:val="auto"/>
          <w:sz w:val="24"/>
          <w:szCs w:val="24"/>
          <w:highlight w:val="none"/>
        </w:rPr>
        <w:t>，但合同的</w:t>
      </w:r>
      <w:r>
        <w:rPr>
          <w:rFonts w:ascii="宋体" w:hAnsi="宋体" w:eastAsia="宋体" w:cs="Times New Roman"/>
          <w:color w:val="auto"/>
          <w:sz w:val="24"/>
          <w:szCs w:val="24"/>
          <w:highlight w:val="none"/>
        </w:rPr>
        <w:t>终止不损害或不影响甲方已经采取或将要采取的任何要求乙方支付违约金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赔偿损失等的行动或补救措施的权利</w:t>
      </w:r>
      <w:r>
        <w:rPr>
          <w:rFonts w:hint="eastAsia" w:ascii="宋体" w:hAnsi="宋体" w:eastAsia="宋体" w:cs="Times New Roman"/>
          <w:color w:val="auto"/>
          <w:sz w:val="24"/>
          <w:szCs w:val="24"/>
          <w:highlight w:val="none"/>
        </w:rPr>
        <w:t>。</w:t>
      </w:r>
    </w:p>
    <w:p w14:paraId="1640BEB5">
      <w:pPr>
        <w:spacing w:line="500" w:lineRule="exact"/>
        <w:ind w:firstLine="437"/>
        <w:jc w:val="left"/>
        <w:outlineLvl w:val="2"/>
        <w:rPr>
          <w:rFonts w:ascii="宋体" w:hAnsi="宋体" w:eastAsia="宋体" w:cs="Times New Roman"/>
          <w:b/>
          <w:color w:val="auto"/>
          <w:sz w:val="24"/>
          <w:szCs w:val="24"/>
          <w:highlight w:val="none"/>
        </w:rPr>
      </w:pPr>
      <w:bookmarkStart w:id="193" w:name="_Toc6134"/>
      <w:bookmarkStart w:id="194" w:name="_Toc15387"/>
      <w:bookmarkStart w:id="195" w:name="_Toc29333"/>
      <w:r>
        <w:rPr>
          <w:rFonts w:hint="eastAsia" w:ascii="宋体" w:hAnsi="宋体" w:eastAsia="宋体" w:cs="Times New Roman"/>
          <w:b/>
          <w:bCs/>
          <w:color w:val="auto"/>
          <w:sz w:val="24"/>
          <w:szCs w:val="24"/>
          <w:highlight w:val="none"/>
          <w:lang w:val="zh-CN"/>
        </w:rPr>
        <w:t>2.16 合同中止、终止</w:t>
      </w:r>
      <w:bookmarkEnd w:id="193"/>
      <w:bookmarkEnd w:id="194"/>
      <w:bookmarkEnd w:id="195"/>
    </w:p>
    <w:p w14:paraId="4CE0DA34">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2.16.1双方当事人不得擅自中止或者终止合同；</w:t>
      </w:r>
    </w:p>
    <w:p w14:paraId="691FDC6C">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2.16.2合同继续履行将损害国家利益和社会公共利益的，双方当事人应当中止或者终止合同。有过错的一方应当承担赔偿责任，双方当事人都有过错的，各自承担相应的责任。</w:t>
      </w:r>
    </w:p>
    <w:p w14:paraId="06580BC8">
      <w:pPr>
        <w:spacing w:line="500" w:lineRule="exact"/>
        <w:ind w:firstLine="437"/>
        <w:jc w:val="left"/>
        <w:outlineLvl w:val="2"/>
        <w:rPr>
          <w:rFonts w:ascii="宋体" w:hAnsi="宋体" w:eastAsia="宋体" w:cs="Times New Roman"/>
          <w:b/>
          <w:bCs/>
          <w:color w:val="auto"/>
          <w:sz w:val="24"/>
          <w:szCs w:val="24"/>
          <w:highlight w:val="none"/>
          <w:lang w:val="zh-CN"/>
        </w:rPr>
      </w:pPr>
      <w:bookmarkStart w:id="196" w:name="_Toc14563"/>
      <w:bookmarkStart w:id="197" w:name="_Toc6596"/>
      <w:bookmarkStart w:id="198" w:name="_Toc1125"/>
      <w:r>
        <w:rPr>
          <w:rFonts w:hint="eastAsia" w:ascii="宋体" w:hAnsi="宋体" w:eastAsia="宋体" w:cs="Times New Roman"/>
          <w:b/>
          <w:bCs/>
          <w:color w:val="auto"/>
          <w:sz w:val="24"/>
          <w:szCs w:val="24"/>
          <w:highlight w:val="none"/>
          <w:lang w:val="zh-CN"/>
        </w:rPr>
        <w:t>2.17 检验和验收</w:t>
      </w:r>
      <w:bookmarkEnd w:id="196"/>
      <w:bookmarkEnd w:id="197"/>
      <w:bookmarkEnd w:id="198"/>
    </w:p>
    <w:p w14:paraId="7AC8A46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7</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1货物交付前，乙方应对货物的质量、数量等方面进行详细、全面的检验，并向甲方出具证明货物符合合同约定的文件；货物交付时，乙方在</w:t>
      </w:r>
      <w:r>
        <w:rPr>
          <w:rFonts w:hint="eastAsia" w:ascii="宋体" w:hAnsi="宋体" w:eastAsia="宋体" w:cs="Times New Roman"/>
          <w:b/>
          <w:i/>
          <w:color w:val="auto"/>
          <w:sz w:val="24"/>
          <w:szCs w:val="24"/>
          <w:highlight w:val="none"/>
          <w:u w:val="single"/>
        </w:rPr>
        <w:t>合同专用条款</w:t>
      </w:r>
      <w:r>
        <w:rPr>
          <w:rFonts w:hint="eastAsia" w:ascii="宋体" w:hAnsi="宋体" w:eastAsia="宋体" w:cs="Times New Roman"/>
          <w:color w:val="auto"/>
          <w:sz w:val="24"/>
          <w:szCs w:val="24"/>
          <w:highlight w:val="none"/>
        </w:rPr>
        <w:t>约定时间内组织验收，并可依法邀请相关方参加，验收应出具验收书。</w:t>
      </w:r>
    </w:p>
    <w:p w14:paraId="7E5754A9">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7757CA68">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2.17.3检验和验收标准、程序等具体内容以及前述验收书的效力详见</w:t>
      </w:r>
      <w:r>
        <w:rPr>
          <w:rFonts w:ascii="宋体" w:hAnsi="宋体" w:eastAsia="宋体" w:cs="Times New Roman"/>
          <w:b/>
          <w:i/>
          <w:color w:val="auto"/>
          <w:sz w:val="24"/>
          <w:szCs w:val="24"/>
          <w:highlight w:val="none"/>
          <w:u w:val="single"/>
        </w:rPr>
        <w:t>合同专用条款</w:t>
      </w:r>
      <w:r>
        <w:rPr>
          <w:rFonts w:hint="eastAsia" w:ascii="宋体" w:hAnsi="宋体" w:eastAsia="宋体" w:cs="Times New Roman"/>
          <w:i/>
          <w:color w:val="auto"/>
          <w:sz w:val="24"/>
          <w:szCs w:val="24"/>
          <w:highlight w:val="none"/>
        </w:rPr>
        <w:t>。</w:t>
      </w:r>
    </w:p>
    <w:bookmarkEnd w:id="168"/>
    <w:bookmarkEnd w:id="169"/>
    <w:bookmarkEnd w:id="170"/>
    <w:bookmarkEnd w:id="171"/>
    <w:p w14:paraId="7DFCF116">
      <w:pPr>
        <w:spacing w:line="500" w:lineRule="exact"/>
        <w:ind w:firstLine="437"/>
        <w:jc w:val="left"/>
        <w:outlineLvl w:val="2"/>
        <w:rPr>
          <w:rFonts w:ascii="宋体" w:hAnsi="宋体" w:eastAsia="宋体" w:cs="Times New Roman"/>
          <w:b/>
          <w:color w:val="auto"/>
          <w:sz w:val="24"/>
          <w:szCs w:val="24"/>
          <w:highlight w:val="none"/>
        </w:rPr>
      </w:pPr>
      <w:bookmarkStart w:id="199" w:name="_Toc487900372"/>
      <w:bookmarkStart w:id="200" w:name="_Toc279701262"/>
      <w:bookmarkStart w:id="201" w:name="_Toc4355"/>
      <w:bookmarkStart w:id="202" w:name="_Toc18540"/>
      <w:bookmarkStart w:id="203" w:name="_Toc30599"/>
      <w:bookmarkStart w:id="204" w:name="_Toc259093691"/>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8</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计量单位</w:t>
      </w:r>
      <w:bookmarkEnd w:id="199"/>
      <w:bookmarkEnd w:id="200"/>
      <w:bookmarkEnd w:id="201"/>
      <w:bookmarkEnd w:id="202"/>
      <w:bookmarkEnd w:id="203"/>
      <w:bookmarkEnd w:id="204"/>
    </w:p>
    <w:p w14:paraId="6BB9DC30">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除技术规范中另有规定外,合同的计量单位均使用国家法定计量单位。</w:t>
      </w:r>
    </w:p>
    <w:p w14:paraId="54411FBD">
      <w:pPr>
        <w:spacing w:line="500" w:lineRule="exact"/>
        <w:ind w:firstLine="437"/>
        <w:jc w:val="left"/>
        <w:outlineLvl w:val="2"/>
        <w:rPr>
          <w:rFonts w:ascii="宋体" w:hAnsi="宋体" w:eastAsia="宋体" w:cs="Times New Roman"/>
          <w:b/>
          <w:bCs/>
          <w:color w:val="auto"/>
          <w:sz w:val="24"/>
          <w:szCs w:val="24"/>
          <w:highlight w:val="none"/>
        </w:rPr>
      </w:pPr>
      <w:bookmarkStart w:id="205" w:name="_Toc279701263"/>
      <w:bookmarkStart w:id="206" w:name="_Toc487900373"/>
      <w:bookmarkStart w:id="207" w:name="_Toc18567"/>
      <w:bookmarkStart w:id="208" w:name="_Toc12773"/>
      <w:bookmarkStart w:id="209" w:name="_Toc259093692"/>
      <w:bookmarkStart w:id="210" w:name="_Toc10330"/>
      <w:r>
        <w:rPr>
          <w:rFonts w:hint="eastAsia" w:ascii="宋体" w:hAnsi="宋体" w:eastAsia="宋体" w:cs="Times New Roman"/>
          <w:b/>
          <w:bCs/>
          <w:color w:val="auto"/>
          <w:sz w:val="24"/>
          <w:szCs w:val="24"/>
          <w:highlight w:val="none"/>
        </w:rPr>
        <w:t>2.</w:t>
      </w:r>
      <w:r>
        <w:rPr>
          <w:rFonts w:ascii="宋体" w:hAnsi="宋体" w:eastAsia="宋体" w:cs="Times New Roman"/>
          <w:b/>
          <w:bCs/>
          <w:color w:val="auto"/>
          <w:sz w:val="24"/>
          <w:szCs w:val="24"/>
          <w:highlight w:val="none"/>
        </w:rPr>
        <w:t>19</w:t>
      </w:r>
      <w:r>
        <w:rPr>
          <w:rFonts w:hint="eastAsia" w:ascii="宋体" w:hAnsi="宋体" w:eastAsia="宋体" w:cs="Times New Roman"/>
          <w:b/>
          <w:bCs/>
          <w:color w:val="auto"/>
          <w:sz w:val="24"/>
          <w:szCs w:val="24"/>
          <w:highlight w:val="none"/>
        </w:rPr>
        <w:t xml:space="preserve"> </w:t>
      </w:r>
      <w:r>
        <w:rPr>
          <w:rFonts w:hint="eastAsia" w:ascii="宋体" w:hAnsi="宋体" w:eastAsia="宋体" w:cs="Times New Roman"/>
          <w:b/>
          <w:bCs/>
          <w:color w:val="auto"/>
          <w:sz w:val="24"/>
          <w:szCs w:val="24"/>
          <w:highlight w:val="none"/>
          <w:lang w:val="zh-CN"/>
        </w:rPr>
        <w:t>合同使用的文字和</w:t>
      </w:r>
      <w:r>
        <w:rPr>
          <w:rFonts w:ascii="宋体" w:hAnsi="宋体" w:eastAsia="宋体" w:cs="Times New Roman"/>
          <w:b/>
          <w:bCs/>
          <w:color w:val="auto"/>
          <w:sz w:val="24"/>
          <w:szCs w:val="24"/>
          <w:highlight w:val="none"/>
          <w:lang w:val="zh-CN"/>
        </w:rPr>
        <w:t>适用的法律</w:t>
      </w:r>
      <w:bookmarkEnd w:id="205"/>
      <w:bookmarkEnd w:id="206"/>
      <w:bookmarkEnd w:id="207"/>
      <w:bookmarkEnd w:id="208"/>
      <w:bookmarkEnd w:id="209"/>
      <w:bookmarkEnd w:id="210"/>
    </w:p>
    <w:p w14:paraId="616B6AB4">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19.1合同使用汉语书就</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变更和解释</w:t>
      </w:r>
      <w:r>
        <w:rPr>
          <w:rFonts w:hint="eastAsia" w:ascii="宋体" w:hAnsi="宋体" w:eastAsia="宋体" w:cs="Times New Roman"/>
          <w:color w:val="auto"/>
          <w:sz w:val="24"/>
          <w:szCs w:val="24"/>
          <w:highlight w:val="none"/>
        </w:rPr>
        <w:t>；</w:t>
      </w:r>
    </w:p>
    <w:p w14:paraId="70E95B72">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19</w:t>
      </w:r>
      <w:r>
        <w:rPr>
          <w:rFonts w:hint="eastAsia" w:ascii="宋体" w:hAnsi="宋体" w:eastAsia="宋体" w:cs="Times New Roman"/>
          <w:color w:val="auto"/>
          <w:sz w:val="24"/>
          <w:szCs w:val="24"/>
          <w:highlight w:val="none"/>
        </w:rPr>
        <w:t>.2合同适用</w:t>
      </w:r>
      <w:r>
        <w:rPr>
          <w:rFonts w:ascii="宋体" w:hAnsi="宋体" w:eastAsia="宋体" w:cs="Times New Roman"/>
          <w:color w:val="auto"/>
          <w:sz w:val="24"/>
          <w:szCs w:val="24"/>
          <w:highlight w:val="none"/>
        </w:rPr>
        <w:t>中华人民共和国法律。</w:t>
      </w:r>
    </w:p>
    <w:p w14:paraId="43661F5F">
      <w:pPr>
        <w:spacing w:line="500" w:lineRule="exact"/>
        <w:ind w:firstLine="437"/>
        <w:jc w:val="left"/>
        <w:outlineLvl w:val="2"/>
        <w:rPr>
          <w:rFonts w:ascii="宋体" w:hAnsi="宋体" w:eastAsia="宋体" w:cs="Times New Roman"/>
          <w:b/>
          <w:color w:val="auto"/>
          <w:sz w:val="24"/>
          <w:szCs w:val="24"/>
          <w:highlight w:val="none"/>
        </w:rPr>
      </w:pPr>
      <w:bookmarkStart w:id="211" w:name="_Toc16673"/>
      <w:bookmarkStart w:id="212" w:name="_Toc279701264"/>
      <w:bookmarkStart w:id="213" w:name="_Toc12004"/>
      <w:bookmarkStart w:id="214" w:name="_Toc259093693"/>
      <w:bookmarkStart w:id="215" w:name="_Toc3148"/>
      <w:bookmarkStart w:id="216" w:name="_Toc487900374"/>
      <w:r>
        <w:rPr>
          <w:rFonts w:hint="eastAsia" w:ascii="宋体" w:hAnsi="宋体" w:eastAsia="宋体" w:cs="Times New Roman"/>
          <w:b/>
          <w:bCs/>
          <w:color w:val="auto"/>
          <w:sz w:val="24"/>
          <w:szCs w:val="24"/>
          <w:highlight w:val="none"/>
          <w:lang w:val="zh-CN"/>
        </w:rPr>
        <w:t>2.2</w:t>
      </w:r>
      <w:r>
        <w:rPr>
          <w:rFonts w:ascii="宋体" w:hAnsi="宋体" w:eastAsia="宋体" w:cs="Times New Roman"/>
          <w:b/>
          <w:bCs/>
          <w:color w:val="auto"/>
          <w:sz w:val="24"/>
          <w:szCs w:val="24"/>
          <w:highlight w:val="none"/>
          <w:lang w:val="zh-CN"/>
        </w:rPr>
        <w:t>0</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履约保证金</w:t>
      </w:r>
      <w:bookmarkEnd w:id="211"/>
      <w:bookmarkEnd w:id="212"/>
      <w:bookmarkEnd w:id="213"/>
      <w:bookmarkEnd w:id="214"/>
      <w:bookmarkEnd w:id="215"/>
    </w:p>
    <w:p w14:paraId="3FCE5C3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2.2</w:t>
      </w:r>
      <w:r>
        <w:rPr>
          <w:rFonts w:ascii="宋体" w:hAnsi="宋体" w:eastAsia="宋体" w:cs="Times New Roman"/>
          <w:color w:val="auto"/>
          <w:sz w:val="24"/>
          <w:szCs w:val="24"/>
          <w:highlight w:val="none"/>
        </w:rPr>
        <w:t>0</w:t>
      </w:r>
      <w:r>
        <w:rPr>
          <w:rFonts w:hint="eastAsia" w:ascii="宋体" w:hAnsi="宋体" w:eastAsia="宋体" w:cs="Times New Roman"/>
          <w:color w:val="auto"/>
          <w:sz w:val="24"/>
          <w:szCs w:val="24"/>
          <w:highlight w:val="none"/>
        </w:rPr>
        <w:t>.1采购文件要求乙方提交履约保证金的，乙方</w:t>
      </w:r>
      <w:r>
        <w:rPr>
          <w:rFonts w:ascii="宋体" w:hAnsi="宋体" w:eastAsia="宋体" w:cs="Times New Roman"/>
          <w:color w:val="auto"/>
          <w:sz w:val="24"/>
          <w:szCs w:val="24"/>
          <w:highlight w:val="none"/>
        </w:rPr>
        <w:t>应按</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约定的方式</w:t>
      </w:r>
      <w:r>
        <w:rPr>
          <w:rFonts w:hint="eastAsia" w:ascii="宋体" w:hAnsi="宋体" w:eastAsia="宋体" w:cs="Times New Roman"/>
          <w:color w:val="auto"/>
          <w:sz w:val="24"/>
          <w:szCs w:val="24"/>
          <w:highlight w:val="none"/>
        </w:rPr>
        <w:t>，以支票、汇票、本票或者金融机构、担保机构出具的保函等非现金形式提交；</w:t>
      </w:r>
    </w:p>
    <w:p w14:paraId="6AB3DE7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2.2</w:t>
      </w:r>
      <w:r>
        <w:rPr>
          <w:rFonts w:ascii="宋体" w:hAnsi="宋体" w:eastAsia="宋体" w:cs="Times New Roman"/>
          <w:color w:val="auto"/>
          <w:sz w:val="24"/>
          <w:szCs w:val="24"/>
          <w:highlight w:val="none"/>
        </w:rPr>
        <w:t>0.2履约保证金在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约定期间内或者货物质量保证期内不予退还或者应完全有效</w:t>
      </w:r>
      <w:r>
        <w:rPr>
          <w:rFonts w:hint="eastAsia" w:ascii="宋体" w:hAnsi="宋体" w:eastAsia="宋体" w:cs="Times New Roman"/>
          <w:color w:val="auto"/>
          <w:sz w:val="24"/>
          <w:szCs w:val="24"/>
          <w:highlight w:val="none"/>
        </w:rPr>
        <w:t>，前述约定期间届满或者</w:t>
      </w:r>
      <w:r>
        <w:rPr>
          <w:rFonts w:ascii="宋体" w:hAnsi="宋体" w:eastAsia="宋体" w:cs="Times New Roman"/>
          <w:color w:val="auto"/>
          <w:sz w:val="24"/>
          <w:szCs w:val="24"/>
          <w:highlight w:val="none"/>
        </w:rPr>
        <w:t>货物质量保证期届满之日起</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个</w:t>
      </w:r>
      <w:r>
        <w:rPr>
          <w:rFonts w:ascii="宋体" w:hAnsi="宋体" w:eastAsia="宋体" w:cs="Times New Roman"/>
          <w:color w:val="auto"/>
          <w:sz w:val="24"/>
          <w:szCs w:val="24"/>
          <w:highlight w:val="none"/>
        </w:rPr>
        <w:t>工作日内，甲方应将履约保证金退还乙方</w:t>
      </w:r>
      <w:r>
        <w:rPr>
          <w:rFonts w:hint="eastAsia" w:ascii="宋体" w:hAnsi="宋体" w:eastAsia="宋体" w:cs="Times New Roman"/>
          <w:color w:val="auto"/>
          <w:sz w:val="24"/>
          <w:szCs w:val="24"/>
          <w:highlight w:val="none"/>
        </w:rPr>
        <w:t>；</w:t>
      </w:r>
    </w:p>
    <w:p w14:paraId="1169DE6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2.2</w:t>
      </w:r>
      <w:r>
        <w:rPr>
          <w:rFonts w:ascii="宋体" w:hAnsi="宋体" w:eastAsia="宋体" w:cs="Times New Roman"/>
          <w:color w:val="auto"/>
          <w:sz w:val="24"/>
          <w:szCs w:val="24"/>
          <w:highlight w:val="none"/>
        </w:rPr>
        <w:t>0</w:t>
      </w: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如果乙方不履行合同</w:t>
      </w:r>
      <w:r>
        <w:rPr>
          <w:rFonts w:hint="eastAsia" w:ascii="宋体" w:hAnsi="宋体" w:eastAsia="宋体" w:cs="Times New Roman"/>
          <w:color w:val="auto"/>
          <w:sz w:val="24"/>
          <w:szCs w:val="24"/>
          <w:highlight w:val="none"/>
        </w:rPr>
        <w:t>，履约保证金不予退还；如果乙方</w:t>
      </w:r>
      <w:r>
        <w:rPr>
          <w:rFonts w:ascii="宋体" w:hAnsi="宋体" w:eastAsia="宋体" w:cs="Times New Roman"/>
          <w:color w:val="auto"/>
          <w:sz w:val="24"/>
          <w:szCs w:val="24"/>
          <w:highlight w:val="none"/>
        </w:rPr>
        <w:t>未能按合同</w:t>
      </w:r>
      <w:r>
        <w:rPr>
          <w:rFonts w:hint="eastAsia" w:ascii="宋体" w:hAnsi="宋体" w:eastAsia="宋体" w:cs="Times New Roman"/>
          <w:color w:val="auto"/>
          <w:sz w:val="24"/>
          <w:szCs w:val="24"/>
          <w:highlight w:val="none"/>
        </w:rPr>
        <w:t>约</w:t>
      </w:r>
      <w:r>
        <w:rPr>
          <w:rFonts w:ascii="宋体" w:hAnsi="宋体" w:eastAsia="宋体" w:cs="Times New Roman"/>
          <w:color w:val="auto"/>
          <w:sz w:val="24"/>
          <w:szCs w:val="24"/>
          <w:highlight w:val="none"/>
        </w:rPr>
        <w:t>定全面履行义务，那么甲方有权从履约保证金中取得补偿或赔偿</w:t>
      </w:r>
      <w:r>
        <w:rPr>
          <w:rFonts w:hint="eastAsia" w:ascii="宋体" w:hAnsi="宋体" w:eastAsia="宋体" w:cs="Times New Roman"/>
          <w:color w:val="auto"/>
          <w:sz w:val="24"/>
          <w:szCs w:val="24"/>
          <w:highlight w:val="none"/>
        </w:rPr>
        <w:t>，同时不影响甲方要求乙方承担合同约定的超过履约保证金的违约责任的权利。</w:t>
      </w:r>
    </w:p>
    <w:bookmarkEnd w:id="216"/>
    <w:p w14:paraId="25853211">
      <w:pPr>
        <w:spacing w:line="500" w:lineRule="exact"/>
        <w:ind w:firstLine="437"/>
        <w:jc w:val="left"/>
        <w:outlineLvl w:val="2"/>
        <w:rPr>
          <w:rFonts w:ascii="宋体" w:hAnsi="宋体" w:eastAsia="宋体" w:cs="Times New Roman"/>
          <w:b/>
          <w:color w:val="auto"/>
          <w:sz w:val="24"/>
          <w:szCs w:val="24"/>
          <w:highlight w:val="none"/>
        </w:rPr>
      </w:pPr>
      <w:bookmarkStart w:id="217" w:name="_Toc14001"/>
      <w:bookmarkStart w:id="218" w:name="_Toc19890"/>
      <w:bookmarkStart w:id="219" w:name="_Toc6885"/>
      <w:r>
        <w:rPr>
          <w:rFonts w:hint="eastAsia" w:ascii="宋体" w:hAnsi="宋体" w:eastAsia="宋体" w:cs="Times New Roman"/>
          <w:b/>
          <w:bCs/>
          <w:color w:val="auto"/>
          <w:sz w:val="24"/>
          <w:szCs w:val="24"/>
          <w:highlight w:val="none"/>
          <w:lang w:val="zh-CN"/>
        </w:rPr>
        <w:t>2.2</w:t>
      </w:r>
      <w:r>
        <w:rPr>
          <w:rFonts w:ascii="宋体" w:hAnsi="宋体" w:eastAsia="宋体" w:cs="Times New Roman"/>
          <w:b/>
          <w:bCs/>
          <w:color w:val="auto"/>
          <w:sz w:val="24"/>
          <w:szCs w:val="24"/>
          <w:highlight w:val="none"/>
          <w:lang w:val="zh-CN"/>
        </w:rPr>
        <w:t>1</w:t>
      </w:r>
      <w:r>
        <w:rPr>
          <w:rFonts w:hint="eastAsia" w:ascii="宋体" w:hAnsi="宋体" w:eastAsia="宋体" w:cs="Times New Roman"/>
          <w:b/>
          <w:bCs/>
          <w:color w:val="auto"/>
          <w:sz w:val="24"/>
          <w:szCs w:val="24"/>
          <w:highlight w:val="none"/>
          <w:lang w:val="zh-CN"/>
        </w:rPr>
        <w:t xml:space="preserve"> 合同份数</w:t>
      </w:r>
      <w:bookmarkEnd w:id="217"/>
      <w:bookmarkEnd w:id="218"/>
      <w:bookmarkEnd w:id="219"/>
    </w:p>
    <w:p w14:paraId="01DE6F33">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合同份数按</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规定</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每份均具有同等法律效力</w:t>
      </w:r>
      <w:r>
        <w:rPr>
          <w:rFonts w:hint="eastAsia" w:ascii="宋体" w:hAnsi="宋体" w:eastAsia="宋体" w:cs="Times New Roman"/>
          <w:color w:val="auto"/>
          <w:sz w:val="24"/>
          <w:szCs w:val="24"/>
          <w:highlight w:val="none"/>
        </w:rPr>
        <w:t>。</w:t>
      </w:r>
    </w:p>
    <w:p w14:paraId="4D5CB3C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86967E7">
      <w:pPr>
        <w:spacing w:line="360" w:lineRule="auto"/>
        <w:jc w:val="center"/>
        <w:outlineLvl w:val="1"/>
        <w:rPr>
          <w:rFonts w:ascii="宋体" w:hAnsi="宋体" w:eastAsia="宋体"/>
          <w:b/>
          <w:color w:val="auto"/>
          <w:sz w:val="24"/>
          <w:highlight w:val="none"/>
        </w:rPr>
      </w:pPr>
      <w:r>
        <w:rPr>
          <w:rFonts w:hint="eastAsia" w:ascii="宋体" w:hAnsi="宋体" w:eastAsia="宋体"/>
          <w:b/>
          <w:color w:val="auto"/>
          <w:sz w:val="24"/>
          <w:highlight w:val="none"/>
        </w:rPr>
        <w:t>第三部分</w:t>
      </w:r>
      <w:r>
        <w:rPr>
          <w:rFonts w:ascii="宋体" w:hAnsi="宋体" w:eastAsia="宋体"/>
          <w:b/>
          <w:color w:val="auto"/>
          <w:sz w:val="24"/>
          <w:highlight w:val="none"/>
        </w:rPr>
        <w:t xml:space="preserve"> </w:t>
      </w:r>
      <w:r>
        <w:rPr>
          <w:rFonts w:hint="eastAsia" w:ascii="宋体" w:hAnsi="宋体" w:eastAsia="宋体"/>
          <w:b/>
          <w:color w:val="auto"/>
          <w:sz w:val="24"/>
          <w:highlight w:val="none"/>
        </w:rPr>
        <w:t>合同专用条款</w:t>
      </w:r>
    </w:p>
    <w:p w14:paraId="7EC409DE">
      <w:pPr>
        <w:spacing w:line="500" w:lineRule="exact"/>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2"/>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14:paraId="7EF30C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14:paraId="41BB7AB7">
            <w:pPr>
              <w:spacing w:line="500" w:lineRule="exact"/>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568" w:type="dxa"/>
            <w:vAlign w:val="center"/>
          </w:tcPr>
          <w:p w14:paraId="505F9C11">
            <w:pPr>
              <w:spacing w:line="500" w:lineRule="exact"/>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约定内容</w:t>
            </w:r>
          </w:p>
        </w:tc>
      </w:tr>
      <w:tr w14:paraId="635597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4D465DCA">
            <w:pPr>
              <w:spacing w:line="5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2.6</w:t>
            </w:r>
          </w:p>
        </w:tc>
        <w:tc>
          <w:tcPr>
            <w:tcW w:w="7568" w:type="dxa"/>
            <w:vAlign w:val="center"/>
          </w:tcPr>
          <w:p w14:paraId="1F88EF6B">
            <w:pPr>
              <w:spacing w:line="5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供货、安装、调试及验收合格后一次性付清合同价款。</w:t>
            </w:r>
          </w:p>
        </w:tc>
      </w:tr>
      <w:tr w14:paraId="6C7997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5B3AC21">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2.17.3</w:t>
            </w:r>
          </w:p>
        </w:tc>
        <w:tc>
          <w:tcPr>
            <w:tcW w:w="7568" w:type="dxa"/>
            <w:vAlign w:val="center"/>
          </w:tcPr>
          <w:p w14:paraId="38DF602E">
            <w:pPr>
              <w:spacing w:line="5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检验和验收标准根据项目</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val="zh-CN"/>
              </w:rPr>
              <w:t>文件及采购文件要求（含澄清或者说明文件、承诺书等）执行。</w:t>
            </w:r>
          </w:p>
        </w:tc>
      </w:tr>
      <w:tr w14:paraId="2D9555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3A8212DC">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2.21</w:t>
            </w:r>
          </w:p>
        </w:tc>
        <w:tc>
          <w:tcPr>
            <w:tcW w:w="7568" w:type="dxa"/>
            <w:vAlign w:val="center"/>
          </w:tcPr>
          <w:p w14:paraId="2B1A5E03">
            <w:pPr>
              <w:spacing w:line="500" w:lineRule="exac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份，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p>
        </w:tc>
      </w:tr>
      <w:tr w14:paraId="547DEA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5502F8B3">
            <w:pPr>
              <w:spacing w:line="500" w:lineRule="exact"/>
              <w:rPr>
                <w:rFonts w:ascii="宋体" w:hAnsi="宋体" w:eastAsia="宋体" w:cs="宋体"/>
                <w:color w:val="auto"/>
                <w:sz w:val="24"/>
                <w:szCs w:val="24"/>
                <w:highlight w:val="none"/>
              </w:rPr>
            </w:pPr>
          </w:p>
        </w:tc>
        <w:tc>
          <w:tcPr>
            <w:tcW w:w="7568" w:type="dxa"/>
            <w:vAlign w:val="center"/>
          </w:tcPr>
          <w:p w14:paraId="6E0BC47D">
            <w:pPr>
              <w:spacing w:line="500" w:lineRule="exact"/>
              <w:rPr>
                <w:rFonts w:ascii="宋体" w:hAnsi="宋体" w:eastAsia="宋体" w:cs="宋体"/>
                <w:color w:val="auto"/>
                <w:sz w:val="24"/>
                <w:szCs w:val="24"/>
                <w:highlight w:val="none"/>
              </w:rPr>
            </w:pPr>
          </w:p>
        </w:tc>
      </w:tr>
      <w:tr w14:paraId="5C078E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7DABF3CC">
            <w:pPr>
              <w:spacing w:line="500" w:lineRule="exact"/>
              <w:rPr>
                <w:rFonts w:ascii="宋体" w:hAnsi="宋体" w:eastAsia="宋体" w:cs="宋体"/>
                <w:color w:val="auto"/>
                <w:sz w:val="24"/>
                <w:szCs w:val="24"/>
                <w:highlight w:val="none"/>
              </w:rPr>
            </w:pPr>
          </w:p>
        </w:tc>
        <w:tc>
          <w:tcPr>
            <w:tcW w:w="7568" w:type="dxa"/>
            <w:vAlign w:val="center"/>
          </w:tcPr>
          <w:p w14:paraId="48B4D2CB">
            <w:pPr>
              <w:spacing w:line="500" w:lineRule="exact"/>
              <w:rPr>
                <w:rFonts w:ascii="宋体" w:hAnsi="宋体" w:eastAsia="宋体" w:cs="宋体"/>
                <w:color w:val="auto"/>
                <w:sz w:val="24"/>
                <w:szCs w:val="24"/>
                <w:highlight w:val="none"/>
                <w:u w:val="single"/>
              </w:rPr>
            </w:pPr>
          </w:p>
        </w:tc>
      </w:tr>
      <w:tr w14:paraId="50BFB7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9054033">
            <w:pPr>
              <w:spacing w:line="500" w:lineRule="exact"/>
              <w:rPr>
                <w:rFonts w:ascii="宋体" w:hAnsi="宋体" w:eastAsia="宋体" w:cs="宋体"/>
                <w:color w:val="auto"/>
                <w:sz w:val="24"/>
                <w:szCs w:val="24"/>
                <w:highlight w:val="none"/>
              </w:rPr>
            </w:pPr>
          </w:p>
        </w:tc>
        <w:tc>
          <w:tcPr>
            <w:tcW w:w="7568" w:type="dxa"/>
            <w:vAlign w:val="center"/>
          </w:tcPr>
          <w:p w14:paraId="497CB886">
            <w:pPr>
              <w:spacing w:line="500" w:lineRule="exact"/>
              <w:rPr>
                <w:rFonts w:ascii="宋体" w:hAnsi="宋体" w:eastAsia="宋体" w:cs="宋体"/>
                <w:color w:val="auto"/>
                <w:sz w:val="24"/>
                <w:szCs w:val="24"/>
                <w:highlight w:val="none"/>
              </w:rPr>
            </w:pPr>
          </w:p>
        </w:tc>
      </w:tr>
      <w:tr w14:paraId="1581EC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65FF2734">
            <w:pPr>
              <w:spacing w:line="500" w:lineRule="exact"/>
              <w:rPr>
                <w:rFonts w:ascii="宋体" w:hAnsi="宋体" w:eastAsia="宋体" w:cs="宋体"/>
                <w:color w:val="auto"/>
                <w:sz w:val="24"/>
                <w:szCs w:val="24"/>
                <w:highlight w:val="none"/>
              </w:rPr>
            </w:pPr>
          </w:p>
        </w:tc>
        <w:tc>
          <w:tcPr>
            <w:tcW w:w="7568" w:type="dxa"/>
            <w:vAlign w:val="center"/>
          </w:tcPr>
          <w:p w14:paraId="088FF3A0">
            <w:pPr>
              <w:spacing w:line="500" w:lineRule="exact"/>
              <w:rPr>
                <w:rFonts w:ascii="宋体" w:hAnsi="宋体" w:eastAsia="宋体" w:cs="宋体"/>
                <w:color w:val="auto"/>
                <w:sz w:val="24"/>
                <w:szCs w:val="24"/>
                <w:highlight w:val="none"/>
              </w:rPr>
            </w:pPr>
          </w:p>
        </w:tc>
      </w:tr>
      <w:tr w14:paraId="3E241D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3460D754">
            <w:pPr>
              <w:spacing w:line="500" w:lineRule="exact"/>
              <w:rPr>
                <w:rFonts w:ascii="宋体" w:hAnsi="宋体" w:eastAsia="宋体" w:cs="宋体"/>
                <w:color w:val="auto"/>
                <w:sz w:val="24"/>
                <w:szCs w:val="24"/>
                <w:highlight w:val="none"/>
              </w:rPr>
            </w:pPr>
          </w:p>
        </w:tc>
        <w:tc>
          <w:tcPr>
            <w:tcW w:w="7568" w:type="dxa"/>
            <w:vAlign w:val="center"/>
          </w:tcPr>
          <w:p w14:paraId="02317362">
            <w:pPr>
              <w:spacing w:line="500" w:lineRule="exact"/>
              <w:rPr>
                <w:rFonts w:ascii="宋体" w:hAnsi="宋体" w:eastAsia="宋体" w:cs="宋体"/>
                <w:color w:val="auto"/>
                <w:sz w:val="24"/>
                <w:szCs w:val="24"/>
                <w:highlight w:val="none"/>
              </w:rPr>
            </w:pPr>
          </w:p>
        </w:tc>
      </w:tr>
      <w:tr w14:paraId="351DF3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0A7DC951">
            <w:pPr>
              <w:spacing w:line="500" w:lineRule="exact"/>
              <w:rPr>
                <w:rFonts w:ascii="宋体" w:hAnsi="宋体" w:eastAsia="宋体" w:cs="宋体"/>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vAlign w:val="center"/>
          </w:tcPr>
          <w:p w14:paraId="16A0E280">
            <w:pPr>
              <w:spacing w:line="500" w:lineRule="exact"/>
              <w:rPr>
                <w:rFonts w:ascii="宋体" w:hAnsi="宋体" w:eastAsia="宋体" w:cs="宋体"/>
                <w:color w:val="auto"/>
                <w:sz w:val="24"/>
                <w:szCs w:val="24"/>
                <w:highlight w:val="none"/>
              </w:rPr>
            </w:pPr>
          </w:p>
        </w:tc>
      </w:tr>
      <w:tr w14:paraId="31CBCF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5908269F">
            <w:pPr>
              <w:spacing w:line="500" w:lineRule="exact"/>
              <w:rPr>
                <w:rFonts w:ascii="宋体" w:hAnsi="宋体" w:eastAsia="宋体" w:cs="宋体"/>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vAlign w:val="center"/>
          </w:tcPr>
          <w:p w14:paraId="28BE90F5">
            <w:pPr>
              <w:spacing w:line="500" w:lineRule="exact"/>
              <w:rPr>
                <w:rFonts w:ascii="宋体" w:hAnsi="宋体" w:eastAsia="宋体" w:cs="宋体"/>
                <w:color w:val="auto"/>
                <w:sz w:val="24"/>
                <w:szCs w:val="24"/>
                <w:highlight w:val="none"/>
              </w:rPr>
            </w:pPr>
          </w:p>
        </w:tc>
      </w:tr>
    </w:tbl>
    <w:p w14:paraId="2B50AA9B">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1E4CCAAB">
      <w:pPr>
        <w:rPr>
          <w:rFonts w:hint="eastAsia" w:asciiTheme="minorEastAsia" w:hAnsiTheme="minorEastAsia" w:eastAsiaTheme="minorEastAsia"/>
          <w:b/>
          <w:color w:val="auto"/>
          <w:sz w:val="28"/>
          <w:highlight w:val="none"/>
        </w:rPr>
      </w:pPr>
      <w:bookmarkStart w:id="220" w:name="_Toc2192"/>
      <w:r>
        <w:rPr>
          <w:rFonts w:hint="eastAsia" w:asciiTheme="minorEastAsia" w:hAnsiTheme="minorEastAsia" w:eastAsiaTheme="minorEastAsia"/>
          <w:b/>
          <w:color w:val="auto"/>
          <w:sz w:val="28"/>
          <w:highlight w:val="none"/>
        </w:rPr>
        <w:br w:type="page"/>
      </w:r>
    </w:p>
    <w:p w14:paraId="34630419">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第六章  响应文件格式</w:t>
      </w:r>
      <w:bookmarkEnd w:id="220"/>
    </w:p>
    <w:p w14:paraId="3722CF42">
      <w:pPr>
        <w:spacing w:line="900" w:lineRule="exact"/>
        <w:jc w:val="center"/>
        <w:rPr>
          <w:rFonts w:asciiTheme="minorEastAsia" w:hAnsiTheme="minorEastAsia" w:eastAsiaTheme="minorEastAsia"/>
          <w:b/>
          <w:color w:val="auto"/>
          <w:sz w:val="72"/>
          <w:highlight w:val="none"/>
        </w:rPr>
      </w:pPr>
    </w:p>
    <w:p w14:paraId="40A28E1D">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1285BF71">
      <w:pPr>
        <w:spacing w:line="900" w:lineRule="exact"/>
        <w:jc w:val="center"/>
        <w:rPr>
          <w:rFonts w:asciiTheme="minorEastAsia" w:hAnsiTheme="minorEastAsia" w:eastAsiaTheme="minorEastAsia"/>
          <w:b/>
          <w:color w:val="auto"/>
          <w:sz w:val="72"/>
          <w:highlight w:val="none"/>
        </w:rPr>
      </w:pPr>
    </w:p>
    <w:p w14:paraId="627B85B4">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3E28E7C1">
      <w:pPr>
        <w:spacing w:line="900" w:lineRule="exact"/>
        <w:jc w:val="center"/>
        <w:rPr>
          <w:rFonts w:asciiTheme="minorEastAsia" w:hAnsiTheme="minorEastAsia" w:eastAsiaTheme="minorEastAsia"/>
          <w:b/>
          <w:color w:val="auto"/>
          <w:sz w:val="72"/>
          <w:highlight w:val="none"/>
        </w:rPr>
      </w:pPr>
    </w:p>
    <w:p w14:paraId="79FA0A03">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08900376">
      <w:pPr>
        <w:spacing w:line="900" w:lineRule="exact"/>
        <w:jc w:val="center"/>
        <w:rPr>
          <w:rFonts w:asciiTheme="minorEastAsia" w:hAnsiTheme="minorEastAsia" w:eastAsiaTheme="minorEastAsia"/>
          <w:b/>
          <w:color w:val="auto"/>
          <w:sz w:val="72"/>
          <w:highlight w:val="none"/>
        </w:rPr>
      </w:pPr>
    </w:p>
    <w:p w14:paraId="67E3415B">
      <w:pPr>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14E04298">
      <w:pPr>
        <w:spacing w:after="156" w:afterLines="50"/>
        <w:jc w:val="center"/>
        <w:rPr>
          <w:rFonts w:asciiTheme="minorEastAsia" w:hAnsiTheme="minorEastAsia" w:eastAsiaTheme="minorEastAsia"/>
          <w:b/>
          <w:color w:val="auto"/>
          <w:sz w:val="72"/>
          <w:highlight w:val="none"/>
        </w:rPr>
      </w:pPr>
    </w:p>
    <w:p w14:paraId="17959001">
      <w:pPr>
        <w:spacing w:after="156" w:afterLines="50" w:line="500" w:lineRule="exact"/>
        <w:jc w:val="both"/>
        <w:rPr>
          <w:rFonts w:asciiTheme="minorEastAsia" w:hAnsiTheme="minorEastAsia" w:eastAsiaTheme="minorEastAsia"/>
          <w:b/>
          <w:color w:val="auto"/>
          <w:sz w:val="72"/>
          <w:highlight w:val="none"/>
        </w:rPr>
      </w:pPr>
    </w:p>
    <w:p w14:paraId="3654007B">
      <w:pPr>
        <w:spacing w:after="156" w:afterLines="50" w:line="500" w:lineRule="exact"/>
        <w:jc w:val="center"/>
        <w:rPr>
          <w:rFonts w:asciiTheme="minorEastAsia" w:hAnsiTheme="minorEastAsia" w:eastAsiaTheme="minorEastAsia"/>
          <w:b/>
          <w:color w:val="auto"/>
          <w:sz w:val="28"/>
          <w:szCs w:val="28"/>
          <w:highlight w:val="none"/>
        </w:rPr>
      </w:pPr>
    </w:p>
    <w:p w14:paraId="0055CDD0">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8307E0A">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72FEB9F">
      <w:pPr>
        <w:tabs>
          <w:tab w:val="left" w:pos="2410"/>
        </w:tabs>
        <w:autoSpaceDE w:val="0"/>
        <w:autoSpaceDN w:val="0"/>
        <w:adjustRightInd w:val="0"/>
        <w:snapToGrid w:val="0"/>
        <w:spacing w:line="360" w:lineRule="auto"/>
        <w:ind w:firstLine="643" w:firstLineChars="200"/>
        <w:jc w:val="both"/>
        <w:outlineLvl w:val="9"/>
        <w:rPr>
          <w:rFonts w:hint="default" w:asciiTheme="minorEastAsia" w:hAnsiTheme="minorEastAsia" w:eastAsiaTheme="minorEastAsia"/>
          <w:b/>
          <w:color w:val="auto"/>
          <w:sz w:val="32"/>
          <w:highlight w:val="none"/>
          <w:u w:val="single"/>
          <w:lang w:val="en-US" w:eastAsia="zh-CN"/>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0884D0C">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221" w:name="_Toc8037"/>
      <w:bookmarkStart w:id="222" w:name="_Toc2512"/>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221"/>
      <w:bookmarkEnd w:id="222"/>
    </w:p>
    <w:p w14:paraId="04DCC4FD">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18B25237">
      <w:pPr>
        <w:spacing w:line="360" w:lineRule="auto"/>
        <w:jc w:val="center"/>
        <w:outlineLvl w:val="1"/>
        <w:rPr>
          <w:rFonts w:asciiTheme="minorEastAsia" w:hAnsiTheme="minorEastAsia" w:eastAsiaTheme="minorEastAsia"/>
          <w:b/>
          <w:color w:val="auto"/>
          <w:sz w:val="24"/>
          <w:highlight w:val="none"/>
        </w:rPr>
      </w:pPr>
      <w:bookmarkStart w:id="223" w:name="_Toc461053086"/>
      <w:bookmarkStart w:id="224" w:name="_Toc461056631"/>
      <w:bookmarkStart w:id="225" w:name="_Toc22116"/>
      <w:bookmarkStart w:id="226" w:name="_Toc520983587"/>
      <w:bookmarkStart w:id="227" w:name="_Toc19100"/>
      <w:r>
        <w:rPr>
          <w:rFonts w:hint="eastAsia" w:asciiTheme="minorEastAsia" w:hAnsiTheme="minorEastAsia" w:eastAsiaTheme="minorEastAsia"/>
          <w:b/>
          <w:color w:val="auto"/>
          <w:sz w:val="24"/>
          <w:highlight w:val="none"/>
        </w:rPr>
        <w:t>一</w:t>
      </w:r>
      <w:bookmarkEnd w:id="223"/>
      <w:bookmarkEnd w:id="224"/>
      <w:r>
        <w:rPr>
          <w:rFonts w:hint="eastAsia" w:asciiTheme="minorEastAsia" w:hAnsiTheme="minorEastAsia" w:eastAsiaTheme="minorEastAsia"/>
          <w:b/>
          <w:color w:val="auto"/>
          <w:sz w:val="24"/>
          <w:highlight w:val="none"/>
        </w:rPr>
        <w:t>、报价表格式</w:t>
      </w:r>
      <w:bookmarkEnd w:id="225"/>
      <w:bookmarkEnd w:id="226"/>
      <w:bookmarkEnd w:id="227"/>
    </w:p>
    <w:p w14:paraId="0F9F67D8">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308700B0">
      <w:pPr>
        <w:snapToGrid w:val="0"/>
        <w:spacing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4BB68B2A">
      <w:pPr>
        <w:snapToGrid w:val="0"/>
        <w:spacing w:after="156" w:afterLines="50" w:line="360" w:lineRule="auto"/>
        <w:jc w:val="left"/>
        <w:rPr>
          <w:rFonts w:hint="default" w:ascii="宋体" w:hAnsi="宋体" w:eastAsia="宋体"/>
          <w:b/>
          <w:bCs/>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1B6D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2B76BAA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525DB1EF">
            <w:pPr>
              <w:spacing w:line="360" w:lineRule="auto"/>
              <w:rPr>
                <w:rFonts w:ascii="宋体" w:hAnsi="宋体" w:eastAsia="宋体"/>
                <w:b/>
                <w:color w:val="auto"/>
                <w:sz w:val="24"/>
                <w:highlight w:val="none"/>
              </w:rPr>
            </w:pPr>
          </w:p>
        </w:tc>
      </w:tr>
      <w:tr w14:paraId="21AF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F519E51">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磋商范围</w:t>
            </w:r>
          </w:p>
        </w:tc>
        <w:tc>
          <w:tcPr>
            <w:tcW w:w="3557" w:type="pct"/>
            <w:tcBorders>
              <w:left w:val="single" w:color="auto" w:sz="4" w:space="0"/>
            </w:tcBorders>
            <w:vAlign w:val="center"/>
          </w:tcPr>
          <w:p w14:paraId="06F4D5A6">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2E4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74DF9BF4">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36CD4AE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79BF4833">
            <w:pPr>
              <w:snapToGrid w:val="0"/>
              <w:spacing w:line="360" w:lineRule="auto"/>
              <w:rPr>
                <w:rFonts w:ascii="宋体" w:hAnsi="宋体" w:eastAsia="宋体"/>
                <w:color w:val="auto"/>
                <w:sz w:val="24"/>
                <w:szCs w:val="28"/>
                <w:highlight w:val="none"/>
              </w:rPr>
            </w:pPr>
          </w:p>
          <w:p w14:paraId="75FB034D">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331F12B2">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2F2CC59C">
            <w:pPr>
              <w:snapToGrid w:val="0"/>
              <w:spacing w:line="360" w:lineRule="auto"/>
              <w:rPr>
                <w:rFonts w:ascii="宋体" w:hAnsi="宋体" w:eastAsia="宋体"/>
                <w:b/>
                <w:color w:val="auto"/>
                <w:sz w:val="24"/>
                <w:highlight w:val="none"/>
              </w:rPr>
            </w:pPr>
          </w:p>
        </w:tc>
      </w:tr>
      <w:tr w14:paraId="4E51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6C180BDD">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7606AAC7">
            <w:pPr>
              <w:spacing w:line="360" w:lineRule="auto"/>
              <w:rPr>
                <w:rFonts w:ascii="宋体" w:hAnsi="宋体" w:eastAsia="宋体"/>
                <w:b/>
                <w:color w:val="auto"/>
                <w:sz w:val="24"/>
                <w:highlight w:val="none"/>
              </w:rPr>
            </w:pPr>
          </w:p>
        </w:tc>
      </w:tr>
    </w:tbl>
    <w:p w14:paraId="6AEFB246">
      <w:pPr>
        <w:spacing w:line="360" w:lineRule="auto"/>
        <w:ind w:firstLine="4560" w:firstLineChars="19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0D76B95F">
      <w:pPr>
        <w:spacing w:line="360" w:lineRule="auto"/>
        <w:ind w:firstLine="4560" w:firstLineChars="19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980B5BC">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11DA5541">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货物及其配套的设计、采购、制造、检测、试验、运输、保险、仓储、税费以及现场落地、安装及安装耗损、调试、培训、技术服务（包括技术资料、图纸的提供）质保期内的售后服务保障等所有费用。</w:t>
      </w:r>
    </w:p>
    <w:p w14:paraId="350D7840">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340833AF">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4F97041E">
      <w:pPr>
        <w:spacing w:line="360" w:lineRule="auto"/>
        <w:jc w:val="center"/>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4E09F50F">
      <w:pPr>
        <w:spacing w:before="156" w:beforeLines="50" w:after="156" w:afterLines="50" w:line="360" w:lineRule="auto"/>
        <w:jc w:val="left"/>
        <w:outlineLvl w:val="2"/>
        <w:rPr>
          <w:rFonts w:ascii="宋体" w:hAnsi="宋体" w:eastAsia="宋体"/>
          <w:b/>
          <w:color w:val="auto"/>
          <w:sz w:val="24"/>
          <w:szCs w:val="28"/>
          <w:highlight w:val="none"/>
        </w:rPr>
      </w:pPr>
      <w:bookmarkStart w:id="228" w:name="_Toc461053087"/>
      <w:bookmarkStart w:id="229" w:name="_Toc461056632"/>
      <w:bookmarkStart w:id="230" w:name="_Toc520983588"/>
      <w:r>
        <w:rPr>
          <w:rFonts w:hint="eastAsia" w:ascii="宋体" w:hAnsi="宋体" w:eastAsia="宋体"/>
          <w:b/>
          <w:color w:val="auto"/>
          <w:sz w:val="24"/>
          <w:szCs w:val="28"/>
          <w:highlight w:val="none"/>
        </w:rPr>
        <w:t>1-2 分项报价明细表</w:t>
      </w:r>
    </w:p>
    <w:p w14:paraId="5DD4119F">
      <w:pPr>
        <w:pStyle w:val="48"/>
        <w:jc w:val="left"/>
        <w:rPr>
          <w:rFonts w:hint="default" w:ascii="宋体" w:hAnsi="宋体" w:eastAsia="宋体"/>
          <w:b/>
          <w:bCs/>
          <w:color w:val="auto"/>
          <w:highlight w:val="none"/>
          <w:lang w:val="en-US" w:eastAsia="zh-CN"/>
        </w:rPr>
      </w:pPr>
      <w:r>
        <w:rPr>
          <w:rFonts w:hint="eastAsia" w:ascii="宋体" w:hAnsi="宋体"/>
          <w:b/>
          <w:bCs/>
          <w:color w:val="auto"/>
          <w:highlight w:val="none"/>
          <w:lang w:val="en-US" w:eastAsia="zh-CN"/>
        </w:rPr>
        <w:t>1-2-1</w:t>
      </w:r>
      <w:r>
        <w:rPr>
          <w:rFonts w:hint="eastAsia" w:ascii="宋体" w:hAnsi="宋体" w:eastAsia="宋体"/>
          <w:b/>
          <w:bCs/>
          <w:color w:val="auto"/>
          <w:highlight w:val="none"/>
          <w:lang w:val="en-US" w:eastAsia="zh-CN"/>
        </w:rPr>
        <w:t>货物部分</w:t>
      </w:r>
    </w:p>
    <w:tbl>
      <w:tblPr>
        <w:tblStyle w:val="2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322"/>
        <w:gridCol w:w="1317"/>
        <w:gridCol w:w="1317"/>
        <w:gridCol w:w="672"/>
        <w:gridCol w:w="672"/>
        <w:gridCol w:w="938"/>
        <w:gridCol w:w="938"/>
        <w:gridCol w:w="670"/>
      </w:tblGrid>
      <w:tr w14:paraId="275B2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28631704">
            <w:pPr>
              <w:pStyle w:val="40"/>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776" w:type="pct"/>
            <w:noWrap w:val="0"/>
            <w:vAlign w:val="center"/>
          </w:tcPr>
          <w:p w14:paraId="4B8C5DEF">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772" w:type="pct"/>
            <w:noWrap w:val="0"/>
            <w:vAlign w:val="center"/>
          </w:tcPr>
          <w:p w14:paraId="49827067">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6082FDE4">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772" w:type="pct"/>
            <w:noWrap w:val="0"/>
            <w:vAlign w:val="center"/>
          </w:tcPr>
          <w:p w14:paraId="08422F22">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724C5C86">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394" w:type="pct"/>
            <w:noWrap w:val="0"/>
            <w:vAlign w:val="center"/>
          </w:tcPr>
          <w:p w14:paraId="3007F775">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394" w:type="pct"/>
            <w:noWrap w:val="0"/>
            <w:vAlign w:val="center"/>
          </w:tcPr>
          <w:p w14:paraId="347A47A8">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550" w:type="pct"/>
            <w:noWrap w:val="0"/>
            <w:vAlign w:val="center"/>
          </w:tcPr>
          <w:p w14:paraId="75571079">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61CA393E">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550" w:type="pct"/>
            <w:noWrap w:val="0"/>
            <w:vAlign w:val="center"/>
          </w:tcPr>
          <w:p w14:paraId="4178152F">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03B3AB3A">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393" w:type="pct"/>
            <w:noWrap w:val="0"/>
            <w:vAlign w:val="center"/>
          </w:tcPr>
          <w:p w14:paraId="5A95B5D5">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07F9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389349F8">
            <w:pPr>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776" w:type="pct"/>
            <w:noWrap w:val="0"/>
            <w:vAlign w:val="top"/>
          </w:tcPr>
          <w:p w14:paraId="3697BF50">
            <w:pPr>
              <w:rPr>
                <w:rFonts w:ascii="宋体" w:hAnsi="宋体" w:eastAsia="宋体"/>
                <w:color w:val="auto"/>
                <w:sz w:val="24"/>
                <w:highlight w:val="none"/>
              </w:rPr>
            </w:pPr>
          </w:p>
        </w:tc>
        <w:tc>
          <w:tcPr>
            <w:tcW w:w="772" w:type="pct"/>
            <w:noWrap w:val="0"/>
            <w:vAlign w:val="top"/>
          </w:tcPr>
          <w:p w14:paraId="3F0DB72B">
            <w:pPr>
              <w:rPr>
                <w:rFonts w:ascii="宋体" w:hAnsi="宋体" w:eastAsia="宋体"/>
                <w:color w:val="auto"/>
                <w:sz w:val="24"/>
                <w:highlight w:val="none"/>
              </w:rPr>
            </w:pPr>
          </w:p>
        </w:tc>
        <w:tc>
          <w:tcPr>
            <w:tcW w:w="772" w:type="pct"/>
            <w:noWrap w:val="0"/>
            <w:vAlign w:val="top"/>
          </w:tcPr>
          <w:p w14:paraId="3837DC46">
            <w:pPr>
              <w:rPr>
                <w:rFonts w:ascii="宋体" w:hAnsi="宋体" w:eastAsia="宋体"/>
                <w:color w:val="auto"/>
                <w:sz w:val="24"/>
                <w:highlight w:val="none"/>
              </w:rPr>
            </w:pPr>
          </w:p>
        </w:tc>
        <w:tc>
          <w:tcPr>
            <w:tcW w:w="394" w:type="pct"/>
            <w:noWrap w:val="0"/>
            <w:vAlign w:val="top"/>
          </w:tcPr>
          <w:p w14:paraId="2A42AF90">
            <w:pPr>
              <w:rPr>
                <w:rFonts w:ascii="宋体" w:hAnsi="宋体" w:eastAsia="宋体"/>
                <w:color w:val="auto"/>
                <w:sz w:val="24"/>
                <w:highlight w:val="none"/>
              </w:rPr>
            </w:pPr>
          </w:p>
        </w:tc>
        <w:tc>
          <w:tcPr>
            <w:tcW w:w="394" w:type="pct"/>
            <w:noWrap w:val="0"/>
            <w:vAlign w:val="top"/>
          </w:tcPr>
          <w:p w14:paraId="6D27F68D">
            <w:pPr>
              <w:rPr>
                <w:rFonts w:ascii="宋体" w:hAnsi="宋体" w:eastAsia="宋体"/>
                <w:color w:val="auto"/>
                <w:sz w:val="24"/>
                <w:highlight w:val="none"/>
              </w:rPr>
            </w:pPr>
          </w:p>
        </w:tc>
        <w:tc>
          <w:tcPr>
            <w:tcW w:w="550" w:type="pct"/>
            <w:noWrap w:val="0"/>
            <w:vAlign w:val="top"/>
          </w:tcPr>
          <w:p w14:paraId="53EA8E9A">
            <w:pPr>
              <w:rPr>
                <w:rFonts w:ascii="宋体" w:hAnsi="宋体" w:eastAsia="宋体"/>
                <w:color w:val="auto"/>
                <w:sz w:val="24"/>
                <w:highlight w:val="none"/>
              </w:rPr>
            </w:pPr>
          </w:p>
        </w:tc>
        <w:tc>
          <w:tcPr>
            <w:tcW w:w="550" w:type="pct"/>
            <w:noWrap w:val="0"/>
            <w:vAlign w:val="top"/>
          </w:tcPr>
          <w:p w14:paraId="35D8A4EF">
            <w:pPr>
              <w:rPr>
                <w:rFonts w:ascii="宋体" w:hAnsi="宋体" w:eastAsia="宋体"/>
                <w:color w:val="auto"/>
                <w:sz w:val="24"/>
                <w:highlight w:val="none"/>
              </w:rPr>
            </w:pPr>
          </w:p>
        </w:tc>
        <w:tc>
          <w:tcPr>
            <w:tcW w:w="393" w:type="pct"/>
            <w:noWrap w:val="0"/>
            <w:vAlign w:val="top"/>
          </w:tcPr>
          <w:p w14:paraId="60BA618B">
            <w:pPr>
              <w:rPr>
                <w:rFonts w:ascii="宋体" w:hAnsi="宋体" w:eastAsia="宋体"/>
                <w:color w:val="auto"/>
                <w:sz w:val="24"/>
                <w:highlight w:val="none"/>
              </w:rPr>
            </w:pPr>
          </w:p>
        </w:tc>
      </w:tr>
      <w:tr w14:paraId="38E9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20975D51">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776" w:type="pct"/>
            <w:noWrap w:val="0"/>
            <w:vAlign w:val="top"/>
          </w:tcPr>
          <w:p w14:paraId="3784022B">
            <w:pPr>
              <w:rPr>
                <w:rFonts w:ascii="宋体" w:hAnsi="宋体" w:eastAsia="宋体"/>
                <w:color w:val="auto"/>
                <w:sz w:val="24"/>
                <w:highlight w:val="none"/>
              </w:rPr>
            </w:pPr>
          </w:p>
        </w:tc>
        <w:tc>
          <w:tcPr>
            <w:tcW w:w="772" w:type="pct"/>
            <w:noWrap w:val="0"/>
            <w:vAlign w:val="top"/>
          </w:tcPr>
          <w:p w14:paraId="697DE237">
            <w:pPr>
              <w:rPr>
                <w:rFonts w:ascii="宋体" w:hAnsi="宋体" w:eastAsia="宋体"/>
                <w:color w:val="auto"/>
                <w:sz w:val="24"/>
                <w:highlight w:val="none"/>
              </w:rPr>
            </w:pPr>
          </w:p>
        </w:tc>
        <w:tc>
          <w:tcPr>
            <w:tcW w:w="772" w:type="pct"/>
            <w:noWrap w:val="0"/>
            <w:vAlign w:val="top"/>
          </w:tcPr>
          <w:p w14:paraId="00E1415F">
            <w:pPr>
              <w:rPr>
                <w:rFonts w:ascii="宋体" w:hAnsi="宋体" w:eastAsia="宋体"/>
                <w:color w:val="auto"/>
                <w:sz w:val="24"/>
                <w:highlight w:val="none"/>
              </w:rPr>
            </w:pPr>
          </w:p>
        </w:tc>
        <w:tc>
          <w:tcPr>
            <w:tcW w:w="394" w:type="pct"/>
            <w:noWrap w:val="0"/>
            <w:vAlign w:val="top"/>
          </w:tcPr>
          <w:p w14:paraId="2F51A303">
            <w:pPr>
              <w:rPr>
                <w:rFonts w:ascii="宋体" w:hAnsi="宋体" w:eastAsia="宋体"/>
                <w:color w:val="auto"/>
                <w:sz w:val="24"/>
                <w:highlight w:val="none"/>
              </w:rPr>
            </w:pPr>
          </w:p>
        </w:tc>
        <w:tc>
          <w:tcPr>
            <w:tcW w:w="394" w:type="pct"/>
            <w:noWrap w:val="0"/>
            <w:vAlign w:val="top"/>
          </w:tcPr>
          <w:p w14:paraId="6560FCDA">
            <w:pPr>
              <w:rPr>
                <w:rFonts w:ascii="宋体" w:hAnsi="宋体" w:eastAsia="宋体"/>
                <w:color w:val="auto"/>
                <w:sz w:val="24"/>
                <w:highlight w:val="none"/>
              </w:rPr>
            </w:pPr>
          </w:p>
        </w:tc>
        <w:tc>
          <w:tcPr>
            <w:tcW w:w="550" w:type="pct"/>
            <w:noWrap w:val="0"/>
            <w:vAlign w:val="top"/>
          </w:tcPr>
          <w:p w14:paraId="7A284E47">
            <w:pPr>
              <w:rPr>
                <w:rFonts w:ascii="宋体" w:hAnsi="宋体" w:eastAsia="宋体"/>
                <w:color w:val="auto"/>
                <w:sz w:val="24"/>
                <w:highlight w:val="none"/>
              </w:rPr>
            </w:pPr>
          </w:p>
        </w:tc>
        <w:tc>
          <w:tcPr>
            <w:tcW w:w="550" w:type="pct"/>
            <w:noWrap w:val="0"/>
            <w:vAlign w:val="top"/>
          </w:tcPr>
          <w:p w14:paraId="1F8EBE3D">
            <w:pPr>
              <w:rPr>
                <w:rFonts w:ascii="宋体" w:hAnsi="宋体" w:eastAsia="宋体"/>
                <w:color w:val="auto"/>
                <w:sz w:val="24"/>
                <w:highlight w:val="none"/>
              </w:rPr>
            </w:pPr>
          </w:p>
        </w:tc>
        <w:tc>
          <w:tcPr>
            <w:tcW w:w="393" w:type="pct"/>
            <w:noWrap w:val="0"/>
            <w:vAlign w:val="top"/>
          </w:tcPr>
          <w:p w14:paraId="6603CB2F">
            <w:pPr>
              <w:rPr>
                <w:rFonts w:ascii="宋体" w:hAnsi="宋体" w:eastAsia="宋体"/>
                <w:color w:val="auto"/>
                <w:sz w:val="24"/>
                <w:highlight w:val="none"/>
              </w:rPr>
            </w:pPr>
          </w:p>
        </w:tc>
      </w:tr>
      <w:tr w14:paraId="42B1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06B3604B">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776" w:type="pct"/>
            <w:noWrap w:val="0"/>
            <w:vAlign w:val="top"/>
          </w:tcPr>
          <w:p w14:paraId="2C9797A9">
            <w:pPr>
              <w:rPr>
                <w:rFonts w:ascii="宋体" w:hAnsi="宋体" w:eastAsia="宋体"/>
                <w:color w:val="auto"/>
                <w:sz w:val="24"/>
                <w:highlight w:val="none"/>
              </w:rPr>
            </w:pPr>
          </w:p>
        </w:tc>
        <w:tc>
          <w:tcPr>
            <w:tcW w:w="772" w:type="pct"/>
            <w:noWrap w:val="0"/>
            <w:vAlign w:val="top"/>
          </w:tcPr>
          <w:p w14:paraId="3A1CCFC7">
            <w:pPr>
              <w:rPr>
                <w:rFonts w:ascii="宋体" w:hAnsi="宋体" w:eastAsia="宋体"/>
                <w:color w:val="auto"/>
                <w:sz w:val="24"/>
                <w:highlight w:val="none"/>
              </w:rPr>
            </w:pPr>
          </w:p>
        </w:tc>
        <w:tc>
          <w:tcPr>
            <w:tcW w:w="772" w:type="pct"/>
            <w:noWrap w:val="0"/>
            <w:vAlign w:val="top"/>
          </w:tcPr>
          <w:p w14:paraId="2FE8E86D">
            <w:pPr>
              <w:rPr>
                <w:rFonts w:ascii="宋体" w:hAnsi="宋体" w:eastAsia="宋体"/>
                <w:color w:val="auto"/>
                <w:sz w:val="24"/>
                <w:highlight w:val="none"/>
              </w:rPr>
            </w:pPr>
          </w:p>
        </w:tc>
        <w:tc>
          <w:tcPr>
            <w:tcW w:w="394" w:type="pct"/>
            <w:noWrap w:val="0"/>
            <w:vAlign w:val="top"/>
          </w:tcPr>
          <w:p w14:paraId="39DD27C4">
            <w:pPr>
              <w:rPr>
                <w:rFonts w:ascii="宋体" w:hAnsi="宋体" w:eastAsia="宋体"/>
                <w:color w:val="auto"/>
                <w:sz w:val="24"/>
                <w:highlight w:val="none"/>
              </w:rPr>
            </w:pPr>
          </w:p>
        </w:tc>
        <w:tc>
          <w:tcPr>
            <w:tcW w:w="394" w:type="pct"/>
            <w:noWrap w:val="0"/>
            <w:vAlign w:val="top"/>
          </w:tcPr>
          <w:p w14:paraId="0EC46560">
            <w:pPr>
              <w:rPr>
                <w:rFonts w:ascii="宋体" w:hAnsi="宋体" w:eastAsia="宋体"/>
                <w:color w:val="auto"/>
                <w:sz w:val="24"/>
                <w:highlight w:val="none"/>
              </w:rPr>
            </w:pPr>
          </w:p>
        </w:tc>
        <w:tc>
          <w:tcPr>
            <w:tcW w:w="550" w:type="pct"/>
            <w:noWrap w:val="0"/>
            <w:vAlign w:val="top"/>
          </w:tcPr>
          <w:p w14:paraId="2D3BE912">
            <w:pPr>
              <w:rPr>
                <w:rFonts w:ascii="宋体" w:hAnsi="宋体" w:eastAsia="宋体"/>
                <w:color w:val="auto"/>
                <w:sz w:val="24"/>
                <w:highlight w:val="none"/>
              </w:rPr>
            </w:pPr>
          </w:p>
        </w:tc>
        <w:tc>
          <w:tcPr>
            <w:tcW w:w="550" w:type="pct"/>
            <w:noWrap w:val="0"/>
            <w:vAlign w:val="top"/>
          </w:tcPr>
          <w:p w14:paraId="5DC45DFE">
            <w:pPr>
              <w:rPr>
                <w:rFonts w:ascii="宋体" w:hAnsi="宋体" w:eastAsia="宋体"/>
                <w:color w:val="auto"/>
                <w:sz w:val="24"/>
                <w:highlight w:val="none"/>
              </w:rPr>
            </w:pPr>
          </w:p>
        </w:tc>
        <w:tc>
          <w:tcPr>
            <w:tcW w:w="393" w:type="pct"/>
            <w:noWrap w:val="0"/>
            <w:vAlign w:val="top"/>
          </w:tcPr>
          <w:p w14:paraId="38A250BE">
            <w:pPr>
              <w:rPr>
                <w:rFonts w:ascii="宋体" w:hAnsi="宋体" w:eastAsia="宋体"/>
                <w:color w:val="auto"/>
                <w:sz w:val="24"/>
                <w:highlight w:val="none"/>
              </w:rPr>
            </w:pPr>
          </w:p>
        </w:tc>
      </w:tr>
      <w:tr w14:paraId="5C513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1230DAE6">
            <w:pPr>
              <w:jc w:val="center"/>
              <w:rPr>
                <w:rFonts w:ascii="宋体" w:hAnsi="宋体" w:eastAsia="宋体"/>
                <w:color w:val="auto"/>
                <w:sz w:val="24"/>
                <w:highlight w:val="none"/>
              </w:rPr>
            </w:pPr>
            <w:r>
              <w:rPr>
                <w:rFonts w:hint="eastAsia" w:ascii="宋体" w:hAnsi="宋体" w:eastAsia="宋体"/>
                <w:color w:val="auto"/>
                <w:sz w:val="24"/>
                <w:highlight w:val="none"/>
              </w:rPr>
              <w:t>…</w:t>
            </w:r>
          </w:p>
        </w:tc>
        <w:tc>
          <w:tcPr>
            <w:tcW w:w="776" w:type="pct"/>
            <w:noWrap w:val="0"/>
            <w:vAlign w:val="top"/>
          </w:tcPr>
          <w:p w14:paraId="5AF2AF09">
            <w:pPr>
              <w:rPr>
                <w:rFonts w:ascii="宋体" w:hAnsi="宋体" w:eastAsia="宋体"/>
                <w:color w:val="auto"/>
                <w:sz w:val="24"/>
                <w:highlight w:val="none"/>
              </w:rPr>
            </w:pPr>
          </w:p>
        </w:tc>
        <w:tc>
          <w:tcPr>
            <w:tcW w:w="772" w:type="pct"/>
            <w:noWrap w:val="0"/>
            <w:vAlign w:val="top"/>
          </w:tcPr>
          <w:p w14:paraId="2F10939E">
            <w:pPr>
              <w:rPr>
                <w:rFonts w:ascii="宋体" w:hAnsi="宋体" w:eastAsia="宋体"/>
                <w:color w:val="auto"/>
                <w:sz w:val="24"/>
                <w:highlight w:val="none"/>
              </w:rPr>
            </w:pPr>
          </w:p>
        </w:tc>
        <w:tc>
          <w:tcPr>
            <w:tcW w:w="772" w:type="pct"/>
            <w:noWrap w:val="0"/>
            <w:vAlign w:val="top"/>
          </w:tcPr>
          <w:p w14:paraId="2006095B">
            <w:pPr>
              <w:rPr>
                <w:rFonts w:ascii="宋体" w:hAnsi="宋体" w:eastAsia="宋体"/>
                <w:color w:val="auto"/>
                <w:sz w:val="24"/>
                <w:highlight w:val="none"/>
              </w:rPr>
            </w:pPr>
          </w:p>
        </w:tc>
        <w:tc>
          <w:tcPr>
            <w:tcW w:w="394" w:type="pct"/>
            <w:noWrap w:val="0"/>
            <w:vAlign w:val="top"/>
          </w:tcPr>
          <w:p w14:paraId="4FDA0008">
            <w:pPr>
              <w:rPr>
                <w:rFonts w:ascii="宋体" w:hAnsi="宋体" w:eastAsia="宋体"/>
                <w:color w:val="auto"/>
                <w:sz w:val="24"/>
                <w:highlight w:val="none"/>
              </w:rPr>
            </w:pPr>
          </w:p>
        </w:tc>
        <w:tc>
          <w:tcPr>
            <w:tcW w:w="394" w:type="pct"/>
            <w:noWrap w:val="0"/>
            <w:vAlign w:val="top"/>
          </w:tcPr>
          <w:p w14:paraId="12C93CE2">
            <w:pPr>
              <w:rPr>
                <w:rFonts w:ascii="宋体" w:hAnsi="宋体" w:eastAsia="宋体"/>
                <w:color w:val="auto"/>
                <w:sz w:val="24"/>
                <w:highlight w:val="none"/>
              </w:rPr>
            </w:pPr>
          </w:p>
        </w:tc>
        <w:tc>
          <w:tcPr>
            <w:tcW w:w="550" w:type="pct"/>
            <w:noWrap w:val="0"/>
            <w:vAlign w:val="top"/>
          </w:tcPr>
          <w:p w14:paraId="6D462886">
            <w:pPr>
              <w:rPr>
                <w:rFonts w:ascii="宋体" w:hAnsi="宋体" w:eastAsia="宋体"/>
                <w:color w:val="auto"/>
                <w:sz w:val="24"/>
                <w:highlight w:val="none"/>
              </w:rPr>
            </w:pPr>
          </w:p>
        </w:tc>
        <w:tc>
          <w:tcPr>
            <w:tcW w:w="550" w:type="pct"/>
            <w:noWrap w:val="0"/>
            <w:vAlign w:val="top"/>
          </w:tcPr>
          <w:p w14:paraId="73236AA0">
            <w:pPr>
              <w:rPr>
                <w:rFonts w:ascii="宋体" w:hAnsi="宋体" w:eastAsia="宋体"/>
                <w:color w:val="auto"/>
                <w:sz w:val="24"/>
                <w:highlight w:val="none"/>
              </w:rPr>
            </w:pPr>
          </w:p>
        </w:tc>
        <w:tc>
          <w:tcPr>
            <w:tcW w:w="393" w:type="pct"/>
            <w:noWrap w:val="0"/>
            <w:vAlign w:val="top"/>
          </w:tcPr>
          <w:p w14:paraId="1A42BFF5">
            <w:pPr>
              <w:rPr>
                <w:rFonts w:ascii="宋体" w:hAnsi="宋体" w:eastAsia="宋体"/>
                <w:color w:val="auto"/>
                <w:sz w:val="24"/>
                <w:highlight w:val="none"/>
              </w:rPr>
            </w:pPr>
          </w:p>
        </w:tc>
      </w:tr>
      <w:tr w14:paraId="1673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5" w:type="pct"/>
            <w:gridSpan w:val="7"/>
            <w:noWrap w:val="0"/>
            <w:vAlign w:val="center"/>
          </w:tcPr>
          <w:p w14:paraId="0A97B3FE">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944" w:type="pct"/>
            <w:gridSpan w:val="2"/>
            <w:noWrap w:val="0"/>
            <w:vAlign w:val="top"/>
          </w:tcPr>
          <w:p w14:paraId="1C66F586">
            <w:pPr>
              <w:rPr>
                <w:rFonts w:ascii="宋体" w:hAnsi="宋体" w:eastAsia="宋体"/>
                <w:color w:val="auto"/>
                <w:sz w:val="24"/>
                <w:highlight w:val="none"/>
              </w:rPr>
            </w:pPr>
          </w:p>
        </w:tc>
      </w:tr>
    </w:tbl>
    <w:p w14:paraId="7A39CE29">
      <w:pPr>
        <w:pStyle w:val="48"/>
        <w:jc w:val="both"/>
        <w:rPr>
          <w:rFonts w:hint="eastAsia" w:ascii="宋体" w:hAnsi="宋体" w:eastAsia="宋体"/>
          <w:b/>
          <w:bCs/>
          <w:color w:val="auto"/>
          <w:highlight w:val="none"/>
          <w:lang w:val="en-US" w:eastAsia="zh-CN"/>
        </w:rPr>
      </w:pPr>
    </w:p>
    <w:p w14:paraId="6ACAA8D5">
      <w:pPr>
        <w:spacing w:line="360" w:lineRule="auto"/>
        <w:rPr>
          <w:rFonts w:hint="default" w:ascii="宋体" w:hAnsi="宋体" w:eastAsia="宋体"/>
          <w:color w:val="auto"/>
          <w:sz w:val="24"/>
          <w:highlight w:val="none"/>
          <w:lang w:val="en-US" w:eastAsia="zh-CN"/>
        </w:rPr>
      </w:pPr>
    </w:p>
    <w:p w14:paraId="43FF7ED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0D044FC">
      <w:pPr>
        <w:tabs>
          <w:tab w:val="left" w:pos="630"/>
        </w:tabs>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32A32037">
      <w:pPr>
        <w:spacing w:line="360" w:lineRule="auto"/>
        <w:ind w:firstLine="435"/>
        <w:jc w:val="right"/>
        <w:rPr>
          <w:rFonts w:ascii="宋体" w:hAnsi="宋体" w:eastAsia="宋体"/>
          <w:b/>
          <w:bCs/>
          <w:color w:val="auto"/>
          <w:sz w:val="24"/>
          <w:szCs w:val="28"/>
          <w:highlight w:val="none"/>
        </w:rPr>
      </w:pPr>
      <w:r>
        <w:rPr>
          <w:rFonts w:hint="eastAsia" w:ascii="宋体" w:hAnsi="宋体" w:eastAsia="宋体"/>
          <w:bCs/>
          <w:color w:val="auto"/>
          <w:sz w:val="24"/>
          <w:szCs w:val="28"/>
          <w:highlight w:val="none"/>
          <w:u w:val="single"/>
        </w:rPr>
        <w:t xml:space="preserve">       </w:t>
      </w:r>
    </w:p>
    <w:p w14:paraId="62270021">
      <w:pPr>
        <w:spacing w:line="360" w:lineRule="auto"/>
        <w:rPr>
          <w:rFonts w:hint="eastAsia" w:asciiTheme="minorEastAsia" w:hAnsiTheme="minorEastAsia" w:eastAsiaTheme="minorEastAsia"/>
          <w:b/>
          <w:bCs/>
          <w:color w:val="auto"/>
          <w:sz w:val="21"/>
          <w:szCs w:val="21"/>
          <w:highlight w:val="none"/>
          <w:lang w:val="en-US" w:eastAsia="zh-CN"/>
        </w:rPr>
      </w:pPr>
      <w:r>
        <w:rPr>
          <w:rFonts w:hint="eastAsia" w:asciiTheme="minorEastAsia" w:hAnsiTheme="minorEastAsia" w:eastAsiaTheme="minorEastAsia"/>
          <w:b/>
          <w:bCs/>
          <w:color w:val="auto"/>
          <w:sz w:val="21"/>
          <w:szCs w:val="21"/>
          <w:highlight w:val="none"/>
          <w:lang w:eastAsia="zh-CN"/>
        </w:rPr>
        <w:t>注：</w:t>
      </w:r>
      <w:r>
        <w:rPr>
          <w:rFonts w:hint="eastAsia" w:asciiTheme="minorEastAsia" w:hAnsiTheme="minorEastAsia" w:eastAsiaTheme="minorEastAsia"/>
          <w:b/>
          <w:bCs/>
          <w:color w:val="auto"/>
          <w:sz w:val="21"/>
          <w:szCs w:val="21"/>
          <w:highlight w:val="none"/>
          <w:lang w:val="en-US" w:eastAsia="zh-CN"/>
        </w:rPr>
        <w:t>表1-2-1</w:t>
      </w:r>
      <w:r>
        <w:rPr>
          <w:rFonts w:hint="eastAsia" w:asciiTheme="minorEastAsia" w:hAnsiTheme="minorEastAsia" w:eastAsiaTheme="minorEastAsia"/>
          <w:b/>
          <w:bCs/>
          <w:color w:val="auto"/>
          <w:sz w:val="21"/>
          <w:szCs w:val="21"/>
          <w:highlight w:val="none"/>
          <w:lang w:eastAsia="zh-CN"/>
        </w:rPr>
        <w:t>中须明确列出所投产品的货物名称、品牌、型号规格、原产地及生产厂商，否则可能导致</w:t>
      </w:r>
      <w:r>
        <w:rPr>
          <w:rFonts w:hint="eastAsia" w:asciiTheme="minorEastAsia" w:hAnsiTheme="minorEastAsia" w:eastAsiaTheme="minorEastAsia"/>
          <w:b/>
          <w:bCs/>
          <w:color w:val="auto"/>
          <w:sz w:val="21"/>
          <w:szCs w:val="21"/>
          <w:highlight w:val="none"/>
          <w:lang w:val="en-US" w:eastAsia="zh-CN"/>
        </w:rPr>
        <w:t>响应</w:t>
      </w:r>
      <w:r>
        <w:rPr>
          <w:rFonts w:hint="eastAsia" w:asciiTheme="minorEastAsia" w:hAnsiTheme="minorEastAsia" w:eastAsiaTheme="minorEastAsia"/>
          <w:b/>
          <w:bCs/>
          <w:color w:val="auto"/>
          <w:sz w:val="21"/>
          <w:szCs w:val="21"/>
          <w:highlight w:val="none"/>
          <w:lang w:eastAsia="zh-CN"/>
        </w:rPr>
        <w:t>无效。</w:t>
      </w:r>
    </w:p>
    <w:p w14:paraId="564E129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62CDF5F6">
      <w:pPr>
        <w:pStyle w:val="4"/>
        <w:jc w:val="center"/>
        <w:outlineLvl w:val="1"/>
        <w:rPr>
          <w:rFonts w:asciiTheme="minorEastAsia" w:hAnsiTheme="minorEastAsia" w:eastAsiaTheme="minorEastAsia"/>
          <w:b w:val="0"/>
          <w:color w:val="auto"/>
          <w:sz w:val="24"/>
          <w:highlight w:val="none"/>
        </w:rPr>
      </w:pPr>
      <w:bookmarkStart w:id="231" w:name="_Toc8628"/>
      <w:bookmarkStart w:id="232" w:name="_Toc21745"/>
      <w:r>
        <w:rPr>
          <w:rFonts w:hint="eastAsia" w:asciiTheme="minorEastAsia" w:hAnsiTheme="minorEastAsia" w:eastAsiaTheme="minorEastAsia"/>
          <w:color w:val="auto"/>
          <w:sz w:val="24"/>
          <w:highlight w:val="none"/>
        </w:rPr>
        <w:t>二</w:t>
      </w:r>
      <w:bookmarkEnd w:id="228"/>
      <w:bookmarkEnd w:id="229"/>
      <w:r>
        <w:rPr>
          <w:rFonts w:hint="eastAsia" w:asciiTheme="minorEastAsia" w:hAnsiTheme="minorEastAsia" w:eastAsiaTheme="minorEastAsia"/>
          <w:color w:val="auto"/>
          <w:sz w:val="24"/>
          <w:highlight w:val="none"/>
        </w:rPr>
        <w:t>、最后承诺报价表</w:t>
      </w:r>
      <w:bookmarkEnd w:id="230"/>
      <w:bookmarkEnd w:id="231"/>
      <w:bookmarkEnd w:id="232"/>
    </w:p>
    <w:p w14:paraId="27035629">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4339499D">
      <w:pPr>
        <w:snapToGrid w:val="0"/>
        <w:spacing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0B5ADF78">
      <w:pPr>
        <w:snapToGrid w:val="0"/>
        <w:spacing w:after="156" w:afterLines="50" w:line="360" w:lineRule="auto"/>
        <w:jc w:val="left"/>
        <w:rPr>
          <w:rFonts w:ascii="宋体" w:hAnsi="宋体" w:eastAsia="宋体"/>
          <w:b/>
          <w:bCs/>
          <w:color w:val="auto"/>
          <w:sz w:val="24"/>
          <w:szCs w:val="28"/>
          <w:highlight w:val="non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r>
        <w:rPr>
          <w:rFonts w:hint="eastAsia" w:ascii="宋体" w:hAnsi="宋体" w:eastAsia="宋体"/>
          <w:b/>
          <w:color w:val="auto"/>
          <w:sz w:val="24"/>
          <w:szCs w:val="28"/>
          <w:highlight w:val="none"/>
          <w:u w:val="single"/>
        </w:rPr>
        <w:t xml:space="preserve">     </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7AAD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181A61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3F6B28D8">
            <w:pPr>
              <w:spacing w:line="360" w:lineRule="auto"/>
              <w:rPr>
                <w:rFonts w:ascii="宋体" w:hAnsi="宋体" w:eastAsia="宋体"/>
                <w:b/>
                <w:color w:val="auto"/>
                <w:sz w:val="24"/>
                <w:highlight w:val="none"/>
              </w:rPr>
            </w:pPr>
          </w:p>
        </w:tc>
      </w:tr>
      <w:tr w14:paraId="4204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BA09294">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w:t>
            </w: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6F89659E">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2D66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17824891">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13EA1708">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415E7E29">
            <w:pPr>
              <w:snapToGrid w:val="0"/>
              <w:spacing w:line="360" w:lineRule="auto"/>
              <w:rPr>
                <w:rFonts w:ascii="宋体" w:hAnsi="宋体" w:eastAsia="宋体"/>
                <w:color w:val="auto"/>
                <w:sz w:val="24"/>
                <w:szCs w:val="28"/>
                <w:highlight w:val="none"/>
              </w:rPr>
            </w:pPr>
          </w:p>
          <w:p w14:paraId="770528DC">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人民币大写：</w:t>
            </w:r>
            <w:r>
              <w:rPr>
                <w:rFonts w:hint="eastAsia" w:ascii="宋体" w:hAnsi="宋体" w:eastAsia="宋体" w:cs="宋体"/>
                <w:bCs/>
                <w:color w:val="auto"/>
                <w:sz w:val="24"/>
                <w:szCs w:val="24"/>
                <w:highlight w:val="none"/>
                <w:u w:val="single"/>
              </w:rPr>
              <w:t xml:space="preserve">                     </w:t>
            </w:r>
          </w:p>
          <w:p w14:paraId="392B707B">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人民币小写：</w:t>
            </w:r>
            <w:r>
              <w:rPr>
                <w:rFonts w:hint="eastAsia" w:ascii="宋体" w:hAnsi="宋体" w:eastAsia="宋体" w:cs="宋体"/>
                <w:bCs/>
                <w:color w:val="auto"/>
                <w:sz w:val="24"/>
                <w:szCs w:val="24"/>
                <w:highlight w:val="none"/>
                <w:u w:val="single"/>
              </w:rPr>
              <w:t xml:space="preserve">                     </w:t>
            </w:r>
          </w:p>
          <w:p w14:paraId="4D6C205A">
            <w:pPr>
              <w:snapToGrid w:val="0"/>
              <w:spacing w:line="360" w:lineRule="auto"/>
              <w:rPr>
                <w:rFonts w:ascii="宋体" w:hAnsi="宋体" w:eastAsia="宋体"/>
                <w:b/>
                <w:color w:val="auto"/>
                <w:sz w:val="24"/>
                <w:highlight w:val="none"/>
              </w:rPr>
            </w:pPr>
          </w:p>
        </w:tc>
      </w:tr>
      <w:tr w14:paraId="18A4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77CCB8D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772052D5">
            <w:pPr>
              <w:spacing w:line="360" w:lineRule="auto"/>
              <w:rPr>
                <w:rFonts w:ascii="宋体" w:hAnsi="宋体" w:eastAsia="宋体"/>
                <w:b/>
                <w:color w:val="auto"/>
                <w:sz w:val="24"/>
                <w:highlight w:val="none"/>
              </w:rPr>
            </w:pPr>
          </w:p>
        </w:tc>
      </w:tr>
      <w:tr w14:paraId="0D2F1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443" w:type="pct"/>
            <w:vAlign w:val="center"/>
          </w:tcPr>
          <w:p w14:paraId="3F11F0C0">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磋商小组</w:t>
            </w:r>
            <w:r>
              <w:rPr>
                <w:rFonts w:ascii="宋体" w:hAnsi="宋体" w:eastAsia="宋体"/>
                <w:b/>
                <w:bCs/>
                <w:color w:val="auto"/>
                <w:sz w:val="24"/>
                <w:szCs w:val="28"/>
                <w:highlight w:val="none"/>
              </w:rPr>
              <w:t>签字</w:t>
            </w:r>
          </w:p>
        </w:tc>
        <w:tc>
          <w:tcPr>
            <w:tcW w:w="3557" w:type="pct"/>
          </w:tcPr>
          <w:p w14:paraId="378F39F0">
            <w:pPr>
              <w:spacing w:line="360" w:lineRule="auto"/>
              <w:rPr>
                <w:rFonts w:ascii="宋体" w:hAnsi="宋体" w:eastAsia="宋体"/>
                <w:b/>
                <w:color w:val="auto"/>
                <w:sz w:val="24"/>
                <w:highlight w:val="none"/>
              </w:rPr>
            </w:pPr>
          </w:p>
        </w:tc>
      </w:tr>
    </w:tbl>
    <w:p w14:paraId="0FE0D2BC">
      <w:pPr>
        <w:spacing w:line="360" w:lineRule="auto"/>
        <w:ind w:firstLine="1680" w:firstLineChars="700"/>
        <w:jc w:val="left"/>
        <w:rPr>
          <w:rFonts w:ascii="宋体" w:hAnsi="宋体" w:eastAsia="宋体"/>
          <w:color w:val="auto"/>
          <w:sz w:val="24"/>
          <w:highlight w:val="none"/>
        </w:rPr>
      </w:pPr>
      <w:r>
        <w:rPr>
          <w:rFonts w:hint="eastAsia" w:ascii="宋体" w:hAnsi="宋体" w:eastAsia="宋体"/>
          <w:color w:val="auto"/>
          <w:sz w:val="24"/>
          <w:highlight w:val="none"/>
        </w:rPr>
        <w:t xml:space="preserve">                   供应商公章或授权代表签字：</w:t>
      </w:r>
      <w:r>
        <w:rPr>
          <w:rFonts w:hint="eastAsia" w:ascii="宋体" w:hAnsi="宋体" w:eastAsia="宋体"/>
          <w:color w:val="auto"/>
          <w:sz w:val="24"/>
          <w:highlight w:val="none"/>
          <w:u w:val="single"/>
        </w:rPr>
        <w:t xml:space="preserve">          </w:t>
      </w:r>
    </w:p>
    <w:p w14:paraId="3D4F8FF9">
      <w:pPr>
        <w:spacing w:line="360" w:lineRule="auto"/>
        <w:ind w:firstLine="4560" w:firstLineChars="19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34316CBC">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1F7E5F20">
      <w:pPr>
        <w:keepNext w:val="0"/>
        <w:keepLines w:val="0"/>
        <w:pageBreakBefore w:val="0"/>
        <w:widowControl w:val="0"/>
        <w:kinsoku/>
        <w:wordWrap/>
        <w:overflowPunct/>
        <w:topLinePunct w:val="0"/>
        <w:autoSpaceDE/>
        <w:autoSpaceDN/>
        <w:bidi w:val="0"/>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本页《报价表》由供应商在接到报价通知后依据磋商情况填写,并在规定时间内提交。</w:t>
      </w:r>
      <w:r>
        <w:rPr>
          <w:rFonts w:hint="eastAsia" w:ascii="宋体" w:hAnsi="宋体" w:eastAsia="宋体"/>
          <w:color w:val="auto"/>
          <w:sz w:val="24"/>
          <w:highlight w:val="none"/>
        </w:rPr>
        <w:t>考虑磋商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29A68B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b w:val="0"/>
          <w:bCs w:val="0"/>
          <w:color w:val="auto"/>
          <w:sz w:val="24"/>
          <w:highlight w:val="none"/>
        </w:rPr>
      </w:pPr>
      <w:r>
        <w:rPr>
          <w:rFonts w:hint="eastAsia" w:ascii="宋体" w:hAnsi="宋体" w:eastAsia="宋体"/>
          <w:b w:val="0"/>
          <w:bCs w:val="0"/>
          <w:color w:val="auto"/>
          <w:sz w:val="24"/>
          <w:szCs w:val="28"/>
          <w:highlight w:val="none"/>
          <w:lang w:val="en-US" w:eastAsia="zh-CN"/>
        </w:rPr>
        <w:t>2</w:t>
      </w:r>
      <w:r>
        <w:rPr>
          <w:rFonts w:hint="eastAsia" w:ascii="宋体" w:hAnsi="宋体" w:eastAsia="宋体"/>
          <w:b w:val="0"/>
          <w:bCs w:val="0"/>
          <w:color w:val="auto"/>
          <w:sz w:val="24"/>
          <w:szCs w:val="28"/>
          <w:highlight w:val="none"/>
        </w:rPr>
        <w:t>.表中大写金额与小写金额不一致的，以大写金额为准。</w:t>
      </w:r>
    </w:p>
    <w:p w14:paraId="40FF4BE4">
      <w:pPr>
        <w:rPr>
          <w:rFonts w:hint="eastAsia" w:asciiTheme="minorEastAsia" w:hAnsiTheme="minorEastAsia" w:eastAsiaTheme="minorEastAsia"/>
          <w:b/>
          <w:color w:val="auto"/>
          <w:sz w:val="24"/>
          <w:highlight w:val="none"/>
        </w:rPr>
      </w:pPr>
      <w:bookmarkStart w:id="233" w:name="_Toc520983591"/>
      <w:bookmarkStart w:id="234" w:name="_Toc17310"/>
    </w:p>
    <w:p w14:paraId="31C66F40">
      <w:pPr>
        <w:spacing w:line="360" w:lineRule="auto"/>
        <w:jc w:val="center"/>
        <w:outlineLvl w:val="1"/>
        <w:rPr>
          <w:rFonts w:asciiTheme="minorEastAsia" w:hAnsiTheme="minorEastAsia" w:eastAsiaTheme="minorEastAsia"/>
          <w:b/>
          <w:color w:val="auto"/>
          <w:sz w:val="24"/>
          <w:highlight w:val="none"/>
        </w:rPr>
      </w:pPr>
      <w:bookmarkStart w:id="235" w:name="_Toc20391"/>
      <w:r>
        <w:rPr>
          <w:rFonts w:hint="eastAsia" w:asciiTheme="minorEastAsia" w:hAnsiTheme="minorEastAsia" w:eastAsiaTheme="minorEastAsia"/>
          <w:b/>
          <w:color w:val="auto"/>
          <w:sz w:val="24"/>
          <w:highlight w:val="none"/>
        </w:rPr>
        <w:t>三、磋商响应函</w:t>
      </w:r>
      <w:bookmarkEnd w:id="233"/>
      <w:bookmarkEnd w:id="234"/>
      <w:bookmarkEnd w:id="235"/>
    </w:p>
    <w:p w14:paraId="39588D23">
      <w:pPr>
        <w:pStyle w:val="12"/>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lang w:val="en-US" w:eastAsia="zh-CN"/>
        </w:rPr>
        <w:t>采购人</w:t>
      </w:r>
    </w:p>
    <w:p w14:paraId="4DE7E588">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236" w:name="_Hlk44287543"/>
      <w:r>
        <w:rPr>
          <w:rFonts w:hint="eastAsia" w:ascii="宋体" w:hAnsi="宋体" w:eastAsia="宋体"/>
          <w:color w:val="auto"/>
          <w:sz w:val="24"/>
          <w:highlight w:val="none"/>
        </w:rPr>
        <w:t>竞争性磋商公告和磋商邀请</w:t>
      </w:r>
      <w:bookmarkEnd w:id="236"/>
      <w:r>
        <w:rPr>
          <w:rFonts w:hint="eastAsia" w:ascii="宋体" w:hAnsi="宋体" w:eastAsia="宋体"/>
          <w:color w:val="auto"/>
          <w:sz w:val="24"/>
          <w:highlight w:val="none"/>
        </w:rPr>
        <w:t>，我方兹宣布同意如下：</w:t>
      </w:r>
    </w:p>
    <w:p w14:paraId="0DD36F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6EE2A38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文件各项条款、规定及要求均无异议。</w:t>
      </w:r>
    </w:p>
    <w:p w14:paraId="4D77230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有效期之前均具有约束力。</w:t>
      </w:r>
    </w:p>
    <w:p w14:paraId="2911EF6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有关的任何证据、数据或资料。</w:t>
      </w:r>
    </w:p>
    <w:p w14:paraId="2CA483C8">
      <w:pPr>
        <w:spacing w:line="360" w:lineRule="auto"/>
        <w:ind w:firstLine="480" w:firstLineChars="200"/>
        <w:rPr>
          <w:rFonts w:ascii="宋体" w:hAnsi="宋体" w:eastAsia="宋体"/>
          <w:color w:val="auto"/>
          <w:sz w:val="24"/>
          <w:highlight w:val="none"/>
        </w:rPr>
      </w:pPr>
    </w:p>
    <w:p w14:paraId="1CAE1560">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44B342D5">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375DD480">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266E3DCA">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37" w:name="_Toc27916"/>
      <w:r>
        <w:rPr>
          <w:rFonts w:hint="eastAsia" w:asciiTheme="minorEastAsia" w:hAnsiTheme="minorEastAsia" w:eastAsiaTheme="minorEastAsia"/>
          <w:b/>
          <w:color w:val="auto"/>
          <w:sz w:val="24"/>
          <w:highlight w:val="none"/>
          <w:lang w:val="en-US" w:eastAsia="zh-CN"/>
        </w:rPr>
        <w:t>四、供应商资格声明书</w:t>
      </w:r>
      <w:bookmarkEnd w:id="237"/>
    </w:p>
    <w:p w14:paraId="3167C0E3">
      <w:pPr>
        <w:pStyle w:val="12"/>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rPr>
        <w:t>采购</w:t>
      </w:r>
      <w:r>
        <w:rPr>
          <w:rFonts w:hint="eastAsia" w:ascii="宋体" w:hAnsi="宋体"/>
          <w:color w:val="auto"/>
          <w:sz w:val="24"/>
          <w:highlight w:val="none"/>
          <w:u w:val="single"/>
          <w:lang w:val="en-US" w:eastAsia="zh-CN"/>
        </w:rPr>
        <w:t>人</w:t>
      </w:r>
    </w:p>
    <w:p w14:paraId="0C04D10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在参与本次项目磋商中，我单位承诺：</w:t>
      </w:r>
    </w:p>
    <w:p w14:paraId="2ED12A4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578AE31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59D1048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3056867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1F867C3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309D266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3"/>
        <w:tblW w:w="0" w:type="auto"/>
        <w:tblInd w:w="1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7"/>
        <w:gridCol w:w="3978"/>
        <w:gridCol w:w="2703"/>
      </w:tblGrid>
      <w:tr w14:paraId="092D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0" w:type="dxa"/>
          </w:tcPr>
          <w:p w14:paraId="33AF23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4300" w:type="dxa"/>
          </w:tcPr>
          <w:p w14:paraId="3D240B46">
            <w:pPr>
              <w:pStyle w:val="8"/>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909" w:type="dxa"/>
          </w:tcPr>
          <w:p w14:paraId="22230B28">
            <w:pPr>
              <w:pStyle w:val="8"/>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5765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14:paraId="58304AFB">
            <w:pPr>
              <w:pStyle w:val="8"/>
              <w:jc w:val="center"/>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4300" w:type="dxa"/>
          </w:tcPr>
          <w:p w14:paraId="300440DC">
            <w:pPr>
              <w:pStyle w:val="8"/>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909" w:type="dxa"/>
          </w:tcPr>
          <w:p w14:paraId="558F47A5">
            <w:pPr>
              <w:pStyle w:val="8"/>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7AA04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14:paraId="6728CFD3">
            <w:pPr>
              <w:pStyle w:val="8"/>
              <w:jc w:val="center"/>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4300" w:type="dxa"/>
          </w:tcPr>
          <w:p w14:paraId="1235178A">
            <w:pPr>
              <w:pStyle w:val="8"/>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909" w:type="dxa"/>
          </w:tcPr>
          <w:p w14:paraId="7EAFB652">
            <w:pPr>
              <w:pStyle w:val="8"/>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41F33D2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358B732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72FDD221">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36362B85">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296A7207">
      <w:pPr>
        <w:spacing w:line="360" w:lineRule="auto"/>
        <w:jc w:val="center"/>
        <w:outlineLvl w:val="1"/>
        <w:rPr>
          <w:rFonts w:asciiTheme="minorEastAsia" w:hAnsiTheme="minorEastAsia" w:eastAsiaTheme="minorEastAsia"/>
          <w:b/>
          <w:color w:val="auto"/>
          <w:sz w:val="24"/>
          <w:highlight w:val="none"/>
        </w:rPr>
      </w:pPr>
      <w:bookmarkStart w:id="238" w:name="_Toc204594911"/>
      <w:bookmarkStart w:id="239" w:name="_Toc121626298"/>
      <w:bookmarkStart w:id="240" w:name="_Toc516969106"/>
      <w:bookmarkStart w:id="241" w:name="_Toc7251"/>
      <w:bookmarkStart w:id="242" w:name="_Toc520983594"/>
      <w:bookmarkStart w:id="243" w:name="_Toc32035"/>
      <w:r>
        <w:rPr>
          <w:rFonts w:hint="eastAsia" w:asciiTheme="minorEastAsia" w:hAnsiTheme="minorEastAsia" w:eastAsiaTheme="minorEastAsia"/>
          <w:b/>
          <w:color w:val="auto"/>
          <w:sz w:val="24"/>
          <w:highlight w:val="none"/>
        </w:rPr>
        <w:t>五、授权书</w:t>
      </w:r>
      <w:bookmarkEnd w:id="238"/>
      <w:bookmarkEnd w:id="239"/>
      <w:bookmarkEnd w:id="240"/>
      <w:bookmarkEnd w:id="241"/>
      <w:bookmarkEnd w:id="242"/>
      <w:bookmarkEnd w:id="243"/>
    </w:p>
    <w:p w14:paraId="5ED219D3">
      <w:pPr>
        <w:pStyle w:val="11"/>
        <w:snapToGrid w:val="0"/>
        <w:spacing w:line="360" w:lineRule="auto"/>
        <w:ind w:firstLine="482" w:firstLineChars="200"/>
        <w:jc w:val="left"/>
        <w:rPr>
          <w:rFonts w:asciiTheme="minorEastAsia" w:hAnsiTheme="minorEastAsia"/>
          <w:b/>
          <w:color w:val="auto"/>
          <w:sz w:val="24"/>
          <w:highlight w:val="none"/>
        </w:rPr>
      </w:pPr>
    </w:p>
    <w:p w14:paraId="0E362D8C">
      <w:pPr>
        <w:pStyle w:val="11"/>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4E44E62E">
      <w:pPr>
        <w:pStyle w:val="11"/>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4DC91814">
      <w:pPr>
        <w:pStyle w:val="11"/>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76DACA84">
      <w:pPr>
        <w:pStyle w:val="11"/>
        <w:snapToGrid w:val="0"/>
        <w:spacing w:line="360" w:lineRule="auto"/>
        <w:ind w:firstLine="480" w:firstLineChars="200"/>
        <w:jc w:val="left"/>
        <w:rPr>
          <w:rFonts w:hAnsi="宋体" w:eastAsia="宋体"/>
          <w:color w:val="auto"/>
          <w:sz w:val="24"/>
          <w:highlight w:val="none"/>
        </w:rPr>
      </w:pPr>
    </w:p>
    <w:p w14:paraId="74054DF1">
      <w:pPr>
        <w:pStyle w:val="11"/>
        <w:snapToGrid w:val="0"/>
        <w:spacing w:line="360" w:lineRule="auto"/>
        <w:ind w:firstLine="480" w:firstLineChars="200"/>
        <w:jc w:val="left"/>
        <w:rPr>
          <w:rFonts w:hAnsi="宋体" w:eastAsia="宋体"/>
          <w:color w:val="auto"/>
          <w:sz w:val="24"/>
          <w:highlight w:val="none"/>
        </w:rPr>
      </w:pPr>
    </w:p>
    <w:p w14:paraId="41E9ADE4">
      <w:pPr>
        <w:pStyle w:val="11"/>
        <w:snapToGrid w:val="0"/>
        <w:spacing w:line="360" w:lineRule="auto"/>
        <w:ind w:firstLine="480" w:firstLineChars="200"/>
        <w:jc w:val="left"/>
        <w:rPr>
          <w:rFonts w:hAnsi="宋体" w:eastAsia="宋体"/>
          <w:color w:val="auto"/>
          <w:sz w:val="24"/>
          <w:highlight w:val="none"/>
        </w:rPr>
      </w:pPr>
    </w:p>
    <w:p w14:paraId="287A56C3">
      <w:pPr>
        <w:pStyle w:val="11"/>
        <w:snapToGrid w:val="0"/>
        <w:spacing w:line="360" w:lineRule="auto"/>
        <w:ind w:firstLine="480" w:firstLineChars="200"/>
        <w:jc w:val="left"/>
        <w:rPr>
          <w:rFonts w:hAnsi="宋体" w:eastAsia="宋体"/>
          <w:color w:val="auto"/>
          <w:sz w:val="24"/>
          <w:highlight w:val="none"/>
        </w:rPr>
      </w:pPr>
    </w:p>
    <w:p w14:paraId="17D57C54">
      <w:pPr>
        <w:pStyle w:val="11"/>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54BCB72D">
      <w:pPr>
        <w:pStyle w:val="11"/>
        <w:snapToGrid w:val="0"/>
        <w:spacing w:line="360" w:lineRule="auto"/>
        <w:ind w:firstLine="480" w:firstLineChars="200"/>
        <w:jc w:val="left"/>
        <w:rPr>
          <w:rFonts w:hAnsi="宋体" w:eastAsia="宋体"/>
          <w:color w:val="auto"/>
          <w:sz w:val="24"/>
          <w:szCs w:val="28"/>
          <w:highlight w:val="none"/>
        </w:rPr>
      </w:pPr>
    </w:p>
    <w:p w14:paraId="139C8371">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30E0E6CB">
      <w:pPr>
        <w:spacing w:line="360" w:lineRule="auto"/>
        <w:rPr>
          <w:rFonts w:ascii="宋体" w:hAnsi="宋体" w:eastAsia="宋体"/>
          <w:color w:val="auto"/>
          <w:sz w:val="24"/>
          <w:szCs w:val="28"/>
          <w:highlight w:val="none"/>
        </w:rPr>
      </w:pPr>
    </w:p>
    <w:p w14:paraId="3809696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384FBE1">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784C734B">
      <w:pPr>
        <w:spacing w:line="360" w:lineRule="auto"/>
        <w:rPr>
          <w:rFonts w:ascii="宋体" w:hAnsi="宋体" w:eastAsia="宋体"/>
          <w:color w:val="auto"/>
          <w:sz w:val="24"/>
          <w:szCs w:val="28"/>
          <w:highlight w:val="none"/>
        </w:rPr>
      </w:pPr>
    </w:p>
    <w:p w14:paraId="0580009E">
      <w:pPr>
        <w:pStyle w:val="1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72395DB6">
      <w:pPr>
        <w:pStyle w:val="1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2A10CC28">
      <w:pPr>
        <w:spacing w:line="360" w:lineRule="auto"/>
        <w:jc w:val="left"/>
        <w:rPr>
          <w:rFonts w:asciiTheme="minorEastAsia" w:hAnsiTheme="minorEastAsia" w:eastAsiaTheme="minorEastAsia"/>
          <w:b/>
          <w:color w:val="auto"/>
          <w:sz w:val="24"/>
          <w:highlight w:val="none"/>
        </w:rPr>
      </w:pPr>
      <w:r>
        <w:rPr>
          <w:rFonts w:hint="eastAsia" w:ascii="宋体" w:hAnsi="宋体" w:eastAsia="宋体"/>
          <w:color w:val="auto"/>
          <w:sz w:val="24"/>
          <w:highlight w:val="none"/>
        </w:rPr>
        <w:t>2.法定代表人参加磋商的无需提供授权书，仅提供身份证明扫描件。</w:t>
      </w:r>
    </w:p>
    <w:p w14:paraId="3EB09BEC">
      <w:pPr>
        <w:spacing w:line="360" w:lineRule="auto"/>
        <w:jc w:val="center"/>
        <w:rPr>
          <w:rFonts w:hint="eastAsia"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bookmarkStart w:id="244" w:name="_Toc10287"/>
    </w:p>
    <w:p w14:paraId="7A33C7F2">
      <w:pPr>
        <w:spacing w:line="360" w:lineRule="auto"/>
        <w:jc w:val="center"/>
        <w:outlineLvl w:val="1"/>
        <w:rPr>
          <w:rFonts w:asciiTheme="minorEastAsia" w:hAnsiTheme="minorEastAsia" w:eastAsiaTheme="minorEastAsia"/>
          <w:b/>
          <w:color w:val="auto"/>
          <w:sz w:val="24"/>
          <w:highlight w:val="none"/>
        </w:rPr>
      </w:pPr>
      <w:bookmarkStart w:id="245" w:name="_Toc16519"/>
      <w:r>
        <w:rPr>
          <w:rFonts w:hint="eastAsia" w:asciiTheme="minorEastAsia" w:hAnsiTheme="minorEastAsia" w:eastAsiaTheme="minorEastAsia"/>
          <w:b/>
          <w:color w:val="auto"/>
          <w:sz w:val="24"/>
          <w:highlight w:val="none"/>
        </w:rPr>
        <w:t>六、磋商响应表</w:t>
      </w:r>
      <w:bookmarkEnd w:id="244"/>
      <w:bookmarkEnd w:id="245"/>
    </w:p>
    <w:p w14:paraId="6ADDDBE0">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916"/>
        <w:gridCol w:w="2497"/>
        <w:gridCol w:w="2575"/>
        <w:gridCol w:w="810"/>
      </w:tblGrid>
      <w:tr w14:paraId="3336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4" w:type="dxa"/>
            <w:vAlign w:val="center"/>
          </w:tcPr>
          <w:p w14:paraId="225A9098">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16" w:type="dxa"/>
            <w:vAlign w:val="center"/>
          </w:tcPr>
          <w:p w14:paraId="548E1EE2">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497" w:type="dxa"/>
            <w:vAlign w:val="center"/>
          </w:tcPr>
          <w:p w14:paraId="21030567">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磋商文件要求</w:t>
            </w:r>
          </w:p>
        </w:tc>
        <w:tc>
          <w:tcPr>
            <w:tcW w:w="2575" w:type="dxa"/>
            <w:vAlign w:val="center"/>
          </w:tcPr>
          <w:p w14:paraId="1103600A">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供应商承诺</w:t>
            </w:r>
          </w:p>
        </w:tc>
        <w:tc>
          <w:tcPr>
            <w:tcW w:w="810" w:type="dxa"/>
            <w:vAlign w:val="center"/>
          </w:tcPr>
          <w:p w14:paraId="12B10C3E">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262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28271E6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16" w:type="dxa"/>
            <w:vAlign w:val="center"/>
          </w:tcPr>
          <w:p w14:paraId="0C622950">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2497" w:type="dxa"/>
            <w:vAlign w:val="center"/>
          </w:tcPr>
          <w:p w14:paraId="6A1A4ED1">
            <w:pPr>
              <w:jc w:val="center"/>
              <w:rPr>
                <w:rFonts w:asciiTheme="minorEastAsia" w:hAnsiTheme="minorEastAsia" w:eastAsiaTheme="minorEastAsia"/>
                <w:color w:val="auto"/>
                <w:sz w:val="24"/>
                <w:highlight w:val="none"/>
              </w:rPr>
            </w:pPr>
          </w:p>
        </w:tc>
        <w:tc>
          <w:tcPr>
            <w:tcW w:w="2575" w:type="dxa"/>
            <w:vAlign w:val="center"/>
          </w:tcPr>
          <w:p w14:paraId="214F5B88">
            <w:pPr>
              <w:jc w:val="center"/>
              <w:rPr>
                <w:rFonts w:asciiTheme="minorEastAsia" w:hAnsiTheme="minorEastAsia" w:eastAsiaTheme="minorEastAsia"/>
                <w:color w:val="auto"/>
                <w:sz w:val="24"/>
                <w:highlight w:val="none"/>
              </w:rPr>
            </w:pPr>
          </w:p>
        </w:tc>
        <w:tc>
          <w:tcPr>
            <w:tcW w:w="810" w:type="dxa"/>
            <w:vAlign w:val="center"/>
          </w:tcPr>
          <w:p w14:paraId="0AE4990A">
            <w:pPr>
              <w:jc w:val="center"/>
              <w:rPr>
                <w:rFonts w:asciiTheme="minorEastAsia" w:hAnsiTheme="minorEastAsia" w:eastAsiaTheme="minorEastAsia"/>
                <w:color w:val="auto"/>
                <w:sz w:val="24"/>
                <w:highlight w:val="none"/>
              </w:rPr>
            </w:pPr>
          </w:p>
        </w:tc>
      </w:tr>
      <w:tr w14:paraId="2A8C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6184F0C2">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16" w:type="dxa"/>
            <w:vAlign w:val="center"/>
          </w:tcPr>
          <w:p w14:paraId="56941B78">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2497" w:type="dxa"/>
            <w:vAlign w:val="center"/>
          </w:tcPr>
          <w:p w14:paraId="493DE5A4">
            <w:pPr>
              <w:jc w:val="center"/>
              <w:rPr>
                <w:rFonts w:asciiTheme="minorEastAsia" w:hAnsiTheme="minorEastAsia" w:eastAsiaTheme="minorEastAsia"/>
                <w:color w:val="auto"/>
                <w:sz w:val="24"/>
                <w:highlight w:val="none"/>
              </w:rPr>
            </w:pPr>
          </w:p>
        </w:tc>
        <w:tc>
          <w:tcPr>
            <w:tcW w:w="2575" w:type="dxa"/>
            <w:vAlign w:val="center"/>
          </w:tcPr>
          <w:p w14:paraId="6C35E748">
            <w:pPr>
              <w:jc w:val="center"/>
              <w:rPr>
                <w:rFonts w:asciiTheme="minorEastAsia" w:hAnsiTheme="minorEastAsia" w:eastAsiaTheme="minorEastAsia"/>
                <w:color w:val="auto"/>
                <w:sz w:val="24"/>
                <w:highlight w:val="none"/>
              </w:rPr>
            </w:pPr>
          </w:p>
        </w:tc>
        <w:tc>
          <w:tcPr>
            <w:tcW w:w="810" w:type="dxa"/>
            <w:vAlign w:val="center"/>
          </w:tcPr>
          <w:p w14:paraId="50FF9688">
            <w:pPr>
              <w:jc w:val="center"/>
              <w:rPr>
                <w:rFonts w:asciiTheme="minorEastAsia" w:hAnsiTheme="minorEastAsia" w:eastAsiaTheme="minorEastAsia"/>
                <w:color w:val="auto"/>
                <w:sz w:val="24"/>
                <w:highlight w:val="none"/>
              </w:rPr>
            </w:pPr>
          </w:p>
        </w:tc>
      </w:tr>
      <w:tr w14:paraId="7BA7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109B733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16" w:type="dxa"/>
            <w:vAlign w:val="center"/>
          </w:tcPr>
          <w:p w14:paraId="79232BAD">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2497" w:type="dxa"/>
            <w:vAlign w:val="center"/>
          </w:tcPr>
          <w:p w14:paraId="1B46446E">
            <w:pPr>
              <w:jc w:val="center"/>
              <w:rPr>
                <w:rFonts w:asciiTheme="minorEastAsia" w:hAnsiTheme="minorEastAsia" w:eastAsiaTheme="minorEastAsia"/>
                <w:color w:val="auto"/>
                <w:sz w:val="24"/>
                <w:highlight w:val="none"/>
              </w:rPr>
            </w:pPr>
          </w:p>
        </w:tc>
        <w:tc>
          <w:tcPr>
            <w:tcW w:w="2575" w:type="dxa"/>
            <w:vAlign w:val="center"/>
          </w:tcPr>
          <w:p w14:paraId="25C77B29">
            <w:pPr>
              <w:pStyle w:val="48"/>
              <w:jc w:val="center"/>
              <w:rPr>
                <w:rFonts w:asciiTheme="minorEastAsia" w:hAnsiTheme="minorEastAsia" w:eastAsiaTheme="minorEastAsia"/>
                <w:color w:val="auto"/>
                <w:highlight w:val="none"/>
              </w:rPr>
            </w:pPr>
          </w:p>
        </w:tc>
        <w:tc>
          <w:tcPr>
            <w:tcW w:w="810" w:type="dxa"/>
            <w:vAlign w:val="center"/>
          </w:tcPr>
          <w:p w14:paraId="1C6DC09F">
            <w:pPr>
              <w:jc w:val="center"/>
              <w:rPr>
                <w:rFonts w:asciiTheme="minorEastAsia" w:hAnsiTheme="minorEastAsia" w:eastAsiaTheme="minorEastAsia"/>
                <w:color w:val="auto"/>
                <w:sz w:val="24"/>
                <w:highlight w:val="none"/>
              </w:rPr>
            </w:pPr>
          </w:p>
        </w:tc>
      </w:tr>
      <w:tr w14:paraId="62C8A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77667D0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916" w:type="dxa"/>
            <w:vAlign w:val="center"/>
          </w:tcPr>
          <w:p w14:paraId="416EF884">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2497" w:type="dxa"/>
            <w:vAlign w:val="center"/>
          </w:tcPr>
          <w:p w14:paraId="0026CA9A">
            <w:pPr>
              <w:jc w:val="center"/>
              <w:rPr>
                <w:rFonts w:asciiTheme="minorEastAsia" w:hAnsiTheme="minorEastAsia" w:eastAsiaTheme="minorEastAsia"/>
                <w:color w:val="auto"/>
                <w:sz w:val="24"/>
                <w:highlight w:val="none"/>
              </w:rPr>
            </w:pPr>
          </w:p>
        </w:tc>
        <w:tc>
          <w:tcPr>
            <w:tcW w:w="2575" w:type="dxa"/>
            <w:vAlign w:val="center"/>
          </w:tcPr>
          <w:p w14:paraId="0651F8C0">
            <w:pPr>
              <w:jc w:val="center"/>
              <w:rPr>
                <w:rFonts w:asciiTheme="minorEastAsia" w:hAnsiTheme="minorEastAsia" w:eastAsiaTheme="minorEastAsia"/>
                <w:color w:val="auto"/>
                <w:sz w:val="24"/>
                <w:highlight w:val="none"/>
              </w:rPr>
            </w:pPr>
          </w:p>
        </w:tc>
        <w:tc>
          <w:tcPr>
            <w:tcW w:w="810" w:type="dxa"/>
            <w:vAlign w:val="center"/>
          </w:tcPr>
          <w:p w14:paraId="4FE8EAC3">
            <w:pPr>
              <w:jc w:val="center"/>
              <w:rPr>
                <w:rFonts w:asciiTheme="minorEastAsia" w:hAnsiTheme="minorEastAsia" w:eastAsiaTheme="minorEastAsia"/>
                <w:color w:val="auto"/>
                <w:sz w:val="24"/>
                <w:highlight w:val="none"/>
              </w:rPr>
            </w:pPr>
          </w:p>
        </w:tc>
      </w:tr>
      <w:tr w14:paraId="4E1F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22F6A21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916" w:type="dxa"/>
            <w:vAlign w:val="center"/>
          </w:tcPr>
          <w:p w14:paraId="4B7DDA5F">
            <w:pPr>
              <w:jc w:val="center"/>
              <w:rPr>
                <w:rFonts w:ascii="宋体" w:hAnsi="宋体" w:eastAsia="宋体"/>
                <w:color w:val="auto"/>
                <w:sz w:val="24"/>
                <w:highlight w:val="none"/>
              </w:rPr>
            </w:pPr>
          </w:p>
        </w:tc>
        <w:tc>
          <w:tcPr>
            <w:tcW w:w="2497" w:type="dxa"/>
            <w:vAlign w:val="center"/>
          </w:tcPr>
          <w:p w14:paraId="2A62DCC6">
            <w:pPr>
              <w:jc w:val="center"/>
              <w:rPr>
                <w:rFonts w:asciiTheme="minorEastAsia" w:hAnsiTheme="minorEastAsia" w:eastAsiaTheme="minorEastAsia"/>
                <w:color w:val="auto"/>
                <w:sz w:val="24"/>
                <w:highlight w:val="none"/>
              </w:rPr>
            </w:pPr>
          </w:p>
        </w:tc>
        <w:tc>
          <w:tcPr>
            <w:tcW w:w="2575" w:type="dxa"/>
            <w:vAlign w:val="center"/>
          </w:tcPr>
          <w:p w14:paraId="5AEA5D07">
            <w:pPr>
              <w:jc w:val="center"/>
              <w:rPr>
                <w:rFonts w:asciiTheme="minorEastAsia" w:hAnsiTheme="minorEastAsia" w:eastAsiaTheme="minorEastAsia"/>
                <w:color w:val="auto"/>
                <w:sz w:val="24"/>
                <w:highlight w:val="none"/>
              </w:rPr>
            </w:pPr>
          </w:p>
        </w:tc>
        <w:tc>
          <w:tcPr>
            <w:tcW w:w="810" w:type="dxa"/>
            <w:vAlign w:val="center"/>
          </w:tcPr>
          <w:p w14:paraId="2900E415">
            <w:pPr>
              <w:jc w:val="center"/>
              <w:rPr>
                <w:rFonts w:asciiTheme="minorEastAsia" w:hAnsiTheme="minorEastAsia" w:eastAsiaTheme="minorEastAsia"/>
                <w:color w:val="auto"/>
                <w:sz w:val="24"/>
                <w:highlight w:val="none"/>
              </w:rPr>
            </w:pPr>
          </w:p>
        </w:tc>
      </w:tr>
    </w:tbl>
    <w:p w14:paraId="282D3D67">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560"/>
        <w:gridCol w:w="2863"/>
        <w:gridCol w:w="2482"/>
        <w:gridCol w:w="856"/>
      </w:tblGrid>
      <w:tr w14:paraId="793A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61" w:type="dxa"/>
            <w:vAlign w:val="center"/>
          </w:tcPr>
          <w:p w14:paraId="2B16B061">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560" w:type="dxa"/>
            <w:vAlign w:val="center"/>
          </w:tcPr>
          <w:p w14:paraId="2A4D9511">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2863" w:type="dxa"/>
            <w:vAlign w:val="center"/>
          </w:tcPr>
          <w:p w14:paraId="6572B401">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磋商文件规定的技术参数要求</w:t>
            </w:r>
          </w:p>
        </w:tc>
        <w:tc>
          <w:tcPr>
            <w:tcW w:w="2482" w:type="dxa"/>
            <w:vAlign w:val="center"/>
          </w:tcPr>
          <w:p w14:paraId="0B7D1BE2">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856" w:type="dxa"/>
            <w:vAlign w:val="center"/>
          </w:tcPr>
          <w:p w14:paraId="39B456B9">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422A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7D06D51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560" w:type="dxa"/>
            <w:vAlign w:val="center"/>
          </w:tcPr>
          <w:p w14:paraId="42ED680E">
            <w:pPr>
              <w:jc w:val="center"/>
              <w:rPr>
                <w:rFonts w:asciiTheme="minorEastAsia" w:hAnsiTheme="minorEastAsia" w:eastAsiaTheme="minorEastAsia"/>
                <w:color w:val="auto"/>
                <w:sz w:val="24"/>
                <w:highlight w:val="none"/>
              </w:rPr>
            </w:pPr>
          </w:p>
        </w:tc>
        <w:tc>
          <w:tcPr>
            <w:tcW w:w="2863" w:type="dxa"/>
            <w:vAlign w:val="center"/>
          </w:tcPr>
          <w:p w14:paraId="1706058B">
            <w:pPr>
              <w:jc w:val="center"/>
              <w:rPr>
                <w:rFonts w:asciiTheme="minorEastAsia" w:hAnsiTheme="minorEastAsia" w:eastAsiaTheme="minorEastAsia"/>
                <w:color w:val="auto"/>
                <w:sz w:val="24"/>
                <w:highlight w:val="none"/>
              </w:rPr>
            </w:pPr>
          </w:p>
        </w:tc>
        <w:tc>
          <w:tcPr>
            <w:tcW w:w="2482" w:type="dxa"/>
            <w:vAlign w:val="center"/>
          </w:tcPr>
          <w:p w14:paraId="7B6E5FD5">
            <w:pPr>
              <w:jc w:val="center"/>
              <w:rPr>
                <w:rFonts w:asciiTheme="minorEastAsia" w:hAnsiTheme="minorEastAsia" w:eastAsiaTheme="minorEastAsia"/>
                <w:color w:val="auto"/>
                <w:sz w:val="24"/>
                <w:highlight w:val="none"/>
              </w:rPr>
            </w:pPr>
          </w:p>
        </w:tc>
        <w:tc>
          <w:tcPr>
            <w:tcW w:w="856" w:type="dxa"/>
            <w:vAlign w:val="center"/>
          </w:tcPr>
          <w:p w14:paraId="203B65D3">
            <w:pPr>
              <w:jc w:val="center"/>
              <w:rPr>
                <w:rFonts w:asciiTheme="minorEastAsia" w:hAnsiTheme="minorEastAsia" w:eastAsiaTheme="minorEastAsia"/>
                <w:color w:val="auto"/>
                <w:sz w:val="24"/>
                <w:highlight w:val="none"/>
              </w:rPr>
            </w:pPr>
          </w:p>
        </w:tc>
      </w:tr>
      <w:tr w14:paraId="1375B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7BE1409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560" w:type="dxa"/>
            <w:vAlign w:val="center"/>
          </w:tcPr>
          <w:p w14:paraId="4B0CF558">
            <w:pPr>
              <w:jc w:val="center"/>
              <w:rPr>
                <w:rFonts w:asciiTheme="minorEastAsia" w:hAnsiTheme="minorEastAsia" w:eastAsiaTheme="minorEastAsia"/>
                <w:color w:val="auto"/>
                <w:sz w:val="24"/>
                <w:highlight w:val="none"/>
              </w:rPr>
            </w:pPr>
          </w:p>
        </w:tc>
        <w:tc>
          <w:tcPr>
            <w:tcW w:w="2863" w:type="dxa"/>
            <w:vAlign w:val="center"/>
          </w:tcPr>
          <w:p w14:paraId="7CA80995">
            <w:pPr>
              <w:jc w:val="center"/>
              <w:rPr>
                <w:rFonts w:asciiTheme="minorEastAsia" w:hAnsiTheme="minorEastAsia" w:eastAsiaTheme="minorEastAsia"/>
                <w:color w:val="auto"/>
                <w:sz w:val="24"/>
                <w:highlight w:val="none"/>
              </w:rPr>
            </w:pPr>
          </w:p>
        </w:tc>
        <w:tc>
          <w:tcPr>
            <w:tcW w:w="2482" w:type="dxa"/>
            <w:vAlign w:val="center"/>
          </w:tcPr>
          <w:p w14:paraId="7F74BCF2">
            <w:pPr>
              <w:jc w:val="center"/>
              <w:rPr>
                <w:rFonts w:asciiTheme="minorEastAsia" w:hAnsiTheme="minorEastAsia" w:eastAsiaTheme="minorEastAsia"/>
                <w:color w:val="auto"/>
                <w:sz w:val="24"/>
                <w:highlight w:val="none"/>
              </w:rPr>
            </w:pPr>
          </w:p>
        </w:tc>
        <w:tc>
          <w:tcPr>
            <w:tcW w:w="856" w:type="dxa"/>
            <w:vAlign w:val="center"/>
          </w:tcPr>
          <w:p w14:paraId="7DCC1AE4">
            <w:pPr>
              <w:jc w:val="center"/>
              <w:rPr>
                <w:rFonts w:asciiTheme="minorEastAsia" w:hAnsiTheme="minorEastAsia" w:eastAsiaTheme="minorEastAsia"/>
                <w:color w:val="auto"/>
                <w:sz w:val="24"/>
                <w:highlight w:val="none"/>
              </w:rPr>
            </w:pPr>
          </w:p>
        </w:tc>
      </w:tr>
      <w:tr w14:paraId="389E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299464F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560" w:type="dxa"/>
            <w:vAlign w:val="center"/>
          </w:tcPr>
          <w:p w14:paraId="3FCC26C1">
            <w:pPr>
              <w:jc w:val="center"/>
              <w:rPr>
                <w:rFonts w:asciiTheme="minorEastAsia" w:hAnsiTheme="minorEastAsia" w:eastAsiaTheme="minorEastAsia"/>
                <w:color w:val="auto"/>
                <w:sz w:val="24"/>
                <w:highlight w:val="none"/>
              </w:rPr>
            </w:pPr>
          </w:p>
        </w:tc>
        <w:tc>
          <w:tcPr>
            <w:tcW w:w="2863" w:type="dxa"/>
            <w:vAlign w:val="center"/>
          </w:tcPr>
          <w:p w14:paraId="0CE55704">
            <w:pPr>
              <w:jc w:val="center"/>
              <w:rPr>
                <w:rFonts w:asciiTheme="minorEastAsia" w:hAnsiTheme="minorEastAsia" w:eastAsiaTheme="minorEastAsia"/>
                <w:color w:val="auto"/>
                <w:sz w:val="24"/>
                <w:highlight w:val="none"/>
              </w:rPr>
            </w:pPr>
          </w:p>
        </w:tc>
        <w:tc>
          <w:tcPr>
            <w:tcW w:w="2482" w:type="dxa"/>
            <w:vAlign w:val="center"/>
          </w:tcPr>
          <w:p w14:paraId="563B6365">
            <w:pPr>
              <w:pStyle w:val="48"/>
              <w:jc w:val="center"/>
              <w:rPr>
                <w:rFonts w:asciiTheme="minorEastAsia" w:hAnsiTheme="minorEastAsia" w:eastAsiaTheme="minorEastAsia"/>
                <w:color w:val="auto"/>
                <w:highlight w:val="none"/>
              </w:rPr>
            </w:pPr>
          </w:p>
        </w:tc>
        <w:tc>
          <w:tcPr>
            <w:tcW w:w="856" w:type="dxa"/>
            <w:vAlign w:val="center"/>
          </w:tcPr>
          <w:p w14:paraId="39C6C25D">
            <w:pPr>
              <w:jc w:val="center"/>
              <w:rPr>
                <w:rFonts w:asciiTheme="minorEastAsia" w:hAnsiTheme="minorEastAsia" w:eastAsiaTheme="minorEastAsia"/>
                <w:color w:val="auto"/>
                <w:sz w:val="24"/>
                <w:highlight w:val="none"/>
              </w:rPr>
            </w:pPr>
          </w:p>
        </w:tc>
      </w:tr>
      <w:tr w14:paraId="4CAB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4C7686D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560" w:type="dxa"/>
            <w:vAlign w:val="center"/>
          </w:tcPr>
          <w:p w14:paraId="1036EAB8">
            <w:pPr>
              <w:jc w:val="center"/>
              <w:rPr>
                <w:rFonts w:asciiTheme="minorEastAsia" w:hAnsiTheme="minorEastAsia" w:eastAsiaTheme="minorEastAsia"/>
                <w:color w:val="auto"/>
                <w:sz w:val="24"/>
                <w:highlight w:val="none"/>
              </w:rPr>
            </w:pPr>
          </w:p>
        </w:tc>
        <w:tc>
          <w:tcPr>
            <w:tcW w:w="2863" w:type="dxa"/>
            <w:vAlign w:val="center"/>
          </w:tcPr>
          <w:p w14:paraId="4E1ED761">
            <w:pPr>
              <w:jc w:val="center"/>
              <w:rPr>
                <w:rFonts w:asciiTheme="minorEastAsia" w:hAnsiTheme="minorEastAsia" w:eastAsiaTheme="minorEastAsia"/>
                <w:color w:val="auto"/>
                <w:sz w:val="24"/>
                <w:highlight w:val="none"/>
              </w:rPr>
            </w:pPr>
          </w:p>
        </w:tc>
        <w:tc>
          <w:tcPr>
            <w:tcW w:w="2482" w:type="dxa"/>
            <w:vAlign w:val="center"/>
          </w:tcPr>
          <w:p w14:paraId="654373AE">
            <w:pPr>
              <w:pStyle w:val="48"/>
              <w:jc w:val="center"/>
              <w:rPr>
                <w:rFonts w:asciiTheme="minorEastAsia" w:hAnsiTheme="minorEastAsia" w:eastAsiaTheme="minorEastAsia"/>
                <w:color w:val="auto"/>
                <w:highlight w:val="none"/>
              </w:rPr>
            </w:pPr>
          </w:p>
        </w:tc>
        <w:tc>
          <w:tcPr>
            <w:tcW w:w="856" w:type="dxa"/>
            <w:vAlign w:val="center"/>
          </w:tcPr>
          <w:p w14:paraId="22891FA6">
            <w:pPr>
              <w:jc w:val="center"/>
              <w:rPr>
                <w:rFonts w:asciiTheme="minorEastAsia" w:hAnsiTheme="minorEastAsia" w:eastAsiaTheme="minorEastAsia"/>
                <w:color w:val="auto"/>
                <w:sz w:val="24"/>
                <w:highlight w:val="none"/>
              </w:rPr>
            </w:pPr>
          </w:p>
        </w:tc>
      </w:tr>
      <w:tr w14:paraId="32BA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2BCFD2B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560" w:type="dxa"/>
            <w:vAlign w:val="center"/>
          </w:tcPr>
          <w:p w14:paraId="1030E085">
            <w:pPr>
              <w:jc w:val="center"/>
              <w:rPr>
                <w:rFonts w:asciiTheme="minorEastAsia" w:hAnsiTheme="minorEastAsia" w:eastAsiaTheme="minorEastAsia"/>
                <w:color w:val="auto"/>
                <w:sz w:val="24"/>
                <w:highlight w:val="none"/>
              </w:rPr>
            </w:pPr>
          </w:p>
        </w:tc>
        <w:tc>
          <w:tcPr>
            <w:tcW w:w="2863" w:type="dxa"/>
            <w:vAlign w:val="center"/>
          </w:tcPr>
          <w:p w14:paraId="436BCE02">
            <w:pPr>
              <w:jc w:val="center"/>
              <w:rPr>
                <w:rFonts w:asciiTheme="minorEastAsia" w:hAnsiTheme="minorEastAsia" w:eastAsiaTheme="minorEastAsia"/>
                <w:color w:val="auto"/>
                <w:sz w:val="24"/>
                <w:highlight w:val="none"/>
              </w:rPr>
            </w:pPr>
          </w:p>
        </w:tc>
        <w:tc>
          <w:tcPr>
            <w:tcW w:w="2482" w:type="dxa"/>
            <w:vAlign w:val="center"/>
          </w:tcPr>
          <w:p w14:paraId="7A60A74F">
            <w:pPr>
              <w:jc w:val="center"/>
              <w:rPr>
                <w:rFonts w:asciiTheme="minorEastAsia" w:hAnsiTheme="minorEastAsia" w:eastAsiaTheme="minorEastAsia"/>
                <w:color w:val="auto"/>
                <w:sz w:val="24"/>
                <w:highlight w:val="none"/>
              </w:rPr>
            </w:pPr>
          </w:p>
        </w:tc>
        <w:tc>
          <w:tcPr>
            <w:tcW w:w="856" w:type="dxa"/>
            <w:vAlign w:val="center"/>
          </w:tcPr>
          <w:p w14:paraId="1B0D86BC">
            <w:pPr>
              <w:jc w:val="center"/>
              <w:rPr>
                <w:rFonts w:asciiTheme="minorEastAsia" w:hAnsiTheme="minorEastAsia" w:eastAsiaTheme="minorEastAsia"/>
                <w:color w:val="auto"/>
                <w:sz w:val="24"/>
                <w:highlight w:val="none"/>
              </w:rPr>
            </w:pPr>
          </w:p>
        </w:tc>
      </w:tr>
    </w:tbl>
    <w:p w14:paraId="1D2662D9">
      <w:pPr>
        <w:pStyle w:val="12"/>
        <w:spacing w:line="360" w:lineRule="auto"/>
        <w:rPr>
          <w:rFonts w:asciiTheme="minorEastAsia" w:hAnsiTheme="minorEastAsia" w:eastAsiaTheme="minorEastAsia"/>
          <w:color w:val="auto"/>
          <w:sz w:val="24"/>
          <w:highlight w:val="none"/>
        </w:rPr>
      </w:pPr>
    </w:p>
    <w:p w14:paraId="5AE6E51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729F5996">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54CF930F">
      <w:pPr>
        <w:pStyle w:val="12"/>
        <w:spacing w:line="360" w:lineRule="auto"/>
        <w:rPr>
          <w:rFonts w:asciiTheme="minorEastAsia" w:hAnsiTheme="minorEastAsia" w:eastAsiaTheme="minorEastAsia"/>
          <w:color w:val="auto"/>
          <w:sz w:val="24"/>
          <w:highlight w:val="none"/>
        </w:rPr>
      </w:pPr>
    </w:p>
    <w:p w14:paraId="0789DB55">
      <w:pPr>
        <w:pStyle w:val="12"/>
        <w:spacing w:line="360" w:lineRule="auto"/>
        <w:rPr>
          <w:rFonts w:asciiTheme="minorEastAsia" w:hAnsiTheme="minorEastAsia" w:eastAsiaTheme="minorEastAsia"/>
          <w:color w:val="auto"/>
          <w:sz w:val="24"/>
          <w:highlight w:val="none"/>
        </w:rPr>
      </w:pPr>
    </w:p>
    <w:p w14:paraId="6BED6373">
      <w:pPr>
        <w:pStyle w:val="12"/>
        <w:spacing w:line="360" w:lineRule="auto"/>
        <w:rPr>
          <w:rFonts w:asciiTheme="minorEastAsia" w:hAnsiTheme="minorEastAsia" w:eastAsiaTheme="minorEastAsia"/>
          <w:color w:val="auto"/>
          <w:sz w:val="24"/>
          <w:highlight w:val="none"/>
        </w:rPr>
      </w:pPr>
    </w:p>
    <w:p w14:paraId="57EC0A28">
      <w:pPr>
        <w:pStyle w:val="12"/>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105AFA9D">
      <w:pPr>
        <w:spacing w:line="360" w:lineRule="auto"/>
        <w:jc w:val="center"/>
        <w:outlineLvl w:val="1"/>
        <w:rPr>
          <w:rFonts w:asciiTheme="minorEastAsia" w:hAnsiTheme="minorEastAsia" w:eastAsiaTheme="minorEastAsia"/>
          <w:b/>
          <w:color w:val="auto"/>
          <w:sz w:val="24"/>
          <w:highlight w:val="none"/>
        </w:rPr>
      </w:pPr>
      <w:bookmarkStart w:id="246" w:name="_Toc29490"/>
      <w:bookmarkStart w:id="247" w:name="_Toc16450"/>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246"/>
      <w:bookmarkEnd w:id="247"/>
    </w:p>
    <w:p w14:paraId="39CDDC42">
      <w:pPr>
        <w:spacing w:line="360" w:lineRule="auto"/>
        <w:rPr>
          <w:rFonts w:asciiTheme="minorEastAsia" w:hAnsiTheme="minorEastAsia" w:eastAsiaTheme="minorEastAsia"/>
          <w:b/>
          <w:bCs/>
          <w:color w:val="auto"/>
          <w:sz w:val="24"/>
          <w:highlight w:val="none"/>
        </w:rPr>
      </w:pPr>
    </w:p>
    <w:p w14:paraId="2887C76E">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val="en-US" w:eastAsia="zh-CN"/>
        </w:rPr>
        <w:t>采购人</w:t>
      </w:r>
    </w:p>
    <w:p w14:paraId="1B47104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22714B7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20FB472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0CB3980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238A8DF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6EA8049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0779BE1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4DFBBD4">
      <w:pPr>
        <w:spacing w:line="360" w:lineRule="auto"/>
        <w:rPr>
          <w:rFonts w:asciiTheme="minorEastAsia" w:hAnsiTheme="minorEastAsia" w:eastAsiaTheme="minorEastAsia"/>
          <w:bCs/>
          <w:color w:val="auto"/>
          <w:sz w:val="24"/>
          <w:highlight w:val="none"/>
        </w:rPr>
      </w:pPr>
    </w:p>
    <w:p w14:paraId="4E1CF7D4">
      <w:pPr>
        <w:spacing w:line="360" w:lineRule="auto"/>
        <w:rPr>
          <w:rFonts w:asciiTheme="minorEastAsia" w:hAnsiTheme="minorEastAsia" w:eastAsiaTheme="minorEastAsia"/>
          <w:bCs/>
          <w:color w:val="auto"/>
          <w:sz w:val="24"/>
          <w:highlight w:val="none"/>
        </w:rPr>
      </w:pPr>
    </w:p>
    <w:p w14:paraId="42C45670">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6B6EF68">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6FA72BDB">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796BFE27">
      <w:pPr>
        <w:spacing w:line="360" w:lineRule="auto"/>
        <w:jc w:val="center"/>
        <w:outlineLvl w:val="1"/>
        <w:rPr>
          <w:rFonts w:asciiTheme="minorEastAsia" w:hAnsiTheme="minorEastAsia" w:eastAsiaTheme="minorEastAsia"/>
          <w:b/>
          <w:color w:val="auto"/>
          <w:sz w:val="24"/>
          <w:highlight w:val="none"/>
        </w:rPr>
      </w:pPr>
      <w:bookmarkStart w:id="248" w:name="_Toc1936"/>
      <w:bookmarkStart w:id="249" w:name="_Toc5708"/>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、其他相关证明材料</w:t>
      </w:r>
      <w:bookmarkEnd w:id="248"/>
      <w:bookmarkEnd w:id="249"/>
    </w:p>
    <w:p w14:paraId="61DD8733">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提供符合磋商邀请、采购需求及评审方法和标准规定的相关证明文件。</w:t>
      </w:r>
    </w:p>
    <w:p w14:paraId="0276B3C0">
      <w:pPr>
        <w:spacing w:line="360" w:lineRule="auto"/>
        <w:ind w:firstLine="435"/>
        <w:rPr>
          <w:rFonts w:asciiTheme="minorEastAsia" w:hAnsiTheme="minorEastAsia" w:eastAsiaTheme="minorEastAsia"/>
          <w:color w:val="auto"/>
          <w:sz w:val="24"/>
          <w:highlight w:val="none"/>
        </w:rPr>
      </w:pPr>
    </w:p>
    <w:p w14:paraId="2E75F683">
      <w:pPr>
        <w:spacing w:line="360" w:lineRule="auto"/>
        <w:ind w:firstLine="480" w:firstLineChars="200"/>
        <w:rPr>
          <w:rFonts w:asciiTheme="minorEastAsia" w:hAnsiTheme="minorEastAsia" w:eastAsiaTheme="minorEastAsia"/>
          <w:color w:val="auto"/>
          <w:sz w:val="24"/>
          <w:highlight w:val="none"/>
        </w:rPr>
      </w:pPr>
    </w:p>
    <w:p w14:paraId="136A7CC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45AC2E37">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供应商在响应文件制作时可在此栏内上传磋商文件要求上传的证明资料，如营业执照</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证书等，应将上述证明材料制作成扫描件上传。</w:t>
      </w:r>
    </w:p>
    <w:p w14:paraId="4FB63F41">
      <w:pPr>
        <w:pStyle w:val="18"/>
        <w:widowControl/>
        <w:spacing w:before="0" w:beforeAutospacing="0" w:after="0" w:afterAutospacing="0" w:line="360" w:lineRule="auto"/>
        <w:jc w:val="both"/>
        <w:rPr>
          <w:rFonts w:ascii="宋体" w:hAnsi="宋体" w:eastAsia="宋体"/>
          <w:bCs/>
          <w:color w:val="auto"/>
          <w:sz w:val="24"/>
          <w:highlight w:val="none"/>
        </w:rPr>
      </w:pPr>
      <w:r>
        <w:rPr>
          <w:rFonts w:ascii="宋体" w:hAnsi="宋体" w:eastAsia="宋体"/>
          <w:bCs/>
          <w:color w:val="auto"/>
          <w:sz w:val="24"/>
          <w:highlight w:val="none"/>
        </w:rPr>
        <w:br w:type="page"/>
      </w:r>
    </w:p>
    <w:p w14:paraId="1954E069">
      <w:pPr>
        <w:spacing w:line="360" w:lineRule="auto"/>
        <w:jc w:val="center"/>
        <w:outlineLvl w:val="0"/>
        <w:rPr>
          <w:rFonts w:ascii="宋体" w:hAnsi="宋体" w:eastAsia="宋体"/>
          <w:b/>
          <w:bCs/>
          <w:color w:val="auto"/>
          <w:sz w:val="28"/>
          <w:highlight w:val="none"/>
        </w:rPr>
      </w:pPr>
      <w:bookmarkStart w:id="250" w:name="_Toc63440932"/>
      <w:bookmarkStart w:id="251" w:name="_Toc11841"/>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 xml:space="preserve">章  </w:t>
      </w:r>
      <w:bookmarkEnd w:id="250"/>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51"/>
    </w:p>
    <w:p w14:paraId="49885456">
      <w:pPr>
        <w:spacing w:line="360" w:lineRule="auto"/>
        <w:jc w:val="center"/>
        <w:outlineLvl w:val="1"/>
        <w:rPr>
          <w:rFonts w:ascii="仿宋" w:hAnsi="仿宋" w:eastAsia="仿宋" w:cs="仿宋"/>
          <w:b/>
          <w:bCs/>
          <w:color w:val="auto"/>
          <w:sz w:val="32"/>
          <w:szCs w:val="44"/>
          <w:highlight w:val="none"/>
        </w:rPr>
      </w:pPr>
      <w:bookmarkStart w:id="252" w:name="_Toc21379"/>
      <w:bookmarkStart w:id="253" w:name="_Toc14289"/>
      <w:r>
        <w:rPr>
          <w:rFonts w:hint="eastAsia" w:ascii="仿宋" w:hAnsi="仿宋" w:eastAsia="仿宋" w:cs="仿宋"/>
          <w:b/>
          <w:bCs/>
          <w:color w:val="auto"/>
          <w:sz w:val="32"/>
          <w:szCs w:val="44"/>
          <w:highlight w:val="none"/>
        </w:rPr>
        <w:t>询问函范本</w:t>
      </w:r>
      <w:bookmarkEnd w:id="252"/>
      <w:bookmarkEnd w:id="253"/>
    </w:p>
    <w:p w14:paraId="205AD115">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6C4A115F">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28C89F6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58F1F22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254" w:name="_Toc3649"/>
      <w:bookmarkStart w:id="255" w:name="_Toc2480"/>
      <w:r>
        <w:rPr>
          <w:rFonts w:hint="eastAsia" w:cs="仿宋" w:asciiTheme="minorEastAsia" w:hAnsiTheme="minorEastAsia" w:eastAsiaTheme="minorEastAsia"/>
          <w:color w:val="auto"/>
          <w:sz w:val="24"/>
          <w:szCs w:val="24"/>
          <w:highlight w:val="none"/>
        </w:rPr>
        <w:t>一、(事项一)</w:t>
      </w:r>
      <w:bookmarkEnd w:id="254"/>
      <w:bookmarkEnd w:id="255"/>
    </w:p>
    <w:p w14:paraId="2F92D658">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4BD45BC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257D8D93">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16BCFFDA">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256" w:name="_Toc24442"/>
      <w:bookmarkStart w:id="257" w:name="_Toc20253"/>
      <w:r>
        <w:rPr>
          <w:rFonts w:hint="eastAsia" w:cs="仿宋" w:asciiTheme="minorEastAsia" w:hAnsiTheme="minorEastAsia" w:eastAsiaTheme="minorEastAsia"/>
          <w:color w:val="auto"/>
          <w:sz w:val="24"/>
          <w:szCs w:val="24"/>
          <w:highlight w:val="none"/>
        </w:rPr>
        <w:t>二、(事项二)</w:t>
      </w:r>
      <w:bookmarkEnd w:id="256"/>
      <w:bookmarkEnd w:id="257"/>
    </w:p>
    <w:p w14:paraId="44C04A3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CE629F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25F2EDF8">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44519266">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79598C57">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0DC98F1F">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28AB14A">
      <w:pPr>
        <w:jc w:val="center"/>
        <w:outlineLvl w:val="1"/>
        <w:rPr>
          <w:rFonts w:ascii="仿宋" w:hAnsi="仿宋" w:eastAsia="仿宋" w:cs="仿宋"/>
          <w:b/>
          <w:bCs/>
          <w:color w:val="auto"/>
          <w:sz w:val="32"/>
          <w:szCs w:val="44"/>
          <w:highlight w:val="none"/>
        </w:rPr>
      </w:pPr>
      <w:bookmarkStart w:id="258" w:name="_Toc30360"/>
      <w:bookmarkStart w:id="259" w:name="_Toc31349"/>
      <w:r>
        <w:rPr>
          <w:rFonts w:hint="eastAsia" w:ascii="仿宋" w:hAnsi="仿宋" w:eastAsia="仿宋" w:cs="仿宋"/>
          <w:b/>
          <w:bCs/>
          <w:color w:val="auto"/>
          <w:sz w:val="32"/>
          <w:szCs w:val="44"/>
          <w:highlight w:val="none"/>
        </w:rPr>
        <w:t>质疑函范本</w:t>
      </w:r>
      <w:bookmarkEnd w:id="258"/>
      <w:bookmarkEnd w:id="259"/>
    </w:p>
    <w:p w14:paraId="11280D8A">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260" w:name="_Toc9084"/>
      <w:bookmarkStart w:id="261" w:name="_Toc16214"/>
      <w:r>
        <w:rPr>
          <w:rFonts w:hint="eastAsia" w:cs="仿宋" w:asciiTheme="minorEastAsia" w:hAnsiTheme="minorEastAsia" w:eastAsiaTheme="minorEastAsia"/>
          <w:b/>
          <w:bCs/>
          <w:color w:val="auto"/>
          <w:sz w:val="24"/>
          <w:szCs w:val="24"/>
          <w:highlight w:val="none"/>
        </w:rPr>
        <w:t>一、质疑供应商基本信息</w:t>
      </w:r>
      <w:bookmarkEnd w:id="260"/>
      <w:bookmarkEnd w:id="261"/>
    </w:p>
    <w:p w14:paraId="4A6A378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0D619A8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21CAC0D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49A843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03610C9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E83A0C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50F6ED1">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62" w:name="_Toc21253"/>
      <w:bookmarkStart w:id="263" w:name="_Toc10725"/>
      <w:r>
        <w:rPr>
          <w:rFonts w:hint="eastAsia" w:cs="仿宋" w:asciiTheme="minorEastAsia" w:hAnsiTheme="minorEastAsia" w:eastAsiaTheme="minorEastAsia"/>
          <w:b/>
          <w:bCs/>
          <w:color w:val="auto"/>
          <w:sz w:val="24"/>
          <w:szCs w:val="24"/>
          <w:highlight w:val="none"/>
        </w:rPr>
        <w:t>二、质疑项目基本情况</w:t>
      </w:r>
      <w:bookmarkEnd w:id="262"/>
      <w:bookmarkEnd w:id="263"/>
    </w:p>
    <w:p w14:paraId="055DA4F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146A4A2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985131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4EA3C27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92DFC58">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64" w:name="_Toc21719"/>
      <w:bookmarkStart w:id="265" w:name="_Toc15102"/>
      <w:r>
        <w:rPr>
          <w:rFonts w:hint="eastAsia" w:cs="仿宋" w:asciiTheme="minorEastAsia" w:hAnsiTheme="minorEastAsia" w:eastAsiaTheme="minorEastAsia"/>
          <w:b/>
          <w:bCs/>
          <w:color w:val="auto"/>
          <w:sz w:val="24"/>
          <w:szCs w:val="24"/>
          <w:highlight w:val="none"/>
        </w:rPr>
        <w:t>三、质疑事项具体内容</w:t>
      </w:r>
      <w:bookmarkEnd w:id="264"/>
      <w:bookmarkEnd w:id="265"/>
    </w:p>
    <w:p w14:paraId="500E8AF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6E49AB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0761E0C">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7C05227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00859C5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6766072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3F3465D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2E5C3E90">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66" w:name="_Toc4496"/>
      <w:bookmarkStart w:id="267" w:name="_Toc5067"/>
      <w:r>
        <w:rPr>
          <w:rFonts w:hint="eastAsia" w:cs="仿宋" w:asciiTheme="minorEastAsia" w:hAnsiTheme="minorEastAsia" w:eastAsiaTheme="minorEastAsia"/>
          <w:b/>
          <w:bCs/>
          <w:color w:val="auto"/>
          <w:sz w:val="24"/>
          <w:szCs w:val="24"/>
          <w:highlight w:val="none"/>
        </w:rPr>
        <w:t>四、与质疑事项相关的质疑请求</w:t>
      </w:r>
      <w:bookmarkEnd w:id="266"/>
      <w:bookmarkEnd w:id="267"/>
    </w:p>
    <w:p w14:paraId="547E56E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7714A16">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42DE8F78">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96A6C16">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F267CA3">
      <w:pPr>
        <w:outlineLvl w:val="0"/>
        <w:rPr>
          <w:rFonts w:asciiTheme="minorEastAsia" w:hAnsiTheme="minorEastAsia" w:eastAsiaTheme="minorEastAsia"/>
          <w:b/>
          <w:color w:val="auto"/>
          <w:sz w:val="28"/>
          <w:szCs w:val="32"/>
          <w:highlight w:val="none"/>
        </w:rPr>
      </w:pPr>
      <w:bookmarkStart w:id="268" w:name="_Toc14824"/>
      <w:bookmarkStart w:id="269" w:name="_Toc27243"/>
      <w:r>
        <w:rPr>
          <w:rFonts w:hint="eastAsia" w:asciiTheme="minorEastAsia" w:hAnsiTheme="minorEastAsia" w:eastAsiaTheme="minorEastAsia"/>
          <w:b/>
          <w:color w:val="auto"/>
          <w:sz w:val="28"/>
          <w:szCs w:val="32"/>
          <w:highlight w:val="none"/>
        </w:rPr>
        <w:t>质疑函制作说明：</w:t>
      </w:r>
      <w:bookmarkEnd w:id="268"/>
      <w:bookmarkEnd w:id="269"/>
    </w:p>
    <w:p w14:paraId="65579B0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5D3D2B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FF1AD2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52F8C5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FB7901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66F680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monospace">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939B2">
    <w:pPr>
      <w:pStyle w:val="1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5BF49">
    <w:pPr>
      <w:pStyle w:val="14"/>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41DBDD">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55</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B41DBDD">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55</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6E5B0">
    <w:pPr>
      <w:pStyle w:val="15"/>
      <w:jc w:val="both"/>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竞争性磋商文件</w:t>
    </w:r>
    <w:r>
      <w:rPr>
        <w:rFonts w:hint="eastAsia" w:ascii="宋体" w:hAnsi="宋体" w:eastAsia="宋体"/>
        <w:lang w:eastAsia="zh-CN"/>
      </w:rPr>
      <w:t>示范文本</w:t>
    </w:r>
    <w:r>
      <w:rPr>
        <w:rFonts w:hint="eastAsia" w:asciiTheme="minorEastAsia" w:hAnsiTheme="minorEastAsia" w:eastAsiaTheme="minorEastAsia"/>
        <w:lang w:eastAsia="zh-CN"/>
      </w:rPr>
      <w:t>（</w:t>
    </w:r>
    <w:r>
      <w:rPr>
        <w:rFonts w:hint="eastAsia" w:ascii="宋体" w:hAnsi="宋体" w:eastAsia="宋体"/>
      </w:rPr>
      <w:t>货物类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A2B87">
    <w:pPr>
      <w:pStyle w:val="15"/>
      <w:jc w:val="both"/>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竞争性磋商文件</w:t>
    </w:r>
    <w:r>
      <w:rPr>
        <w:rFonts w:hint="eastAsia" w:ascii="宋体" w:hAnsi="宋体" w:eastAsia="宋体"/>
        <w:lang w:eastAsia="zh-CN"/>
      </w:rPr>
      <w:t>示范文本</w:t>
    </w:r>
    <w:r>
      <w:rPr>
        <w:rFonts w:hint="eastAsia" w:asciiTheme="minorEastAsia" w:hAnsiTheme="minorEastAsia" w:eastAsiaTheme="minorEastAsia"/>
        <w:lang w:eastAsia="zh-CN"/>
      </w:rPr>
      <w:t>（</w:t>
    </w:r>
    <w:r>
      <w:rPr>
        <w:rFonts w:hint="eastAsia" w:ascii="宋体" w:hAnsi="宋体" w:eastAsia="宋体"/>
      </w:rPr>
      <w:t>货物类</w:t>
    </w:r>
    <w:r>
      <w:rPr>
        <w:rFonts w:hint="eastAsia" w:asciiTheme="minorEastAsia" w:hAnsiTheme="minorEastAsia" w:eastAsiaTheme="minorEastAsia"/>
        <w:lang w:eastAsia="zh-C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7F9"/>
    <w:rsid w:val="000049DA"/>
    <w:rsid w:val="000056B7"/>
    <w:rsid w:val="000131F7"/>
    <w:rsid w:val="00013B44"/>
    <w:rsid w:val="00014039"/>
    <w:rsid w:val="00014397"/>
    <w:rsid w:val="00016B6C"/>
    <w:rsid w:val="000201D0"/>
    <w:rsid w:val="00020B57"/>
    <w:rsid w:val="00023DA5"/>
    <w:rsid w:val="00025EBE"/>
    <w:rsid w:val="000300E1"/>
    <w:rsid w:val="000371D3"/>
    <w:rsid w:val="00040C25"/>
    <w:rsid w:val="00042139"/>
    <w:rsid w:val="00042B14"/>
    <w:rsid w:val="00044F49"/>
    <w:rsid w:val="000450C3"/>
    <w:rsid w:val="00050A3F"/>
    <w:rsid w:val="000648D2"/>
    <w:rsid w:val="00066B5B"/>
    <w:rsid w:val="00070E0E"/>
    <w:rsid w:val="0007146E"/>
    <w:rsid w:val="00076DB7"/>
    <w:rsid w:val="00080FEB"/>
    <w:rsid w:val="00086B11"/>
    <w:rsid w:val="00092139"/>
    <w:rsid w:val="00094D41"/>
    <w:rsid w:val="000970FA"/>
    <w:rsid w:val="00097CB9"/>
    <w:rsid w:val="000A10A9"/>
    <w:rsid w:val="000A29F6"/>
    <w:rsid w:val="000A63D6"/>
    <w:rsid w:val="000A6693"/>
    <w:rsid w:val="000A7970"/>
    <w:rsid w:val="000A7D94"/>
    <w:rsid w:val="000B1511"/>
    <w:rsid w:val="000C0507"/>
    <w:rsid w:val="000C1DB1"/>
    <w:rsid w:val="000D3F37"/>
    <w:rsid w:val="000E3C74"/>
    <w:rsid w:val="000E3F9B"/>
    <w:rsid w:val="000E478E"/>
    <w:rsid w:val="000E628B"/>
    <w:rsid w:val="000E6689"/>
    <w:rsid w:val="000E6A94"/>
    <w:rsid w:val="000F172B"/>
    <w:rsid w:val="000F2198"/>
    <w:rsid w:val="000F39B6"/>
    <w:rsid w:val="000F50F9"/>
    <w:rsid w:val="000F6B7B"/>
    <w:rsid w:val="00100B0F"/>
    <w:rsid w:val="0010187C"/>
    <w:rsid w:val="00101E00"/>
    <w:rsid w:val="0010219C"/>
    <w:rsid w:val="0010350F"/>
    <w:rsid w:val="001037E3"/>
    <w:rsid w:val="00105603"/>
    <w:rsid w:val="00106749"/>
    <w:rsid w:val="00115A0F"/>
    <w:rsid w:val="00116502"/>
    <w:rsid w:val="0011660B"/>
    <w:rsid w:val="0012143A"/>
    <w:rsid w:val="001258BA"/>
    <w:rsid w:val="001301E2"/>
    <w:rsid w:val="00135135"/>
    <w:rsid w:val="00140687"/>
    <w:rsid w:val="00141B76"/>
    <w:rsid w:val="001433FB"/>
    <w:rsid w:val="00143E86"/>
    <w:rsid w:val="00146421"/>
    <w:rsid w:val="00153B20"/>
    <w:rsid w:val="00155F64"/>
    <w:rsid w:val="00157856"/>
    <w:rsid w:val="00160729"/>
    <w:rsid w:val="00166794"/>
    <w:rsid w:val="00166ED8"/>
    <w:rsid w:val="001714C9"/>
    <w:rsid w:val="001747C1"/>
    <w:rsid w:val="0018119B"/>
    <w:rsid w:val="001844AB"/>
    <w:rsid w:val="001853C7"/>
    <w:rsid w:val="00186900"/>
    <w:rsid w:val="00190B35"/>
    <w:rsid w:val="00192879"/>
    <w:rsid w:val="001944B8"/>
    <w:rsid w:val="00196DA3"/>
    <w:rsid w:val="001A526C"/>
    <w:rsid w:val="001A68E5"/>
    <w:rsid w:val="001A7562"/>
    <w:rsid w:val="001B2A54"/>
    <w:rsid w:val="001B2BA4"/>
    <w:rsid w:val="001B5014"/>
    <w:rsid w:val="001B54B9"/>
    <w:rsid w:val="001B7327"/>
    <w:rsid w:val="001D22EA"/>
    <w:rsid w:val="001D53B4"/>
    <w:rsid w:val="001E1835"/>
    <w:rsid w:val="001F19A3"/>
    <w:rsid w:val="001F28D2"/>
    <w:rsid w:val="001F2F45"/>
    <w:rsid w:val="001F3023"/>
    <w:rsid w:val="001F35F6"/>
    <w:rsid w:val="001F74CA"/>
    <w:rsid w:val="001F7590"/>
    <w:rsid w:val="002003B6"/>
    <w:rsid w:val="00201A3A"/>
    <w:rsid w:val="0020244A"/>
    <w:rsid w:val="00204609"/>
    <w:rsid w:val="002049B4"/>
    <w:rsid w:val="0020520B"/>
    <w:rsid w:val="002076AD"/>
    <w:rsid w:val="00213C55"/>
    <w:rsid w:val="00214D78"/>
    <w:rsid w:val="0021525B"/>
    <w:rsid w:val="00223CF4"/>
    <w:rsid w:val="00224C4A"/>
    <w:rsid w:val="00231187"/>
    <w:rsid w:val="0023407E"/>
    <w:rsid w:val="00240B40"/>
    <w:rsid w:val="00244182"/>
    <w:rsid w:val="00244B75"/>
    <w:rsid w:val="0024520F"/>
    <w:rsid w:val="0025179B"/>
    <w:rsid w:val="0025335E"/>
    <w:rsid w:val="002544A1"/>
    <w:rsid w:val="00257ECE"/>
    <w:rsid w:val="00260B94"/>
    <w:rsid w:val="00264F2E"/>
    <w:rsid w:val="00271245"/>
    <w:rsid w:val="00274A9E"/>
    <w:rsid w:val="00276BA1"/>
    <w:rsid w:val="00280984"/>
    <w:rsid w:val="002820F0"/>
    <w:rsid w:val="002835E3"/>
    <w:rsid w:val="00284245"/>
    <w:rsid w:val="00284542"/>
    <w:rsid w:val="002958EB"/>
    <w:rsid w:val="002A14D1"/>
    <w:rsid w:val="002A1A1D"/>
    <w:rsid w:val="002A28AD"/>
    <w:rsid w:val="002A5732"/>
    <w:rsid w:val="002B04FD"/>
    <w:rsid w:val="002B2E25"/>
    <w:rsid w:val="002B33B1"/>
    <w:rsid w:val="002B5318"/>
    <w:rsid w:val="002B6D27"/>
    <w:rsid w:val="002B7903"/>
    <w:rsid w:val="002B7A09"/>
    <w:rsid w:val="002C060C"/>
    <w:rsid w:val="002C0B0E"/>
    <w:rsid w:val="002D05DD"/>
    <w:rsid w:val="002D2965"/>
    <w:rsid w:val="002D3D02"/>
    <w:rsid w:val="002D4CB5"/>
    <w:rsid w:val="002D679B"/>
    <w:rsid w:val="002D684B"/>
    <w:rsid w:val="002E2D3A"/>
    <w:rsid w:val="002E3B26"/>
    <w:rsid w:val="002E4AB8"/>
    <w:rsid w:val="002E7FC4"/>
    <w:rsid w:val="00300A7F"/>
    <w:rsid w:val="00310070"/>
    <w:rsid w:val="0031081B"/>
    <w:rsid w:val="003110EC"/>
    <w:rsid w:val="0031271F"/>
    <w:rsid w:val="00316F83"/>
    <w:rsid w:val="003206A6"/>
    <w:rsid w:val="00322CCA"/>
    <w:rsid w:val="0032560D"/>
    <w:rsid w:val="00327C92"/>
    <w:rsid w:val="00333292"/>
    <w:rsid w:val="003344E7"/>
    <w:rsid w:val="0033580B"/>
    <w:rsid w:val="003365E7"/>
    <w:rsid w:val="003378D5"/>
    <w:rsid w:val="003473D7"/>
    <w:rsid w:val="00351AC8"/>
    <w:rsid w:val="00353075"/>
    <w:rsid w:val="00353DF7"/>
    <w:rsid w:val="00360384"/>
    <w:rsid w:val="00361773"/>
    <w:rsid w:val="00363E02"/>
    <w:rsid w:val="00373A96"/>
    <w:rsid w:val="00376763"/>
    <w:rsid w:val="003826C2"/>
    <w:rsid w:val="00383728"/>
    <w:rsid w:val="003839AF"/>
    <w:rsid w:val="00385435"/>
    <w:rsid w:val="003903BB"/>
    <w:rsid w:val="0039070B"/>
    <w:rsid w:val="00392627"/>
    <w:rsid w:val="00394128"/>
    <w:rsid w:val="00394ADC"/>
    <w:rsid w:val="00395235"/>
    <w:rsid w:val="0039561A"/>
    <w:rsid w:val="00397C7D"/>
    <w:rsid w:val="003A004F"/>
    <w:rsid w:val="003A092F"/>
    <w:rsid w:val="003B4130"/>
    <w:rsid w:val="003B715B"/>
    <w:rsid w:val="003C0225"/>
    <w:rsid w:val="003C2C62"/>
    <w:rsid w:val="003C465B"/>
    <w:rsid w:val="003D1D14"/>
    <w:rsid w:val="003D6C7C"/>
    <w:rsid w:val="003D6EFB"/>
    <w:rsid w:val="003D7E52"/>
    <w:rsid w:val="003E0891"/>
    <w:rsid w:val="003E25BA"/>
    <w:rsid w:val="003E25C6"/>
    <w:rsid w:val="003F7528"/>
    <w:rsid w:val="004011AA"/>
    <w:rsid w:val="0040202C"/>
    <w:rsid w:val="0040584F"/>
    <w:rsid w:val="00406508"/>
    <w:rsid w:val="00413275"/>
    <w:rsid w:val="0041456E"/>
    <w:rsid w:val="00414F7E"/>
    <w:rsid w:val="004164F8"/>
    <w:rsid w:val="00420B0F"/>
    <w:rsid w:val="00426F05"/>
    <w:rsid w:val="00430A4D"/>
    <w:rsid w:val="004328E1"/>
    <w:rsid w:val="00440DFE"/>
    <w:rsid w:val="004427B7"/>
    <w:rsid w:val="0044349F"/>
    <w:rsid w:val="004444BC"/>
    <w:rsid w:val="004446D7"/>
    <w:rsid w:val="00445F1F"/>
    <w:rsid w:val="00451F60"/>
    <w:rsid w:val="00452BB2"/>
    <w:rsid w:val="00456054"/>
    <w:rsid w:val="0045656D"/>
    <w:rsid w:val="004616AC"/>
    <w:rsid w:val="00462D98"/>
    <w:rsid w:val="00463E7D"/>
    <w:rsid w:val="00470551"/>
    <w:rsid w:val="00472A44"/>
    <w:rsid w:val="00473A89"/>
    <w:rsid w:val="0047588B"/>
    <w:rsid w:val="00475899"/>
    <w:rsid w:val="00480645"/>
    <w:rsid w:val="00482C78"/>
    <w:rsid w:val="0048634A"/>
    <w:rsid w:val="004874AE"/>
    <w:rsid w:val="00494D24"/>
    <w:rsid w:val="004951D1"/>
    <w:rsid w:val="004960BB"/>
    <w:rsid w:val="00497568"/>
    <w:rsid w:val="004A27D0"/>
    <w:rsid w:val="004A4D67"/>
    <w:rsid w:val="004A52C6"/>
    <w:rsid w:val="004B6B25"/>
    <w:rsid w:val="004C13CB"/>
    <w:rsid w:val="004D3D4B"/>
    <w:rsid w:val="004D5498"/>
    <w:rsid w:val="004D66A5"/>
    <w:rsid w:val="004D6B00"/>
    <w:rsid w:val="004E1600"/>
    <w:rsid w:val="004E1D50"/>
    <w:rsid w:val="004E2E18"/>
    <w:rsid w:val="004E50CA"/>
    <w:rsid w:val="004E6B46"/>
    <w:rsid w:val="004F27A0"/>
    <w:rsid w:val="00501382"/>
    <w:rsid w:val="00510798"/>
    <w:rsid w:val="005125F1"/>
    <w:rsid w:val="00516181"/>
    <w:rsid w:val="00524A11"/>
    <w:rsid w:val="00527768"/>
    <w:rsid w:val="00530EA4"/>
    <w:rsid w:val="005327FB"/>
    <w:rsid w:val="00533FCA"/>
    <w:rsid w:val="005401AC"/>
    <w:rsid w:val="005470D4"/>
    <w:rsid w:val="00555FBF"/>
    <w:rsid w:val="00557A99"/>
    <w:rsid w:val="00557AF5"/>
    <w:rsid w:val="005616B5"/>
    <w:rsid w:val="005672A1"/>
    <w:rsid w:val="005679A4"/>
    <w:rsid w:val="00572FEB"/>
    <w:rsid w:val="005751F5"/>
    <w:rsid w:val="00582296"/>
    <w:rsid w:val="0059223D"/>
    <w:rsid w:val="00597B15"/>
    <w:rsid w:val="00597FA2"/>
    <w:rsid w:val="005A044C"/>
    <w:rsid w:val="005A149F"/>
    <w:rsid w:val="005B1C79"/>
    <w:rsid w:val="005B34C9"/>
    <w:rsid w:val="005B7044"/>
    <w:rsid w:val="005D0200"/>
    <w:rsid w:val="005D0E24"/>
    <w:rsid w:val="005D44EF"/>
    <w:rsid w:val="005D5112"/>
    <w:rsid w:val="005D5D67"/>
    <w:rsid w:val="005F00A2"/>
    <w:rsid w:val="005F17B5"/>
    <w:rsid w:val="005F34CC"/>
    <w:rsid w:val="005F3914"/>
    <w:rsid w:val="005F3B5A"/>
    <w:rsid w:val="005F6AB4"/>
    <w:rsid w:val="00601130"/>
    <w:rsid w:val="006011B7"/>
    <w:rsid w:val="0060265C"/>
    <w:rsid w:val="00607471"/>
    <w:rsid w:val="00610A66"/>
    <w:rsid w:val="00613177"/>
    <w:rsid w:val="00613CBB"/>
    <w:rsid w:val="00613F7C"/>
    <w:rsid w:val="00614BF2"/>
    <w:rsid w:val="0061557C"/>
    <w:rsid w:val="00621321"/>
    <w:rsid w:val="00623DE2"/>
    <w:rsid w:val="0062488A"/>
    <w:rsid w:val="00627601"/>
    <w:rsid w:val="006300D0"/>
    <w:rsid w:val="00632012"/>
    <w:rsid w:val="00634694"/>
    <w:rsid w:val="00634F32"/>
    <w:rsid w:val="00636517"/>
    <w:rsid w:val="00637506"/>
    <w:rsid w:val="00637690"/>
    <w:rsid w:val="00640E1E"/>
    <w:rsid w:val="0064389A"/>
    <w:rsid w:val="00645442"/>
    <w:rsid w:val="006525CD"/>
    <w:rsid w:val="006533A8"/>
    <w:rsid w:val="00653F7F"/>
    <w:rsid w:val="00661B51"/>
    <w:rsid w:val="00662EE8"/>
    <w:rsid w:val="00663813"/>
    <w:rsid w:val="00664AFD"/>
    <w:rsid w:val="00667567"/>
    <w:rsid w:val="00667EFD"/>
    <w:rsid w:val="0067391A"/>
    <w:rsid w:val="00674173"/>
    <w:rsid w:val="00677D87"/>
    <w:rsid w:val="00683F8C"/>
    <w:rsid w:val="0068671B"/>
    <w:rsid w:val="00690C63"/>
    <w:rsid w:val="00690DB1"/>
    <w:rsid w:val="00691808"/>
    <w:rsid w:val="00693404"/>
    <w:rsid w:val="006953D9"/>
    <w:rsid w:val="006953E9"/>
    <w:rsid w:val="006958DB"/>
    <w:rsid w:val="006A1269"/>
    <w:rsid w:val="006A5803"/>
    <w:rsid w:val="006A69C3"/>
    <w:rsid w:val="006A6E46"/>
    <w:rsid w:val="006A7C15"/>
    <w:rsid w:val="006B1242"/>
    <w:rsid w:val="006B1DBC"/>
    <w:rsid w:val="006B2725"/>
    <w:rsid w:val="006B4B83"/>
    <w:rsid w:val="006B7D9A"/>
    <w:rsid w:val="006C06D9"/>
    <w:rsid w:val="006C3E22"/>
    <w:rsid w:val="006C5716"/>
    <w:rsid w:val="006C64B2"/>
    <w:rsid w:val="006C74A9"/>
    <w:rsid w:val="006D07DE"/>
    <w:rsid w:val="006D27FC"/>
    <w:rsid w:val="006D361A"/>
    <w:rsid w:val="006E06D9"/>
    <w:rsid w:val="006E1D40"/>
    <w:rsid w:val="006E2E1F"/>
    <w:rsid w:val="006E5059"/>
    <w:rsid w:val="006F0B0C"/>
    <w:rsid w:val="006F5F03"/>
    <w:rsid w:val="006F5FFF"/>
    <w:rsid w:val="00710804"/>
    <w:rsid w:val="00711FC6"/>
    <w:rsid w:val="007130B1"/>
    <w:rsid w:val="00715071"/>
    <w:rsid w:val="00720D0D"/>
    <w:rsid w:val="007231E9"/>
    <w:rsid w:val="00724F0E"/>
    <w:rsid w:val="00726883"/>
    <w:rsid w:val="00727C59"/>
    <w:rsid w:val="00727D01"/>
    <w:rsid w:val="00732E61"/>
    <w:rsid w:val="00733730"/>
    <w:rsid w:val="00734E5D"/>
    <w:rsid w:val="00736013"/>
    <w:rsid w:val="007364A4"/>
    <w:rsid w:val="00737BF8"/>
    <w:rsid w:val="0074339B"/>
    <w:rsid w:val="00754A35"/>
    <w:rsid w:val="00755F95"/>
    <w:rsid w:val="00756245"/>
    <w:rsid w:val="00761662"/>
    <w:rsid w:val="00762484"/>
    <w:rsid w:val="00764043"/>
    <w:rsid w:val="007741E7"/>
    <w:rsid w:val="007757CF"/>
    <w:rsid w:val="0078128F"/>
    <w:rsid w:val="007819D9"/>
    <w:rsid w:val="00782760"/>
    <w:rsid w:val="0078683C"/>
    <w:rsid w:val="00790EDB"/>
    <w:rsid w:val="00791538"/>
    <w:rsid w:val="007916A4"/>
    <w:rsid w:val="00792379"/>
    <w:rsid w:val="0079326E"/>
    <w:rsid w:val="00796EDE"/>
    <w:rsid w:val="007A5A58"/>
    <w:rsid w:val="007B1C56"/>
    <w:rsid w:val="007C1DD7"/>
    <w:rsid w:val="007C3CD5"/>
    <w:rsid w:val="007C5E88"/>
    <w:rsid w:val="007C61EF"/>
    <w:rsid w:val="007D1C0D"/>
    <w:rsid w:val="007D2D23"/>
    <w:rsid w:val="007E27D6"/>
    <w:rsid w:val="007E324F"/>
    <w:rsid w:val="007E3921"/>
    <w:rsid w:val="007F41B5"/>
    <w:rsid w:val="007F4C8B"/>
    <w:rsid w:val="00801028"/>
    <w:rsid w:val="00803793"/>
    <w:rsid w:val="00804000"/>
    <w:rsid w:val="00814AC1"/>
    <w:rsid w:val="00817A01"/>
    <w:rsid w:val="00820E1F"/>
    <w:rsid w:val="00825E35"/>
    <w:rsid w:val="00830A4E"/>
    <w:rsid w:val="008334F8"/>
    <w:rsid w:val="00835FFD"/>
    <w:rsid w:val="008524CE"/>
    <w:rsid w:val="0086440C"/>
    <w:rsid w:val="00864709"/>
    <w:rsid w:val="00866781"/>
    <w:rsid w:val="00876659"/>
    <w:rsid w:val="00876C2C"/>
    <w:rsid w:val="0087734C"/>
    <w:rsid w:val="00882141"/>
    <w:rsid w:val="00886CEA"/>
    <w:rsid w:val="008876EC"/>
    <w:rsid w:val="008922A8"/>
    <w:rsid w:val="00894482"/>
    <w:rsid w:val="008948E1"/>
    <w:rsid w:val="00895BD5"/>
    <w:rsid w:val="0089759F"/>
    <w:rsid w:val="008A16C4"/>
    <w:rsid w:val="008A5860"/>
    <w:rsid w:val="008A6FED"/>
    <w:rsid w:val="008B39C5"/>
    <w:rsid w:val="008B4F19"/>
    <w:rsid w:val="008B51AA"/>
    <w:rsid w:val="008B6C5C"/>
    <w:rsid w:val="008C67F2"/>
    <w:rsid w:val="008D064A"/>
    <w:rsid w:val="008D2B0F"/>
    <w:rsid w:val="008D5DBB"/>
    <w:rsid w:val="008E449E"/>
    <w:rsid w:val="008E4BDD"/>
    <w:rsid w:val="008E4D92"/>
    <w:rsid w:val="008E6CAA"/>
    <w:rsid w:val="008E770C"/>
    <w:rsid w:val="008F187F"/>
    <w:rsid w:val="008F1CE3"/>
    <w:rsid w:val="008F39F1"/>
    <w:rsid w:val="008F402F"/>
    <w:rsid w:val="008F7498"/>
    <w:rsid w:val="008F76E8"/>
    <w:rsid w:val="00901A9C"/>
    <w:rsid w:val="009078A1"/>
    <w:rsid w:val="00911E9C"/>
    <w:rsid w:val="00913D20"/>
    <w:rsid w:val="00913EC6"/>
    <w:rsid w:val="00917405"/>
    <w:rsid w:val="00920F7C"/>
    <w:rsid w:val="00924743"/>
    <w:rsid w:val="0092578B"/>
    <w:rsid w:val="009324E0"/>
    <w:rsid w:val="00934CAE"/>
    <w:rsid w:val="00942337"/>
    <w:rsid w:val="0094257D"/>
    <w:rsid w:val="009456B8"/>
    <w:rsid w:val="009506BB"/>
    <w:rsid w:val="0095467C"/>
    <w:rsid w:val="00954A61"/>
    <w:rsid w:val="00955C6F"/>
    <w:rsid w:val="009609B5"/>
    <w:rsid w:val="00960B6E"/>
    <w:rsid w:val="00966799"/>
    <w:rsid w:val="00966C7B"/>
    <w:rsid w:val="009701DC"/>
    <w:rsid w:val="009715D8"/>
    <w:rsid w:val="009811A8"/>
    <w:rsid w:val="0098596B"/>
    <w:rsid w:val="009917C4"/>
    <w:rsid w:val="00995BF9"/>
    <w:rsid w:val="009A0CAF"/>
    <w:rsid w:val="009A1328"/>
    <w:rsid w:val="009A2207"/>
    <w:rsid w:val="009A2833"/>
    <w:rsid w:val="009A6E1E"/>
    <w:rsid w:val="009B0EDA"/>
    <w:rsid w:val="009B6C42"/>
    <w:rsid w:val="009C2812"/>
    <w:rsid w:val="009C2C44"/>
    <w:rsid w:val="009C411A"/>
    <w:rsid w:val="009D2998"/>
    <w:rsid w:val="009D31F7"/>
    <w:rsid w:val="009D32C2"/>
    <w:rsid w:val="009D50DB"/>
    <w:rsid w:val="009E0D86"/>
    <w:rsid w:val="009E2932"/>
    <w:rsid w:val="009E3A0A"/>
    <w:rsid w:val="009E7112"/>
    <w:rsid w:val="009F172C"/>
    <w:rsid w:val="009F3E91"/>
    <w:rsid w:val="00A008DA"/>
    <w:rsid w:val="00A0571E"/>
    <w:rsid w:val="00A077B8"/>
    <w:rsid w:val="00A1035B"/>
    <w:rsid w:val="00A10F6D"/>
    <w:rsid w:val="00A1499B"/>
    <w:rsid w:val="00A30A1B"/>
    <w:rsid w:val="00A314C2"/>
    <w:rsid w:val="00A44C5D"/>
    <w:rsid w:val="00A519A0"/>
    <w:rsid w:val="00A62A2E"/>
    <w:rsid w:val="00A63E86"/>
    <w:rsid w:val="00A757C3"/>
    <w:rsid w:val="00A75DE5"/>
    <w:rsid w:val="00A75E5B"/>
    <w:rsid w:val="00A7684A"/>
    <w:rsid w:val="00A83B69"/>
    <w:rsid w:val="00A845DC"/>
    <w:rsid w:val="00A86533"/>
    <w:rsid w:val="00A9145F"/>
    <w:rsid w:val="00A91CA2"/>
    <w:rsid w:val="00A92FB8"/>
    <w:rsid w:val="00A945A0"/>
    <w:rsid w:val="00A948F1"/>
    <w:rsid w:val="00A9514D"/>
    <w:rsid w:val="00AA18F9"/>
    <w:rsid w:val="00AA1D7D"/>
    <w:rsid w:val="00AA2790"/>
    <w:rsid w:val="00AA2DB0"/>
    <w:rsid w:val="00AA3806"/>
    <w:rsid w:val="00AB09AF"/>
    <w:rsid w:val="00AB139D"/>
    <w:rsid w:val="00AB2D05"/>
    <w:rsid w:val="00AB3EFB"/>
    <w:rsid w:val="00AB6F9E"/>
    <w:rsid w:val="00AC0B05"/>
    <w:rsid w:val="00AC7F9D"/>
    <w:rsid w:val="00AD079A"/>
    <w:rsid w:val="00AD1890"/>
    <w:rsid w:val="00AE133A"/>
    <w:rsid w:val="00AE2149"/>
    <w:rsid w:val="00AE33AE"/>
    <w:rsid w:val="00AE3F91"/>
    <w:rsid w:val="00AE4410"/>
    <w:rsid w:val="00AF2AE0"/>
    <w:rsid w:val="00AF3C78"/>
    <w:rsid w:val="00AF67FF"/>
    <w:rsid w:val="00B0053D"/>
    <w:rsid w:val="00B039E3"/>
    <w:rsid w:val="00B06D36"/>
    <w:rsid w:val="00B12BC4"/>
    <w:rsid w:val="00B130F2"/>
    <w:rsid w:val="00B16A06"/>
    <w:rsid w:val="00B22838"/>
    <w:rsid w:val="00B250B3"/>
    <w:rsid w:val="00B311CE"/>
    <w:rsid w:val="00B33E95"/>
    <w:rsid w:val="00B3720B"/>
    <w:rsid w:val="00B45D0B"/>
    <w:rsid w:val="00B5558A"/>
    <w:rsid w:val="00B56513"/>
    <w:rsid w:val="00B63B5E"/>
    <w:rsid w:val="00B64376"/>
    <w:rsid w:val="00B6570C"/>
    <w:rsid w:val="00B710DD"/>
    <w:rsid w:val="00B7401F"/>
    <w:rsid w:val="00B74F38"/>
    <w:rsid w:val="00B769CF"/>
    <w:rsid w:val="00B806C3"/>
    <w:rsid w:val="00B80D6F"/>
    <w:rsid w:val="00B81F16"/>
    <w:rsid w:val="00B8383C"/>
    <w:rsid w:val="00B84FCA"/>
    <w:rsid w:val="00B9089F"/>
    <w:rsid w:val="00B91826"/>
    <w:rsid w:val="00B91AEE"/>
    <w:rsid w:val="00B9570D"/>
    <w:rsid w:val="00B95F5A"/>
    <w:rsid w:val="00B96EAD"/>
    <w:rsid w:val="00BA5F8D"/>
    <w:rsid w:val="00BA79F5"/>
    <w:rsid w:val="00BB0778"/>
    <w:rsid w:val="00BB1747"/>
    <w:rsid w:val="00BB38FB"/>
    <w:rsid w:val="00BB3AB6"/>
    <w:rsid w:val="00BB7161"/>
    <w:rsid w:val="00BB766D"/>
    <w:rsid w:val="00BB7A50"/>
    <w:rsid w:val="00BC007B"/>
    <w:rsid w:val="00BC02BB"/>
    <w:rsid w:val="00BC26BA"/>
    <w:rsid w:val="00BC35F8"/>
    <w:rsid w:val="00BC481B"/>
    <w:rsid w:val="00BC7182"/>
    <w:rsid w:val="00BD2771"/>
    <w:rsid w:val="00BD617C"/>
    <w:rsid w:val="00BD67FE"/>
    <w:rsid w:val="00BD74F3"/>
    <w:rsid w:val="00BE3708"/>
    <w:rsid w:val="00BE6C63"/>
    <w:rsid w:val="00BF3649"/>
    <w:rsid w:val="00BF376F"/>
    <w:rsid w:val="00BF46A6"/>
    <w:rsid w:val="00BF71FB"/>
    <w:rsid w:val="00C00091"/>
    <w:rsid w:val="00C0253F"/>
    <w:rsid w:val="00C06545"/>
    <w:rsid w:val="00C134AF"/>
    <w:rsid w:val="00C220FC"/>
    <w:rsid w:val="00C24DFA"/>
    <w:rsid w:val="00C24F9D"/>
    <w:rsid w:val="00C26C8F"/>
    <w:rsid w:val="00C30182"/>
    <w:rsid w:val="00C31FC9"/>
    <w:rsid w:val="00C35CF0"/>
    <w:rsid w:val="00C363BA"/>
    <w:rsid w:val="00C37A63"/>
    <w:rsid w:val="00C46A36"/>
    <w:rsid w:val="00C47037"/>
    <w:rsid w:val="00C53625"/>
    <w:rsid w:val="00C53E9F"/>
    <w:rsid w:val="00C548BA"/>
    <w:rsid w:val="00C57784"/>
    <w:rsid w:val="00C602C1"/>
    <w:rsid w:val="00C63FC0"/>
    <w:rsid w:val="00C66392"/>
    <w:rsid w:val="00C67A46"/>
    <w:rsid w:val="00C70834"/>
    <w:rsid w:val="00C73D09"/>
    <w:rsid w:val="00C74C5E"/>
    <w:rsid w:val="00C77127"/>
    <w:rsid w:val="00C82558"/>
    <w:rsid w:val="00C827A2"/>
    <w:rsid w:val="00C82B69"/>
    <w:rsid w:val="00C82CB3"/>
    <w:rsid w:val="00C91B28"/>
    <w:rsid w:val="00C91F3A"/>
    <w:rsid w:val="00C93590"/>
    <w:rsid w:val="00CA02EB"/>
    <w:rsid w:val="00CA5446"/>
    <w:rsid w:val="00CB218D"/>
    <w:rsid w:val="00CB5625"/>
    <w:rsid w:val="00CB5797"/>
    <w:rsid w:val="00CB74F9"/>
    <w:rsid w:val="00CC1C17"/>
    <w:rsid w:val="00CC4F7F"/>
    <w:rsid w:val="00CD09E1"/>
    <w:rsid w:val="00CD420D"/>
    <w:rsid w:val="00CE1780"/>
    <w:rsid w:val="00CE4913"/>
    <w:rsid w:val="00CE66BD"/>
    <w:rsid w:val="00CF0671"/>
    <w:rsid w:val="00CF247A"/>
    <w:rsid w:val="00CF44AD"/>
    <w:rsid w:val="00CF4FC0"/>
    <w:rsid w:val="00D1072F"/>
    <w:rsid w:val="00D108A5"/>
    <w:rsid w:val="00D14585"/>
    <w:rsid w:val="00D20EFF"/>
    <w:rsid w:val="00D31324"/>
    <w:rsid w:val="00D53ED8"/>
    <w:rsid w:val="00D55C38"/>
    <w:rsid w:val="00D64857"/>
    <w:rsid w:val="00D6493A"/>
    <w:rsid w:val="00D649A5"/>
    <w:rsid w:val="00D67875"/>
    <w:rsid w:val="00D719B9"/>
    <w:rsid w:val="00D71E86"/>
    <w:rsid w:val="00D731C6"/>
    <w:rsid w:val="00D745C5"/>
    <w:rsid w:val="00D75327"/>
    <w:rsid w:val="00D77148"/>
    <w:rsid w:val="00D80038"/>
    <w:rsid w:val="00D80C36"/>
    <w:rsid w:val="00D81A32"/>
    <w:rsid w:val="00D86EE1"/>
    <w:rsid w:val="00D95E90"/>
    <w:rsid w:val="00D96126"/>
    <w:rsid w:val="00DA2FD5"/>
    <w:rsid w:val="00DB05C3"/>
    <w:rsid w:val="00DB4B1C"/>
    <w:rsid w:val="00DB5085"/>
    <w:rsid w:val="00DB619F"/>
    <w:rsid w:val="00DC1062"/>
    <w:rsid w:val="00DC132C"/>
    <w:rsid w:val="00DD43F0"/>
    <w:rsid w:val="00DD44DE"/>
    <w:rsid w:val="00DE09AB"/>
    <w:rsid w:val="00DE4A3F"/>
    <w:rsid w:val="00DE5A99"/>
    <w:rsid w:val="00DF3DD3"/>
    <w:rsid w:val="00DF4367"/>
    <w:rsid w:val="00DF4617"/>
    <w:rsid w:val="00DF5A9E"/>
    <w:rsid w:val="00DF6002"/>
    <w:rsid w:val="00DF7291"/>
    <w:rsid w:val="00E0574A"/>
    <w:rsid w:val="00E06F02"/>
    <w:rsid w:val="00E1243D"/>
    <w:rsid w:val="00E12742"/>
    <w:rsid w:val="00E146D4"/>
    <w:rsid w:val="00E21D37"/>
    <w:rsid w:val="00E220ED"/>
    <w:rsid w:val="00E22B44"/>
    <w:rsid w:val="00E30ACD"/>
    <w:rsid w:val="00E32735"/>
    <w:rsid w:val="00E36388"/>
    <w:rsid w:val="00E440FD"/>
    <w:rsid w:val="00E44B88"/>
    <w:rsid w:val="00E51A10"/>
    <w:rsid w:val="00E66E36"/>
    <w:rsid w:val="00E702ED"/>
    <w:rsid w:val="00E709A4"/>
    <w:rsid w:val="00E772DB"/>
    <w:rsid w:val="00E86012"/>
    <w:rsid w:val="00E86BAB"/>
    <w:rsid w:val="00E94E10"/>
    <w:rsid w:val="00E96743"/>
    <w:rsid w:val="00E96A42"/>
    <w:rsid w:val="00EA49C5"/>
    <w:rsid w:val="00EA6279"/>
    <w:rsid w:val="00EB0812"/>
    <w:rsid w:val="00EB5027"/>
    <w:rsid w:val="00EC1836"/>
    <w:rsid w:val="00EC3990"/>
    <w:rsid w:val="00EC484B"/>
    <w:rsid w:val="00EC7E58"/>
    <w:rsid w:val="00ED15FA"/>
    <w:rsid w:val="00ED5C9F"/>
    <w:rsid w:val="00EE6E9A"/>
    <w:rsid w:val="00EF2AC4"/>
    <w:rsid w:val="00EF38FB"/>
    <w:rsid w:val="00EF397E"/>
    <w:rsid w:val="00EF51CE"/>
    <w:rsid w:val="00F06B54"/>
    <w:rsid w:val="00F06F68"/>
    <w:rsid w:val="00F15E9D"/>
    <w:rsid w:val="00F160CE"/>
    <w:rsid w:val="00F24C2D"/>
    <w:rsid w:val="00F27D59"/>
    <w:rsid w:val="00F32A81"/>
    <w:rsid w:val="00F337E8"/>
    <w:rsid w:val="00F40C82"/>
    <w:rsid w:val="00F4197F"/>
    <w:rsid w:val="00F42E25"/>
    <w:rsid w:val="00F44514"/>
    <w:rsid w:val="00F45DFF"/>
    <w:rsid w:val="00F46998"/>
    <w:rsid w:val="00F5382D"/>
    <w:rsid w:val="00F53D9C"/>
    <w:rsid w:val="00F5462B"/>
    <w:rsid w:val="00F57205"/>
    <w:rsid w:val="00F634AD"/>
    <w:rsid w:val="00F63677"/>
    <w:rsid w:val="00F6584C"/>
    <w:rsid w:val="00F75B81"/>
    <w:rsid w:val="00F804C4"/>
    <w:rsid w:val="00F80C7E"/>
    <w:rsid w:val="00F82570"/>
    <w:rsid w:val="00F82763"/>
    <w:rsid w:val="00F82F83"/>
    <w:rsid w:val="00F83CE1"/>
    <w:rsid w:val="00F84506"/>
    <w:rsid w:val="00F8548A"/>
    <w:rsid w:val="00F90C64"/>
    <w:rsid w:val="00F91A55"/>
    <w:rsid w:val="00F92B30"/>
    <w:rsid w:val="00F933B9"/>
    <w:rsid w:val="00F94674"/>
    <w:rsid w:val="00F94919"/>
    <w:rsid w:val="00F94A59"/>
    <w:rsid w:val="00F94C52"/>
    <w:rsid w:val="00FA25B6"/>
    <w:rsid w:val="00FA2FAF"/>
    <w:rsid w:val="00FA54F6"/>
    <w:rsid w:val="00FA64B1"/>
    <w:rsid w:val="00FA70F3"/>
    <w:rsid w:val="00FA71CD"/>
    <w:rsid w:val="00FB0453"/>
    <w:rsid w:val="00FB0C07"/>
    <w:rsid w:val="00FB298D"/>
    <w:rsid w:val="00FC1439"/>
    <w:rsid w:val="00FC3F65"/>
    <w:rsid w:val="00FC724B"/>
    <w:rsid w:val="00FC7910"/>
    <w:rsid w:val="00FD01E0"/>
    <w:rsid w:val="00FD784C"/>
    <w:rsid w:val="00FE1627"/>
    <w:rsid w:val="00FE7122"/>
    <w:rsid w:val="00FF092F"/>
    <w:rsid w:val="00FF0DA7"/>
    <w:rsid w:val="00FF2750"/>
    <w:rsid w:val="00FF44E0"/>
    <w:rsid w:val="00FF6C72"/>
    <w:rsid w:val="02095EFD"/>
    <w:rsid w:val="02312CF6"/>
    <w:rsid w:val="02B35DB8"/>
    <w:rsid w:val="02E34A68"/>
    <w:rsid w:val="039E57CD"/>
    <w:rsid w:val="04226D5C"/>
    <w:rsid w:val="055E3AE7"/>
    <w:rsid w:val="05C5687D"/>
    <w:rsid w:val="069A0BF9"/>
    <w:rsid w:val="06C56F8C"/>
    <w:rsid w:val="06D014E2"/>
    <w:rsid w:val="07B23446"/>
    <w:rsid w:val="07BC3C43"/>
    <w:rsid w:val="08D16064"/>
    <w:rsid w:val="097009E1"/>
    <w:rsid w:val="09BB1050"/>
    <w:rsid w:val="0A494D5A"/>
    <w:rsid w:val="0CB90E13"/>
    <w:rsid w:val="0D1F15BD"/>
    <w:rsid w:val="0D8D5CCB"/>
    <w:rsid w:val="0E084F8C"/>
    <w:rsid w:val="0EDA1668"/>
    <w:rsid w:val="0F192B9A"/>
    <w:rsid w:val="0F416376"/>
    <w:rsid w:val="10655244"/>
    <w:rsid w:val="114F261F"/>
    <w:rsid w:val="11B524F0"/>
    <w:rsid w:val="11EB4D24"/>
    <w:rsid w:val="1204455E"/>
    <w:rsid w:val="12870C2B"/>
    <w:rsid w:val="12E626D2"/>
    <w:rsid w:val="13133A8A"/>
    <w:rsid w:val="131A7A16"/>
    <w:rsid w:val="1454744D"/>
    <w:rsid w:val="148F5283"/>
    <w:rsid w:val="14BE2CBB"/>
    <w:rsid w:val="154F67B8"/>
    <w:rsid w:val="156555DC"/>
    <w:rsid w:val="156D7797"/>
    <w:rsid w:val="15E90EB9"/>
    <w:rsid w:val="16013BAC"/>
    <w:rsid w:val="166F1B10"/>
    <w:rsid w:val="16C67414"/>
    <w:rsid w:val="170F26A3"/>
    <w:rsid w:val="177B047E"/>
    <w:rsid w:val="17847519"/>
    <w:rsid w:val="184D4DBD"/>
    <w:rsid w:val="19145D4E"/>
    <w:rsid w:val="19197809"/>
    <w:rsid w:val="196862ED"/>
    <w:rsid w:val="1A0A6508"/>
    <w:rsid w:val="1A382FD5"/>
    <w:rsid w:val="1AAA278B"/>
    <w:rsid w:val="1AE17EB2"/>
    <w:rsid w:val="1BCD436C"/>
    <w:rsid w:val="1BFD4459"/>
    <w:rsid w:val="1CF87D44"/>
    <w:rsid w:val="1DD31509"/>
    <w:rsid w:val="1E7D5A79"/>
    <w:rsid w:val="1F530EF4"/>
    <w:rsid w:val="1FB406F8"/>
    <w:rsid w:val="20ED0716"/>
    <w:rsid w:val="216A2085"/>
    <w:rsid w:val="217C6B87"/>
    <w:rsid w:val="217E24F1"/>
    <w:rsid w:val="21AE2AB8"/>
    <w:rsid w:val="21AF3E63"/>
    <w:rsid w:val="226759F5"/>
    <w:rsid w:val="23C60639"/>
    <w:rsid w:val="23E03F0A"/>
    <w:rsid w:val="23FC6656"/>
    <w:rsid w:val="24B51FC1"/>
    <w:rsid w:val="24EA0792"/>
    <w:rsid w:val="26980924"/>
    <w:rsid w:val="26D238DD"/>
    <w:rsid w:val="270F5DA7"/>
    <w:rsid w:val="287B480F"/>
    <w:rsid w:val="28A75F75"/>
    <w:rsid w:val="298A65C1"/>
    <w:rsid w:val="2A0E6BEB"/>
    <w:rsid w:val="2A8E2571"/>
    <w:rsid w:val="2A9F5DBB"/>
    <w:rsid w:val="2AA04E6D"/>
    <w:rsid w:val="2AA83D3D"/>
    <w:rsid w:val="2AEB330A"/>
    <w:rsid w:val="2B5566EC"/>
    <w:rsid w:val="2BB27665"/>
    <w:rsid w:val="2BCB2A74"/>
    <w:rsid w:val="2BF40994"/>
    <w:rsid w:val="2D256324"/>
    <w:rsid w:val="2D616A81"/>
    <w:rsid w:val="2DCF2C3D"/>
    <w:rsid w:val="2DE57862"/>
    <w:rsid w:val="2DE729E4"/>
    <w:rsid w:val="2DEA330D"/>
    <w:rsid w:val="2E456552"/>
    <w:rsid w:val="2F987963"/>
    <w:rsid w:val="2FD22068"/>
    <w:rsid w:val="2FF35E2E"/>
    <w:rsid w:val="301663F8"/>
    <w:rsid w:val="30F74ABF"/>
    <w:rsid w:val="325A1635"/>
    <w:rsid w:val="32D2200E"/>
    <w:rsid w:val="34496D9C"/>
    <w:rsid w:val="34640FA0"/>
    <w:rsid w:val="34801EA2"/>
    <w:rsid w:val="34A54406"/>
    <w:rsid w:val="34F803FB"/>
    <w:rsid w:val="3584168E"/>
    <w:rsid w:val="364A13F1"/>
    <w:rsid w:val="36AC53C0"/>
    <w:rsid w:val="36C2526A"/>
    <w:rsid w:val="36FC2227"/>
    <w:rsid w:val="37304AF2"/>
    <w:rsid w:val="388D79AF"/>
    <w:rsid w:val="38E54CF8"/>
    <w:rsid w:val="38F00825"/>
    <w:rsid w:val="3B7B3AD7"/>
    <w:rsid w:val="3CD2324B"/>
    <w:rsid w:val="3CD35707"/>
    <w:rsid w:val="3DB72FC9"/>
    <w:rsid w:val="3E2E12A7"/>
    <w:rsid w:val="3E555789"/>
    <w:rsid w:val="3EDD326F"/>
    <w:rsid w:val="3F6C7EC6"/>
    <w:rsid w:val="3FAE53DF"/>
    <w:rsid w:val="40E8793D"/>
    <w:rsid w:val="417C1E33"/>
    <w:rsid w:val="41D26E61"/>
    <w:rsid w:val="426D1825"/>
    <w:rsid w:val="42C363D1"/>
    <w:rsid w:val="42C75CCA"/>
    <w:rsid w:val="43370708"/>
    <w:rsid w:val="448410E0"/>
    <w:rsid w:val="44AA183B"/>
    <w:rsid w:val="45343151"/>
    <w:rsid w:val="467D0B0F"/>
    <w:rsid w:val="478E3B60"/>
    <w:rsid w:val="481919D5"/>
    <w:rsid w:val="48FC5119"/>
    <w:rsid w:val="49914528"/>
    <w:rsid w:val="49CE4207"/>
    <w:rsid w:val="4ABA7AFD"/>
    <w:rsid w:val="4B2366A8"/>
    <w:rsid w:val="4BD25B7D"/>
    <w:rsid w:val="4C6729B1"/>
    <w:rsid w:val="4C870304"/>
    <w:rsid w:val="4CF473F8"/>
    <w:rsid w:val="4D6740E8"/>
    <w:rsid w:val="4D7E5769"/>
    <w:rsid w:val="4E175486"/>
    <w:rsid w:val="4E1E674C"/>
    <w:rsid w:val="4E440C8F"/>
    <w:rsid w:val="4EB2304A"/>
    <w:rsid w:val="512268C0"/>
    <w:rsid w:val="51DA01C5"/>
    <w:rsid w:val="52992845"/>
    <w:rsid w:val="53EC757D"/>
    <w:rsid w:val="54AF79BA"/>
    <w:rsid w:val="54D04518"/>
    <w:rsid w:val="55A8546F"/>
    <w:rsid w:val="56860677"/>
    <w:rsid w:val="56D9711D"/>
    <w:rsid w:val="570C5CDB"/>
    <w:rsid w:val="578D1FA0"/>
    <w:rsid w:val="58473282"/>
    <w:rsid w:val="59254FFB"/>
    <w:rsid w:val="59740826"/>
    <w:rsid w:val="599D7350"/>
    <w:rsid w:val="59EF2406"/>
    <w:rsid w:val="5A29513B"/>
    <w:rsid w:val="5BFB07BD"/>
    <w:rsid w:val="5C8C08F8"/>
    <w:rsid w:val="5D5F6439"/>
    <w:rsid w:val="5E2A0411"/>
    <w:rsid w:val="5EAD6FD3"/>
    <w:rsid w:val="5F567DA4"/>
    <w:rsid w:val="5F7B6FE8"/>
    <w:rsid w:val="5F7C32D2"/>
    <w:rsid w:val="5F7E15DA"/>
    <w:rsid w:val="5FEE174D"/>
    <w:rsid w:val="6051165B"/>
    <w:rsid w:val="606757AF"/>
    <w:rsid w:val="61A11E31"/>
    <w:rsid w:val="62156A35"/>
    <w:rsid w:val="627C2424"/>
    <w:rsid w:val="62FB30A8"/>
    <w:rsid w:val="62FE27B3"/>
    <w:rsid w:val="63276ADA"/>
    <w:rsid w:val="639130C5"/>
    <w:rsid w:val="6566705C"/>
    <w:rsid w:val="66B656B7"/>
    <w:rsid w:val="670A4856"/>
    <w:rsid w:val="699F374B"/>
    <w:rsid w:val="6A0B745D"/>
    <w:rsid w:val="6A5437CA"/>
    <w:rsid w:val="6ABA6B4B"/>
    <w:rsid w:val="6C684E8E"/>
    <w:rsid w:val="6C8D40AC"/>
    <w:rsid w:val="6DCD29A5"/>
    <w:rsid w:val="6F161EC5"/>
    <w:rsid w:val="6FDD4F98"/>
    <w:rsid w:val="6FEA7CED"/>
    <w:rsid w:val="703C6245"/>
    <w:rsid w:val="70480FAF"/>
    <w:rsid w:val="70551C88"/>
    <w:rsid w:val="705D5F09"/>
    <w:rsid w:val="71E32ECA"/>
    <w:rsid w:val="721D3CB7"/>
    <w:rsid w:val="732775A1"/>
    <w:rsid w:val="73C452A7"/>
    <w:rsid w:val="74B4674E"/>
    <w:rsid w:val="74E86DF5"/>
    <w:rsid w:val="772D38F2"/>
    <w:rsid w:val="77F518EE"/>
    <w:rsid w:val="78573645"/>
    <w:rsid w:val="78D310C6"/>
    <w:rsid w:val="795F5D57"/>
    <w:rsid w:val="79CD5281"/>
    <w:rsid w:val="7A362526"/>
    <w:rsid w:val="7B595569"/>
    <w:rsid w:val="7B98702C"/>
    <w:rsid w:val="7C594C70"/>
    <w:rsid w:val="7C6D5290"/>
    <w:rsid w:val="7C7D0D64"/>
    <w:rsid w:val="7CCE07D1"/>
    <w:rsid w:val="7E3D32A0"/>
    <w:rsid w:val="7FE37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56"/>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58"/>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3"/>
    <w:autoRedefine/>
    <w:qFormat/>
    <w:uiPriority w:val="0"/>
    <w:pPr>
      <w:keepNext/>
      <w:keepLines/>
      <w:spacing w:before="280" w:after="290" w:line="376" w:lineRule="auto"/>
      <w:outlineLvl w:val="3"/>
    </w:pPr>
    <w:rPr>
      <w:b/>
      <w:bCs/>
      <w:sz w:val="28"/>
      <w:szCs w:val="28"/>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55"/>
    <w:autoRedefine/>
    <w:qFormat/>
    <w:uiPriority w:val="0"/>
    <w:pPr>
      <w:jc w:val="left"/>
    </w:pPr>
    <w:rPr>
      <w:rFonts w:ascii="Arial" w:hAnsi="Arial" w:eastAsia="黑体" w:cs="Arial"/>
    </w:rPr>
  </w:style>
  <w:style w:type="paragraph" w:styleId="8">
    <w:name w:val="Body Text"/>
    <w:basedOn w:val="1"/>
    <w:link w:val="64"/>
    <w:autoRedefine/>
    <w:qFormat/>
    <w:uiPriority w:val="0"/>
    <w:pPr>
      <w:spacing w:after="120"/>
    </w:pPr>
    <w:rPr>
      <w:rFonts w:ascii="@微软简标宋" w:hAnsi="@微软简标宋" w:eastAsia="@微软简标宋" w:cs="@微软简标宋"/>
      <w:szCs w:val="24"/>
      <w:lang w:val="zh-CN"/>
    </w:rPr>
  </w:style>
  <w:style w:type="paragraph" w:styleId="9">
    <w:name w:val="Body Text Indent"/>
    <w:basedOn w:val="1"/>
    <w:autoRedefine/>
    <w:qFormat/>
    <w:uiPriority w:val="0"/>
    <w:pPr>
      <w:spacing w:after="120"/>
      <w:ind w:left="420" w:leftChars="200"/>
    </w:pPr>
  </w:style>
  <w:style w:type="paragraph" w:styleId="10">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link w:val="44"/>
    <w:autoRedefine/>
    <w:qFormat/>
    <w:uiPriority w:val="99"/>
    <w:rPr>
      <w:rFonts w:ascii="宋体" w:hAnsi="Courier New" w:eastAsiaTheme="minorEastAsia" w:cstheme="minorBidi"/>
      <w:szCs w:val="22"/>
    </w:rPr>
  </w:style>
  <w:style w:type="paragraph" w:styleId="12">
    <w:name w:val="Date"/>
    <w:basedOn w:val="1"/>
    <w:next w:val="1"/>
    <w:link w:val="51"/>
    <w:autoRedefine/>
    <w:qFormat/>
    <w:uiPriority w:val="0"/>
    <w:rPr>
      <w:rFonts w:ascii="Arial" w:hAnsi="Arial" w:eastAsia="宋体" w:cs="Arial"/>
      <w:b/>
      <w:sz w:val="28"/>
    </w:rPr>
  </w:style>
  <w:style w:type="paragraph" w:styleId="13">
    <w:name w:val="Balloon Text"/>
    <w:basedOn w:val="1"/>
    <w:link w:val="38"/>
    <w:autoRedefine/>
    <w:semiHidden/>
    <w:unhideWhenUsed/>
    <w:qFormat/>
    <w:uiPriority w:val="99"/>
    <w:rPr>
      <w:sz w:val="18"/>
      <w:szCs w:val="18"/>
    </w:rPr>
  </w:style>
  <w:style w:type="paragraph" w:styleId="14">
    <w:name w:val="footer"/>
    <w:basedOn w:val="1"/>
    <w:link w:val="43"/>
    <w:autoRedefine/>
    <w:unhideWhenUsed/>
    <w:qFormat/>
    <w:uiPriority w:val="99"/>
    <w:pPr>
      <w:tabs>
        <w:tab w:val="center" w:pos="4153"/>
        <w:tab w:val="right" w:pos="8306"/>
      </w:tabs>
      <w:snapToGrid w:val="0"/>
      <w:jc w:val="left"/>
    </w:pPr>
    <w:rPr>
      <w:sz w:val="18"/>
      <w:szCs w:val="18"/>
    </w:rPr>
  </w:style>
  <w:style w:type="paragraph" w:styleId="15">
    <w:name w:val="header"/>
    <w:basedOn w:val="1"/>
    <w:link w:val="42"/>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7">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8">
    <w:name w:val="Normal (Web)"/>
    <w:basedOn w:val="1"/>
    <w:autoRedefine/>
    <w:qFormat/>
    <w:uiPriority w:val="0"/>
    <w:pPr>
      <w:spacing w:before="100" w:beforeAutospacing="1" w:after="100" w:afterAutospacing="1"/>
      <w:jc w:val="left"/>
    </w:pPr>
    <w:rPr>
      <w:rFonts w:cs="Times New Roman"/>
      <w:kern w:val="0"/>
      <w:sz w:val="24"/>
    </w:rPr>
  </w:style>
  <w:style w:type="paragraph" w:styleId="19">
    <w:name w:val="index 1"/>
    <w:basedOn w:val="1"/>
    <w:next w:val="1"/>
    <w:autoRedefine/>
    <w:qFormat/>
    <w:uiPriority w:val="0"/>
    <w:pPr>
      <w:jc w:val="center"/>
    </w:pPr>
    <w:rPr>
      <w:rFonts w:ascii="Arial" w:hAnsi="Arial" w:eastAsia="Arial" w:cs="Arial"/>
      <w:b/>
      <w:bCs/>
      <w:sz w:val="28"/>
    </w:rPr>
  </w:style>
  <w:style w:type="paragraph" w:styleId="20">
    <w:name w:val="annotation subject"/>
    <w:basedOn w:val="7"/>
    <w:next w:val="7"/>
    <w:link w:val="65"/>
    <w:autoRedefine/>
    <w:semiHidden/>
    <w:unhideWhenUsed/>
    <w:qFormat/>
    <w:uiPriority w:val="99"/>
    <w:rPr>
      <w:rFonts w:ascii="@仿宋_GB2312" w:hAnsi="@仿宋_GB2312" w:eastAsia="@仿宋_GB2312" w:cs="@仿宋_GB2312"/>
      <w:b/>
      <w:bCs/>
    </w:rPr>
  </w:style>
  <w:style w:type="paragraph" w:styleId="21">
    <w:name w:val="Body Text First Indent"/>
    <w:basedOn w:val="8"/>
    <w:autoRedefine/>
    <w:unhideWhenUsed/>
    <w:qFormat/>
    <w:uiPriority w:val="99"/>
    <w:pPr>
      <w:ind w:firstLine="420" w:firstLineChars="100"/>
    </w:pPr>
  </w:style>
  <w:style w:type="table" w:styleId="23">
    <w:name w:val="Table Grid"/>
    <w:basedOn w:val="22"/>
    <w:autoRedefine/>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autoRedefine/>
    <w:qFormat/>
    <w:uiPriority w:val="0"/>
    <w:rPr>
      <w:b/>
      <w:bCs/>
    </w:rPr>
  </w:style>
  <w:style w:type="character" w:styleId="26">
    <w:name w:val="FollowedHyperlink"/>
    <w:basedOn w:val="24"/>
    <w:semiHidden/>
    <w:unhideWhenUsed/>
    <w:qFormat/>
    <w:uiPriority w:val="99"/>
    <w:rPr>
      <w:color w:val="800080"/>
      <w:u w:val="none"/>
    </w:rPr>
  </w:style>
  <w:style w:type="character" w:styleId="27">
    <w:name w:val="Emphasis"/>
    <w:basedOn w:val="24"/>
    <w:qFormat/>
    <w:uiPriority w:val="0"/>
    <w:rPr>
      <w:b/>
      <w:bCs/>
    </w:rPr>
  </w:style>
  <w:style w:type="character" w:styleId="28">
    <w:name w:val="HTML Definition"/>
    <w:basedOn w:val="24"/>
    <w:semiHidden/>
    <w:unhideWhenUsed/>
    <w:qFormat/>
    <w:uiPriority w:val="99"/>
  </w:style>
  <w:style w:type="character" w:styleId="29">
    <w:name w:val="HTML Typewriter"/>
    <w:basedOn w:val="24"/>
    <w:semiHidden/>
    <w:unhideWhenUsed/>
    <w:qFormat/>
    <w:uiPriority w:val="99"/>
    <w:rPr>
      <w:rFonts w:hint="default" w:ascii="monospace" w:hAnsi="monospace" w:eastAsia="monospace" w:cs="monospace"/>
      <w:sz w:val="20"/>
    </w:rPr>
  </w:style>
  <w:style w:type="character" w:styleId="30">
    <w:name w:val="HTML Acronym"/>
    <w:basedOn w:val="24"/>
    <w:semiHidden/>
    <w:unhideWhenUsed/>
    <w:qFormat/>
    <w:uiPriority w:val="99"/>
  </w:style>
  <w:style w:type="character" w:styleId="31">
    <w:name w:val="HTML Variable"/>
    <w:basedOn w:val="24"/>
    <w:semiHidden/>
    <w:unhideWhenUsed/>
    <w:qFormat/>
    <w:uiPriority w:val="99"/>
  </w:style>
  <w:style w:type="character" w:styleId="32">
    <w:name w:val="Hyperlink"/>
    <w:basedOn w:val="24"/>
    <w:autoRedefine/>
    <w:unhideWhenUsed/>
    <w:qFormat/>
    <w:uiPriority w:val="99"/>
    <w:rPr>
      <w:color w:val="0000FF" w:themeColor="hyperlink"/>
      <w:u w:val="single"/>
      <w14:textFill>
        <w14:solidFill>
          <w14:schemeClr w14:val="hlink"/>
        </w14:solidFill>
      </w14:textFill>
    </w:rPr>
  </w:style>
  <w:style w:type="character" w:styleId="33">
    <w:name w:val="HTML Code"/>
    <w:basedOn w:val="24"/>
    <w:semiHidden/>
    <w:unhideWhenUsed/>
    <w:qFormat/>
    <w:uiPriority w:val="99"/>
    <w:rPr>
      <w:rFonts w:ascii="monospace" w:hAnsi="monospace" w:eastAsia="monospace" w:cs="monospace"/>
      <w:sz w:val="20"/>
    </w:rPr>
  </w:style>
  <w:style w:type="character" w:styleId="34">
    <w:name w:val="annotation reference"/>
    <w:basedOn w:val="24"/>
    <w:autoRedefine/>
    <w:semiHidden/>
    <w:unhideWhenUsed/>
    <w:qFormat/>
    <w:uiPriority w:val="99"/>
    <w:rPr>
      <w:sz w:val="21"/>
      <w:szCs w:val="21"/>
    </w:rPr>
  </w:style>
  <w:style w:type="character" w:styleId="35">
    <w:name w:val="HTML Cite"/>
    <w:basedOn w:val="24"/>
    <w:semiHidden/>
    <w:unhideWhenUsed/>
    <w:qFormat/>
    <w:uiPriority w:val="99"/>
  </w:style>
  <w:style w:type="character" w:styleId="36">
    <w:name w:val="HTML Keyboard"/>
    <w:basedOn w:val="24"/>
    <w:semiHidden/>
    <w:unhideWhenUsed/>
    <w:qFormat/>
    <w:uiPriority w:val="99"/>
    <w:rPr>
      <w:rFonts w:hint="default" w:ascii="monospace" w:hAnsi="monospace" w:eastAsia="monospace" w:cs="monospace"/>
      <w:sz w:val="20"/>
    </w:rPr>
  </w:style>
  <w:style w:type="character" w:styleId="37">
    <w:name w:val="HTML Sample"/>
    <w:basedOn w:val="24"/>
    <w:semiHidden/>
    <w:unhideWhenUsed/>
    <w:qFormat/>
    <w:uiPriority w:val="99"/>
    <w:rPr>
      <w:rFonts w:hint="default" w:ascii="monospace" w:hAnsi="monospace" w:eastAsia="monospace" w:cs="monospace"/>
    </w:rPr>
  </w:style>
  <w:style w:type="character" w:customStyle="1" w:styleId="38">
    <w:name w:val="批注框文本 Char"/>
    <w:basedOn w:val="24"/>
    <w:link w:val="13"/>
    <w:autoRedefine/>
    <w:semiHidden/>
    <w:qFormat/>
    <w:uiPriority w:val="99"/>
    <w:rPr>
      <w:rFonts w:ascii="@仿宋_GB2312" w:hAnsi="@仿宋_GB2312" w:eastAsia="@仿宋_GB2312" w:cs="@仿宋_GB2312"/>
      <w:sz w:val="18"/>
      <w:szCs w:val="18"/>
    </w:rPr>
  </w:style>
  <w:style w:type="paragraph" w:customStyle="1" w:styleId="39">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0">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1">
    <w:name w:val="D&amp;L"/>
    <w:basedOn w:val="15"/>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2">
    <w:name w:val="页眉 Char"/>
    <w:basedOn w:val="24"/>
    <w:link w:val="15"/>
    <w:autoRedefine/>
    <w:qFormat/>
    <w:uiPriority w:val="0"/>
    <w:rPr>
      <w:rFonts w:ascii="@仿宋_GB2312" w:hAnsi="@仿宋_GB2312" w:eastAsia="@仿宋_GB2312" w:cs="@仿宋_GB2312"/>
      <w:sz w:val="18"/>
      <w:szCs w:val="18"/>
    </w:rPr>
  </w:style>
  <w:style w:type="character" w:customStyle="1" w:styleId="43">
    <w:name w:val="页脚 Char"/>
    <w:basedOn w:val="24"/>
    <w:link w:val="14"/>
    <w:autoRedefine/>
    <w:qFormat/>
    <w:uiPriority w:val="99"/>
    <w:rPr>
      <w:rFonts w:ascii="@仿宋_GB2312" w:hAnsi="@仿宋_GB2312" w:eastAsia="@仿宋_GB2312" w:cs="@仿宋_GB2312"/>
      <w:sz w:val="18"/>
      <w:szCs w:val="18"/>
    </w:rPr>
  </w:style>
  <w:style w:type="character" w:customStyle="1" w:styleId="44">
    <w:name w:val="纯文本 Char"/>
    <w:link w:val="11"/>
    <w:autoRedefine/>
    <w:qFormat/>
    <w:uiPriority w:val="0"/>
    <w:rPr>
      <w:rFonts w:ascii="宋体" w:hAnsi="Courier New"/>
    </w:rPr>
  </w:style>
  <w:style w:type="character" w:customStyle="1" w:styleId="45">
    <w:name w:val="纯文本 字符1"/>
    <w:basedOn w:val="24"/>
    <w:autoRedefine/>
    <w:semiHidden/>
    <w:qFormat/>
    <w:uiPriority w:val="99"/>
    <w:rPr>
      <w:rFonts w:hAnsi="Courier New" w:cs="Courier New" w:asciiTheme="minorEastAsia"/>
      <w:szCs w:val="20"/>
    </w:rPr>
  </w:style>
  <w:style w:type="character" w:customStyle="1" w:styleId="46">
    <w:name w:val="未处理的提及1"/>
    <w:basedOn w:val="24"/>
    <w:autoRedefine/>
    <w:semiHidden/>
    <w:unhideWhenUsed/>
    <w:qFormat/>
    <w:uiPriority w:val="99"/>
    <w:rPr>
      <w:color w:val="605E5C"/>
      <w:shd w:val="clear" w:color="auto" w:fill="E1DFDD"/>
    </w:rPr>
  </w:style>
  <w:style w:type="paragraph" w:styleId="47">
    <w:name w:val="List Paragraph"/>
    <w:basedOn w:val="1"/>
    <w:autoRedefine/>
    <w:qFormat/>
    <w:uiPriority w:val="34"/>
    <w:pPr>
      <w:ind w:firstLine="420" w:firstLineChars="200"/>
    </w:pPr>
  </w:style>
  <w:style w:type="paragraph" w:customStyle="1" w:styleId="48">
    <w:name w:val="Char Char Char Char Char Char Char1 Char"/>
    <w:basedOn w:val="1"/>
    <w:autoRedefine/>
    <w:qFormat/>
    <w:uiPriority w:val="0"/>
    <w:rPr>
      <w:rFonts w:ascii="Arial" w:hAnsi="Arial" w:eastAsia="宋体" w:cs="Arial"/>
      <w:sz w:val="24"/>
    </w:rPr>
  </w:style>
  <w:style w:type="table" w:customStyle="1" w:styleId="49">
    <w:name w:val="网格表 1 浅色1"/>
    <w:basedOn w:val="22"/>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0">
    <w:name w:val="日期 字符"/>
    <w:basedOn w:val="24"/>
    <w:autoRedefine/>
    <w:semiHidden/>
    <w:qFormat/>
    <w:uiPriority w:val="99"/>
    <w:rPr>
      <w:rFonts w:ascii="@仿宋_GB2312" w:hAnsi="@仿宋_GB2312" w:eastAsia="@仿宋_GB2312" w:cs="@仿宋_GB2312"/>
      <w:szCs w:val="20"/>
    </w:rPr>
  </w:style>
  <w:style w:type="character" w:customStyle="1" w:styleId="51">
    <w:name w:val="日期 Char"/>
    <w:link w:val="12"/>
    <w:autoRedefine/>
    <w:qFormat/>
    <w:uiPriority w:val="0"/>
    <w:rPr>
      <w:rFonts w:ascii="Arial" w:hAnsi="Arial" w:eastAsia="宋体" w:cs="Arial"/>
      <w:b/>
      <w:sz w:val="28"/>
      <w:szCs w:val="20"/>
    </w:rPr>
  </w:style>
  <w:style w:type="character" w:customStyle="1" w:styleId="52">
    <w:name w:val="纯文本 Char1"/>
    <w:link w:val="53"/>
    <w:autoRedefine/>
    <w:qFormat/>
    <w:locked/>
    <w:uiPriority w:val="0"/>
    <w:rPr>
      <w:rFonts w:ascii="Arial" w:hAnsi="Arial" w:eastAsia="Arial"/>
      <w:kern w:val="2"/>
      <w:sz w:val="21"/>
      <w:lang w:val="en-US" w:eastAsia="zh-CN" w:bidi="ar-SA"/>
    </w:rPr>
  </w:style>
  <w:style w:type="paragraph" w:customStyle="1" w:styleId="53">
    <w:name w:val="纯文本1"/>
    <w:basedOn w:val="1"/>
    <w:link w:val="52"/>
    <w:autoRedefine/>
    <w:qFormat/>
    <w:uiPriority w:val="0"/>
    <w:rPr>
      <w:rFonts w:ascii="Arial" w:hAnsi="Arial" w:eastAsia="Arial" w:cstheme="minorBidi"/>
    </w:rPr>
  </w:style>
  <w:style w:type="character" w:customStyle="1" w:styleId="54">
    <w:name w:val="批注文字 Char"/>
    <w:basedOn w:val="24"/>
    <w:autoRedefine/>
    <w:semiHidden/>
    <w:qFormat/>
    <w:uiPriority w:val="99"/>
    <w:rPr>
      <w:rFonts w:ascii="@仿宋_GB2312" w:hAnsi="@仿宋_GB2312" w:eastAsia="@仿宋_GB2312" w:cs="@仿宋_GB2312"/>
      <w:szCs w:val="20"/>
    </w:rPr>
  </w:style>
  <w:style w:type="character" w:customStyle="1" w:styleId="55">
    <w:name w:val="批注文字 Char1"/>
    <w:link w:val="7"/>
    <w:autoRedefine/>
    <w:qFormat/>
    <w:uiPriority w:val="0"/>
    <w:rPr>
      <w:rFonts w:ascii="Arial" w:hAnsi="Arial" w:eastAsia="黑体" w:cs="Arial"/>
      <w:szCs w:val="20"/>
    </w:rPr>
  </w:style>
  <w:style w:type="character" w:customStyle="1" w:styleId="56">
    <w:name w:val="标题 1 Char"/>
    <w:basedOn w:val="24"/>
    <w:link w:val="2"/>
    <w:autoRedefine/>
    <w:qFormat/>
    <w:uiPriority w:val="9"/>
    <w:rPr>
      <w:rFonts w:ascii="@仿宋_GB2312" w:hAnsi="@仿宋_GB2312" w:eastAsia="@仿宋_GB2312" w:cs="@仿宋_GB2312"/>
      <w:b/>
      <w:bCs/>
      <w:kern w:val="44"/>
      <w:sz w:val="44"/>
      <w:szCs w:val="44"/>
    </w:rPr>
  </w:style>
  <w:style w:type="paragraph" w:customStyle="1" w:styleId="57">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8">
    <w:name w:val="标题 3 Char"/>
    <w:basedOn w:val="24"/>
    <w:link w:val="4"/>
    <w:autoRedefine/>
    <w:semiHidden/>
    <w:qFormat/>
    <w:uiPriority w:val="9"/>
    <w:rPr>
      <w:rFonts w:ascii="@仿宋_GB2312" w:hAnsi="@仿宋_GB2312" w:eastAsia="@仿宋_GB2312" w:cs="@仿宋_GB2312"/>
      <w:b/>
      <w:bCs/>
      <w:sz w:val="32"/>
      <w:szCs w:val="32"/>
    </w:rPr>
  </w:style>
  <w:style w:type="character" w:customStyle="1" w:styleId="59">
    <w:name w:val="fontstyle01"/>
    <w:basedOn w:val="24"/>
    <w:autoRedefine/>
    <w:qFormat/>
    <w:uiPriority w:val="0"/>
    <w:rPr>
      <w:rFonts w:hint="eastAsia" w:ascii="宋体" w:hAnsi="宋体" w:eastAsia="宋体"/>
      <w:color w:val="000000"/>
      <w:sz w:val="22"/>
      <w:szCs w:val="22"/>
    </w:rPr>
  </w:style>
  <w:style w:type="character" w:customStyle="1" w:styleId="60">
    <w:name w:val="fontstyle21"/>
    <w:basedOn w:val="24"/>
    <w:autoRedefine/>
    <w:qFormat/>
    <w:uiPriority w:val="0"/>
    <w:rPr>
      <w:rFonts w:hint="default" w:ascii="TimesNewRomanPSMT" w:hAnsi="TimesNewRomanPSMT"/>
      <w:color w:val="000000"/>
      <w:sz w:val="22"/>
      <w:szCs w:val="22"/>
    </w:rPr>
  </w:style>
  <w:style w:type="character" w:customStyle="1" w:styleId="61">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2">
    <w:name w:val="标题 4 字符"/>
    <w:basedOn w:val="24"/>
    <w:autoRedefine/>
    <w:semiHidden/>
    <w:qFormat/>
    <w:uiPriority w:val="9"/>
    <w:rPr>
      <w:rFonts w:asciiTheme="majorHAnsi" w:hAnsiTheme="majorHAnsi" w:eastAsiaTheme="majorEastAsia" w:cstheme="majorBidi"/>
      <w:b/>
      <w:bCs/>
      <w:sz w:val="28"/>
      <w:szCs w:val="28"/>
    </w:rPr>
  </w:style>
  <w:style w:type="character" w:customStyle="1" w:styleId="63">
    <w:name w:val="标题 4 Char"/>
    <w:link w:val="5"/>
    <w:autoRedefine/>
    <w:qFormat/>
    <w:uiPriority w:val="0"/>
    <w:rPr>
      <w:rFonts w:ascii="@仿宋_GB2312" w:hAnsi="@仿宋_GB2312" w:eastAsia="@仿宋_GB2312" w:cs="@仿宋_GB2312"/>
      <w:b/>
      <w:bCs/>
      <w:sz w:val="28"/>
      <w:szCs w:val="28"/>
    </w:rPr>
  </w:style>
  <w:style w:type="character" w:customStyle="1" w:styleId="64">
    <w:name w:val="正文文本 Char"/>
    <w:basedOn w:val="24"/>
    <w:link w:val="8"/>
    <w:autoRedefine/>
    <w:qFormat/>
    <w:uiPriority w:val="0"/>
    <w:rPr>
      <w:rFonts w:ascii="@微软简标宋" w:hAnsi="@微软简标宋" w:eastAsia="@微软简标宋" w:cs="@微软简标宋"/>
      <w:szCs w:val="24"/>
      <w:lang w:val="zh-CN" w:eastAsia="zh-CN"/>
    </w:rPr>
  </w:style>
  <w:style w:type="character" w:customStyle="1" w:styleId="65">
    <w:name w:val="批注主题 Char"/>
    <w:basedOn w:val="55"/>
    <w:link w:val="20"/>
    <w:autoRedefine/>
    <w:semiHidden/>
    <w:qFormat/>
    <w:uiPriority w:val="99"/>
    <w:rPr>
      <w:rFonts w:ascii="@仿宋_GB2312" w:hAnsi="@仿宋_GB2312" w:eastAsia="@仿宋_GB2312" w:cs="@仿宋_GB2312"/>
      <w:b/>
      <w:bCs/>
      <w:kern w:val="2"/>
      <w:sz w:val="21"/>
      <w:szCs w:val="20"/>
    </w:rPr>
  </w:style>
  <w:style w:type="table" w:customStyle="1" w:styleId="66">
    <w:name w:val="Table Normal"/>
    <w:autoRedefine/>
    <w:semiHidden/>
    <w:unhideWhenUsed/>
    <w:qFormat/>
    <w:uiPriority w:val="0"/>
    <w:tblPr>
      <w:tblCellMar>
        <w:top w:w="0" w:type="dxa"/>
        <w:left w:w="0" w:type="dxa"/>
        <w:bottom w:w="0" w:type="dxa"/>
        <w:right w:w="0" w:type="dxa"/>
      </w:tblCellMar>
    </w:tblPr>
  </w:style>
  <w:style w:type="paragraph" w:customStyle="1" w:styleId="67">
    <w:name w:val="Table Text"/>
    <w:basedOn w:val="1"/>
    <w:autoRedefine/>
    <w:semiHidden/>
    <w:qFormat/>
    <w:uiPriority w:val="0"/>
    <w:rPr>
      <w:rFonts w:ascii="Arial" w:hAnsi="Arial" w:eastAsia="Arial" w:cs="Arial"/>
      <w:sz w:val="21"/>
      <w:szCs w:val="21"/>
      <w:lang w:val="en-US" w:eastAsia="en-US" w:bidi="ar-SA"/>
    </w:rPr>
  </w:style>
  <w:style w:type="paragraph" w:customStyle="1" w:styleId="68">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9">
    <w:name w:val="列出段落1"/>
    <w:basedOn w:val="1"/>
    <w:autoRedefine/>
    <w:qFormat/>
    <w:uiPriority w:val="0"/>
    <w:pPr>
      <w:ind w:firstLine="420" w:firstLineChars="200"/>
    </w:pPr>
    <w:rPr>
      <w:szCs w:val="21"/>
    </w:rPr>
  </w:style>
  <w:style w:type="character" w:customStyle="1" w:styleId="70">
    <w:name w:val="first-child"/>
    <w:basedOn w:val="24"/>
    <w:qFormat/>
    <w:uiPriority w:val="0"/>
  </w:style>
  <w:style w:type="character" w:customStyle="1" w:styleId="71">
    <w:name w:val="layui-layer-tabnow"/>
    <w:basedOn w:val="24"/>
    <w:qFormat/>
    <w:uiPriority w:val="0"/>
    <w:rPr>
      <w:bdr w:val="single" w:color="CCCCCC" w:sz="6" w:space="0"/>
      <w:shd w:val="clear" w:fill="FFFFFF"/>
    </w:rPr>
  </w:style>
  <w:style w:type="character" w:customStyle="1" w:styleId="72">
    <w:name w:val="time"/>
    <w:basedOn w:val="24"/>
    <w:qFormat/>
    <w:uiPriority w:val="0"/>
  </w:style>
  <w:style w:type="character" w:customStyle="1" w:styleId="73">
    <w:name w:val="status"/>
    <w:basedOn w:val="24"/>
    <w:qFormat/>
    <w:uiPriority w:val="0"/>
    <w:rPr>
      <w:color w:val="0776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9E76AE-142C-45EF-840F-57FA3DE9E2C7}">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51</Pages>
  <Words>2127</Words>
  <Characters>2676</Characters>
  <Lines>239</Lines>
  <Paragraphs>67</Paragraphs>
  <TotalTime>8</TotalTime>
  <ScaleCrop>false</ScaleCrop>
  <LinksUpToDate>false</LinksUpToDate>
  <CharactersWithSpaces>2728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韦韦</cp:lastModifiedBy>
  <cp:lastPrinted>2019-12-07T15:20:00Z</cp:lastPrinted>
  <dcterms:modified xsi:type="dcterms:W3CDTF">2026-09-04T03:08:47Z</dcterms:modified>
  <cp:revision>482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89305C986CA640A08B37D57711A20FEC_12</vt:lpwstr>
  </property>
  <property fmtid="{D5CDD505-2E9C-101B-9397-08002B2CF9AE}" pid="4" name="KSOTemplateDocerSaveRecord">
    <vt:lpwstr>eyJoZGlkIjoiZmQ5MGI3YTdkMjVkZTZjM2ZjZTQ5YjMxYTJjZjRlOWEiLCJ1c2VySWQiOiIzNjE4MjQ5In0=</vt:lpwstr>
  </property>
</Properties>
</file>