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68967">
      <w:pPr>
        <w:pStyle w:val="35"/>
        <w:shd w:val="clear"/>
        <w:ind w:left="0" w:leftChars="0" w:firstLineChars="0"/>
        <w:jc w:val="center"/>
        <w:rPr>
          <w:rFonts w:ascii="新宋体" w:hAnsi="新宋体" w:eastAsia="新宋体"/>
          <w:b/>
          <w:color w:val="auto"/>
          <w:sz w:val="44"/>
          <w:szCs w:val="44"/>
          <w:highlight w:val="none"/>
        </w:rPr>
      </w:pPr>
      <w:bookmarkStart w:id="0" w:name="OLE_LINK1"/>
    </w:p>
    <w:p w14:paraId="0F02CA9C">
      <w:pPr>
        <w:shd w:val="clear"/>
        <w:spacing w:beforeLines="100" w:afterLines="100" w:line="840" w:lineRule="exact"/>
        <w:jc w:val="center"/>
        <w:rPr>
          <w:rFonts w:hint="eastAsia" w:ascii="宋体" w:hAnsi="宋体"/>
          <w:color w:val="auto"/>
          <w:sz w:val="40"/>
          <w:szCs w:val="36"/>
          <w:highlight w:val="none"/>
        </w:rPr>
      </w:pPr>
      <w:r>
        <w:rPr>
          <w:rFonts w:hint="eastAsia" w:ascii="新宋体" w:hAnsi="新宋体" w:eastAsia="新宋体"/>
          <w:b/>
          <w:color w:val="auto"/>
          <w:sz w:val="44"/>
          <w:szCs w:val="44"/>
          <w:highlight w:val="none"/>
          <w:lang w:val="en-US" w:eastAsia="zh-CN"/>
        </w:rPr>
        <w:t>中新苏滁高新区2025-2028年度道路照明等设施维护服务项目</w:t>
      </w:r>
    </w:p>
    <w:p w14:paraId="1B798401">
      <w:pPr>
        <w:shd w:val="clear"/>
        <w:spacing w:beforeLines="50" w:afterLines="50"/>
        <w:ind w:left="-850" w:leftChars="-405" w:right="-625"/>
        <w:jc w:val="center"/>
        <w:rPr>
          <w:rFonts w:ascii="宋体" w:hAnsi="宋体"/>
          <w:color w:val="auto"/>
          <w:sz w:val="40"/>
          <w:szCs w:val="36"/>
          <w:highlight w:val="none"/>
        </w:rPr>
      </w:pPr>
      <w:r>
        <w:rPr>
          <w:rFonts w:hint="eastAsia" w:ascii="宋体" w:hAnsi="宋体"/>
          <w:color w:val="auto"/>
          <w:sz w:val="40"/>
          <w:szCs w:val="36"/>
          <w:highlight w:val="none"/>
        </w:rPr>
        <w:t>（电子招标投标）</w:t>
      </w:r>
    </w:p>
    <w:p w14:paraId="4F5A90E1">
      <w:pPr>
        <w:pStyle w:val="35"/>
        <w:shd w:val="clear"/>
        <w:ind w:left="0" w:leftChars="0" w:firstLine="2880" w:firstLineChars="1200"/>
        <w:rPr>
          <w:rFonts w:hint="eastAsia"/>
          <w:color w:val="auto"/>
          <w:sz w:val="24"/>
          <w:highlight w:val="none"/>
        </w:rPr>
      </w:pPr>
    </w:p>
    <w:p w14:paraId="179EFCC0">
      <w:pPr>
        <w:pStyle w:val="35"/>
        <w:shd w:val="clear"/>
        <w:ind w:left="0" w:leftChars="0" w:firstLine="2880" w:firstLineChars="1200"/>
        <w:rPr>
          <w:rFonts w:hint="eastAsia" w:eastAsia="宋体"/>
          <w:color w:val="auto"/>
          <w:sz w:val="24"/>
          <w:highlight w:val="none"/>
          <w:lang w:val="en-US" w:eastAsia="zh-CN"/>
        </w:rPr>
      </w:pPr>
      <w:r>
        <w:rPr>
          <w:rFonts w:hint="eastAsia"/>
          <w:color w:val="auto"/>
          <w:sz w:val="24"/>
          <w:highlight w:val="none"/>
        </w:rPr>
        <w:t>项目编号：czsjqt202510-009</w:t>
      </w:r>
      <w:r>
        <w:rPr>
          <w:rFonts w:hint="eastAsia"/>
          <w:color w:val="auto"/>
          <w:sz w:val="24"/>
          <w:highlight w:val="none"/>
          <w:lang w:val="en-US" w:eastAsia="zh-CN"/>
        </w:rPr>
        <w:t xml:space="preserve"> </w:t>
      </w:r>
    </w:p>
    <w:p w14:paraId="0EB0CBD0">
      <w:pPr>
        <w:pStyle w:val="53"/>
        <w:shd w:val="clear"/>
        <w:ind w:firstLine="0" w:firstLineChars="0"/>
        <w:rPr>
          <w:color w:val="auto"/>
          <w:highlight w:val="none"/>
        </w:rPr>
      </w:pPr>
    </w:p>
    <w:p w14:paraId="52AA32CA">
      <w:pPr>
        <w:pStyle w:val="53"/>
        <w:shd w:val="clear"/>
        <w:ind w:firstLine="480"/>
        <w:rPr>
          <w:color w:val="auto"/>
          <w:highlight w:val="none"/>
        </w:rPr>
      </w:pPr>
    </w:p>
    <w:p w14:paraId="68787B14">
      <w:pPr>
        <w:shd w:val="clear"/>
        <w:rPr>
          <w:rFonts w:ascii="宋体"/>
          <w:bCs/>
          <w:color w:val="auto"/>
          <w:szCs w:val="21"/>
          <w:highlight w:val="none"/>
        </w:rPr>
      </w:pPr>
    </w:p>
    <w:p w14:paraId="70D1C16A">
      <w:pPr>
        <w:shd w:val="clea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7033419E">
      <w:pPr>
        <w:shd w:val="clear"/>
        <w:rPr>
          <w:rFonts w:ascii="宋体"/>
          <w:bCs/>
          <w:color w:val="auto"/>
          <w:szCs w:val="21"/>
          <w:highlight w:val="none"/>
        </w:rPr>
      </w:pPr>
    </w:p>
    <w:p w14:paraId="2F28F6ED">
      <w:pPr>
        <w:shd w:val="clear"/>
        <w:rPr>
          <w:rFonts w:ascii="宋体" w:hAnsi="宋体"/>
          <w:b/>
          <w:color w:val="auto"/>
          <w:sz w:val="84"/>
          <w:szCs w:val="84"/>
          <w:highlight w:val="none"/>
        </w:rPr>
      </w:pPr>
      <w:r>
        <w:rPr>
          <w:rFonts w:hint="eastAsia" w:ascii="宋体" w:hAnsi="宋体"/>
          <w:b/>
          <w:color w:val="auto"/>
          <w:sz w:val="84"/>
          <w:szCs w:val="84"/>
          <w:highlight w:val="none"/>
        </w:rPr>
        <w:t xml:space="preserve"> </w:t>
      </w:r>
    </w:p>
    <w:p w14:paraId="29499BEA">
      <w:pPr>
        <w:pStyle w:val="16"/>
        <w:shd w:val="clear"/>
        <w:ind w:left="420"/>
        <w:rPr>
          <w:color w:val="auto"/>
          <w:highlight w:val="none"/>
        </w:rPr>
      </w:pPr>
    </w:p>
    <w:p w14:paraId="58A751C8">
      <w:pPr>
        <w:shd w:val="clear"/>
        <w:spacing w:beforeLines="100" w:afterLines="100" w:line="360" w:lineRule="auto"/>
        <w:jc w:val="left"/>
        <w:rPr>
          <w:rFonts w:ascii="宋体"/>
          <w:b/>
          <w:color w:val="auto"/>
          <w:sz w:val="32"/>
          <w:szCs w:val="32"/>
          <w:highlight w:val="none"/>
        </w:rPr>
      </w:pPr>
    </w:p>
    <w:p w14:paraId="289CD838">
      <w:pPr>
        <w:pStyle w:val="35"/>
        <w:shd w:val="clear"/>
        <w:ind w:firstLine="400"/>
        <w:rPr>
          <w:color w:val="auto"/>
          <w:highlight w:val="none"/>
        </w:rPr>
      </w:pPr>
    </w:p>
    <w:p w14:paraId="032BC327">
      <w:pPr>
        <w:shd w:val="clear"/>
        <w:spacing w:beforeLines="100"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滁州市苏滁市政公用发展有限公司  </w:t>
      </w:r>
      <w:r>
        <w:rPr>
          <w:rFonts w:hint="eastAsia" w:ascii="宋体"/>
          <w:b/>
          <w:color w:val="auto"/>
          <w:sz w:val="32"/>
          <w:szCs w:val="32"/>
          <w:highlight w:val="none"/>
        </w:rPr>
        <w:t>（盖单位章）</w:t>
      </w:r>
    </w:p>
    <w:p w14:paraId="44A980C8">
      <w:pPr>
        <w:shd w:val="clear"/>
        <w:spacing w:beforeLines="100"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638AFC35">
      <w:pPr>
        <w:shd w:val="clear"/>
        <w:spacing w:beforeLines="100"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2025</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10</w:t>
      </w:r>
      <w:r>
        <w:rPr>
          <w:rFonts w:hint="eastAsia" w:ascii="宋体"/>
          <w:b/>
          <w:color w:val="auto"/>
          <w:sz w:val="32"/>
          <w:szCs w:val="32"/>
          <w:highlight w:val="none"/>
        </w:rPr>
        <w:t>月</w:t>
      </w:r>
    </w:p>
    <w:p w14:paraId="4CB6D157">
      <w:pPr>
        <w:shd w:val="clear"/>
        <w:spacing w:line="360" w:lineRule="exact"/>
        <w:rPr>
          <w:b/>
          <w:color w:val="auto"/>
          <w:sz w:val="36"/>
          <w:highlight w:val="none"/>
        </w:rPr>
      </w:pPr>
    </w:p>
    <w:p w14:paraId="3213DC9A">
      <w:pPr>
        <w:pStyle w:val="16"/>
        <w:shd w:val="clear"/>
        <w:ind w:left="0" w:leftChars="0"/>
        <w:rPr>
          <w:color w:val="auto"/>
          <w:highlight w:val="none"/>
        </w:rPr>
      </w:pPr>
    </w:p>
    <w:p w14:paraId="5E457507">
      <w:pPr>
        <w:pStyle w:val="17"/>
        <w:shd w:val="clear"/>
        <w:rPr>
          <w:color w:val="auto"/>
          <w:highlight w:val="none"/>
        </w:rPr>
      </w:pPr>
    </w:p>
    <w:p w14:paraId="068DA86A">
      <w:pPr>
        <w:shd w:val="clear"/>
        <w:spacing w:line="360" w:lineRule="exact"/>
        <w:jc w:val="center"/>
        <w:rPr>
          <w:b/>
          <w:color w:val="auto"/>
          <w:sz w:val="36"/>
          <w:highlight w:val="none"/>
        </w:rPr>
      </w:pPr>
    </w:p>
    <w:p w14:paraId="41AC21CE">
      <w:pPr>
        <w:shd w:val="clear"/>
        <w:spacing w:line="360" w:lineRule="auto"/>
        <w:jc w:val="center"/>
        <w:rPr>
          <w:b/>
          <w:color w:val="auto"/>
          <w:sz w:val="44"/>
          <w:szCs w:val="32"/>
          <w:highlight w:val="none"/>
        </w:rPr>
      </w:pPr>
      <w:r>
        <w:rPr>
          <w:rFonts w:hint="eastAsia"/>
          <w:b/>
          <w:color w:val="auto"/>
          <w:sz w:val="44"/>
          <w:szCs w:val="32"/>
          <w:highlight w:val="none"/>
        </w:rPr>
        <w:t>目  录</w:t>
      </w:r>
    </w:p>
    <w:p w14:paraId="0421470E">
      <w:pPr>
        <w:shd w:val="clear"/>
        <w:spacing w:line="720" w:lineRule="auto"/>
        <w:jc w:val="center"/>
        <w:rPr>
          <w:b/>
          <w:color w:val="auto"/>
          <w:sz w:val="36"/>
          <w:highlight w:val="none"/>
        </w:rPr>
      </w:pPr>
    </w:p>
    <w:p w14:paraId="2CC8D2ED">
      <w:pPr>
        <w:pStyle w:val="25"/>
        <w:shd w:val="clear"/>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p>
    <w:p w14:paraId="25E80064">
      <w:pPr>
        <w:pStyle w:val="25"/>
        <w:shd w:val="clear"/>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8</w:t>
      </w:r>
      <w:r>
        <w:rPr>
          <w:rFonts w:hint="eastAsia" w:ascii="宋体" w:hAnsi="宋体" w:cs="宋体"/>
          <w:color w:val="auto"/>
          <w:sz w:val="30"/>
          <w:szCs w:val="30"/>
          <w:highlight w:val="none"/>
        </w:rPr>
        <w:fldChar w:fldCharType="end"/>
      </w:r>
    </w:p>
    <w:p w14:paraId="01A8707E">
      <w:pPr>
        <w:pStyle w:val="25"/>
        <w:shd w:val="clear"/>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w:t>
      </w:r>
    </w:p>
    <w:p w14:paraId="7A0DB756">
      <w:pPr>
        <w:pStyle w:val="25"/>
        <w:shd w:val="clear"/>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1</w:t>
      </w:r>
    </w:p>
    <w:p w14:paraId="6817492C">
      <w:pPr>
        <w:pStyle w:val="25"/>
        <w:shd w:val="clear"/>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6</w:t>
      </w:r>
    </w:p>
    <w:p w14:paraId="7D657701">
      <w:pPr>
        <w:pStyle w:val="25"/>
        <w:shd w:val="clear"/>
        <w:tabs>
          <w:tab w:val="right" w:leader="dot" w:pos="9072"/>
        </w:tabs>
        <w:spacing w:line="700" w:lineRule="exact"/>
        <w:rPr>
          <w:rFonts w:hint="default"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72</w:t>
      </w:r>
    </w:p>
    <w:p w14:paraId="026D94FD">
      <w:pPr>
        <w:pStyle w:val="25"/>
        <w:shd w:val="clear"/>
        <w:tabs>
          <w:tab w:val="right" w:leader="dot" w:pos="9072"/>
        </w:tabs>
        <w:spacing w:line="700" w:lineRule="exact"/>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92</w:t>
      </w:r>
    </w:p>
    <w:p w14:paraId="29FB8797">
      <w:pPr>
        <w:pStyle w:val="25"/>
        <w:shd w:val="clear"/>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bookmarkStart w:id="111" w:name="_GoBack"/>
      <w:bookmarkEnd w:id="111"/>
    </w:p>
    <w:p w14:paraId="30DB0F1A">
      <w:pPr>
        <w:pStyle w:val="3"/>
        <w:shd w:val="clear"/>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28359002"/>
      <w:bookmarkStart w:id="3" w:name="_Toc28359079"/>
      <w:bookmarkStart w:id="4" w:name="_Toc35393621"/>
      <w:bookmarkStart w:id="5" w:name="_Toc35393790"/>
      <w:bookmarkStart w:id="6" w:name="_Hlk24379207"/>
    </w:p>
    <w:p w14:paraId="5E63901A">
      <w:pPr>
        <w:keepNext/>
        <w:keepLines/>
        <w:shd w:val="clea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243A01A7">
      <w:pPr>
        <w:keepNext/>
        <w:keepLines/>
        <w:pageBreakBefore w:val="0"/>
        <w:widowControl w:val="0"/>
        <w:shd w:val="clear"/>
        <w:kinsoku/>
        <w:wordWrap w:val="0"/>
        <w:overflowPunct/>
        <w:topLinePunct w:val="0"/>
        <w:autoSpaceDE/>
        <w:autoSpaceDN/>
        <w:bidi w:val="0"/>
        <w:adjustRightInd/>
        <w:snapToGrid/>
        <w:spacing w:line="480" w:lineRule="exact"/>
        <w:ind w:firstLine="560" w:firstLineChars="200"/>
        <w:textAlignment w:val="auto"/>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val="en-US" w:eastAsia="zh-CN"/>
        </w:rPr>
        <w:t>中新苏滁高新区2025-2028年度道路照明等设施维护服务项目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2025年</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日08点00分</w:t>
      </w:r>
      <w:r>
        <w:rPr>
          <w:rFonts w:hint="eastAsia" w:ascii="仿宋" w:hAnsi="仿宋" w:eastAsia="仿宋" w:cs="仿宋"/>
          <w:color w:val="auto"/>
          <w:sz w:val="28"/>
          <w:szCs w:val="28"/>
          <w:highlight w:val="none"/>
        </w:rPr>
        <w:t>（北京时间）前递交投标文件。</w:t>
      </w:r>
    </w:p>
    <w:p w14:paraId="66A92A0A">
      <w:pPr>
        <w:keepNext/>
        <w:keepLines/>
        <w:pageBreakBefore w:val="0"/>
        <w:widowControl w:val="0"/>
        <w:shd w:val="clear"/>
        <w:kinsoku/>
        <w:wordWrap/>
        <w:overflowPunct/>
        <w:topLinePunct w:val="0"/>
        <w:autoSpaceDE/>
        <w:autoSpaceDN/>
        <w:bidi w:val="0"/>
        <w:adjustRightInd/>
        <w:snapToGrid/>
        <w:spacing w:before="140" w:after="140"/>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3C953EA8">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项目编号：czsjqt202510-009</w:t>
      </w:r>
      <w:r>
        <w:rPr>
          <w:rFonts w:hint="eastAsia" w:ascii="仿宋" w:hAnsi="仿宋" w:eastAsia="仿宋"/>
          <w:color w:val="auto"/>
          <w:sz w:val="28"/>
          <w:szCs w:val="28"/>
          <w:highlight w:val="none"/>
          <w:lang w:val="en-US" w:eastAsia="zh-CN"/>
        </w:rPr>
        <w:t xml:space="preserve"> </w:t>
      </w:r>
    </w:p>
    <w:p w14:paraId="423E7749">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val="en-US" w:eastAsia="zh-CN"/>
        </w:rPr>
        <w:t>中新苏滁高新区2025-2028年度道路照明等设施维护服务项目</w:t>
      </w:r>
    </w:p>
    <w:p w14:paraId="563ACB96">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4430410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val="en-US" w:eastAsia="zh-CN"/>
        </w:rPr>
        <w:t>/年，三年13291230元</w:t>
      </w:r>
    </w:p>
    <w:p w14:paraId="2B5F6F5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s="Times New Roman"/>
          <w:color w:val="auto"/>
          <w:sz w:val="28"/>
          <w:szCs w:val="28"/>
          <w:highlight w:val="none"/>
          <w:lang w:val="en-US" w:eastAsia="zh-CN"/>
        </w:rPr>
        <w:t>本项目投标报价采用百分比报价，投标人投标报价（费率）不得高于100%，否则，其投标文件按无效投标处理。</w:t>
      </w:r>
    </w:p>
    <w:p w14:paraId="2A7EAB57">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详见《服务内容及服务要求》和合同条款内容</w:t>
      </w:r>
    </w:p>
    <w:p w14:paraId="030EF2A5">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合同履行期限：本项目服务期</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合同一年一签，年度考核合格后续签下一年合同</w:t>
      </w:r>
      <w:r>
        <w:rPr>
          <w:rFonts w:hint="eastAsia" w:ascii="仿宋" w:hAnsi="仿宋" w:eastAsia="仿宋"/>
          <w:color w:val="auto"/>
          <w:sz w:val="28"/>
          <w:szCs w:val="28"/>
          <w:highlight w:val="none"/>
        </w:rPr>
        <w:t>。</w:t>
      </w:r>
    </w:p>
    <w:p w14:paraId="4947B9AF">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45607310">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bookmarkStart w:id="7" w:name="_Toc35393791"/>
      <w:bookmarkStart w:id="8" w:name="_Toc35393622"/>
      <w:bookmarkStart w:id="9" w:name="_Toc28359003"/>
      <w:bookmarkStart w:id="10" w:name="_Toc28359080"/>
      <w:r>
        <w:rPr>
          <w:rFonts w:hint="eastAsia" w:ascii="黑体" w:hAnsi="黑体" w:eastAsia="黑体" w:cs="黑体"/>
          <w:color w:val="auto"/>
          <w:sz w:val="28"/>
          <w:szCs w:val="28"/>
          <w:highlight w:val="none"/>
        </w:rPr>
        <w:t>二、申请人的资格要求</w:t>
      </w:r>
      <w:bookmarkEnd w:id="7"/>
      <w:bookmarkEnd w:id="8"/>
      <w:bookmarkEnd w:id="9"/>
      <w:bookmarkEnd w:id="10"/>
    </w:p>
    <w:p w14:paraId="25E230B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bookmarkStart w:id="11" w:name="_Toc35393792"/>
      <w:bookmarkStart w:id="12" w:name="_Toc35393623"/>
      <w:bookmarkStart w:id="13" w:name="_Toc28359004"/>
      <w:bookmarkStart w:id="14" w:name="_Toc28359081"/>
      <w:r>
        <w:rPr>
          <w:rFonts w:hint="eastAsia" w:ascii="仿宋" w:hAnsi="仿宋" w:eastAsia="仿宋" w:cs="Times New Roman"/>
          <w:color w:val="auto"/>
          <w:sz w:val="28"/>
          <w:szCs w:val="28"/>
          <w:highlight w:val="none"/>
        </w:rPr>
        <w:t>1.企业资格要求：</w:t>
      </w:r>
      <w:r>
        <w:rPr>
          <w:rFonts w:hint="eastAsia" w:ascii="仿宋" w:hAnsi="仿宋" w:eastAsia="仿宋" w:cs="Times New Roman"/>
          <w:color w:val="auto"/>
          <w:sz w:val="28"/>
          <w:szCs w:val="28"/>
          <w:highlight w:val="none"/>
          <w:lang w:val="en-US" w:eastAsia="zh-CN"/>
        </w:rPr>
        <w:t>投标人须具备市政公用工程施工总承包三级（或以上）资质，且具有有效的安全生产许可证。</w:t>
      </w:r>
    </w:p>
    <w:p w14:paraId="18BBF51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2.项目负责人要求：须具备在本单位注册的市政公用工程专业二级（或以上）注册建造师资格，具备有效的安全生产考核合格(B类)证书</w:t>
      </w:r>
      <w:r>
        <w:rPr>
          <w:rFonts w:hint="eastAsia" w:ascii="仿宋" w:hAnsi="仿宋" w:eastAsia="仿宋" w:cs="Times New Roman"/>
          <w:color w:val="auto"/>
          <w:sz w:val="28"/>
          <w:szCs w:val="28"/>
          <w:highlight w:val="none"/>
        </w:rPr>
        <w:t>。</w:t>
      </w:r>
    </w:p>
    <w:p w14:paraId="0F0FCA5D">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.信誉要求：投标人不得存在以下情形：</w:t>
      </w:r>
    </w:p>
    <w:p w14:paraId="3CACD58D">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①被列入“信用中国”网站“失信被执行人”的;</w:t>
      </w:r>
    </w:p>
    <w:p w14:paraId="563DEABD">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②被列入“信用中国”网站“重大税收违法失信主体”的；</w:t>
      </w:r>
    </w:p>
    <w:p w14:paraId="5F5AD29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③被列入“信用中国”网站“拖欠农民工工资失信联合惩戒对象名单”的；</w:t>
      </w:r>
    </w:p>
    <w:p w14:paraId="445452CD">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④被列入“信用中国”网站 “严重失信主体名单”的；</w:t>
      </w:r>
    </w:p>
    <w:p w14:paraId="09C45DC5">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⑤在“信用中国”网站上披露的仍在公示期的严重失信行为(具体行为类别及判定依据见附件2)的。</w:t>
      </w:r>
    </w:p>
    <w:p w14:paraId="5ADD51A8">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⑥被列入</w:t>
      </w:r>
      <w:bookmarkStart w:id="15" w:name="OLE_LINK4"/>
      <w:r>
        <w:rPr>
          <w:rFonts w:hint="eastAsia" w:ascii="仿宋" w:hAnsi="仿宋" w:eastAsia="仿宋" w:cs="Times New Roman"/>
          <w:color w:val="auto"/>
          <w:sz w:val="28"/>
          <w:szCs w:val="28"/>
          <w:highlight w:val="none"/>
        </w:rPr>
        <w:t>国家企业信用信息公示系统网站</w:t>
      </w:r>
      <w:bookmarkEnd w:id="15"/>
      <w:r>
        <w:rPr>
          <w:rFonts w:hint="eastAsia" w:ascii="仿宋" w:hAnsi="仿宋" w:eastAsia="仿宋" w:cs="Times New Roman"/>
          <w:color w:val="auto"/>
          <w:sz w:val="28"/>
          <w:szCs w:val="28"/>
          <w:highlight w:val="none"/>
        </w:rPr>
        <w:t>“经营异常名录”或者“严重违法失信名单”的。</w:t>
      </w:r>
    </w:p>
    <w:p w14:paraId="0EBD8FD3">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⑦前三年有行贿犯罪行为的单位和个人；</w:t>
      </w:r>
    </w:p>
    <w:p w14:paraId="1ACC71A6">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⑧被滁州市县两级公管部门及各行业主管部门取消在一定期限内的投标资格且在取消期限内的；</w:t>
      </w:r>
    </w:p>
    <w:p w14:paraId="2F0CCE15">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⑨因拖欠农民工工资被县级及以上有关行政主管部门限制投标资格且在限制期限内的；</w:t>
      </w:r>
    </w:p>
    <w:p w14:paraId="7EDDC89B">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03791BAF">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款信誉要求①-⑩项情形之一的，接受投标人参加本项目。</w:t>
      </w:r>
    </w:p>
    <w:p w14:paraId="1A42ED78">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3、4</w:t>
      </w:r>
      <w:r>
        <w:rPr>
          <w:rFonts w:hint="eastAsia" w:ascii="仿宋" w:hAnsi="仿宋" w:eastAsia="仿宋" w:cs="Times New Roman"/>
          <w:color w:val="auto"/>
          <w:sz w:val="28"/>
          <w:szCs w:val="28"/>
          <w:highlight w:val="none"/>
        </w:rPr>
        <w:t>条按照“关于联合惩戒失信行为加强信用查询管理的通知”查询或承诺。</w:t>
      </w:r>
    </w:p>
    <w:p w14:paraId="355EE675">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0BFB42E8">
      <w:pPr>
        <w:keepNext w:val="0"/>
        <w:keepLines w:val="0"/>
        <w:pageBreakBefore w:val="0"/>
        <w:widowControl w:val="0"/>
        <w:shd w:val="clear"/>
        <w:kinsoku/>
        <w:wordWrap/>
        <w:overflowPunct/>
        <w:topLinePunct w:val="0"/>
        <w:autoSpaceDE/>
        <w:autoSpaceDN/>
        <w:bidi w:val="0"/>
        <w:adjustRightInd/>
        <w:snapToGrid/>
        <w:spacing w:line="480" w:lineRule="exact"/>
        <w:ind w:firstLine="539"/>
        <w:textAlignment w:val="auto"/>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2025年</w:t>
      </w:r>
      <w:r>
        <w:rPr>
          <w:rFonts w:hint="eastAsia" w:ascii="仿宋" w:hAnsi="仿宋" w:eastAsia="仿宋" w:cs="宋体"/>
          <w:color w:val="auto"/>
          <w:sz w:val="28"/>
          <w:szCs w:val="28"/>
          <w:highlight w:val="none"/>
          <w:u w:val="single"/>
          <w:lang w:val="en-US" w:eastAsia="zh-CN"/>
        </w:rPr>
        <w:t>10</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2025年</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10</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1189E151">
      <w:pPr>
        <w:keepNext w:val="0"/>
        <w:keepLines w:val="0"/>
        <w:pageBreakBefore w:val="0"/>
        <w:widowControl w:val="0"/>
        <w:shd w:val="clear"/>
        <w:kinsoku/>
        <w:wordWrap/>
        <w:overflowPunct/>
        <w:topLinePunct w:val="0"/>
        <w:autoSpaceDE/>
        <w:autoSpaceDN/>
        <w:bidi w:val="0"/>
        <w:adjustRightInd/>
        <w:snapToGrid/>
        <w:spacing w:line="480" w:lineRule="exact"/>
        <w:ind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467C9853">
      <w:pPr>
        <w:keepNext w:val="0"/>
        <w:keepLines w:val="0"/>
        <w:pageBreakBefore w:val="0"/>
        <w:widowControl w:val="0"/>
        <w:shd w:val="clear"/>
        <w:kinsoku/>
        <w:wordWrap/>
        <w:overflowPunct/>
        <w:topLinePunct w:val="0"/>
        <w:autoSpaceDE/>
        <w:autoSpaceDN/>
        <w:bidi w:val="0"/>
        <w:adjustRightInd/>
        <w:snapToGrid/>
        <w:spacing w:line="480" w:lineRule="exact"/>
        <w:ind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6462F083">
      <w:pPr>
        <w:keepNext w:val="0"/>
        <w:keepLines w:val="0"/>
        <w:pageBreakBefore w:val="0"/>
        <w:widowControl w:val="0"/>
        <w:shd w:val="clear"/>
        <w:kinsoku/>
        <w:wordWrap/>
        <w:overflowPunct/>
        <w:topLinePunct w:val="0"/>
        <w:autoSpaceDE/>
        <w:autoSpaceDN/>
        <w:bidi w:val="0"/>
        <w:adjustRightInd/>
        <w:snapToGrid/>
        <w:spacing w:line="480" w:lineRule="exact"/>
        <w:ind w:firstLine="539"/>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53883F6C">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bookmarkStart w:id="16" w:name="_Toc28359082"/>
      <w:bookmarkStart w:id="17" w:name="_Toc28359005"/>
      <w:bookmarkStart w:id="18" w:name="_Toc35393624"/>
      <w:bookmarkStart w:id="19" w:name="_Toc35393793"/>
      <w:r>
        <w:rPr>
          <w:rFonts w:hint="eastAsia" w:ascii="黑体" w:hAnsi="黑体" w:eastAsia="黑体" w:cs="黑体"/>
          <w:color w:val="auto"/>
          <w:sz w:val="28"/>
          <w:szCs w:val="28"/>
          <w:highlight w:val="none"/>
        </w:rPr>
        <w:t>四、提交投标文件</w:t>
      </w:r>
      <w:bookmarkEnd w:id="16"/>
      <w:bookmarkEnd w:id="17"/>
      <w:r>
        <w:rPr>
          <w:rFonts w:hint="eastAsia" w:ascii="黑体" w:hAnsi="黑体" w:eastAsia="黑体" w:cs="黑体"/>
          <w:color w:val="auto"/>
          <w:sz w:val="28"/>
          <w:szCs w:val="28"/>
          <w:highlight w:val="none"/>
        </w:rPr>
        <w:t>截止时间、开标时间和地点</w:t>
      </w:r>
      <w:bookmarkEnd w:id="18"/>
      <w:bookmarkEnd w:id="19"/>
    </w:p>
    <w:p w14:paraId="5E1996B5">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2025年</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日8点00分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619FA813">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地点：网上开标（滁州市公共资源交易中心网）</w:t>
      </w:r>
    </w:p>
    <w:p w14:paraId="057DC34A">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bookmarkStart w:id="20" w:name="_Toc28359084"/>
      <w:bookmarkStart w:id="21" w:name="_Toc35393794"/>
      <w:bookmarkStart w:id="22" w:name="_Toc28359007"/>
      <w:bookmarkStart w:id="23" w:name="_Toc35393625"/>
      <w:r>
        <w:rPr>
          <w:rFonts w:hint="eastAsia" w:ascii="黑体" w:hAnsi="黑体" w:eastAsia="黑体" w:cs="黑体"/>
          <w:color w:val="auto"/>
          <w:sz w:val="28"/>
          <w:szCs w:val="28"/>
          <w:highlight w:val="none"/>
        </w:rPr>
        <w:t>五、公告期限</w:t>
      </w:r>
      <w:bookmarkEnd w:id="20"/>
      <w:bookmarkEnd w:id="21"/>
      <w:bookmarkEnd w:id="22"/>
      <w:bookmarkEnd w:id="23"/>
    </w:p>
    <w:p w14:paraId="53C3B979">
      <w:pPr>
        <w:shd w:val="clea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9A089B0">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37BBEC4A">
      <w:pPr>
        <w:pStyle w:val="120"/>
        <w:shd w:val="clear"/>
        <w:rPr>
          <w:color w:val="auto"/>
          <w:highlight w:val="none"/>
        </w:rPr>
      </w:pPr>
      <w:bookmarkStart w:id="24" w:name="_Toc35393795"/>
      <w:bookmarkStart w:id="25" w:name="_Toc35393626"/>
      <w:r>
        <w:rPr>
          <w:color w:val="auto"/>
          <w:highlight w:val="none"/>
        </w:rPr>
        <w:t>窗体顶端</w:t>
      </w:r>
    </w:p>
    <w:p w14:paraId="2B0FE061">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投标保证金的金额：</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万元。不要求投标人提交投标保证金。</w:t>
      </w:r>
    </w:p>
    <w:p w14:paraId="3BA810A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24.4项约定的投标人。如在投标过程中投标人存在本招标文件第二章“投标人须知”中第24.4项约定情形，则无条件按招标人要求的金额、时间、账号缴纳投标保证金。</w:t>
      </w:r>
    </w:p>
    <w:p w14:paraId="01814087">
      <w:pPr>
        <w:pStyle w:val="121"/>
        <w:shd w:val="clear"/>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5D2C63F9">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654E962B">
      <w:pPr>
        <w:keepNext w:val="0"/>
        <w:keepLines w:val="0"/>
        <w:pageBreakBefore w:val="0"/>
        <w:widowControl w:val="0"/>
        <w:shd w:val="clear"/>
        <w:kinsoku/>
        <w:wordWrap w:val="0"/>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DF598EC">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6BB5F853">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65A7E833">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074C7AF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5.投标人提出异议的截止时间及方式：如投标人对招标文件有异议，请于2025年</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31</w:t>
      </w:r>
      <w:r>
        <w:rPr>
          <w:rFonts w:hint="eastAsia" w:ascii="仿宋" w:hAnsi="仿宋" w:eastAsia="仿宋"/>
          <w:color w:val="auto"/>
          <w:sz w:val="28"/>
          <w:szCs w:val="28"/>
          <w:highlight w:val="none"/>
        </w:rPr>
        <w:t>日08时（投标截止10日）前在滁州市公共资源交易中心网电子交易系统中进行异议，具体操作步骤和程序请参见服务指南&gt;交易须知&gt;在线异议、质疑和投诉操作手册。</w:t>
      </w:r>
    </w:p>
    <w:p w14:paraId="472C9D6B">
      <w:pPr>
        <w:keepNext w:val="0"/>
        <w:keepLines w:val="0"/>
        <w:pageBreakBefore w:val="0"/>
        <w:widowControl w:val="0"/>
        <w:shd w:val="clear"/>
        <w:kinsoku/>
        <w:wordWrap w:val="0"/>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 xml:space="preserve">李传旭 </w:t>
      </w:r>
      <w:r>
        <w:rPr>
          <w:rFonts w:hint="eastAsia" w:ascii="仿宋" w:hAnsi="仿宋" w:eastAsia="仿宋"/>
          <w:color w:val="auto"/>
          <w:sz w:val="28"/>
          <w:szCs w:val="28"/>
          <w:highlight w:val="none"/>
        </w:rPr>
        <w:t>0550-2201367、</w:t>
      </w:r>
      <w:r>
        <w:rPr>
          <w:rFonts w:hint="eastAsia" w:ascii="仿宋" w:hAnsi="仿宋" w:eastAsia="仿宋"/>
          <w:color w:val="auto"/>
          <w:sz w:val="28"/>
          <w:szCs w:val="28"/>
          <w:highlight w:val="none"/>
          <w:lang w:val="en-US" w:eastAsia="zh-CN"/>
        </w:rPr>
        <w:t>关勤勤</w:t>
      </w:r>
      <w:r>
        <w:rPr>
          <w:rFonts w:hint="eastAsia" w:ascii="仿宋" w:hAnsi="仿宋" w:eastAsia="仿宋"/>
          <w:color w:val="auto"/>
          <w:sz w:val="28"/>
          <w:szCs w:val="28"/>
          <w:highlight w:val="none"/>
        </w:rPr>
        <w:t>0550-3519590。</w:t>
      </w:r>
    </w:p>
    <w:p w14:paraId="0F692B9D">
      <w:pPr>
        <w:shd w:val="clea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0CC82A51">
      <w:pPr>
        <w:pStyle w:val="4"/>
        <w:pageBreakBefore w:val="0"/>
        <w:widowControl w:val="0"/>
        <w:numPr>
          <w:ilvl w:val="0"/>
          <w:numId w:val="0"/>
        </w:numPr>
        <w:shd w:val="clear"/>
        <w:kinsoku/>
        <w:wordWrap/>
        <w:overflowPunct/>
        <w:topLinePunct w:val="0"/>
        <w:autoSpaceDE/>
        <w:autoSpaceDN/>
        <w:bidi w:val="0"/>
        <w:adjustRightInd/>
        <w:snapToGrid/>
        <w:spacing w:line="480" w:lineRule="exact"/>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0401545F">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 xml:space="preserve">滁州市苏滁市政公用发展有限公司  </w:t>
      </w:r>
    </w:p>
    <w:p w14:paraId="3DCA736A">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滁州市中新苏滁高新技术产业开发区双城路66号</w:t>
      </w:r>
    </w:p>
    <w:p w14:paraId="08056FCB">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0550-2201367</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249116B2">
      <w:pPr>
        <w:pStyle w:val="4"/>
        <w:pageBreakBefore w:val="0"/>
        <w:widowControl w:val="0"/>
        <w:numPr>
          <w:ilvl w:val="0"/>
          <w:numId w:val="0"/>
        </w:numPr>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70760C51">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7D000023">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5C96A8C6">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w:t>
      </w:r>
      <w:r>
        <w:rPr>
          <w:rFonts w:hint="eastAsia" w:ascii="仿宋" w:hAnsi="仿宋" w:eastAsia="仿宋" w:cs="仿宋"/>
          <w:color w:val="auto"/>
          <w:sz w:val="28"/>
          <w:szCs w:val="28"/>
          <w:highlight w:val="none"/>
          <w:u w:val="single"/>
          <w:lang w:val="en-US" w:eastAsia="zh-CN"/>
        </w:rPr>
        <w:t>18909605753</w:t>
      </w:r>
    </w:p>
    <w:p w14:paraId="541ED5B8">
      <w:pPr>
        <w:pStyle w:val="4"/>
        <w:pageBreakBefore w:val="0"/>
        <w:widowControl w:val="0"/>
        <w:numPr>
          <w:ilvl w:val="0"/>
          <w:numId w:val="0"/>
        </w:numPr>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57C5BAD5">
      <w:pPr>
        <w:pStyle w:val="19"/>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李传旭</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关勤勤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28E7B289">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0550-2201367、0550-3519590 </w:t>
      </w:r>
    </w:p>
    <w:p w14:paraId="292B10E7">
      <w:pPr>
        <w:rPr>
          <w:rFonts w:hint="eastAsia"/>
          <w:color w:val="auto"/>
          <w:highlight w:val="none"/>
        </w:rPr>
      </w:pPr>
      <w:bookmarkStart w:id="26" w:name="_Toc20364"/>
      <w:r>
        <w:rPr>
          <w:rFonts w:hint="eastAsia"/>
          <w:color w:val="auto"/>
          <w:highlight w:val="none"/>
        </w:rPr>
        <w:br w:type="page"/>
      </w:r>
    </w:p>
    <w:p w14:paraId="32C05E22">
      <w:pPr>
        <w:pStyle w:val="3"/>
        <w:keepNext/>
        <w:keepLines/>
        <w:pageBreakBefore w:val="0"/>
        <w:widowControl w:val="0"/>
        <w:shd w:val="clear"/>
        <w:kinsoku/>
        <w:wordWrap/>
        <w:overflowPunct/>
        <w:topLinePunct w:val="0"/>
        <w:autoSpaceDE/>
        <w:autoSpaceDN/>
        <w:bidi w:val="0"/>
        <w:adjustRightInd/>
        <w:snapToGrid/>
        <w:spacing w:beforeLines="50" w:afterLines="50" w:line="520" w:lineRule="exact"/>
        <w:textAlignment w:val="auto"/>
        <w:rPr>
          <w:rFonts w:ascii="宋体"/>
          <w:b w:val="0"/>
          <w:color w:val="auto"/>
          <w:szCs w:val="32"/>
          <w:highlight w:val="none"/>
        </w:rPr>
      </w:pPr>
      <w:r>
        <w:rPr>
          <w:rFonts w:hint="eastAsia"/>
          <w:color w:val="auto"/>
          <w:highlight w:val="none"/>
        </w:rPr>
        <w:t>第二章 投标人须知</w:t>
      </w:r>
      <w:bookmarkEnd w:id="26"/>
    </w:p>
    <w:p w14:paraId="340B4472">
      <w:pPr>
        <w:shd w:val="clear"/>
        <w:snapToGrid w:val="0"/>
        <w:spacing w:line="440" w:lineRule="exact"/>
        <w:jc w:val="center"/>
        <w:outlineLvl w:val="1"/>
        <w:rPr>
          <w:rFonts w:ascii="宋体"/>
          <w:b/>
          <w:color w:val="auto"/>
          <w:sz w:val="28"/>
          <w:szCs w:val="28"/>
          <w:highlight w:val="none"/>
        </w:rPr>
      </w:pPr>
      <w:bookmarkStart w:id="27" w:name="_Toc449028865"/>
      <w:bookmarkStart w:id="28" w:name="_Toc58430314"/>
      <w:bookmarkStart w:id="29" w:name="_Toc1019"/>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7"/>
      <w:bookmarkEnd w:id="28"/>
      <w:bookmarkEnd w:id="29"/>
    </w:p>
    <w:tbl>
      <w:tblPr>
        <w:tblStyle w:val="36"/>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4919BC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7959D60F">
            <w:pPr>
              <w:pStyle w:val="19"/>
              <w:shd w:val="clear"/>
              <w:spacing w:line="500" w:lineRule="exact"/>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01326B29">
            <w:pPr>
              <w:pStyle w:val="19"/>
              <w:shd w:val="clear"/>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7D47AF78">
            <w:pPr>
              <w:pStyle w:val="19"/>
              <w:shd w:val="clear"/>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7B175F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1048" w:type="dxa"/>
            <w:vAlign w:val="center"/>
          </w:tcPr>
          <w:p w14:paraId="44548235">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6E0A56A">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2A7A73AB">
            <w:pPr>
              <w:pStyle w:val="19"/>
              <w:shd w:val="clear"/>
              <w:spacing w:line="500" w:lineRule="exact"/>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中新苏滁高新区2025-2028年度道路照明等设施维护服务项目</w:t>
            </w:r>
          </w:p>
        </w:tc>
      </w:tr>
      <w:tr w14:paraId="2C908A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5B829123">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2CEC1A84">
            <w:pPr>
              <w:pStyle w:val="19"/>
              <w:shd w:val="clear"/>
              <w:spacing w:line="500" w:lineRule="exact"/>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05A8D5EC">
            <w:pPr>
              <w:pStyle w:val="19"/>
              <w:shd w:val="clear"/>
              <w:spacing w:line="500" w:lineRule="exact"/>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czsjqt202510-009</w:t>
            </w:r>
          </w:p>
        </w:tc>
      </w:tr>
      <w:tr w14:paraId="7C264E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0655D082">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59331298">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27F0F0A2">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本项目服务期</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合同一年一签，年度考核合格后续签下一年合同。</w:t>
            </w:r>
          </w:p>
        </w:tc>
      </w:tr>
      <w:tr w14:paraId="4C73D5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E6224D0">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2D964F7C">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1B36716C">
            <w:pPr>
              <w:pStyle w:val="19"/>
              <w:shd w:val="clear"/>
              <w:spacing w:line="500" w:lineRule="exact"/>
              <w:rPr>
                <w:rFonts w:hAnsi="宋体" w:cs="宋体"/>
                <w:color w:val="auto"/>
                <w:szCs w:val="21"/>
                <w:highlight w:val="none"/>
              </w:rPr>
            </w:pPr>
            <w:r>
              <w:rPr>
                <w:rFonts w:hint="eastAsia" w:hAnsi="宋体" w:cs="宋体"/>
                <w:color w:val="auto"/>
                <w:szCs w:val="21"/>
                <w:highlight w:val="none"/>
              </w:rPr>
              <w:t>滁州市内</w:t>
            </w:r>
          </w:p>
        </w:tc>
      </w:tr>
      <w:tr w14:paraId="2EDB6F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2143E42D">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C738029">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6DF838C8">
            <w:pPr>
              <w:pStyle w:val="19"/>
              <w:shd w:val="clear"/>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李传旭</w:t>
            </w:r>
            <w:r>
              <w:rPr>
                <w:rFonts w:hint="eastAsia" w:hAnsi="宋体" w:cs="宋体"/>
                <w:color w:val="auto"/>
                <w:szCs w:val="21"/>
                <w:highlight w:val="none"/>
              </w:rPr>
              <w:t xml:space="preserve">              电话：0550-2201367</w:t>
            </w:r>
          </w:p>
        </w:tc>
      </w:tr>
      <w:tr w14:paraId="48EA6B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055236AD">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85EA7E4">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54529F4">
            <w:pPr>
              <w:pStyle w:val="19"/>
              <w:shd w:val="clear"/>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关勤勤</w:t>
            </w:r>
            <w:r>
              <w:rPr>
                <w:rFonts w:hint="eastAsia" w:hAnsi="宋体" w:cs="宋体"/>
                <w:color w:val="auto"/>
                <w:szCs w:val="21"/>
                <w:highlight w:val="none"/>
              </w:rPr>
              <w:t xml:space="preserve">              电话0550-3519590   </w:t>
            </w:r>
            <w:r>
              <w:rPr>
                <w:rFonts w:hint="eastAsia" w:hAnsi="宋体" w:cs="宋体"/>
                <w:color w:val="auto"/>
                <w:szCs w:val="21"/>
                <w:highlight w:val="none"/>
                <w:lang w:val="en-US" w:eastAsia="zh-CN"/>
              </w:rPr>
              <w:t>18909605753</w:t>
            </w:r>
          </w:p>
        </w:tc>
      </w:tr>
      <w:tr w14:paraId="1D9103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05C0347A">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6A80AAAE">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 xml:space="preserve">资金来源                                                                                                                                                                 </w:t>
            </w:r>
          </w:p>
        </w:tc>
        <w:tc>
          <w:tcPr>
            <w:tcW w:w="6610" w:type="dxa"/>
            <w:vAlign w:val="center"/>
          </w:tcPr>
          <w:p w14:paraId="1D5D45BB">
            <w:pPr>
              <w:pStyle w:val="19"/>
              <w:shd w:val="clear"/>
              <w:spacing w:line="500" w:lineRule="exact"/>
              <w:rPr>
                <w:rFonts w:hAnsi="宋体" w:cs="宋体"/>
                <w:color w:val="auto"/>
                <w:szCs w:val="21"/>
                <w:highlight w:val="none"/>
              </w:rPr>
            </w:pPr>
            <w:r>
              <w:rPr>
                <w:rFonts w:hint="eastAsia" w:hAnsi="宋体" w:cs="宋体"/>
                <w:color w:val="auto"/>
                <w:szCs w:val="21"/>
                <w:highlight w:val="none"/>
              </w:rPr>
              <w:t>自筹资金</w:t>
            </w:r>
          </w:p>
        </w:tc>
      </w:tr>
      <w:tr w14:paraId="24F297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0BA22E9B">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7CEE53D0">
            <w:pPr>
              <w:pStyle w:val="19"/>
              <w:shd w:val="clear"/>
              <w:spacing w:line="500" w:lineRule="exact"/>
              <w:rPr>
                <w:rFonts w:hAnsi="宋体" w:cs="宋体"/>
                <w:color w:val="auto"/>
                <w:szCs w:val="21"/>
                <w:highlight w:val="none"/>
              </w:rPr>
            </w:pPr>
            <w:r>
              <w:rPr>
                <w:rFonts w:hint="eastAsia" w:hAnsi="宋体" w:cs="宋体"/>
                <w:color w:val="auto"/>
                <w:szCs w:val="21"/>
                <w:highlight w:val="none"/>
                <w:lang w:val="en-US" w:eastAsia="zh-CN"/>
              </w:rPr>
              <w:t>采购</w:t>
            </w:r>
            <w:r>
              <w:rPr>
                <w:rFonts w:hint="eastAsia" w:hAnsi="宋体" w:cs="宋体"/>
                <w:color w:val="auto"/>
                <w:szCs w:val="21"/>
                <w:highlight w:val="none"/>
              </w:rPr>
              <w:t>预算</w:t>
            </w:r>
          </w:p>
        </w:tc>
        <w:tc>
          <w:tcPr>
            <w:tcW w:w="6610" w:type="dxa"/>
            <w:vAlign w:val="center"/>
          </w:tcPr>
          <w:p w14:paraId="1B1FD111">
            <w:pPr>
              <w:pStyle w:val="19"/>
              <w:shd w:val="clear"/>
              <w:spacing w:line="500" w:lineRule="exact"/>
              <w:rPr>
                <w:rFonts w:hAnsi="宋体" w:cs="宋体"/>
                <w:color w:val="auto"/>
                <w:szCs w:val="21"/>
                <w:highlight w:val="none"/>
              </w:rPr>
            </w:pPr>
            <w:r>
              <w:rPr>
                <w:rFonts w:hint="eastAsia" w:hAnsi="宋体" w:cs="宋体"/>
                <w:color w:val="auto"/>
                <w:szCs w:val="21"/>
                <w:highlight w:val="none"/>
                <w:lang w:val="en-US" w:eastAsia="zh-CN"/>
              </w:rPr>
              <w:t>4430410</w:t>
            </w:r>
            <w:r>
              <w:rPr>
                <w:rFonts w:hint="eastAsia" w:hAnsi="宋体" w:cs="宋体"/>
                <w:color w:val="auto"/>
                <w:szCs w:val="21"/>
                <w:highlight w:val="none"/>
              </w:rPr>
              <w:t>元</w:t>
            </w:r>
            <w:r>
              <w:rPr>
                <w:rFonts w:hint="eastAsia" w:hAnsi="宋体" w:cs="宋体"/>
                <w:color w:val="auto"/>
                <w:szCs w:val="21"/>
                <w:highlight w:val="none"/>
                <w:lang w:val="en-US" w:eastAsia="zh-CN"/>
              </w:rPr>
              <w:t>/年，三年13291230元</w:t>
            </w:r>
          </w:p>
        </w:tc>
      </w:tr>
      <w:tr w14:paraId="1ADBE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6ED05298">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1795133E">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6419D552">
            <w:pPr>
              <w:keepNext w:val="0"/>
              <w:keepLines w:val="0"/>
              <w:pageBreakBefore w:val="0"/>
              <w:shd w:val="clear"/>
              <w:kinsoku/>
              <w:wordWrap/>
              <w:overflowPunct/>
              <w:autoSpaceDE/>
              <w:autoSpaceDN/>
              <w:bidi w:val="0"/>
              <w:adjustRightInd w:val="0"/>
              <w:snapToGrid w:val="0"/>
              <w:spacing w:line="44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本项目投标报价采用百分比报价，投标人投标报价（费率）不得高于100%，否则，其投标文件按无效投标处理。</w:t>
            </w:r>
          </w:p>
          <w:p w14:paraId="106E4EAE">
            <w:pPr>
              <w:keepNext w:val="0"/>
              <w:keepLines w:val="0"/>
              <w:pageBreakBefore w:val="0"/>
              <w:shd w:val="clear"/>
              <w:kinsoku/>
              <w:wordWrap/>
              <w:overflowPunct/>
              <w:autoSpaceDE/>
              <w:autoSpaceDN/>
              <w:bidi w:val="0"/>
              <w:adjustRightInd w:val="0"/>
              <w:snapToGrid w:val="0"/>
              <w:spacing w:line="440" w:lineRule="exact"/>
              <w:textAlignment w:val="auto"/>
              <w:rPr>
                <w:rFonts w:hint="default"/>
                <w:color w:val="auto"/>
                <w:highlight w:val="none"/>
                <w:lang w:val="en-US" w:eastAsia="zh-CN"/>
              </w:rPr>
            </w:pPr>
            <w:r>
              <w:rPr>
                <w:rFonts w:hint="eastAsia" w:hAnsi="宋体" w:cs="宋体"/>
                <w:b/>
                <w:color w:val="auto"/>
                <w:szCs w:val="21"/>
                <w:highlight w:val="none"/>
              </w:rPr>
              <w:t>本项目以</w:t>
            </w:r>
            <w:r>
              <w:rPr>
                <w:rFonts w:hint="eastAsia" w:hAnsi="宋体" w:cs="宋体"/>
                <w:b/>
                <w:color w:val="auto"/>
                <w:szCs w:val="21"/>
                <w:highlight w:val="none"/>
                <w:lang w:val="en-US" w:eastAsia="zh-CN"/>
              </w:rPr>
              <w:t>招标人发布的</w:t>
            </w:r>
            <w:r>
              <w:rPr>
                <w:rFonts w:hint="eastAsia" w:hAnsi="宋体" w:cs="宋体"/>
                <w:b/>
                <w:color w:val="auto"/>
                <w:szCs w:val="21"/>
                <w:highlight w:val="none"/>
              </w:rPr>
              <w:t>全费用综合单价为计算基数，若投标人报价为</w:t>
            </w:r>
            <w:r>
              <w:rPr>
                <w:rFonts w:hint="eastAsia" w:hAnsi="宋体" w:cs="宋体"/>
                <w:b/>
                <w:color w:val="auto"/>
                <w:szCs w:val="21"/>
                <w:highlight w:val="none"/>
                <w:lang w:val="en-US" w:eastAsia="zh-CN"/>
              </w:rPr>
              <w:t>80</w:t>
            </w:r>
            <w:r>
              <w:rPr>
                <w:rFonts w:hint="eastAsia" w:hAnsi="宋体" w:cs="宋体"/>
                <w:b/>
                <w:color w:val="auto"/>
                <w:szCs w:val="21"/>
                <w:highlight w:val="none"/>
              </w:rPr>
              <w:t>%，则结算单价=全费用综合单价</w:t>
            </w:r>
            <w:r>
              <w:rPr>
                <w:rFonts w:hint="eastAsia" w:ascii="Times New Roman" w:hAnsi="宋体" w:eastAsia="宋体" w:cs="宋体"/>
                <w:b/>
                <w:color w:val="auto"/>
                <w:szCs w:val="21"/>
                <w:highlight w:val="none"/>
              </w:rPr>
              <w:t>×</w:t>
            </w:r>
            <w:r>
              <w:rPr>
                <w:rFonts w:hint="eastAsia" w:ascii="Times New Roman" w:hAnsi="宋体" w:eastAsia="宋体" w:cs="宋体"/>
                <w:b/>
                <w:color w:val="auto"/>
                <w:szCs w:val="21"/>
                <w:highlight w:val="none"/>
                <w:lang w:val="en-US" w:eastAsia="zh-CN"/>
              </w:rPr>
              <w:t>80</w:t>
            </w:r>
            <w:r>
              <w:rPr>
                <w:rFonts w:hint="eastAsia" w:ascii="Times New Roman" w:hAnsi="宋体" w:eastAsia="宋体" w:cs="宋体"/>
                <w:b/>
                <w:color w:val="auto"/>
                <w:szCs w:val="21"/>
                <w:highlight w:val="none"/>
              </w:rPr>
              <w:t>%，</w:t>
            </w:r>
            <w:r>
              <w:rPr>
                <w:rFonts w:hint="eastAsia" w:hAnsi="宋体" w:cs="宋体"/>
                <w:b/>
                <w:color w:val="auto"/>
                <w:szCs w:val="21"/>
                <w:highlight w:val="none"/>
                <w:lang w:val="en-US" w:eastAsia="zh-CN"/>
              </w:rPr>
              <w:t>每年</w:t>
            </w:r>
            <w:r>
              <w:rPr>
                <w:rFonts w:hint="eastAsia" w:hAnsi="宋体" w:eastAsia="宋体" w:cs="宋体"/>
                <w:b/>
                <w:color w:val="auto"/>
                <w:szCs w:val="21"/>
                <w:highlight w:val="none"/>
              </w:rPr>
              <w:t>结算总价为</w:t>
            </w:r>
            <w:r>
              <w:rPr>
                <w:rFonts w:hint="eastAsia" w:hAnsi="宋体" w:eastAsia="宋体" w:cs="宋体"/>
                <w:b/>
                <w:color w:val="auto"/>
                <w:szCs w:val="21"/>
                <w:highlight w:val="none"/>
                <w:lang w:val="en-US" w:eastAsia="zh-CN"/>
              </w:rPr>
              <w:t>不得超过采购预算</w:t>
            </w:r>
            <w:r>
              <w:rPr>
                <w:rFonts w:hint="eastAsia" w:hAnsi="宋体" w:eastAsia="宋体" w:cs="宋体"/>
                <w:b/>
                <w:color w:val="auto"/>
                <w:szCs w:val="21"/>
                <w:highlight w:val="none"/>
              </w:rPr>
              <w:t>。</w:t>
            </w:r>
            <w:r>
              <w:rPr>
                <w:rFonts w:hint="eastAsia" w:ascii="宋体" w:hAnsi="宋体" w:eastAsia="宋体" w:cs="宋体"/>
                <w:b/>
                <w:bCs w:val="0"/>
                <w:color w:val="auto"/>
                <w:kern w:val="0"/>
                <w:sz w:val="21"/>
                <w:szCs w:val="21"/>
                <w:highlight w:val="none"/>
                <w:u w:val="none"/>
                <w:lang w:val="en-US" w:eastAsia="zh-CN" w:bidi="ar-SA"/>
              </w:rPr>
              <w:t>中标单位需对工程量及时进行计量，超出部分不予结算。</w:t>
            </w:r>
          </w:p>
          <w:p w14:paraId="49B2E147">
            <w:pPr>
              <w:shd w:val="clear"/>
              <w:spacing w:line="500" w:lineRule="exact"/>
              <w:rPr>
                <w:rFonts w:ascii="宋体" w:hAnsi="宋体" w:cs="宋体"/>
                <w:color w:val="auto"/>
                <w:szCs w:val="21"/>
                <w:highlight w:val="none"/>
                <w:u w:color="000000"/>
              </w:rPr>
            </w:pPr>
            <w:r>
              <w:rPr>
                <w:rFonts w:hint="eastAsia" w:ascii="Times New Roman" w:eastAsia="宋体"/>
                <w:b/>
                <w:bCs/>
                <w:color w:val="auto"/>
                <w:highlight w:val="none"/>
                <w:lang w:val="en-US" w:eastAsia="zh-CN"/>
              </w:rPr>
              <w:t>注：投标报价费率小数点后最多保留两位小数，如填报多位小数的，按小数点后第3位四舍五入修正投标报价费率（如：某投标报价费率为95.567％，则修正为95.57％；某投标报价费率为77.884％，则修正为77.88％）</w:t>
            </w:r>
          </w:p>
        </w:tc>
      </w:tr>
      <w:tr w14:paraId="096633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250A6041">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BC21E71">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14447CC0">
            <w:pPr>
              <w:pStyle w:val="19"/>
              <w:shd w:val="clear"/>
              <w:spacing w:line="500" w:lineRule="exact"/>
              <w:rPr>
                <w:rFonts w:hAnsi="宋体" w:cs="宋体"/>
                <w:color w:val="auto"/>
                <w:szCs w:val="21"/>
                <w:highlight w:val="none"/>
              </w:rPr>
            </w:pPr>
            <w:r>
              <w:rPr>
                <w:rFonts w:hint="eastAsia" w:hAnsi="宋体" w:cs="宋体"/>
                <w:b/>
                <w:color w:val="auto"/>
                <w:kern w:val="0"/>
                <w:szCs w:val="21"/>
                <w:highlight w:val="none"/>
              </w:rPr>
              <w:t>具体</w:t>
            </w:r>
            <w:r>
              <w:rPr>
                <w:rFonts w:hint="eastAsia" w:hAnsi="宋体" w:cs="宋体"/>
                <w:b/>
                <w:color w:val="auto"/>
                <w:kern w:val="0"/>
                <w:szCs w:val="21"/>
                <w:highlight w:val="none"/>
                <w:lang w:val="en-US" w:eastAsia="zh-CN"/>
              </w:rPr>
              <w:t>详见《采购内容及技术要求》和合同条款内容</w:t>
            </w:r>
          </w:p>
        </w:tc>
      </w:tr>
      <w:tr w14:paraId="3F58B8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C55ADD8">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117551AB">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610" w:type="dxa"/>
            <w:vAlign w:val="center"/>
          </w:tcPr>
          <w:p w14:paraId="2A5597AC">
            <w:pPr>
              <w:pStyle w:val="19"/>
              <w:shd w:val="clear"/>
              <w:spacing w:line="500" w:lineRule="exact"/>
              <w:rPr>
                <w:rFonts w:hint="eastAsia" w:hAnsi="宋体" w:eastAsia="宋体" w:cs="宋体"/>
                <w:color w:val="auto"/>
                <w:szCs w:val="21"/>
                <w:highlight w:val="none"/>
                <w:lang w:val="en-US" w:eastAsia="zh-CN"/>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w:t>
            </w:r>
            <w:r>
              <w:rPr>
                <w:rFonts w:hint="eastAsia" w:hAnsi="宋体" w:cs="宋体"/>
                <w:color w:val="auto"/>
                <w:szCs w:val="21"/>
                <w:highlight w:val="none"/>
                <w:lang w:val="en-US" w:eastAsia="zh-CN"/>
              </w:rPr>
              <w:t>段</w:t>
            </w:r>
          </w:p>
        </w:tc>
      </w:tr>
      <w:tr w14:paraId="01350C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33DB9270">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4C0D8CE5">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5D2EF253">
            <w:pPr>
              <w:pStyle w:val="19"/>
              <w:shd w:val="clear"/>
              <w:spacing w:line="500" w:lineRule="exact"/>
              <w:rPr>
                <w:rFonts w:hAnsi="宋体" w:cs="宋体"/>
                <w:color w:val="auto"/>
                <w:szCs w:val="21"/>
                <w:highlight w:val="none"/>
              </w:rPr>
            </w:pPr>
            <w:r>
              <w:rPr>
                <w:rFonts w:hint="eastAsia" w:hAnsi="宋体" w:cs="宋体"/>
                <w:color w:val="auto"/>
                <w:szCs w:val="21"/>
                <w:highlight w:val="none"/>
              </w:rPr>
              <w:t>公开招标</w:t>
            </w:r>
          </w:p>
        </w:tc>
      </w:tr>
      <w:tr w14:paraId="20D077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20A72F57">
            <w:pPr>
              <w:pStyle w:val="19"/>
              <w:shd w:val="clear"/>
              <w:spacing w:line="500" w:lineRule="exact"/>
              <w:jc w:val="center"/>
              <w:rPr>
                <w:rFonts w:hint="eastAsia" w:hAnsi="宋体" w:eastAsia="宋体" w:cs="宋体"/>
                <w:color w:val="auto"/>
                <w:szCs w:val="21"/>
                <w:highlight w:val="none"/>
                <w:lang w:eastAsia="zh-CN"/>
              </w:rPr>
            </w:pPr>
            <w:r>
              <w:rPr>
                <w:rFonts w:hint="eastAsia" w:hAnsi="宋体" w:cs="宋体"/>
                <w:color w:val="auto"/>
                <w:szCs w:val="21"/>
                <w:highlight w:val="none"/>
              </w:rPr>
              <w:t>7.</w:t>
            </w:r>
            <w:r>
              <w:rPr>
                <w:rFonts w:hint="eastAsia" w:hAnsi="宋体" w:cs="宋体"/>
                <w:color w:val="auto"/>
                <w:szCs w:val="21"/>
                <w:highlight w:val="none"/>
                <w:lang w:val="en-US" w:eastAsia="zh-CN"/>
              </w:rPr>
              <w:t>1</w:t>
            </w:r>
          </w:p>
        </w:tc>
        <w:tc>
          <w:tcPr>
            <w:tcW w:w="2140" w:type="dxa"/>
            <w:gridSpan w:val="2"/>
            <w:vAlign w:val="center"/>
          </w:tcPr>
          <w:p w14:paraId="7AA1F7BB">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021339A2">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1384DD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3BC3A78">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6785A945">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2EC8505A">
            <w:pPr>
              <w:pStyle w:val="19"/>
              <w:shd w:val="clear"/>
              <w:spacing w:line="500" w:lineRule="exact"/>
              <w:rPr>
                <w:rFonts w:hAnsi="宋体" w:cs="宋体"/>
                <w:color w:val="auto"/>
                <w:szCs w:val="21"/>
                <w:highlight w:val="none"/>
              </w:rPr>
            </w:pPr>
            <w:r>
              <w:rPr>
                <w:rFonts w:hint="eastAsia" w:hAnsi="宋体" w:cs="宋体"/>
                <w:color w:val="auto"/>
                <w:szCs w:val="21"/>
                <w:highlight w:val="none"/>
              </w:rPr>
              <w:t>不组织,投标人自行踏勘。</w:t>
            </w:r>
          </w:p>
        </w:tc>
      </w:tr>
      <w:tr w14:paraId="388661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9774B29">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49BEE084">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78E797DA">
            <w:pPr>
              <w:pStyle w:val="19"/>
              <w:shd w:val="clear"/>
              <w:spacing w:line="500" w:lineRule="exact"/>
              <w:rPr>
                <w:rFonts w:hAnsi="宋体" w:cs="宋体"/>
                <w:color w:val="auto"/>
                <w:szCs w:val="21"/>
                <w:highlight w:val="none"/>
              </w:rPr>
            </w:pPr>
            <w:r>
              <w:rPr>
                <w:rFonts w:hint="eastAsia" w:hAnsi="宋体" w:cs="宋体"/>
                <w:color w:val="auto"/>
                <w:szCs w:val="21"/>
                <w:highlight w:val="none"/>
              </w:rPr>
              <w:t>不召开</w:t>
            </w:r>
          </w:p>
        </w:tc>
      </w:tr>
      <w:tr w14:paraId="3C675E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1865D638">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7B98E6C8">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38AA695A">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46000</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(参考计价格[2002]1980号文件60%)</w:t>
            </w:r>
            <w:r>
              <w:rPr>
                <w:rFonts w:hint="eastAsia" w:ascii="宋体" w:hAnsi="宋体" w:cs="宋体"/>
                <w:color w:val="auto"/>
                <w:szCs w:val="21"/>
                <w:highlight w:val="none"/>
              </w:rPr>
              <w:t>。</w:t>
            </w:r>
          </w:p>
          <w:p w14:paraId="5289A2C3">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代理服务费支付主体：中标单位。</w:t>
            </w:r>
          </w:p>
          <w:p w14:paraId="0CA95AB5">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专家评审费支付主体：代理机构。</w:t>
            </w:r>
          </w:p>
        </w:tc>
      </w:tr>
      <w:tr w14:paraId="35729B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6C10CCB2">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0295400A">
            <w:pPr>
              <w:pStyle w:val="19"/>
              <w:shd w:val="clear"/>
              <w:spacing w:line="500" w:lineRule="exact"/>
              <w:jc w:val="left"/>
              <w:rPr>
                <w:rFonts w:ascii="宋体"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6217100C">
            <w:pPr>
              <w:pStyle w:val="19"/>
              <w:keepNext w:val="0"/>
              <w:keepLines w:val="0"/>
              <w:pageBreakBefore w:val="0"/>
              <w:widowControl w:val="0"/>
              <w:shd w:val="clear"/>
              <w:kinsoku/>
              <w:wordWrap w:val="0"/>
              <w:overflowPunct/>
              <w:topLinePunct w:val="0"/>
              <w:autoSpaceDE/>
              <w:autoSpaceDN/>
              <w:bidi w:val="0"/>
              <w:adjustRightInd/>
              <w:snapToGrid/>
              <w:spacing w:line="500" w:lineRule="exact"/>
              <w:textAlignment w:val="auto"/>
              <w:rPr>
                <w:rFonts w:ascii="宋体"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2025年</w:t>
            </w:r>
            <w:r>
              <w:rPr>
                <w:rFonts w:hint="eastAsia" w:hAnsi="宋体" w:cs="宋体"/>
                <w:b/>
                <w:bCs/>
                <w:color w:val="auto"/>
                <w:szCs w:val="21"/>
                <w:highlight w:val="none"/>
                <w:lang w:val="en-US" w:eastAsia="zh-CN"/>
              </w:rPr>
              <w:t>10</w:t>
            </w:r>
            <w:r>
              <w:rPr>
                <w:rFonts w:hint="eastAsia" w:hAnsi="宋体" w:cs="宋体"/>
                <w:b/>
                <w:bCs/>
                <w:color w:val="auto"/>
                <w:szCs w:val="21"/>
                <w:highlight w:val="none"/>
              </w:rPr>
              <w:t>月</w:t>
            </w:r>
            <w:r>
              <w:rPr>
                <w:rFonts w:hint="eastAsia" w:hAnsi="宋体" w:cs="宋体"/>
                <w:b/>
                <w:bCs/>
                <w:color w:val="auto"/>
                <w:szCs w:val="21"/>
                <w:highlight w:val="none"/>
                <w:lang w:val="en-US" w:eastAsia="zh-CN"/>
              </w:rPr>
              <w:t>31</w:t>
            </w:r>
            <w:r>
              <w:rPr>
                <w:rFonts w:hint="eastAsia" w:hAnsi="宋体" w:cs="宋体"/>
                <w:b/>
                <w:bCs/>
                <w:color w:val="auto"/>
                <w:szCs w:val="21"/>
                <w:highlight w:val="none"/>
              </w:rPr>
              <w:t>日8时</w:t>
            </w:r>
            <w:r>
              <w:rPr>
                <w:rFonts w:hint="eastAsia" w:hAnsi="宋体" w:cs="宋体"/>
                <w:color w:val="auto"/>
                <w:szCs w:val="21"/>
                <w:highlight w:val="none"/>
              </w:rPr>
              <w:t xml:space="preserve">（投标截止10日）前在滁州市公共资源交易中心网电子交易系统中进行异议（质疑），具体操作步骤和程序请参见服务指南&gt;交易须知&gt;在线异议、质疑和投诉操作手册。 </w:t>
            </w:r>
          </w:p>
        </w:tc>
      </w:tr>
      <w:tr w14:paraId="31195C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26F159C1">
            <w:pPr>
              <w:shd w:val="clear"/>
              <w:spacing w:line="5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16.4</w:t>
            </w:r>
          </w:p>
        </w:tc>
        <w:tc>
          <w:tcPr>
            <w:tcW w:w="2140" w:type="dxa"/>
            <w:gridSpan w:val="2"/>
            <w:vAlign w:val="center"/>
          </w:tcPr>
          <w:p w14:paraId="7BF75BD0">
            <w:pPr>
              <w:pStyle w:val="19"/>
              <w:shd w:val="clear"/>
              <w:spacing w:line="500" w:lineRule="exact"/>
              <w:jc w:val="left"/>
              <w:rPr>
                <w:rFonts w:hint="eastAsia" w:ascii="宋体"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734C1AB6">
            <w:pPr>
              <w:keepNext w:val="0"/>
              <w:keepLines w:val="0"/>
              <w:pageBreakBefore w:val="0"/>
              <w:widowControl w:val="0"/>
              <w:shd w:val="clear"/>
              <w:kinsoku/>
              <w:wordWrap w:val="0"/>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u w:color="000000"/>
              </w:rPr>
              <w:t>2025年</w:t>
            </w:r>
            <w:r>
              <w:rPr>
                <w:rFonts w:hint="eastAsia" w:ascii="宋体" w:hAnsi="宋体" w:cs="宋体"/>
                <w:b/>
                <w:bCs/>
                <w:color w:val="auto"/>
                <w:szCs w:val="21"/>
                <w:highlight w:val="none"/>
                <w:u w:color="000000"/>
                <w:lang w:val="en-US" w:eastAsia="zh-CN"/>
              </w:rPr>
              <w:t>11</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3</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7482F4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74773649">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77FD3CA6">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5540C305">
            <w:pPr>
              <w:pStyle w:val="19"/>
              <w:shd w:val="clear"/>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1BD461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66C28A3F">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0C8B6233">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19395677">
            <w:pPr>
              <w:widowControl/>
              <w:shd w:val="clear" w:color="auto"/>
              <w:spacing w:line="500" w:lineRule="exact"/>
              <w:jc w:val="left"/>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480A8B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24923DFF">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0E517D6F">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5794973B">
            <w:pPr>
              <w:widowControl/>
              <w:shd w:val="clear"/>
              <w:spacing w:line="500" w:lineRule="exact"/>
              <w:ind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6EF76A6F">
            <w:pPr>
              <w:widowControl/>
              <w:shd w:val="clear"/>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（投标单位中标后须递交与网上电子投标文件完全一致的纸质版投标文件，并按要求加盖公章；份数：正本1份，副本2份；中标单位领取中标通知书时，一并递交给代理机构）</w:t>
            </w:r>
          </w:p>
        </w:tc>
      </w:tr>
      <w:tr w14:paraId="42EE8F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1677B3C">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46655E2E">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3BD525D3">
            <w:pPr>
              <w:widowControl/>
              <w:shd w:val="clear"/>
              <w:spacing w:line="5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09A3BBA">
            <w:pPr>
              <w:widowControl/>
              <w:shd w:val="clear"/>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7E1EF6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7BAC04FC">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061F7399">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6C62444C">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2025年</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日8点00分（北京时间）</w:t>
            </w:r>
          </w:p>
          <w:p w14:paraId="2EFCEA5D">
            <w:pPr>
              <w:shd w:val="clear"/>
              <w:spacing w:line="500" w:lineRule="exact"/>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0C116C23">
            <w:pPr>
              <w:shd w:val="clea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50E733F0">
            <w:pPr>
              <w:shd w:val="clear"/>
              <w:wordWrap w:val="0"/>
              <w:spacing w:line="500" w:lineRule="exact"/>
              <w:rPr>
                <w:rFonts w:ascii="宋体" w:hAnsi="宋体" w:cs="宋体"/>
                <w:color w:val="auto"/>
                <w:szCs w:val="21"/>
                <w:highlight w:val="none"/>
              </w:rPr>
            </w:pPr>
            <w:r>
              <w:rPr>
                <w:rFonts w:hint="eastAsia" w:ascii="宋体" w:hAnsi="宋体" w:cs="宋体"/>
                <w:b/>
                <w:bCs/>
                <w:color w:val="auto"/>
                <w:szCs w:val="21"/>
                <w:highlight w:val="none"/>
              </w:rPr>
              <w:t>2.解密时间为2025年</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日08点00分至2025年</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日09点00分。</w:t>
            </w:r>
          </w:p>
        </w:tc>
      </w:tr>
      <w:tr w14:paraId="0AF05A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E80AE6E">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w:t>
            </w:r>
          </w:p>
        </w:tc>
        <w:tc>
          <w:tcPr>
            <w:tcW w:w="2140" w:type="dxa"/>
            <w:gridSpan w:val="2"/>
            <w:vAlign w:val="center"/>
          </w:tcPr>
          <w:p w14:paraId="1A1347DE">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549FE70E">
            <w:pPr>
              <w:shd w:val="clear"/>
              <w:spacing w:line="500" w:lineRule="exact"/>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2025年</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日08点00分（北京时间）</w:t>
            </w:r>
          </w:p>
          <w:p w14:paraId="7DF892C9">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开标地点：滁州市公共资源交易中心(滁州市龙蟠大道109号房产商务大厦二楼)</w:t>
            </w:r>
          </w:p>
        </w:tc>
      </w:tr>
      <w:tr w14:paraId="4A5AC7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0E552998">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w:t>
            </w:r>
          </w:p>
        </w:tc>
        <w:tc>
          <w:tcPr>
            <w:tcW w:w="2140" w:type="dxa"/>
            <w:gridSpan w:val="2"/>
            <w:vAlign w:val="center"/>
          </w:tcPr>
          <w:p w14:paraId="2CE51403">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3AD06AA7">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7E0B13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2326C1DB">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lang w:val="en-US" w:eastAsia="zh-CN"/>
              </w:rPr>
              <w:t>30</w:t>
            </w:r>
            <w:r>
              <w:rPr>
                <w:rFonts w:hint="eastAsia" w:hAnsi="宋体" w:cs="宋体"/>
                <w:color w:val="auto"/>
                <w:szCs w:val="21"/>
                <w:highlight w:val="none"/>
              </w:rPr>
              <w:t>.1</w:t>
            </w:r>
          </w:p>
        </w:tc>
        <w:tc>
          <w:tcPr>
            <w:tcW w:w="2140" w:type="dxa"/>
            <w:gridSpan w:val="2"/>
            <w:vAlign w:val="center"/>
          </w:tcPr>
          <w:p w14:paraId="3CCD0D37">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57C3C329">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人，专家评委</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652A9BEE">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评标专家确定方式：专家评委由招标人在开标前从专家库中随机抽取。</w:t>
            </w:r>
          </w:p>
        </w:tc>
      </w:tr>
      <w:tr w14:paraId="1BCE86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61A4D817">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0FE5EC0D">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2A245155">
            <w:pPr>
              <w:pStyle w:val="19"/>
              <w:shd w:val="clear"/>
              <w:spacing w:line="500" w:lineRule="exact"/>
              <w:rPr>
                <w:rFonts w:hAnsi="宋体" w:cs="宋体"/>
                <w:color w:val="auto"/>
                <w:szCs w:val="21"/>
                <w:highlight w:val="none"/>
              </w:rPr>
            </w:pPr>
            <w:r>
              <w:rPr>
                <w:rFonts w:hint="eastAsia" w:hAnsi="宋体" w:cs="宋体"/>
                <w:color w:val="auto"/>
                <w:szCs w:val="21"/>
                <w:highlight w:val="none"/>
              </w:rPr>
              <w:t>是，评标委员会推荐3名中标候选人。</w:t>
            </w:r>
          </w:p>
        </w:tc>
      </w:tr>
      <w:tr w14:paraId="4D7BBF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0BF41B2E">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186885AA">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16AED702">
            <w:pPr>
              <w:pStyle w:val="19"/>
              <w:shd w:val="clear"/>
              <w:spacing w:line="500" w:lineRule="exact"/>
              <w:rPr>
                <w:rFonts w:hAnsi="宋体" w:cs="宋体"/>
                <w:color w:val="auto"/>
                <w:szCs w:val="21"/>
                <w:highlight w:val="none"/>
              </w:rPr>
            </w:pPr>
            <w:r>
              <w:rPr>
                <w:rFonts w:hint="eastAsia" w:hAnsi="宋体" w:cs="宋体"/>
                <w:color w:val="auto"/>
                <w:szCs w:val="21"/>
                <w:highlight w:val="none"/>
              </w:rPr>
              <w:t>公示媒介：同招标公告发布媒介</w:t>
            </w:r>
          </w:p>
          <w:p w14:paraId="49212326">
            <w:pPr>
              <w:pStyle w:val="19"/>
              <w:shd w:val="clear"/>
              <w:spacing w:line="500" w:lineRule="exact"/>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00503D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49554EAB">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4084D845">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2C71C974">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788762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7FDC9494">
            <w:pPr>
              <w:shd w:val="clear"/>
              <w:spacing w:line="500" w:lineRule="exact"/>
              <w:jc w:val="center"/>
              <w:rPr>
                <w:rFonts w:ascii="宋体" w:hAnsi="宋体" w:cs="宋体"/>
                <w:color w:val="auto"/>
                <w:szCs w:val="21"/>
                <w:highlight w:val="none"/>
              </w:rPr>
            </w:pPr>
          </w:p>
        </w:tc>
        <w:tc>
          <w:tcPr>
            <w:tcW w:w="2140" w:type="dxa"/>
            <w:gridSpan w:val="2"/>
            <w:vAlign w:val="center"/>
          </w:tcPr>
          <w:p w14:paraId="68550CCF">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2547DFDF">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数据电文</w:t>
            </w:r>
          </w:p>
        </w:tc>
      </w:tr>
      <w:tr w14:paraId="7AF683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42601D6">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716A3183">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5760E3BE">
            <w:pPr>
              <w:shd w:val="clear"/>
              <w:tabs>
                <w:tab w:val="left" w:pos="5034"/>
              </w:tabs>
              <w:spacing w:line="500" w:lineRule="exact"/>
              <w:rPr>
                <w:rFonts w:hint="eastAsia" w:ascii="宋体" w:hAnsi="宋体" w:cs="宋体"/>
                <w:color w:val="auto"/>
                <w:szCs w:val="21"/>
                <w:highlight w:val="none"/>
              </w:rPr>
            </w:pPr>
            <w:r>
              <w:rPr>
                <w:rFonts w:hint="eastAsia" w:ascii="宋体" w:hAnsi="宋体" w:cs="宋体"/>
                <w:color w:val="auto"/>
                <w:szCs w:val="21"/>
                <w:highlight w:val="none"/>
              </w:rPr>
              <w:t>是否收取履约担保：收取</w:t>
            </w:r>
          </w:p>
          <w:p w14:paraId="40B1309B">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7E6A3EA8">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年度</w:t>
            </w:r>
            <w:r>
              <w:rPr>
                <w:rFonts w:hint="eastAsia" w:ascii="宋体" w:hAnsi="宋体" w:cs="宋体"/>
                <w:color w:val="auto"/>
                <w:szCs w:val="21"/>
                <w:highlight w:val="none"/>
              </w:rPr>
              <w:t>中标合同金额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暂按440万元*中标费率</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p>
          <w:p w14:paraId="6D0EC168">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收款单位：另行通知</w:t>
            </w:r>
          </w:p>
          <w:p w14:paraId="7537DFA8">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开户行、账号：另行通知</w:t>
            </w:r>
          </w:p>
          <w:p w14:paraId="5FA9CA10">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37BAE66A">
            <w:pPr>
              <w:shd w:val="clea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履约保证金退还方式：本项目供货完成后履约保证金直接转为质保金，待质保期满后一次性退还。</w:t>
            </w:r>
          </w:p>
          <w:p w14:paraId="3AF19EE3">
            <w:pPr>
              <w:shd w:val="clear"/>
              <w:spacing w:line="500" w:lineRule="exact"/>
              <w:rPr>
                <w:color w:val="auto"/>
                <w:highlight w:val="none"/>
              </w:rPr>
            </w:pPr>
            <w:r>
              <w:rPr>
                <w:rFonts w:hint="eastAsia" w:ascii="宋体" w:hAnsi="宋体" w:cs="宋体"/>
                <w:color w:val="auto"/>
                <w:szCs w:val="21"/>
                <w:highlight w:val="none"/>
              </w:rPr>
              <w:t>其他相关要求：保函内容及格式等均须经招标人认可。</w:t>
            </w:r>
          </w:p>
        </w:tc>
      </w:tr>
      <w:tr w14:paraId="365CBA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3CFC2894">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6D693F53">
            <w:pPr>
              <w:keepNext w:val="0"/>
              <w:keepLines w:val="0"/>
              <w:pageBreakBefore w:val="0"/>
              <w:widowControl w:val="0"/>
              <w:numPr>
                <w:ilvl w:val="0"/>
                <w:numId w:val="0"/>
              </w:numPr>
              <w:shd w:val="clear"/>
              <w:kinsoku/>
              <w:wordWrap w:val="0"/>
              <w:overflowPunct/>
              <w:topLinePunct w:val="0"/>
              <w:autoSpaceDE/>
              <w:autoSpaceDN/>
              <w:bidi w:val="0"/>
              <w:adjustRightInd/>
              <w:spacing w:line="440" w:lineRule="exact"/>
              <w:textAlignment w:val="auto"/>
              <w:rPr>
                <w:rFonts w:hint="eastAsia" w:ascii="宋体"/>
                <w:b/>
                <w:bCs/>
                <w:color w:val="auto"/>
                <w:szCs w:val="21"/>
                <w:highlight w:val="none"/>
              </w:rPr>
            </w:pPr>
            <w:r>
              <w:rPr>
                <w:rFonts w:hint="eastAsia" w:ascii="宋体" w:hAnsi="Times New Roman" w:eastAsia="宋体" w:cs="Times New Roman"/>
                <w:b/>
                <w:bCs/>
                <w:color w:val="auto"/>
                <w:kern w:val="2"/>
                <w:sz w:val="21"/>
                <w:szCs w:val="21"/>
                <w:highlight w:val="none"/>
                <w:lang w:val="en-US" w:eastAsia="zh-CN" w:bidi="ar-SA"/>
              </w:rPr>
              <w:t>（1）</w:t>
            </w:r>
            <w:r>
              <w:rPr>
                <w:rFonts w:hint="eastAsia" w:ascii="宋体"/>
                <w:b/>
                <w:bCs/>
                <w:color w:val="auto"/>
                <w:szCs w:val="21"/>
                <w:highlight w:val="none"/>
              </w:rPr>
              <w:t>每月支付应付月服务费用的90%，剩余10%服务费用根据年度服务综合情况，</w:t>
            </w:r>
            <w:r>
              <w:rPr>
                <w:rFonts w:hint="eastAsia" w:ascii="宋体"/>
                <w:b/>
                <w:bCs/>
                <w:color w:val="auto"/>
                <w:szCs w:val="21"/>
                <w:highlight w:val="none"/>
                <w:lang w:eastAsia="zh-CN"/>
              </w:rPr>
              <w:t>在</w:t>
            </w:r>
            <w:r>
              <w:rPr>
                <w:rFonts w:hint="eastAsia" w:ascii="宋体"/>
                <w:b/>
                <w:bCs/>
                <w:color w:val="auto"/>
                <w:szCs w:val="21"/>
                <w:highlight w:val="none"/>
              </w:rPr>
              <w:t>年合同结束后2个月内一次</w:t>
            </w:r>
            <w:r>
              <w:rPr>
                <w:rFonts w:hint="eastAsia" w:ascii="宋体"/>
                <w:b/>
                <w:bCs/>
                <w:color w:val="auto"/>
                <w:szCs w:val="21"/>
                <w:highlight w:val="none"/>
                <w:lang w:val="en-US" w:eastAsia="zh-CN"/>
              </w:rPr>
              <w:t>性</w:t>
            </w:r>
            <w:r>
              <w:rPr>
                <w:rFonts w:hint="eastAsia" w:ascii="宋体"/>
                <w:b/>
                <w:bCs/>
                <w:color w:val="auto"/>
                <w:szCs w:val="21"/>
                <w:highlight w:val="none"/>
              </w:rPr>
              <w:t>无息支付。中标人应在月服务结束后的10个工作日内向招标人提交该周期服务进度付款申请，月度服务报告（复印件）</w:t>
            </w:r>
            <w:r>
              <w:rPr>
                <w:rFonts w:hint="eastAsia" w:ascii="宋体"/>
                <w:b/>
                <w:bCs/>
                <w:color w:val="auto"/>
                <w:szCs w:val="21"/>
                <w:highlight w:val="none"/>
                <w:lang w:val="en-US" w:eastAsia="zh-CN"/>
              </w:rPr>
              <w:t>和</w:t>
            </w:r>
            <w:r>
              <w:rPr>
                <w:rFonts w:hint="eastAsia" w:ascii="宋体"/>
                <w:b/>
                <w:bCs/>
                <w:color w:val="auto"/>
                <w:szCs w:val="21"/>
                <w:highlight w:val="none"/>
              </w:rPr>
              <w:t>由招标人签发的月度现场考核表单应作为附件。招标人收到付款申请后，审核无误，则在其后的30个工作日内支付进度款给中标人。月考评分≥95分的，月服务费用</w:t>
            </w:r>
            <w:r>
              <w:rPr>
                <w:rFonts w:hint="eastAsia" w:ascii="宋体"/>
                <w:b/>
                <w:bCs/>
                <w:color w:val="auto"/>
                <w:szCs w:val="21"/>
                <w:highlight w:val="none"/>
                <w:lang w:val="en-US" w:eastAsia="zh-CN"/>
              </w:rPr>
              <w:t>正常</w:t>
            </w:r>
            <w:r>
              <w:rPr>
                <w:rFonts w:hint="eastAsia" w:ascii="宋体"/>
                <w:b/>
                <w:bCs/>
                <w:color w:val="auto"/>
                <w:szCs w:val="21"/>
                <w:highlight w:val="none"/>
              </w:rPr>
              <w:t>支付；</w:t>
            </w:r>
            <w:r>
              <w:rPr>
                <w:rFonts w:hint="eastAsia" w:ascii="宋体"/>
                <w:b/>
                <w:bCs/>
                <w:color w:val="auto"/>
                <w:szCs w:val="21"/>
                <w:highlight w:val="none"/>
                <w:lang w:val="en-US" w:eastAsia="zh-CN"/>
              </w:rPr>
              <w:t>80分≤</w:t>
            </w:r>
            <w:r>
              <w:rPr>
                <w:rFonts w:hint="eastAsia" w:ascii="宋体"/>
                <w:b/>
                <w:bCs/>
                <w:color w:val="auto"/>
                <w:szCs w:val="21"/>
                <w:highlight w:val="none"/>
              </w:rPr>
              <w:t>月考评分</w:t>
            </w:r>
            <w:r>
              <w:rPr>
                <w:rFonts w:hint="eastAsia" w:ascii="宋体"/>
                <w:b/>
                <w:bCs/>
                <w:color w:val="auto"/>
                <w:szCs w:val="21"/>
                <w:highlight w:val="none"/>
                <w:lang w:val="en-US" w:eastAsia="zh-CN"/>
              </w:rPr>
              <w:t>＜</w:t>
            </w:r>
            <w:r>
              <w:rPr>
                <w:rFonts w:hint="eastAsia" w:ascii="宋体"/>
                <w:b/>
                <w:bCs/>
                <w:color w:val="auto"/>
                <w:szCs w:val="21"/>
                <w:highlight w:val="none"/>
              </w:rPr>
              <w:t>95分</w:t>
            </w:r>
            <w:r>
              <w:rPr>
                <w:rFonts w:hint="eastAsia" w:ascii="宋体"/>
                <w:b/>
                <w:bCs/>
                <w:color w:val="auto"/>
                <w:szCs w:val="21"/>
                <w:highlight w:val="none"/>
                <w:lang w:val="en-US" w:eastAsia="zh-CN"/>
              </w:rPr>
              <w:t>的，</w:t>
            </w:r>
            <w:r>
              <w:rPr>
                <w:rFonts w:hint="eastAsia" w:ascii="宋体"/>
                <w:b/>
                <w:bCs/>
                <w:color w:val="auto"/>
                <w:szCs w:val="21"/>
                <w:highlight w:val="none"/>
              </w:rPr>
              <w:t>按200元</w:t>
            </w:r>
            <w:r>
              <w:rPr>
                <w:rFonts w:hint="eastAsia" w:ascii="宋体"/>
                <w:b/>
                <w:bCs/>
                <w:color w:val="auto"/>
                <w:szCs w:val="21"/>
                <w:highlight w:val="none"/>
                <w:lang w:val="en-US" w:eastAsia="zh-CN"/>
              </w:rPr>
              <w:t>/分在</w:t>
            </w:r>
            <w:r>
              <w:rPr>
                <w:rFonts w:hint="eastAsia" w:ascii="宋体"/>
                <w:b/>
                <w:bCs/>
                <w:color w:val="auto"/>
                <w:szCs w:val="21"/>
                <w:highlight w:val="none"/>
              </w:rPr>
              <w:t>月服务费用</w:t>
            </w:r>
            <w:r>
              <w:rPr>
                <w:rFonts w:hint="eastAsia" w:ascii="宋体"/>
                <w:b/>
                <w:bCs/>
                <w:color w:val="auto"/>
                <w:szCs w:val="21"/>
                <w:highlight w:val="none"/>
                <w:lang w:val="en-US" w:eastAsia="zh-CN"/>
              </w:rPr>
              <w:t>中扣除</w:t>
            </w:r>
            <w:r>
              <w:rPr>
                <w:rFonts w:hint="eastAsia" w:ascii="宋体"/>
                <w:b/>
                <w:bCs/>
                <w:color w:val="auto"/>
                <w:szCs w:val="21"/>
                <w:highlight w:val="none"/>
              </w:rPr>
              <w:t>；月考评分</w:t>
            </w:r>
            <w:r>
              <w:rPr>
                <w:rFonts w:hint="eastAsia" w:ascii="宋体"/>
                <w:b/>
                <w:bCs/>
                <w:color w:val="auto"/>
                <w:szCs w:val="21"/>
                <w:highlight w:val="none"/>
                <w:lang w:val="en-US" w:eastAsia="zh-CN"/>
              </w:rPr>
              <w:t>≤</w:t>
            </w:r>
            <w:r>
              <w:rPr>
                <w:rFonts w:hint="eastAsia" w:ascii="宋体"/>
                <w:b/>
                <w:bCs/>
                <w:color w:val="auto"/>
                <w:szCs w:val="21"/>
                <w:highlight w:val="none"/>
              </w:rPr>
              <w:t>80分</w:t>
            </w:r>
            <w:r>
              <w:rPr>
                <w:rFonts w:hint="eastAsia" w:ascii="宋体"/>
                <w:b/>
                <w:bCs/>
                <w:color w:val="auto"/>
                <w:szCs w:val="21"/>
                <w:highlight w:val="none"/>
                <w:lang w:eastAsia="zh-CN"/>
              </w:rPr>
              <w:t>，</w:t>
            </w:r>
            <w:r>
              <w:rPr>
                <w:rFonts w:hint="eastAsia" w:ascii="宋体"/>
                <w:b/>
                <w:bCs/>
                <w:color w:val="auto"/>
                <w:szCs w:val="21"/>
                <w:highlight w:val="none"/>
              </w:rPr>
              <w:t>则按500元</w:t>
            </w:r>
            <w:r>
              <w:rPr>
                <w:rFonts w:hint="eastAsia" w:ascii="宋体"/>
                <w:b/>
                <w:bCs/>
                <w:color w:val="auto"/>
                <w:szCs w:val="21"/>
                <w:highlight w:val="none"/>
                <w:lang w:val="en-US" w:eastAsia="zh-CN"/>
              </w:rPr>
              <w:t>/分在</w:t>
            </w:r>
            <w:r>
              <w:rPr>
                <w:rFonts w:hint="eastAsia" w:ascii="宋体"/>
                <w:b/>
                <w:bCs/>
                <w:color w:val="auto"/>
                <w:szCs w:val="21"/>
                <w:highlight w:val="none"/>
              </w:rPr>
              <w:t>月服务费用</w:t>
            </w:r>
            <w:r>
              <w:rPr>
                <w:rFonts w:hint="eastAsia" w:ascii="宋体"/>
                <w:b/>
                <w:bCs/>
                <w:color w:val="auto"/>
                <w:szCs w:val="21"/>
                <w:highlight w:val="none"/>
                <w:lang w:val="en-US" w:eastAsia="zh-CN"/>
              </w:rPr>
              <w:t>中扣除，</w:t>
            </w:r>
            <w:r>
              <w:rPr>
                <w:rFonts w:hint="eastAsia" w:ascii="宋体"/>
                <w:b/>
                <w:bCs/>
                <w:color w:val="auto"/>
                <w:szCs w:val="21"/>
                <w:highlight w:val="none"/>
              </w:rPr>
              <w:t>并加扣该周期服务费用</w:t>
            </w:r>
            <w:r>
              <w:rPr>
                <w:rFonts w:hint="eastAsia" w:ascii="宋体"/>
                <w:b/>
                <w:bCs/>
                <w:color w:val="auto"/>
                <w:szCs w:val="21"/>
                <w:highlight w:val="none"/>
                <w:lang w:val="en-US" w:eastAsia="zh-CN"/>
              </w:rPr>
              <w:t>得</w:t>
            </w:r>
            <w:r>
              <w:rPr>
                <w:rFonts w:hint="eastAsia" w:ascii="宋体"/>
                <w:b/>
                <w:bCs/>
                <w:color w:val="auto"/>
                <w:szCs w:val="21"/>
                <w:highlight w:val="none"/>
              </w:rPr>
              <w:t>5%；连续两个月未满80分则扣该周期服务费用</w:t>
            </w:r>
            <w:r>
              <w:rPr>
                <w:rFonts w:hint="eastAsia" w:ascii="宋体"/>
                <w:b/>
                <w:bCs/>
                <w:color w:val="auto"/>
                <w:szCs w:val="21"/>
                <w:highlight w:val="none"/>
                <w:lang w:val="en-US" w:eastAsia="zh-CN"/>
              </w:rPr>
              <w:t>的</w:t>
            </w:r>
            <w:r>
              <w:rPr>
                <w:rFonts w:hint="eastAsia" w:ascii="宋体"/>
                <w:b/>
                <w:bCs/>
                <w:color w:val="auto"/>
                <w:szCs w:val="21"/>
                <w:highlight w:val="none"/>
              </w:rPr>
              <w:t>30%并限期整改，如第三月月考评分仍在80分以下则终止合同并扣除履约保证金。</w:t>
            </w:r>
          </w:p>
          <w:p w14:paraId="60A5559C">
            <w:pPr>
              <w:keepNext w:val="0"/>
              <w:keepLines w:val="0"/>
              <w:pageBreakBefore w:val="0"/>
              <w:widowControl w:val="0"/>
              <w:numPr>
                <w:ilvl w:val="0"/>
                <w:numId w:val="0"/>
              </w:numPr>
              <w:shd w:val="clear"/>
              <w:kinsoku/>
              <w:wordWrap w:val="0"/>
              <w:overflowPunct/>
              <w:topLinePunct w:val="0"/>
              <w:autoSpaceDE/>
              <w:autoSpaceDN/>
              <w:bidi w:val="0"/>
              <w:adjustRightInd/>
              <w:spacing w:line="440" w:lineRule="exact"/>
              <w:textAlignment w:val="auto"/>
              <w:rPr>
                <w:rFonts w:hint="eastAsia" w:ascii="宋体"/>
                <w:b/>
                <w:bCs/>
                <w:color w:val="auto"/>
                <w:szCs w:val="21"/>
                <w:highlight w:val="none"/>
              </w:rPr>
            </w:pPr>
            <w:r>
              <w:rPr>
                <w:rFonts w:hint="eastAsia" w:ascii="宋体" w:hAnsi="Times New Roman" w:eastAsia="宋体" w:cs="Times New Roman"/>
                <w:b/>
                <w:bCs/>
                <w:color w:val="auto"/>
                <w:kern w:val="2"/>
                <w:sz w:val="21"/>
                <w:szCs w:val="21"/>
                <w:highlight w:val="none"/>
                <w:lang w:val="en-US" w:eastAsia="zh-CN" w:bidi="ar-SA"/>
              </w:rPr>
              <w:t>（2）</w:t>
            </w:r>
            <w:r>
              <w:rPr>
                <w:rFonts w:hint="eastAsia" w:ascii="宋体"/>
                <w:b/>
                <w:bCs/>
                <w:color w:val="auto"/>
                <w:szCs w:val="21"/>
                <w:highlight w:val="none"/>
              </w:rPr>
              <w:t>月度服务剩余</w:t>
            </w:r>
            <w:r>
              <w:rPr>
                <w:rFonts w:hint="eastAsia" w:ascii="宋体"/>
                <w:b/>
                <w:bCs/>
                <w:color w:val="auto"/>
                <w:szCs w:val="21"/>
                <w:highlight w:val="none"/>
                <w:lang w:val="en-US" w:eastAsia="zh-CN"/>
              </w:rPr>
              <w:t>10</w:t>
            </w:r>
            <w:r>
              <w:rPr>
                <w:rFonts w:hint="eastAsia" w:ascii="宋体"/>
                <w:b/>
                <w:bCs/>
                <w:color w:val="auto"/>
                <w:szCs w:val="21"/>
                <w:highlight w:val="none"/>
              </w:rPr>
              <w:t>%服务费用支付：年度服务月平均考评分90分及以上的支付剩余</w:t>
            </w:r>
            <w:r>
              <w:rPr>
                <w:rFonts w:hint="eastAsia" w:ascii="宋体"/>
                <w:b/>
                <w:bCs/>
                <w:color w:val="auto"/>
                <w:szCs w:val="21"/>
                <w:highlight w:val="none"/>
                <w:lang w:val="en-US" w:eastAsia="zh-CN"/>
              </w:rPr>
              <w:t>10</w:t>
            </w:r>
            <w:r>
              <w:rPr>
                <w:rFonts w:hint="eastAsia" w:ascii="宋体"/>
                <w:b/>
                <w:bCs/>
                <w:color w:val="auto"/>
                <w:szCs w:val="21"/>
                <w:highlight w:val="none"/>
              </w:rPr>
              <w:t>%金额；80</w:t>
            </w:r>
            <w:r>
              <w:rPr>
                <w:rFonts w:hint="eastAsia" w:ascii="宋体"/>
                <w:b/>
                <w:bCs/>
                <w:color w:val="auto"/>
                <w:szCs w:val="21"/>
                <w:highlight w:val="none"/>
                <w:lang w:val="en-US" w:eastAsia="zh-CN"/>
              </w:rPr>
              <w:t>分≤</w:t>
            </w:r>
            <w:r>
              <w:rPr>
                <w:rFonts w:hint="eastAsia" w:ascii="宋体"/>
                <w:b/>
                <w:bCs/>
                <w:color w:val="auto"/>
                <w:szCs w:val="21"/>
                <w:highlight w:val="none"/>
              </w:rPr>
              <w:t>月平均考评分&lt;90分的支付剩余</w:t>
            </w:r>
            <w:r>
              <w:rPr>
                <w:rFonts w:hint="eastAsia" w:ascii="宋体"/>
                <w:b/>
                <w:bCs/>
                <w:color w:val="auto"/>
                <w:szCs w:val="21"/>
                <w:highlight w:val="none"/>
                <w:lang w:val="en-US" w:eastAsia="zh-CN"/>
              </w:rPr>
              <w:t>10</w:t>
            </w:r>
            <w:r>
              <w:rPr>
                <w:rFonts w:hint="eastAsia" w:ascii="宋体"/>
                <w:b/>
                <w:bCs/>
                <w:color w:val="auto"/>
                <w:szCs w:val="21"/>
                <w:highlight w:val="none"/>
              </w:rPr>
              <w:t>%金额的90%；月平均考评分&lt;80分的支付剩余</w:t>
            </w:r>
            <w:r>
              <w:rPr>
                <w:rFonts w:hint="eastAsia" w:ascii="宋体"/>
                <w:b/>
                <w:bCs/>
                <w:color w:val="auto"/>
                <w:szCs w:val="21"/>
                <w:highlight w:val="none"/>
                <w:lang w:val="en-US" w:eastAsia="zh-CN"/>
              </w:rPr>
              <w:t>10</w:t>
            </w:r>
            <w:r>
              <w:rPr>
                <w:rFonts w:hint="eastAsia" w:ascii="宋体"/>
                <w:b/>
                <w:bCs/>
                <w:color w:val="auto"/>
                <w:szCs w:val="21"/>
                <w:highlight w:val="none"/>
              </w:rPr>
              <w:t>%金额的50%；并</w:t>
            </w:r>
            <w:r>
              <w:rPr>
                <w:rFonts w:hint="eastAsia" w:ascii="宋体"/>
                <w:b/>
                <w:bCs/>
                <w:color w:val="auto"/>
                <w:szCs w:val="21"/>
                <w:highlight w:val="none"/>
                <w:lang w:val="en-US" w:eastAsia="zh-CN"/>
              </w:rPr>
              <w:t>有权终止合同</w:t>
            </w:r>
            <w:r>
              <w:rPr>
                <w:rFonts w:hint="eastAsia" w:ascii="宋体"/>
                <w:b/>
                <w:bCs/>
                <w:color w:val="auto"/>
                <w:szCs w:val="21"/>
                <w:highlight w:val="none"/>
              </w:rPr>
              <w:t>。</w:t>
            </w:r>
          </w:p>
          <w:p w14:paraId="16892D36">
            <w:pPr>
              <w:keepNext w:val="0"/>
              <w:keepLines w:val="0"/>
              <w:pageBreakBefore w:val="0"/>
              <w:widowControl w:val="0"/>
              <w:numPr>
                <w:ilvl w:val="0"/>
                <w:numId w:val="0"/>
              </w:numPr>
              <w:shd w:val="clear"/>
              <w:kinsoku/>
              <w:overflowPunct/>
              <w:topLinePunct w:val="0"/>
              <w:autoSpaceDE/>
              <w:autoSpaceDN/>
              <w:bidi w:val="0"/>
              <w:adjustRightInd/>
              <w:snapToGrid w:val="0"/>
              <w:spacing w:line="440" w:lineRule="exact"/>
              <w:ind w:left="0" w:leftChars="0" w:firstLine="0" w:firstLineChars="0"/>
              <w:textAlignment w:val="auto"/>
              <w:rPr>
                <w:rFonts w:hint="eastAsia" w:ascii="宋体"/>
                <w:b/>
                <w:bCs/>
                <w:color w:val="auto"/>
                <w:szCs w:val="21"/>
                <w:highlight w:val="none"/>
              </w:rPr>
            </w:pPr>
            <w:r>
              <w:rPr>
                <w:rFonts w:hint="eastAsia" w:ascii="宋体" w:hAnsi="Times New Roman" w:eastAsia="宋体" w:cs="Times New Roman"/>
                <w:b/>
                <w:bCs/>
                <w:color w:val="auto"/>
                <w:kern w:val="2"/>
                <w:sz w:val="21"/>
                <w:szCs w:val="21"/>
                <w:highlight w:val="none"/>
                <w:lang w:val="en-US" w:eastAsia="zh-CN" w:bidi="ar-SA"/>
              </w:rPr>
              <w:t>（3）</w:t>
            </w:r>
            <w:r>
              <w:rPr>
                <w:rFonts w:hint="eastAsia" w:ascii="宋体"/>
                <w:b/>
                <w:bCs/>
                <w:color w:val="auto"/>
                <w:szCs w:val="21"/>
                <w:highlight w:val="none"/>
              </w:rPr>
              <w:t>维修费用：由</w:t>
            </w:r>
            <w:r>
              <w:rPr>
                <w:rFonts w:hint="eastAsia" w:ascii="宋体"/>
                <w:b/>
                <w:bCs/>
                <w:color w:val="auto"/>
                <w:szCs w:val="21"/>
                <w:highlight w:val="none"/>
                <w:lang w:val="en-US" w:eastAsia="zh-CN"/>
              </w:rPr>
              <w:t>招标人</w:t>
            </w:r>
            <w:r>
              <w:rPr>
                <w:rFonts w:hint="eastAsia" w:ascii="宋体"/>
                <w:b/>
                <w:bCs/>
                <w:color w:val="auto"/>
                <w:szCs w:val="21"/>
                <w:highlight w:val="none"/>
              </w:rPr>
              <w:t>派发工作联系单（以实际发生为准），</w:t>
            </w:r>
            <w:r>
              <w:rPr>
                <w:rFonts w:hint="eastAsia" w:ascii="宋体"/>
                <w:b/>
                <w:bCs/>
                <w:color w:val="auto"/>
                <w:szCs w:val="21"/>
                <w:highlight w:val="none"/>
                <w:lang w:val="en-US" w:eastAsia="zh-CN"/>
              </w:rPr>
              <w:t>中标人</w:t>
            </w:r>
            <w:r>
              <w:rPr>
                <w:rFonts w:hint="eastAsia" w:ascii="宋体"/>
                <w:b/>
                <w:bCs/>
                <w:color w:val="auto"/>
                <w:szCs w:val="21"/>
                <w:highlight w:val="none"/>
              </w:rPr>
              <w:t>按要求进行设施抢修维修经验收合格后，</w:t>
            </w:r>
            <w:r>
              <w:rPr>
                <w:rFonts w:hint="eastAsia" w:ascii="宋体"/>
                <w:b/>
                <w:bCs/>
                <w:color w:val="auto"/>
                <w:szCs w:val="21"/>
                <w:highlight w:val="none"/>
                <w:lang w:val="en-US" w:eastAsia="zh-CN"/>
              </w:rPr>
              <w:t>招标人</w:t>
            </w:r>
            <w:r>
              <w:rPr>
                <w:rFonts w:hint="eastAsia" w:ascii="宋体"/>
                <w:b/>
                <w:bCs/>
                <w:color w:val="auto"/>
                <w:szCs w:val="21"/>
                <w:highlight w:val="none"/>
              </w:rPr>
              <w:t>每季度支付</w:t>
            </w:r>
            <w:r>
              <w:rPr>
                <w:rFonts w:hint="eastAsia" w:ascii="宋体"/>
                <w:b/>
                <w:bCs/>
                <w:color w:val="auto"/>
                <w:szCs w:val="21"/>
                <w:highlight w:val="none"/>
                <w:lang w:val="en-US" w:eastAsia="zh-CN"/>
              </w:rPr>
              <w:t>实际维修</w:t>
            </w:r>
            <w:r>
              <w:rPr>
                <w:rFonts w:hint="eastAsia" w:ascii="宋体"/>
                <w:b/>
                <w:bCs/>
                <w:color w:val="auto"/>
                <w:szCs w:val="21"/>
                <w:highlight w:val="none"/>
              </w:rPr>
              <w:t>金额的8</w:t>
            </w:r>
            <w:r>
              <w:rPr>
                <w:rFonts w:hint="eastAsia" w:ascii="宋体"/>
                <w:b/>
                <w:bCs/>
                <w:color w:val="auto"/>
                <w:szCs w:val="21"/>
                <w:highlight w:val="none"/>
                <w:lang w:val="en-US" w:eastAsia="zh-CN"/>
              </w:rPr>
              <w:t>5</w:t>
            </w:r>
            <w:r>
              <w:rPr>
                <w:rFonts w:hint="eastAsia" w:ascii="宋体"/>
                <w:b/>
                <w:bCs/>
                <w:color w:val="auto"/>
                <w:szCs w:val="21"/>
                <w:highlight w:val="none"/>
              </w:rPr>
              <w:t>%，年度审计备案完成后支付至备案总价100%。</w:t>
            </w:r>
          </w:p>
          <w:p w14:paraId="41510B4D">
            <w:pPr>
              <w:pStyle w:val="2"/>
              <w:keepNext w:val="0"/>
              <w:keepLines w:val="0"/>
              <w:pageBreakBefore w:val="0"/>
              <w:widowControl w:val="0"/>
              <w:numPr>
                <w:ilvl w:val="0"/>
                <w:numId w:val="0"/>
              </w:numPr>
              <w:kinsoku/>
              <w:overflowPunct/>
              <w:topLinePunct w:val="0"/>
              <w:autoSpaceDE/>
              <w:autoSpaceDN/>
              <w:bidi w:val="0"/>
              <w:adjustRightInd/>
              <w:spacing w:before="0" w:line="440" w:lineRule="exact"/>
              <w:ind w:left="0" w:leftChars="0" w:firstLine="0" w:firstLineChars="0"/>
              <w:textAlignment w:val="auto"/>
              <w:rPr>
                <w:color w:val="auto"/>
                <w:highlight w:val="none"/>
              </w:rPr>
            </w:pPr>
            <w:r>
              <w:rPr>
                <w:rFonts w:ascii="宋体" w:hAnsi="宋体" w:eastAsia="宋体" w:cs="Times New Roman"/>
                <w:b/>
                <w:bCs/>
                <w:color w:val="auto"/>
                <w:kern w:val="2"/>
                <w:sz w:val="21"/>
                <w:szCs w:val="24"/>
                <w:highlight w:val="none"/>
                <w:lang w:val="en-US" w:eastAsia="zh-CN" w:bidi="ar-SA"/>
              </w:rPr>
              <w:t>（4）</w:t>
            </w:r>
            <w:r>
              <w:rPr>
                <w:rFonts w:hint="eastAsia"/>
                <w:b/>
                <w:bCs/>
                <w:color w:val="auto"/>
                <w:szCs w:val="21"/>
                <w:highlight w:val="none"/>
                <w:lang w:val="en-US" w:eastAsia="zh-CN"/>
              </w:rPr>
              <w:t>合同履行期间，中标人所有违约金的支付、考核不达标的</w:t>
            </w:r>
            <w:r>
              <w:rPr>
                <w:rFonts w:hint="eastAsia" w:ascii="宋体"/>
                <w:b/>
                <w:bCs/>
                <w:color w:val="auto"/>
                <w:szCs w:val="21"/>
                <w:highlight w:val="none"/>
              </w:rPr>
              <w:t>扣款</w:t>
            </w:r>
            <w:r>
              <w:rPr>
                <w:rFonts w:hint="eastAsia"/>
                <w:b/>
                <w:bCs/>
                <w:color w:val="auto"/>
                <w:szCs w:val="21"/>
                <w:highlight w:val="none"/>
                <w:lang w:eastAsia="zh-CN"/>
              </w:rPr>
              <w:t>，</w:t>
            </w:r>
            <w:r>
              <w:rPr>
                <w:rFonts w:hint="eastAsia"/>
                <w:b/>
                <w:bCs/>
                <w:color w:val="auto"/>
                <w:szCs w:val="21"/>
                <w:highlight w:val="none"/>
                <w:lang w:val="en-US" w:eastAsia="zh-CN"/>
              </w:rPr>
              <w:t>均</w:t>
            </w:r>
            <w:r>
              <w:rPr>
                <w:rFonts w:hint="eastAsia" w:ascii="宋体"/>
                <w:b/>
                <w:bCs/>
                <w:color w:val="auto"/>
                <w:szCs w:val="21"/>
                <w:highlight w:val="none"/>
              </w:rPr>
              <w:t>将从该周期应给付的服务费用中予以扣除。</w:t>
            </w:r>
          </w:p>
        </w:tc>
      </w:tr>
      <w:tr w14:paraId="120850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57336682">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2E967195">
            <w:pPr>
              <w:shd w:val="clear"/>
              <w:topLinePunct/>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49654C59">
            <w:pPr>
              <w:shd w:val="clear"/>
              <w:topLinePunct/>
              <w:spacing w:line="500" w:lineRule="exact"/>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02C1D3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D746F94">
            <w:pPr>
              <w:shd w:val="clea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7130C23A">
            <w:pPr>
              <w:keepNext w:val="0"/>
              <w:keepLines w:val="0"/>
              <w:pageBreakBefore w:val="0"/>
              <w:widowControl w:val="0"/>
              <w:shd w:val="clear"/>
              <w:kinsoku/>
              <w:wordWrap w:val="0"/>
              <w:overflowPunct/>
              <w:topLinePunct w:val="0"/>
              <w:autoSpaceDE/>
              <w:autoSpaceDN/>
              <w:bidi w:val="0"/>
              <w:adjustRightInd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64BB76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585019D">
            <w:pPr>
              <w:widowControl/>
              <w:shd w:val="clear"/>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5ACE32A8">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1.本项目投标保证金、履约保证金、工程质量保证金、农民工工资保证金均支持保函使用。以现金形式提交保证金的，应当同时退还保证金本金和银行同期存款利息。</w:t>
            </w:r>
          </w:p>
          <w:p w14:paraId="4D7F3A8A">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32185517">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3F57DAE3">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5A7B4FF1">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0B792A9B">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6F1E7AB5">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0A3201D0">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27DD9AE7">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1E9854EB">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5CC3E954">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652A552B">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3748731D">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34D8BB41">
            <w:pPr>
              <w:shd w:val="clear"/>
              <w:spacing w:line="500" w:lineRule="exact"/>
              <w:jc w:val="left"/>
              <w:rPr>
                <w:rFonts w:ascii="宋体" w:hAnsi="宋体" w:cs="宋体"/>
                <w:b/>
                <w:bCs/>
                <w:color w:val="auto"/>
                <w:szCs w:val="21"/>
                <w:highlight w:val="none"/>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4C2EA0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6F439700">
            <w:pPr>
              <w:shd w:val="clear"/>
              <w:spacing w:line="500" w:lineRule="exact"/>
              <w:jc w:val="center"/>
              <w:rPr>
                <w:rFonts w:ascii="宋体" w:hAnsi="宋体" w:cs="宋体"/>
                <w:bCs/>
                <w:color w:val="auto"/>
                <w:szCs w:val="21"/>
                <w:highlight w:val="none"/>
              </w:rPr>
            </w:pPr>
            <w:r>
              <w:rPr>
                <w:rFonts w:hint="eastAsia" w:ascii="宋体" w:hAnsi="宋体" w:cs="宋体"/>
                <w:bCs/>
                <w:color w:val="auto"/>
                <w:szCs w:val="21"/>
                <w:highlight w:val="none"/>
              </w:rPr>
              <w:t>其他</w:t>
            </w:r>
          </w:p>
        </w:tc>
        <w:tc>
          <w:tcPr>
            <w:tcW w:w="7872" w:type="dxa"/>
            <w:gridSpan w:val="2"/>
            <w:shd w:val="clear" w:color="auto" w:fill="auto"/>
          </w:tcPr>
          <w:p w14:paraId="40EBDC7A">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77C11388">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329D9B69">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7E7BB3FF">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497C2A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687BE7B5">
            <w:pPr>
              <w:shd w:val="clear"/>
              <w:adjustRightInd w:val="0"/>
              <w:snapToGrid w:val="0"/>
              <w:spacing w:line="500" w:lineRule="exact"/>
              <w:jc w:val="center"/>
              <w:rPr>
                <w:rFonts w:ascii="宋体" w:hAnsi="宋体" w:cs="宋体"/>
                <w:bCs/>
                <w:color w:val="auto"/>
                <w:szCs w:val="21"/>
                <w:highlight w:val="none"/>
              </w:rPr>
            </w:pPr>
            <w:r>
              <w:rPr>
                <w:rFonts w:hint="eastAsia" w:ascii="宋体" w:hAnsi="宋体" w:cs="宋体"/>
                <w:bCs/>
                <w:color w:val="auto"/>
                <w:szCs w:val="21"/>
                <w:highlight w:val="none"/>
              </w:rPr>
              <w:t>变更招标方式</w:t>
            </w:r>
          </w:p>
        </w:tc>
        <w:tc>
          <w:tcPr>
            <w:tcW w:w="7872" w:type="dxa"/>
            <w:gridSpan w:val="2"/>
            <w:shd w:val="clear" w:color="auto" w:fill="auto"/>
            <w:vAlign w:val="center"/>
          </w:tcPr>
          <w:p w14:paraId="5D394EDF">
            <w:pPr>
              <w:pStyle w:val="15"/>
              <w:shd w:val="clear"/>
              <w:adjustRightInd w:val="0"/>
              <w:snapToGrid w:val="0"/>
              <w:spacing w:after="0" w:line="500" w:lineRule="exact"/>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r w14:paraId="1F4CCC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81616B2">
            <w:pPr>
              <w:shd w:val="clear"/>
              <w:spacing w:line="440" w:lineRule="exact"/>
              <w:jc w:val="center"/>
              <w:rPr>
                <w:rFonts w:hint="eastAsia" w:ascii="宋体" w:hAnsi="宋体" w:cs="宋体"/>
                <w:bCs/>
                <w:color w:val="auto"/>
                <w:szCs w:val="21"/>
                <w:highlight w:val="none"/>
              </w:rPr>
            </w:pPr>
            <w:bookmarkStart w:id="30" w:name="_Toc28397"/>
            <w:bookmarkStart w:id="31" w:name="_Toc449028866"/>
            <w:bookmarkStart w:id="32" w:name="_Toc58430315"/>
            <w:r>
              <w:rPr>
                <w:rFonts w:hint="eastAsia" w:ascii="宋体" w:hAnsi="宋体" w:cs="宋体"/>
                <w:b/>
                <w:bCs/>
                <w:color w:val="auto"/>
                <w:szCs w:val="21"/>
                <w:highlight w:val="none"/>
              </w:rPr>
              <w:t>特别要求</w:t>
            </w:r>
          </w:p>
        </w:tc>
        <w:tc>
          <w:tcPr>
            <w:tcW w:w="7872" w:type="dxa"/>
            <w:gridSpan w:val="2"/>
            <w:shd w:val="clear" w:color="auto" w:fill="auto"/>
            <w:vAlign w:val="center"/>
          </w:tcPr>
          <w:p w14:paraId="4174EC9B">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cs="宋体"/>
                <w:b/>
                <w:bCs w:val="0"/>
                <w:color w:val="auto"/>
                <w:szCs w:val="21"/>
                <w:highlight w:val="none"/>
                <w:lang w:eastAsia="zh-CN" w:bidi="ar"/>
              </w:rPr>
            </w:pPr>
            <w:r>
              <w:rPr>
                <w:rFonts w:hint="eastAsia" w:ascii="宋体" w:hAnsi="宋体" w:cs="宋体"/>
                <w:b/>
                <w:bCs w:val="0"/>
                <w:color w:val="auto"/>
                <w:szCs w:val="21"/>
                <w:highlight w:val="none"/>
                <w:lang w:val="en-US" w:eastAsia="zh-CN" w:bidi="ar"/>
              </w:rPr>
              <w:t>1、</w:t>
            </w:r>
            <w:r>
              <w:rPr>
                <w:rFonts w:hint="eastAsia" w:ascii="宋体" w:hAnsi="宋体" w:cs="宋体"/>
                <w:b/>
                <w:bCs w:val="0"/>
                <w:color w:val="auto"/>
                <w:szCs w:val="21"/>
                <w:highlight w:val="none"/>
                <w:lang w:bidi="ar"/>
              </w:rPr>
              <w:t>本项目关于人工工资，中标</w:t>
            </w:r>
            <w:r>
              <w:rPr>
                <w:rFonts w:hint="eastAsia" w:ascii="宋体" w:hAnsi="宋体" w:cs="宋体"/>
                <w:b/>
                <w:bCs w:val="0"/>
                <w:color w:val="auto"/>
                <w:szCs w:val="21"/>
                <w:highlight w:val="none"/>
                <w:lang w:val="en-US" w:eastAsia="zh-CN" w:bidi="ar"/>
              </w:rPr>
              <w:t>人</w:t>
            </w:r>
            <w:r>
              <w:rPr>
                <w:rFonts w:hint="eastAsia" w:ascii="宋体" w:hAnsi="宋体" w:cs="宋体"/>
                <w:b/>
                <w:bCs w:val="0"/>
                <w:color w:val="auto"/>
                <w:szCs w:val="21"/>
                <w:highlight w:val="none"/>
                <w:lang w:bidi="ar"/>
              </w:rPr>
              <w:t>在项目实施过程中人员工资必须按时进行发放，如产生工资类纠纷，由中标人自行妥善处理，否则将视为当月考核不合格，全款扣除当月费用</w:t>
            </w:r>
            <w:r>
              <w:rPr>
                <w:rFonts w:hint="eastAsia" w:ascii="宋体" w:hAnsi="宋体" w:cs="宋体"/>
                <w:b/>
                <w:bCs w:val="0"/>
                <w:color w:val="auto"/>
                <w:szCs w:val="21"/>
                <w:highlight w:val="none"/>
                <w:lang w:eastAsia="zh-CN" w:bidi="ar"/>
              </w:rPr>
              <w:t>。</w:t>
            </w:r>
          </w:p>
          <w:p w14:paraId="5EF26C84">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cs="宋体"/>
                <w:b/>
                <w:bCs w:val="0"/>
                <w:color w:val="auto"/>
                <w:szCs w:val="21"/>
                <w:highlight w:val="none"/>
                <w:lang w:val="en-US" w:eastAsia="zh-CN" w:bidi="ar"/>
              </w:rPr>
            </w:pPr>
            <w:r>
              <w:rPr>
                <w:rFonts w:hint="eastAsia" w:ascii="宋体" w:hAnsi="宋体" w:cs="宋体"/>
                <w:b/>
                <w:bCs w:val="0"/>
                <w:color w:val="auto"/>
                <w:szCs w:val="21"/>
                <w:highlight w:val="none"/>
                <w:lang w:val="en-US" w:eastAsia="zh-CN" w:bidi="ar"/>
              </w:rPr>
              <w:t>2、其他要求：</w:t>
            </w:r>
          </w:p>
          <w:p w14:paraId="04C2C2E1">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cs="宋体"/>
                <w:b/>
                <w:bCs w:val="0"/>
                <w:color w:val="auto"/>
                <w:szCs w:val="21"/>
                <w:highlight w:val="none"/>
                <w:lang w:val="en-US" w:eastAsia="zh-CN" w:bidi="ar"/>
              </w:rPr>
            </w:pPr>
            <w:r>
              <w:rPr>
                <w:rFonts w:hint="eastAsia" w:ascii="宋体" w:hAnsi="宋体" w:cs="宋体"/>
                <w:b/>
                <w:bCs w:val="0"/>
                <w:color w:val="auto"/>
                <w:szCs w:val="21"/>
                <w:highlight w:val="none"/>
                <w:lang w:val="en-US" w:eastAsia="zh-CN" w:bidi="ar"/>
              </w:rPr>
              <w:t>1）项目负责人（项目经理）必须保证每月在岗不低于22个日历天，特殊情况下需离开时必须事先征得招标人同意。若招标人在巡查中发现，项目负责人未履行请假手续而不在岗的，中标人须支付5000元/次的违约金；中标后，不允许更换项目负责人，若有特殊情况且经招标人同意变更项目负责人，中标人须支付5万元/次的违约金（法律规定的不可抗力的原因除外）。若有重大活动或检查，项目负责人必须在岗，中标单位必须无条件服从招标人管理。</w:t>
            </w:r>
          </w:p>
          <w:p w14:paraId="45210227">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cs="宋体"/>
                <w:b/>
                <w:bCs w:val="0"/>
                <w:color w:val="auto"/>
                <w:szCs w:val="21"/>
                <w:highlight w:val="none"/>
                <w:lang w:val="en-US" w:eastAsia="zh-CN" w:bidi="ar"/>
              </w:rPr>
            </w:pPr>
            <w:r>
              <w:rPr>
                <w:rFonts w:hint="eastAsia" w:ascii="宋体" w:hAnsi="宋体" w:cs="宋体"/>
                <w:b/>
                <w:bCs w:val="0"/>
                <w:color w:val="auto"/>
                <w:szCs w:val="21"/>
                <w:highlight w:val="none"/>
                <w:lang w:val="en-US" w:eastAsia="zh-CN" w:bidi="ar"/>
              </w:rPr>
              <w:t>2）招标人根据每月上报的机电人员名单将进行不定期检查，发现机电人员不在岗的，中标人须按每人每次500元支付违约金。</w:t>
            </w:r>
          </w:p>
          <w:p w14:paraId="411CC4DF">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cs="宋体"/>
                <w:b/>
                <w:bCs w:val="0"/>
                <w:color w:val="auto"/>
                <w:szCs w:val="21"/>
                <w:highlight w:val="none"/>
                <w:lang w:val="en-US" w:eastAsia="zh-CN" w:bidi="ar"/>
              </w:rPr>
            </w:pPr>
            <w:r>
              <w:rPr>
                <w:rFonts w:hint="eastAsia" w:ascii="宋体" w:hAnsi="宋体" w:cs="宋体"/>
                <w:b/>
                <w:bCs w:val="0"/>
                <w:color w:val="auto"/>
                <w:szCs w:val="21"/>
                <w:highlight w:val="none"/>
                <w:lang w:val="en-US" w:eastAsia="zh-CN" w:bidi="ar"/>
              </w:rPr>
              <w:t>3）各类人员必须每天在岗、在位，配证上岗，统一着装，工作服由中标人自行配置，标识明显，工作服服装样式为招标人指定样式。中标人要保证机电人员的安全，且必须为工作人员缴纳意外伤害保险。合同期内，中标人因管理不到位发生安全事故的，安全责任由中标人自行承担。</w:t>
            </w:r>
          </w:p>
          <w:p w14:paraId="60DA7585">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b/>
                <w:bCs w:val="0"/>
                <w:color w:val="auto"/>
                <w:szCs w:val="21"/>
                <w:highlight w:val="none"/>
                <w:lang w:val="en-US" w:eastAsia="zh-CN" w:bidi="ar"/>
              </w:rPr>
              <w:t>4）网格化管理发布通报或数字城管发布通报或接到市长热线投诉等，中标人须及时处理解决问题，同时回复网格化管理平台，费用全部含在投标报价中。若不及时处理解决问题，影响招标人考核的，中标人须支付1000元～5000元的违约金</w:t>
            </w:r>
            <w:r>
              <w:rPr>
                <w:rFonts w:hint="eastAsia" w:ascii="宋体" w:hAnsi="宋体" w:cs="宋体"/>
                <w:b/>
                <w:bCs w:val="0"/>
                <w:color w:val="auto"/>
                <w:szCs w:val="21"/>
                <w:highlight w:val="none"/>
                <w:lang w:bidi="ar"/>
              </w:rPr>
              <w:t>。</w:t>
            </w:r>
          </w:p>
        </w:tc>
      </w:tr>
    </w:tbl>
    <w:p w14:paraId="0E1874DD">
      <w:pPr>
        <w:pageBreakBefore/>
        <w:shd w:val="clear"/>
        <w:spacing w:beforeLines="100" w:afterLines="100" w:line="500" w:lineRule="exact"/>
        <w:jc w:val="center"/>
        <w:outlineLvl w:val="1"/>
        <w:rPr>
          <w:rFonts w:ascii="宋体"/>
          <w:b/>
          <w:color w:val="auto"/>
          <w:sz w:val="28"/>
          <w:szCs w:val="32"/>
          <w:highlight w:val="none"/>
        </w:rPr>
      </w:pPr>
      <w:r>
        <w:rPr>
          <w:rFonts w:hint="eastAsia" w:ascii="宋体"/>
          <w:b/>
          <w:color w:val="auto"/>
          <w:sz w:val="28"/>
          <w:szCs w:val="28"/>
          <w:highlight w:val="none"/>
        </w:rPr>
        <w:t>二、投标人须知</w:t>
      </w:r>
      <w:bookmarkEnd w:id="30"/>
      <w:bookmarkEnd w:id="31"/>
      <w:bookmarkEnd w:id="32"/>
    </w:p>
    <w:p w14:paraId="7C91EF85">
      <w:pPr>
        <w:shd w:val="clear"/>
        <w:spacing w:beforeLines="50" w:afterLines="50" w:line="500" w:lineRule="exact"/>
        <w:jc w:val="center"/>
        <w:rPr>
          <w:rFonts w:ascii="宋体" w:hAnsi="宋体" w:cs="宋体"/>
          <w:color w:val="auto"/>
          <w:sz w:val="28"/>
          <w:szCs w:val="28"/>
          <w:highlight w:val="none"/>
        </w:rPr>
      </w:pPr>
      <w:bookmarkStart w:id="33" w:name="_Toc449028867"/>
      <w:r>
        <w:rPr>
          <w:rFonts w:hint="eastAsia" w:ascii="宋体" w:hAnsi="宋体" w:cs="宋体"/>
          <w:b/>
          <w:color w:val="auto"/>
          <w:sz w:val="28"/>
          <w:szCs w:val="28"/>
          <w:highlight w:val="none"/>
        </w:rPr>
        <w:t>（一）总  则</w:t>
      </w:r>
      <w:bookmarkEnd w:id="33"/>
    </w:p>
    <w:p w14:paraId="2E8BFBD2">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4B6D2555">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253CF305">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339A6DFF">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0B17F5F1">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合同履行期限</w:t>
      </w:r>
      <w:r>
        <w:rPr>
          <w:rFonts w:hint="eastAsia" w:ascii="宋体" w:hAnsi="宋体" w:cs="宋体"/>
          <w:color w:val="auto"/>
          <w:szCs w:val="21"/>
          <w:highlight w:val="none"/>
        </w:rPr>
        <w:t>：见投标人须知前附表。</w:t>
      </w:r>
    </w:p>
    <w:p w14:paraId="3D3FD474">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56434A09">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w:t>
      </w:r>
      <w:r>
        <w:rPr>
          <w:rFonts w:hint="eastAsia" w:hAnsi="宋体" w:cs="宋体"/>
          <w:color w:val="auto"/>
          <w:szCs w:val="21"/>
          <w:highlight w:val="none"/>
        </w:rPr>
        <w:t>招标人联系人及电话</w:t>
      </w:r>
      <w:r>
        <w:rPr>
          <w:rFonts w:hint="eastAsia" w:ascii="宋体" w:hAnsi="宋体" w:cs="宋体"/>
          <w:color w:val="auto"/>
          <w:szCs w:val="21"/>
          <w:highlight w:val="none"/>
        </w:rPr>
        <w:t>: 见投标人须知前附表。</w:t>
      </w:r>
    </w:p>
    <w:p w14:paraId="793F7CDA">
      <w:pPr>
        <w:shd w:val="clea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采购代理机构联系人及电话</w:t>
      </w:r>
      <w:r>
        <w:rPr>
          <w:rFonts w:hint="eastAsia" w:ascii="宋体" w:hAnsi="宋体" w:cs="宋体"/>
          <w:color w:val="auto"/>
          <w:szCs w:val="21"/>
          <w:highlight w:val="none"/>
        </w:rPr>
        <w:t>: 见投标人须知前附表。</w:t>
      </w:r>
    </w:p>
    <w:p w14:paraId="6021C998">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5A5BE635">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预算：见投标人须知前附表。</w:t>
      </w:r>
    </w:p>
    <w:p w14:paraId="3B358086">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6E9AD16F">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5DAF78A4">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w:t>
      </w:r>
      <w:r>
        <w:rPr>
          <w:rFonts w:hint="eastAsia" w:ascii="宋体" w:hAnsi="宋体" w:cs="宋体"/>
          <w:color w:val="auto"/>
          <w:szCs w:val="21"/>
          <w:highlight w:val="none"/>
          <w:lang w:val="en-US" w:eastAsia="zh-CN"/>
        </w:rPr>
        <w:t>详见《服务内容及技术要求》和合同条款内容</w:t>
      </w:r>
      <w:r>
        <w:rPr>
          <w:rFonts w:hint="eastAsia" w:ascii="宋体" w:hAnsi="宋体" w:cs="宋体"/>
          <w:color w:val="auto"/>
          <w:szCs w:val="21"/>
          <w:highlight w:val="none"/>
        </w:rPr>
        <w:t>。</w:t>
      </w:r>
    </w:p>
    <w:p w14:paraId="579F0E8B">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w:t>
      </w:r>
      <w:r>
        <w:rPr>
          <w:rFonts w:hint="eastAsia" w:ascii="宋体" w:hAnsi="宋体" w:cs="宋体"/>
          <w:color w:val="auto"/>
          <w:szCs w:val="21"/>
          <w:highlight w:val="none"/>
          <w:lang w:val="en-US" w:eastAsia="zh-CN"/>
        </w:rPr>
        <w:t>详见《服务内容及技术要求》和合同条款内容</w:t>
      </w:r>
      <w:r>
        <w:rPr>
          <w:rFonts w:hint="eastAsia" w:ascii="宋体" w:hAnsi="宋体" w:cs="宋体"/>
          <w:color w:val="auto"/>
          <w:szCs w:val="21"/>
          <w:highlight w:val="none"/>
        </w:rPr>
        <w:t>。</w:t>
      </w:r>
    </w:p>
    <w:p w14:paraId="68B3B4A1">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eastAsia="zh-CN"/>
        </w:rPr>
        <w:t>标段</w:t>
      </w:r>
      <w:r>
        <w:rPr>
          <w:rFonts w:hint="eastAsia" w:ascii="宋体" w:hAnsi="宋体" w:cs="宋体"/>
          <w:b/>
          <w:color w:val="auto"/>
          <w:szCs w:val="21"/>
          <w:highlight w:val="none"/>
        </w:rPr>
        <w:t>划分：</w:t>
      </w:r>
    </w:p>
    <w:p w14:paraId="743025D5">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147F4A7B">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77B7E39E">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1BF5A421">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54EEC9AF">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7E3403C8">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2CD91402">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0A3A889A">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4F1868DC">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23F6D567">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7FE6ED3B">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29A9C6F7">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05F49D8C">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50E8D4F7">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4" w:name="_Toc144974507"/>
      <w:bookmarkStart w:id="35" w:name="_Toc296602429"/>
      <w:bookmarkStart w:id="36" w:name="_Toc247513962"/>
      <w:bookmarkStart w:id="37" w:name="_Toc152045539"/>
      <w:bookmarkStart w:id="38" w:name="_Toc247527563"/>
      <w:bookmarkStart w:id="39" w:name="_Toc152042315"/>
      <w:bookmarkStart w:id="40" w:name="_Toc247592876"/>
      <w:r>
        <w:rPr>
          <w:rFonts w:hint="eastAsia" w:ascii="宋体" w:hAnsi="宋体" w:cs="宋体"/>
          <w:b/>
          <w:color w:val="auto"/>
          <w:szCs w:val="21"/>
          <w:highlight w:val="none"/>
        </w:rPr>
        <w:t xml:space="preserve"> 踏勘现场</w:t>
      </w:r>
      <w:bookmarkEnd w:id="34"/>
      <w:bookmarkEnd w:id="35"/>
      <w:bookmarkEnd w:id="36"/>
      <w:bookmarkEnd w:id="37"/>
      <w:bookmarkEnd w:id="38"/>
      <w:bookmarkEnd w:id="39"/>
      <w:bookmarkEnd w:id="40"/>
    </w:p>
    <w:p w14:paraId="7BEAE9AA">
      <w:pPr>
        <w:shd w:val="clea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14CABEC4">
      <w:pPr>
        <w:shd w:val="clea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109DD9CD">
      <w:pPr>
        <w:shd w:val="clea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6F4DACA0">
      <w:pPr>
        <w:shd w:val="clea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1" w:name="_Toc152045540"/>
      <w:bookmarkStart w:id="42" w:name="_Toc144974508"/>
      <w:bookmarkStart w:id="43" w:name="_Toc296602430"/>
      <w:bookmarkStart w:id="44" w:name="_Toc152042316"/>
      <w:bookmarkStart w:id="45" w:name="_Toc247527564"/>
      <w:bookmarkStart w:id="46" w:name="_Toc247513963"/>
      <w:bookmarkStart w:id="47" w:name="_Toc247592877"/>
    </w:p>
    <w:p w14:paraId="630E94F2">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1"/>
      <w:bookmarkEnd w:id="42"/>
      <w:bookmarkEnd w:id="43"/>
      <w:bookmarkEnd w:id="44"/>
      <w:bookmarkEnd w:id="45"/>
      <w:bookmarkEnd w:id="46"/>
      <w:bookmarkEnd w:id="47"/>
      <w:r>
        <w:rPr>
          <w:rFonts w:hint="eastAsia" w:ascii="宋体" w:hAnsi="宋体" w:cs="宋体"/>
          <w:b/>
          <w:color w:val="auto"/>
          <w:szCs w:val="21"/>
          <w:highlight w:val="none"/>
        </w:rPr>
        <w:t>（本项目不采用）</w:t>
      </w:r>
    </w:p>
    <w:p w14:paraId="3E7ACE74">
      <w:pPr>
        <w:shd w:val="clea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65F36A77">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1D6F1746">
      <w:pPr>
        <w:shd w:val="clea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22339CE7">
      <w:pPr>
        <w:shd w:val="clea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2F16FCB9">
      <w:pPr>
        <w:shd w:val="clea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7FA2DAC6">
      <w:pPr>
        <w:shd w:val="clea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026F0C25">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633995C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322EE48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7EC924C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5D7A8DD2">
      <w:pPr>
        <w:shd w:val="clea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14CC601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DB6AC0F">
      <w:pPr>
        <w:shd w:val="clea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5F0638E9">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54455928">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261C232D">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174A70ED">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244FB60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11122E92">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527572F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2D596CCF">
      <w:pPr>
        <w:pStyle w:val="35"/>
        <w:shd w:val="clear"/>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6BFFABED">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2A271EAC">
      <w:pPr>
        <w:pStyle w:val="35"/>
        <w:shd w:val="clear"/>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3656C44F">
      <w:pPr>
        <w:shd w:val="clear"/>
        <w:spacing w:beforeLines="50" w:afterLines="50" w:line="500" w:lineRule="exact"/>
        <w:jc w:val="center"/>
        <w:rPr>
          <w:rFonts w:ascii="宋体" w:hAnsi="宋体" w:cs="宋体"/>
          <w:b/>
          <w:color w:val="auto"/>
          <w:sz w:val="28"/>
          <w:szCs w:val="28"/>
          <w:highlight w:val="none"/>
        </w:rPr>
      </w:pPr>
      <w:bookmarkStart w:id="48" w:name="_Toc449028868"/>
      <w:r>
        <w:rPr>
          <w:rFonts w:hint="eastAsia" w:ascii="宋体" w:hAnsi="宋体" w:cs="宋体"/>
          <w:b/>
          <w:color w:val="auto"/>
          <w:sz w:val="28"/>
          <w:szCs w:val="28"/>
          <w:highlight w:val="none"/>
        </w:rPr>
        <w:t>（二）</w:t>
      </w:r>
      <w:bookmarkEnd w:id="48"/>
      <w:r>
        <w:rPr>
          <w:rFonts w:hint="eastAsia" w:ascii="宋体" w:hAnsi="宋体" w:cs="宋体"/>
          <w:b/>
          <w:color w:val="auto"/>
          <w:sz w:val="28"/>
          <w:szCs w:val="28"/>
          <w:highlight w:val="none"/>
        </w:rPr>
        <w:t>招标文件</w:t>
      </w:r>
    </w:p>
    <w:p w14:paraId="155C7E16">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53F2C54C">
      <w:pPr>
        <w:shd w:val="clea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24DA610A">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679E8FAD">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7FEDDABC">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0A172FD2">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173AFCCE">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639A3735">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技术要求</w:t>
      </w:r>
    </w:p>
    <w:p w14:paraId="4FBCDDB3">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12A43E14">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5F79B2CD">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55A069BF">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174F59DE">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14F77E92">
      <w:pPr>
        <w:shd w:val="clea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009A871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1D6BA4F3">
      <w:pPr>
        <w:shd w:val="clea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4D2C5C44">
      <w:pPr>
        <w:shd w:val="clea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213C1D9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65A88C1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21B86063">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7415148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6C8B3CE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6241D4B1">
      <w:pPr>
        <w:shd w:val="clea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63A0A2D0">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417F7AC4">
      <w:pPr>
        <w:shd w:val="clear"/>
        <w:spacing w:line="500" w:lineRule="exact"/>
        <w:ind w:left="-420" w:leftChars="-200" w:right="-420" w:rightChars="-200" w:firstLine="843" w:firstLineChars="400"/>
        <w:rPr>
          <w:rFonts w:ascii="宋体" w:hAnsi="宋体" w:cs="宋体"/>
          <w:b/>
          <w:bCs/>
          <w:color w:val="auto"/>
          <w:szCs w:val="21"/>
          <w:highlight w:val="none"/>
        </w:rPr>
      </w:pPr>
      <w:bookmarkStart w:id="49" w:name="_Toc449028869"/>
      <w:r>
        <w:rPr>
          <w:rFonts w:hint="eastAsia" w:ascii="宋体" w:hAnsi="宋体" w:cs="宋体"/>
          <w:b/>
          <w:bCs/>
          <w:color w:val="auto"/>
          <w:szCs w:val="21"/>
          <w:highlight w:val="none"/>
        </w:rPr>
        <w:t>19. 样品（本项目不采用）</w:t>
      </w:r>
    </w:p>
    <w:p w14:paraId="70941E9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1D6181D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2A0452B0">
      <w:pPr>
        <w:shd w:val="clear"/>
        <w:spacing w:beforeLines="50"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49"/>
    </w:p>
    <w:p w14:paraId="6704723C">
      <w:pPr>
        <w:shd w:val="clear"/>
        <w:spacing w:line="500" w:lineRule="exact"/>
        <w:ind w:firstLine="306" w:firstLineChars="145"/>
        <w:jc w:val="left"/>
        <w:rPr>
          <w:rFonts w:hint="eastAsia"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69089488">
      <w:pPr>
        <w:shd w:val="clear"/>
        <w:spacing w:line="500" w:lineRule="exact"/>
        <w:ind w:firstLine="304" w:firstLineChars="145"/>
        <w:jc w:val="left"/>
        <w:rPr>
          <w:rFonts w:hint="eastAsia"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3DDFA0F7">
      <w:pPr>
        <w:shd w:val="clear"/>
        <w:spacing w:line="500" w:lineRule="exact"/>
        <w:ind w:firstLine="304" w:firstLineChars="145"/>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12A5CA2E">
      <w:pPr>
        <w:shd w:val="clea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753CBD84">
      <w:pPr>
        <w:shd w:val="clea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4BE3A89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17EB096A">
      <w:pPr>
        <w:shd w:val="clea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50E6BA9F">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165E694D">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530AECA2">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6B6F354F">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29AA8221">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FD27C66">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6B9AB68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0CC864B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0DD215E8">
      <w:pPr>
        <w:shd w:val="clea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03EC4914">
      <w:pPr>
        <w:shd w:val="clea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3968D149">
      <w:pPr>
        <w:shd w:val="clea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34F7BAD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color w:val="auto"/>
          <w:szCs w:val="21"/>
          <w:highlight w:val="none"/>
          <w:lang w:val="en-US" w:eastAsia="zh-CN"/>
        </w:rPr>
        <w:t>本项目投标报价采用费率报价</w:t>
      </w:r>
      <w:r>
        <w:rPr>
          <w:rFonts w:hint="eastAsia" w:ascii="宋体" w:hAnsi="宋体" w:cs="宋体"/>
          <w:color w:val="auto"/>
          <w:szCs w:val="21"/>
          <w:highlight w:val="none"/>
        </w:rPr>
        <w:t>。</w:t>
      </w:r>
    </w:p>
    <w:p w14:paraId="1F7B504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22.2投标人只允许有一个方案、一个报价。</w:t>
      </w:r>
    </w:p>
    <w:p w14:paraId="46D2A75E">
      <w:pPr>
        <w:shd w:val="clear"/>
        <w:spacing w:line="500" w:lineRule="exact"/>
        <w:ind w:firstLine="420" w:firstLineChars="200"/>
        <w:rPr>
          <w:rFonts w:hint="eastAsia" w:ascii="宋体"/>
          <w:b/>
          <w:bCs/>
          <w:color w:val="auto"/>
          <w:szCs w:val="21"/>
          <w:highlight w:val="none"/>
          <w:lang w:val="en-US"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3</w:t>
      </w:r>
      <w:r>
        <w:rPr>
          <w:rFonts w:hint="eastAsia" w:ascii="宋体"/>
          <w:b/>
          <w:bCs/>
          <w:color w:val="auto"/>
          <w:szCs w:val="21"/>
          <w:highlight w:val="none"/>
          <w:lang w:val="en-US" w:eastAsia="zh-CN"/>
        </w:rPr>
        <w:t>中标费率及招标人发布的综合单价，今后不做任何调整。投标人报价中应充分考虑运输、装卸、安全、技术、服务、保险、税金、验收、风险等及完全达到招标文件要求内容并通过验收合格所需的全部费用。招标单位不再另行支付因养护维修、抢修等情况需增加材料、人员、机械等的任何费用。因材料丢失、被盗等所造成的损失视为中标人巡查不到位，所有损失由中标人负责（不可抗力除外）。</w:t>
      </w:r>
    </w:p>
    <w:p w14:paraId="1730EC8B">
      <w:pPr>
        <w:shd w:val="clea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投标报价的价格是完成项目全部内容（包括后期的相关服务）交付验收的价格，其价格即为履行合同的固定价格。</w:t>
      </w:r>
    </w:p>
    <w:p w14:paraId="64CE1440">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技术要求中规定的安装、调试和培训费用应包括在投标价格中。投标文件报价为含税价，采购人不再为此次招标支付任何费用。</w:t>
      </w:r>
    </w:p>
    <w:p w14:paraId="0412B61B">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投标报价应由法定代表人或被授权人签署。</w:t>
      </w:r>
    </w:p>
    <w:p w14:paraId="5BD44A3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6D54DBD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总投标价中不得包含招标文件要求以外的内容，否则，在评标时不予核减，但在授予合同时，采购人有权将这部分价格从其中标价格中扣除。</w:t>
      </w:r>
    </w:p>
    <w:p w14:paraId="28AE4639">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2153E16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2304F07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1E1994C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338FAAF">
      <w:pPr>
        <w:shd w:val="clea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7AFFA2AE">
      <w:pPr>
        <w:shd w:val="clear"/>
        <w:spacing w:line="500" w:lineRule="exact"/>
        <w:ind w:firstLine="420" w:firstLineChars="200"/>
        <w:jc w:val="left"/>
        <w:rPr>
          <w:rFonts w:ascii="宋体" w:hAnsi="宋体" w:cs="宋体"/>
          <w:color w:val="auto"/>
          <w:szCs w:val="21"/>
          <w:highlight w:val="none"/>
        </w:rPr>
      </w:pPr>
      <w:bookmarkStart w:id="50"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09025C3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1DA1290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61A924BE">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4683981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77BE565B">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54DA51B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967CC0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27105313">
      <w:pPr>
        <w:shd w:val="clear"/>
        <w:spacing w:beforeLines="50"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0"/>
    </w:p>
    <w:p w14:paraId="079AF969">
      <w:pPr>
        <w:shd w:val="clea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55D2BA1A">
      <w:pPr>
        <w:shd w:val="clear"/>
        <w:spacing w:line="500" w:lineRule="exact"/>
        <w:ind w:firstLine="420" w:firstLineChars="200"/>
        <w:jc w:val="left"/>
        <w:rPr>
          <w:rFonts w:ascii="宋体" w:hAnsi="宋体" w:cs="宋体"/>
          <w:color w:val="auto"/>
          <w:szCs w:val="21"/>
          <w:highlight w:val="none"/>
        </w:rPr>
      </w:pPr>
      <w:bookmarkStart w:id="51"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24C41AC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519555D1">
      <w:pPr>
        <w:shd w:val="clea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4D2D6706">
      <w:pPr>
        <w:shd w:val="clea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1E927314">
      <w:pPr>
        <w:shd w:val="clea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69ADAB56">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2497970F">
      <w:pPr>
        <w:shd w:val="clea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456E248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6198100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43A1A6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11380D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66EBB2D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3B8F67D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33B7655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6A843382">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2A8DC910">
      <w:pPr>
        <w:shd w:val="clear"/>
        <w:spacing w:beforeLines="50" w:afterLines="50" w:line="500" w:lineRule="exact"/>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1438C703">
      <w:pPr>
        <w:shd w:val="clear"/>
        <w:spacing w:beforeLines="50"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1"/>
    </w:p>
    <w:p w14:paraId="3A2F66A8">
      <w:pPr>
        <w:shd w:val="clea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0316BEA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72E97D8E">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6D1DD4A5">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4959C0C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67E231B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03B6F98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65D3768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792CF16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1FB485A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3FE478B0">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B53A5A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41740015">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103052A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25AF261">
      <w:pPr>
        <w:shd w:val="clea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773ACADB">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752FD2EC">
      <w:pPr>
        <w:shd w:val="clea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2AF1B3DC">
      <w:pPr>
        <w:shd w:val="clea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EE76D1D">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89093D1">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46671416">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68AB2943">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16519FB4">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5E7D673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1B0FD0C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3E2B4F6">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1320132E">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EA1703F">
      <w:pPr>
        <w:shd w:val="clea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138E64E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2219DA98">
      <w:pPr>
        <w:shd w:val="clear"/>
        <w:spacing w:line="500" w:lineRule="exact"/>
        <w:ind w:firstLine="420" w:firstLineChars="200"/>
        <w:jc w:val="left"/>
        <w:rPr>
          <w:rFonts w:ascii="宋体" w:hAnsi="宋体" w:cs="宋体"/>
          <w:color w:val="auto"/>
          <w:szCs w:val="21"/>
          <w:highlight w:val="none"/>
        </w:rPr>
      </w:pPr>
      <w:bookmarkStart w:id="52"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71F00AD0">
      <w:pPr>
        <w:shd w:val="clea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6770AC9B">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6B9AE18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7CC14914">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6674100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4BAD98A5">
      <w:pPr>
        <w:shd w:val="clea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2C005C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5FA72EB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476EAB96">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2D818E81">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403F298B">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C59A9E8">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72F0B9D2">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5DA0A9CF">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1ABC40D3">
      <w:pPr>
        <w:shd w:val="clea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1E4C70BF">
      <w:pPr>
        <w:shd w:val="clea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3D4AD389">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511F9399">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w:t>
      </w: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ascii="宋体"/>
          <w:color w:val="auto"/>
          <w:szCs w:val="21"/>
          <w:highlight w:val="none"/>
        </w:rPr>
        <w:t>。</w:t>
      </w:r>
    </w:p>
    <w:p w14:paraId="1B868DB0">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701CAA28">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48F9143D">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65DD346C">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1D4BD24C">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21B85A56">
      <w:pPr>
        <w:shd w:val="clea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406A0602">
      <w:pPr>
        <w:shd w:val="clea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7F60AFB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7D80DA66">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14371328">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14D561E2">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1199740D">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77E6A2E1">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3C0DB972">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2069C872">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4D33BDDD">
      <w:pPr>
        <w:shd w:val="clear"/>
        <w:tabs>
          <w:tab w:val="left" w:pos="720"/>
        </w:tabs>
        <w:spacing w:line="500" w:lineRule="exact"/>
        <w:ind w:firstLine="420" w:firstLineChars="200"/>
        <w:jc w:val="left"/>
        <w:rPr>
          <w:rFonts w:ascii="宋体"/>
          <w:color w:val="auto"/>
          <w:szCs w:val="21"/>
          <w:highlight w:val="none"/>
        </w:rPr>
      </w:pPr>
      <w:bookmarkStart w:id="53" w:name="_Toc449028872"/>
      <w:r>
        <w:rPr>
          <w:rFonts w:hint="eastAsia" w:ascii="宋体"/>
          <w:color w:val="auto"/>
          <w:szCs w:val="21"/>
          <w:highlight w:val="none"/>
        </w:rPr>
        <w:t>按照滁州市公管局相关规定执行。</w:t>
      </w:r>
      <w:bookmarkEnd w:id="53"/>
    </w:p>
    <w:p w14:paraId="7302AC6F">
      <w:pPr>
        <w:shd w:val="clea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2"/>
    </w:p>
    <w:p w14:paraId="4BF65633">
      <w:pPr>
        <w:shd w:val="clea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4C1420D3">
      <w:pPr>
        <w:shd w:val="clea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784F1B64">
      <w:pPr>
        <w:shd w:val="clea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24BB9B24">
      <w:pPr>
        <w:shd w:val="clea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33CDC041">
      <w:pPr>
        <w:shd w:val="clea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4254C5D9">
      <w:pPr>
        <w:shd w:val="clea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7A38CD5D">
      <w:pPr>
        <w:shd w:val="clea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4"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4"/>
      <w:r>
        <w:rPr>
          <w:rFonts w:hint="eastAsia" w:ascii="宋体" w:hAnsi="宋体" w:cs="宋体"/>
          <w:b/>
          <w:color w:val="auto"/>
          <w:szCs w:val="21"/>
          <w:highlight w:val="none"/>
        </w:rPr>
        <w:t>担保</w:t>
      </w:r>
    </w:p>
    <w:p w14:paraId="406D7A95">
      <w:pPr>
        <w:shd w:val="clea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141F4B15">
      <w:pPr>
        <w:shd w:val="clea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4E3E7D89">
      <w:pPr>
        <w:shd w:val="clear"/>
        <w:spacing w:beforeLines="100" w:afterLines="100" w:line="500" w:lineRule="exact"/>
        <w:jc w:val="center"/>
        <w:rPr>
          <w:rFonts w:ascii="宋体"/>
          <w:b/>
          <w:color w:val="auto"/>
          <w:sz w:val="28"/>
          <w:szCs w:val="28"/>
          <w:highlight w:val="none"/>
        </w:rPr>
      </w:pPr>
      <w:bookmarkStart w:id="55" w:name="_Toc449028874"/>
      <w:r>
        <w:rPr>
          <w:rFonts w:hint="eastAsia" w:ascii="宋体"/>
          <w:b/>
          <w:color w:val="auto"/>
          <w:sz w:val="28"/>
          <w:szCs w:val="28"/>
          <w:highlight w:val="none"/>
        </w:rPr>
        <w:t>（七）纪律和监督</w:t>
      </w:r>
      <w:bookmarkEnd w:id="55"/>
    </w:p>
    <w:p w14:paraId="36A062C0">
      <w:pPr>
        <w:shd w:val="clea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0221C6BD">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723539E2">
      <w:pPr>
        <w:shd w:val="clea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72BF1867">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500656CB">
      <w:pPr>
        <w:shd w:val="clea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321C5028">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1A5F7BE">
      <w:pPr>
        <w:shd w:val="clea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1C42F96B">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550728D7">
      <w:pPr>
        <w:shd w:val="clear"/>
        <w:spacing w:beforeLines="100"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6D1B0C9E">
      <w:pPr>
        <w:shd w:val="clea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0DC9000B">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7DD0F5D3">
      <w:pPr>
        <w:shd w:val="clear"/>
        <w:adjustRightInd w:val="0"/>
        <w:snapToGrid w:val="0"/>
        <w:spacing w:line="500" w:lineRule="exact"/>
        <w:ind w:firstLine="315" w:firstLineChars="150"/>
        <w:rPr>
          <w:rFonts w:hint="eastAsia"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53B0BCC5">
      <w:pPr>
        <w:rPr>
          <w:color w:val="auto"/>
          <w:highlight w:val="none"/>
        </w:rPr>
      </w:pPr>
      <w:r>
        <w:rPr>
          <w:color w:val="auto"/>
          <w:highlight w:val="none"/>
        </w:rPr>
        <w:br w:type="page"/>
      </w:r>
    </w:p>
    <w:p w14:paraId="12AE14ED">
      <w:pPr>
        <w:pStyle w:val="3"/>
        <w:keepNext/>
        <w:keepLines/>
        <w:pageBreakBefore w:val="0"/>
        <w:widowControl w:val="0"/>
        <w:shd w:val="clear"/>
        <w:kinsoku/>
        <w:wordWrap/>
        <w:overflowPunct/>
        <w:topLinePunct w:val="0"/>
        <w:autoSpaceDE/>
        <w:autoSpaceDN/>
        <w:bidi w:val="0"/>
        <w:adjustRightInd/>
        <w:snapToGrid/>
        <w:spacing w:before="0" w:beforeLines="100" w:after="0" w:afterLines="100" w:line="440" w:lineRule="exact"/>
        <w:textAlignment w:val="auto"/>
        <w:rPr>
          <w:rFonts w:ascii="宋体"/>
          <w:b w:val="0"/>
          <w:color w:val="auto"/>
          <w:szCs w:val="32"/>
          <w:highlight w:val="none"/>
        </w:rPr>
      </w:pPr>
      <w:bookmarkStart w:id="56" w:name="_Toc28871"/>
      <w:r>
        <w:rPr>
          <w:rFonts w:hint="eastAsia" w:ascii="宋体"/>
          <w:bCs w:val="0"/>
          <w:color w:val="auto"/>
          <w:szCs w:val="32"/>
          <w:highlight w:val="none"/>
        </w:rPr>
        <w:t>第三章 评标办法（综合评分法）</w:t>
      </w:r>
      <w:bookmarkEnd w:id="56"/>
    </w:p>
    <w:p w14:paraId="348C11CE">
      <w:pPr>
        <w:shd w:val="clear"/>
        <w:spacing w:beforeLines="50" w:afterLines="50" w:line="500" w:lineRule="exact"/>
        <w:jc w:val="center"/>
        <w:outlineLvl w:val="1"/>
        <w:rPr>
          <w:rFonts w:ascii="宋体" w:hAnsi="宋体" w:cs="宋体"/>
          <w:b/>
          <w:color w:val="auto"/>
          <w:sz w:val="28"/>
          <w:szCs w:val="28"/>
          <w:highlight w:val="none"/>
        </w:rPr>
      </w:pPr>
      <w:bookmarkStart w:id="57" w:name="_Toc362983801"/>
      <w:bookmarkStart w:id="58" w:name="_Toc58430317"/>
      <w:bookmarkStart w:id="59" w:name="_Toc449028877"/>
      <w:bookmarkStart w:id="60" w:name="_Toc20697"/>
      <w:bookmarkStart w:id="61" w:name="_Toc267320058"/>
      <w:bookmarkStart w:id="62" w:name="_Toc363135205"/>
      <w:r>
        <w:rPr>
          <w:rFonts w:hint="eastAsia" w:ascii="宋体" w:hAnsi="宋体" w:cs="宋体"/>
          <w:b/>
          <w:color w:val="auto"/>
          <w:sz w:val="28"/>
          <w:szCs w:val="28"/>
          <w:highlight w:val="none"/>
        </w:rPr>
        <w:t>一、总则</w:t>
      </w:r>
      <w:bookmarkEnd w:id="57"/>
      <w:bookmarkEnd w:id="58"/>
      <w:bookmarkEnd w:id="59"/>
      <w:bookmarkEnd w:id="60"/>
    </w:p>
    <w:p w14:paraId="2C80926C">
      <w:pPr>
        <w:shd w:val="clea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38C34B8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24DBA1B5">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713CB7B3">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34002D7B">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3B647AB6">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41F2CBE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14C19F5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6B0601F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417BE671">
      <w:pPr>
        <w:shd w:val="clea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2F15415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0D631D55">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527F6D2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7199208D">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12D5965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258869D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5A9B7028">
      <w:pPr>
        <w:shd w:val="clea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63" w:name="_Toc449028878"/>
      <w:bookmarkStart w:id="64" w:name="_Toc58430318"/>
      <w:bookmarkStart w:id="65" w:name="_Toc362983802"/>
    </w:p>
    <w:p w14:paraId="72F28CDE">
      <w:pPr>
        <w:shd w:val="clear"/>
        <w:spacing w:beforeLines="50"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3"/>
      <w:bookmarkEnd w:id="64"/>
      <w:bookmarkEnd w:id="65"/>
    </w:p>
    <w:p w14:paraId="401C8BDC">
      <w:pPr>
        <w:shd w:val="clea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012D69DD">
      <w:pPr>
        <w:shd w:val="clea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6"/>
        <w:tblW w:w="935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45"/>
        <w:gridCol w:w="4330"/>
        <w:gridCol w:w="2818"/>
      </w:tblGrid>
      <w:tr w14:paraId="52DE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66" w:type="dxa"/>
            <w:vAlign w:val="center"/>
          </w:tcPr>
          <w:p w14:paraId="66380ACF">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775" w:type="dxa"/>
            <w:gridSpan w:val="2"/>
            <w:vAlign w:val="center"/>
          </w:tcPr>
          <w:p w14:paraId="518FA2C1">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2818" w:type="dxa"/>
            <w:vAlign w:val="center"/>
          </w:tcPr>
          <w:p w14:paraId="0140E1BD">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7C28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66" w:type="dxa"/>
            <w:vAlign w:val="center"/>
          </w:tcPr>
          <w:p w14:paraId="5A4E550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445" w:type="dxa"/>
            <w:vAlign w:val="center"/>
          </w:tcPr>
          <w:p w14:paraId="4A47BFC9">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重要要求</w:t>
            </w:r>
          </w:p>
        </w:tc>
        <w:tc>
          <w:tcPr>
            <w:tcW w:w="4330" w:type="dxa"/>
            <w:vAlign w:val="center"/>
          </w:tcPr>
          <w:p w14:paraId="2D13D32A">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2818" w:type="dxa"/>
            <w:vAlign w:val="center"/>
          </w:tcPr>
          <w:p w14:paraId="0CD3C436">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检验电子标书</w:t>
            </w:r>
          </w:p>
        </w:tc>
      </w:tr>
      <w:tr w14:paraId="1AA7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66" w:type="dxa"/>
            <w:vMerge w:val="restart"/>
            <w:vAlign w:val="center"/>
          </w:tcPr>
          <w:p w14:paraId="5D11E7C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1445" w:type="dxa"/>
            <w:vMerge w:val="restart"/>
            <w:vAlign w:val="center"/>
          </w:tcPr>
          <w:p w14:paraId="74A553A0">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330" w:type="dxa"/>
            <w:vAlign w:val="center"/>
          </w:tcPr>
          <w:p w14:paraId="30837AA4">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2818" w:type="dxa"/>
            <w:vAlign w:val="center"/>
          </w:tcPr>
          <w:p w14:paraId="2E1F418C">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7544395C">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投标人有效的营业执照、税务登记证、组织机构码证（或“三证合一证书”）</w:t>
            </w:r>
          </w:p>
        </w:tc>
      </w:tr>
      <w:tr w14:paraId="7F93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66" w:type="dxa"/>
            <w:vMerge w:val="continue"/>
            <w:vAlign w:val="center"/>
          </w:tcPr>
          <w:p w14:paraId="3D6FEE1C">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p>
        </w:tc>
        <w:tc>
          <w:tcPr>
            <w:tcW w:w="1445" w:type="dxa"/>
            <w:vMerge w:val="continue"/>
            <w:vAlign w:val="center"/>
          </w:tcPr>
          <w:p w14:paraId="6CB3CED5">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tc>
        <w:tc>
          <w:tcPr>
            <w:tcW w:w="4330" w:type="dxa"/>
            <w:vAlign w:val="center"/>
          </w:tcPr>
          <w:p w14:paraId="4911A218">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企业资质证书、有效的安全生产许可证</w:t>
            </w:r>
          </w:p>
        </w:tc>
        <w:tc>
          <w:tcPr>
            <w:tcW w:w="2818" w:type="dxa"/>
            <w:vMerge w:val="restart"/>
            <w:vAlign w:val="center"/>
          </w:tcPr>
          <w:p w14:paraId="72FA1C98">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检验电子标书</w:t>
            </w:r>
          </w:p>
        </w:tc>
      </w:tr>
      <w:tr w14:paraId="3988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66" w:type="dxa"/>
            <w:vMerge w:val="continue"/>
            <w:vAlign w:val="center"/>
          </w:tcPr>
          <w:p w14:paraId="5BE9949B">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p>
        </w:tc>
        <w:tc>
          <w:tcPr>
            <w:tcW w:w="1445" w:type="dxa"/>
            <w:vMerge w:val="continue"/>
            <w:vAlign w:val="center"/>
          </w:tcPr>
          <w:p w14:paraId="55A0AFF4">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tc>
        <w:tc>
          <w:tcPr>
            <w:tcW w:w="4330" w:type="dxa"/>
            <w:vAlign w:val="center"/>
          </w:tcPr>
          <w:p w14:paraId="2ECA5F4C">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项目负责人身份证、注册证书、安全生产考核合格证书证书及持有社保部门出具的本单位为其缴纳的投标前近三个月连续的养老保险证明（证明文件两个月内有效），投标申请人是事业单位的，须由其主管部门出具证明</w:t>
            </w:r>
          </w:p>
        </w:tc>
        <w:tc>
          <w:tcPr>
            <w:tcW w:w="2818" w:type="dxa"/>
            <w:vMerge w:val="continue"/>
            <w:vAlign w:val="center"/>
          </w:tcPr>
          <w:p w14:paraId="4E77801D">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tc>
      </w:tr>
      <w:tr w14:paraId="2E04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6" w:type="dxa"/>
            <w:vMerge w:val="continue"/>
            <w:vAlign w:val="center"/>
          </w:tcPr>
          <w:p w14:paraId="1C718D20">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p>
        </w:tc>
        <w:tc>
          <w:tcPr>
            <w:tcW w:w="1445" w:type="dxa"/>
            <w:vMerge w:val="continue"/>
            <w:vAlign w:val="center"/>
          </w:tcPr>
          <w:p w14:paraId="0FE8E69B">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tc>
        <w:tc>
          <w:tcPr>
            <w:tcW w:w="4330" w:type="dxa"/>
            <w:vAlign w:val="center"/>
          </w:tcPr>
          <w:p w14:paraId="51779800">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ascii="宋体" w:hAnsi="宋体" w:cs="宋体"/>
                <w:b/>
                <w:color w:val="auto"/>
                <w:szCs w:val="21"/>
                <w:highlight w:val="none"/>
              </w:rPr>
            </w:pPr>
            <w:r>
              <w:rPr>
                <w:rFonts w:hint="eastAsia" w:ascii="宋体" w:hAnsi="宋体" w:cs="宋体"/>
                <w:color w:val="auto"/>
                <w:szCs w:val="21"/>
                <w:highlight w:val="none"/>
              </w:rPr>
              <w:t>（5）诚信投标承诺书或公共信用信息报告（无违法违规证明版或核查版）</w:t>
            </w:r>
          </w:p>
        </w:tc>
        <w:tc>
          <w:tcPr>
            <w:tcW w:w="2818" w:type="dxa"/>
            <w:vAlign w:val="center"/>
          </w:tcPr>
          <w:p w14:paraId="110E06A2">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r w14:paraId="4CA5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6" w:type="dxa"/>
            <w:vMerge w:val="continue"/>
            <w:vAlign w:val="center"/>
          </w:tcPr>
          <w:p w14:paraId="6DC4BC9D">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p>
        </w:tc>
        <w:tc>
          <w:tcPr>
            <w:tcW w:w="1445" w:type="dxa"/>
            <w:vMerge w:val="continue"/>
            <w:vAlign w:val="center"/>
          </w:tcPr>
          <w:p w14:paraId="75E45A8B">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tc>
        <w:tc>
          <w:tcPr>
            <w:tcW w:w="4330" w:type="dxa"/>
            <w:vAlign w:val="center"/>
          </w:tcPr>
          <w:p w14:paraId="0C09F0E2">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（6）养护基地配置要求：投标人拟为本项目在养护范围内设立养护基地，投标人自有或租赁均可，必须承诺中标后合同签订前设立。投标时提供承诺书，承诺书格式自拟。</w:t>
            </w:r>
          </w:p>
        </w:tc>
        <w:tc>
          <w:tcPr>
            <w:tcW w:w="2818" w:type="dxa"/>
            <w:vAlign w:val="center"/>
          </w:tcPr>
          <w:p w14:paraId="1CF971D4">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检验电子标书</w:t>
            </w:r>
          </w:p>
        </w:tc>
      </w:tr>
    </w:tbl>
    <w:p w14:paraId="6289B29C">
      <w:pPr>
        <w:shd w:val="clear"/>
        <w:spacing w:line="500" w:lineRule="exact"/>
        <w:ind w:right="-164" w:rightChars="-78" w:firstLine="508" w:firstLineChars="241"/>
        <w:jc w:val="left"/>
        <w:rPr>
          <w:rFonts w:hint="eastAsia"/>
          <w:color w:val="auto"/>
          <w:highlight w:val="none"/>
        </w:rPr>
      </w:pPr>
      <w:bookmarkStart w:id="66" w:name="_Toc324404866"/>
      <w:bookmarkStart w:id="67" w:name="_Toc506107319"/>
      <w:bookmarkStart w:id="68" w:name="_Toc15058904"/>
      <w:bookmarkStart w:id="69" w:name="_Toc60061491"/>
      <w:bookmarkStart w:id="70" w:name="_Toc95223394"/>
      <w:r>
        <w:rPr>
          <w:rFonts w:hint="eastAsia" w:ascii="宋体" w:hAnsi="宋体" w:eastAsia="宋体" w:cs="宋体"/>
          <w:b/>
          <w:color w:val="auto"/>
          <w:szCs w:val="21"/>
          <w:highlight w:val="none"/>
        </w:rPr>
        <w:t>重要提示：</w:t>
      </w:r>
    </w:p>
    <w:p w14:paraId="588487EB">
      <w:pPr>
        <w:shd w:val="clear"/>
        <w:spacing w:line="500" w:lineRule="exact"/>
        <w:ind w:right="36" w:rightChars="17"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36A581F">
      <w:pPr>
        <w:shd w:val="clear"/>
        <w:spacing w:line="500" w:lineRule="exact"/>
        <w:ind w:right="36" w:rightChars="17"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25BA6961">
      <w:pPr>
        <w:shd w:val="clear"/>
        <w:spacing w:line="500" w:lineRule="exact"/>
        <w:ind w:right="36" w:rightChars="17" w:firstLine="508" w:firstLineChars="241"/>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0AFDA359">
      <w:pPr>
        <w:shd w:val="clear"/>
        <w:spacing w:line="500" w:lineRule="exact"/>
        <w:ind w:right="36" w:rightChars="17" w:firstLine="508" w:firstLineChars="241"/>
        <w:jc w:val="left"/>
        <w:rPr>
          <w:b/>
          <w:bCs/>
          <w:color w:val="auto"/>
          <w:highlight w:val="none"/>
        </w:rPr>
      </w:pPr>
      <w:r>
        <w:rPr>
          <w:rFonts w:hint="eastAsia" w:ascii="宋体" w:hAnsi="宋体" w:eastAsia="宋体" w:cs="宋体"/>
          <w:b/>
          <w:bCs/>
          <w:color w:val="auto"/>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bookmarkEnd w:id="66"/>
      <w:bookmarkEnd w:id="67"/>
      <w:bookmarkEnd w:id="68"/>
      <w:bookmarkEnd w:id="69"/>
      <w:bookmarkEnd w:id="70"/>
    </w:p>
    <w:p w14:paraId="2B2D3B7F">
      <w:pPr>
        <w:shd w:val="clea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7E6C777E">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6"/>
        <w:tblW w:w="961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31"/>
      </w:tblGrid>
      <w:tr w14:paraId="41E5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61AF6F6">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44B1B613">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31" w:type="dxa"/>
            <w:vAlign w:val="center"/>
          </w:tcPr>
          <w:p w14:paraId="5B6289DE">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12F7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6B605502">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308B9786">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630D96C2">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31" w:type="dxa"/>
            <w:vAlign w:val="center"/>
          </w:tcPr>
          <w:p w14:paraId="58B2E965">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544EA62F">
            <w:pPr>
              <w:shd w:val="clea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167B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4DD229F9">
            <w:pPr>
              <w:shd w:val="clear"/>
              <w:spacing w:line="500" w:lineRule="exact"/>
              <w:jc w:val="left"/>
              <w:rPr>
                <w:rFonts w:ascii="宋体" w:hAnsi="宋体" w:cs="宋体"/>
                <w:color w:val="auto"/>
                <w:szCs w:val="21"/>
                <w:highlight w:val="none"/>
              </w:rPr>
            </w:pPr>
          </w:p>
        </w:tc>
        <w:tc>
          <w:tcPr>
            <w:tcW w:w="1318" w:type="dxa"/>
            <w:vMerge w:val="continue"/>
            <w:vAlign w:val="center"/>
          </w:tcPr>
          <w:p w14:paraId="40533F9E">
            <w:pPr>
              <w:shd w:val="clear"/>
              <w:spacing w:line="500" w:lineRule="exact"/>
              <w:jc w:val="left"/>
              <w:rPr>
                <w:rFonts w:ascii="宋体" w:hAnsi="宋体" w:cs="宋体"/>
                <w:color w:val="auto"/>
                <w:szCs w:val="21"/>
                <w:highlight w:val="none"/>
              </w:rPr>
            </w:pPr>
          </w:p>
        </w:tc>
        <w:tc>
          <w:tcPr>
            <w:tcW w:w="2931" w:type="dxa"/>
            <w:vAlign w:val="center"/>
          </w:tcPr>
          <w:p w14:paraId="75826FC9">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31" w:type="dxa"/>
            <w:vAlign w:val="center"/>
          </w:tcPr>
          <w:p w14:paraId="1EC48AE4">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19E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FAC2FDE">
            <w:pPr>
              <w:shd w:val="clear"/>
              <w:spacing w:line="500" w:lineRule="exact"/>
              <w:jc w:val="left"/>
              <w:rPr>
                <w:rFonts w:ascii="宋体" w:hAnsi="宋体" w:cs="宋体"/>
                <w:color w:val="auto"/>
                <w:szCs w:val="21"/>
                <w:highlight w:val="none"/>
              </w:rPr>
            </w:pPr>
          </w:p>
        </w:tc>
        <w:tc>
          <w:tcPr>
            <w:tcW w:w="1318" w:type="dxa"/>
            <w:vMerge w:val="continue"/>
            <w:vAlign w:val="center"/>
          </w:tcPr>
          <w:p w14:paraId="41F9A22C">
            <w:pPr>
              <w:shd w:val="clear"/>
              <w:spacing w:line="500" w:lineRule="exact"/>
              <w:jc w:val="left"/>
              <w:rPr>
                <w:rFonts w:ascii="宋体" w:hAnsi="宋体" w:cs="宋体"/>
                <w:color w:val="auto"/>
                <w:szCs w:val="21"/>
                <w:highlight w:val="none"/>
              </w:rPr>
            </w:pPr>
          </w:p>
        </w:tc>
        <w:tc>
          <w:tcPr>
            <w:tcW w:w="2931" w:type="dxa"/>
            <w:vAlign w:val="center"/>
          </w:tcPr>
          <w:p w14:paraId="06EBEA00">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31" w:type="dxa"/>
            <w:vAlign w:val="center"/>
          </w:tcPr>
          <w:p w14:paraId="2D33A63C">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238A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1769C82E">
            <w:pPr>
              <w:shd w:val="clear"/>
              <w:spacing w:line="500" w:lineRule="exact"/>
              <w:jc w:val="left"/>
              <w:rPr>
                <w:rFonts w:ascii="宋体" w:hAnsi="宋体" w:cs="宋体"/>
                <w:color w:val="auto"/>
                <w:szCs w:val="21"/>
                <w:highlight w:val="none"/>
              </w:rPr>
            </w:pPr>
          </w:p>
        </w:tc>
        <w:tc>
          <w:tcPr>
            <w:tcW w:w="1318" w:type="dxa"/>
            <w:vMerge w:val="continue"/>
            <w:vAlign w:val="center"/>
          </w:tcPr>
          <w:p w14:paraId="697578BC">
            <w:pPr>
              <w:shd w:val="clear"/>
              <w:spacing w:line="500" w:lineRule="exact"/>
              <w:jc w:val="left"/>
              <w:rPr>
                <w:rFonts w:ascii="宋体" w:hAnsi="宋体" w:cs="宋体"/>
                <w:color w:val="auto"/>
                <w:szCs w:val="21"/>
                <w:highlight w:val="none"/>
              </w:rPr>
            </w:pPr>
          </w:p>
        </w:tc>
        <w:tc>
          <w:tcPr>
            <w:tcW w:w="2931" w:type="dxa"/>
            <w:vAlign w:val="center"/>
          </w:tcPr>
          <w:p w14:paraId="645100D4">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31" w:type="dxa"/>
            <w:vAlign w:val="center"/>
          </w:tcPr>
          <w:p w14:paraId="3ECC4C21">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A6F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29F1DDE7">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52DB7871">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3EF33D95">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31" w:type="dxa"/>
            <w:vAlign w:val="center"/>
          </w:tcPr>
          <w:p w14:paraId="541851D7">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760E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04BCBF31">
            <w:pPr>
              <w:shd w:val="clear"/>
              <w:spacing w:line="500" w:lineRule="exact"/>
              <w:jc w:val="left"/>
              <w:rPr>
                <w:rFonts w:ascii="宋体" w:hAnsi="宋体" w:cs="宋体"/>
                <w:color w:val="auto"/>
                <w:szCs w:val="21"/>
                <w:highlight w:val="none"/>
              </w:rPr>
            </w:pPr>
          </w:p>
        </w:tc>
        <w:tc>
          <w:tcPr>
            <w:tcW w:w="1318" w:type="dxa"/>
            <w:vMerge w:val="continue"/>
            <w:vAlign w:val="center"/>
          </w:tcPr>
          <w:p w14:paraId="41CD1179">
            <w:pPr>
              <w:shd w:val="clear"/>
              <w:spacing w:line="500" w:lineRule="exact"/>
              <w:jc w:val="left"/>
              <w:rPr>
                <w:rFonts w:ascii="宋体" w:hAnsi="宋体" w:cs="宋体"/>
                <w:color w:val="auto"/>
                <w:szCs w:val="21"/>
                <w:highlight w:val="none"/>
              </w:rPr>
            </w:pPr>
          </w:p>
        </w:tc>
        <w:tc>
          <w:tcPr>
            <w:tcW w:w="2931" w:type="dxa"/>
            <w:vAlign w:val="center"/>
          </w:tcPr>
          <w:p w14:paraId="0A1C1249">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31" w:type="dxa"/>
            <w:vAlign w:val="center"/>
          </w:tcPr>
          <w:p w14:paraId="1D49BC1B">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327D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5AE02637">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4B484432">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72BE59D5">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31" w:type="dxa"/>
            <w:vAlign w:val="center"/>
          </w:tcPr>
          <w:p w14:paraId="0FDFFF15">
            <w:pPr>
              <w:shd w:val="clear"/>
              <w:spacing w:line="500" w:lineRule="exact"/>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020E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176F5255">
            <w:pPr>
              <w:shd w:val="clear"/>
              <w:spacing w:line="500" w:lineRule="exact"/>
              <w:jc w:val="left"/>
              <w:rPr>
                <w:rFonts w:ascii="宋体" w:hAnsi="宋体" w:cs="宋体"/>
                <w:color w:val="auto"/>
                <w:szCs w:val="21"/>
                <w:highlight w:val="none"/>
              </w:rPr>
            </w:pPr>
          </w:p>
        </w:tc>
        <w:tc>
          <w:tcPr>
            <w:tcW w:w="1318" w:type="dxa"/>
            <w:vMerge w:val="continue"/>
            <w:vAlign w:val="center"/>
          </w:tcPr>
          <w:p w14:paraId="6324ACE2">
            <w:pPr>
              <w:shd w:val="clear"/>
              <w:spacing w:line="500" w:lineRule="exact"/>
              <w:jc w:val="left"/>
              <w:rPr>
                <w:rFonts w:ascii="宋体" w:hAnsi="宋体" w:cs="宋体"/>
                <w:color w:val="auto"/>
                <w:szCs w:val="21"/>
                <w:highlight w:val="none"/>
              </w:rPr>
            </w:pPr>
          </w:p>
        </w:tc>
        <w:tc>
          <w:tcPr>
            <w:tcW w:w="2931" w:type="dxa"/>
            <w:vAlign w:val="center"/>
          </w:tcPr>
          <w:p w14:paraId="456AD78D">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31" w:type="dxa"/>
            <w:vAlign w:val="center"/>
          </w:tcPr>
          <w:p w14:paraId="59CC08D4">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75B0F63E">
      <w:pPr>
        <w:shd w:val="clea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3CA00520">
      <w:pPr>
        <w:shd w:val="clea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13924DB5">
      <w:pPr>
        <w:shd w:val="clea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5AB98D78">
      <w:pPr>
        <w:shd w:val="clea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77F0BFDB">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391518F5">
      <w:pPr>
        <w:shd w:val="clea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4F187FD5">
      <w:pPr>
        <w:shd w:val="clea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49195413">
      <w:pPr>
        <w:shd w:val="clear"/>
        <w:spacing w:beforeLines="50" w:afterLines="50"/>
        <w:jc w:val="center"/>
        <w:outlineLvl w:val="1"/>
        <w:rPr>
          <w:rFonts w:ascii="宋体"/>
          <w:b/>
          <w:color w:val="auto"/>
          <w:sz w:val="28"/>
          <w:szCs w:val="28"/>
          <w:highlight w:val="none"/>
        </w:rPr>
      </w:pPr>
      <w:bookmarkStart w:id="71" w:name="_Toc58430319"/>
      <w:bookmarkStart w:id="72" w:name="_Toc449028879"/>
      <w:bookmarkStart w:id="73" w:name="_Toc362983803"/>
      <w:bookmarkStart w:id="74" w:name="_Toc14002"/>
      <w:r>
        <w:rPr>
          <w:rFonts w:hint="eastAsia" w:ascii="宋体"/>
          <w:b/>
          <w:color w:val="auto"/>
          <w:sz w:val="28"/>
          <w:szCs w:val="28"/>
          <w:highlight w:val="none"/>
        </w:rPr>
        <w:t>三、投标文件的澄清和补正</w:t>
      </w:r>
      <w:bookmarkEnd w:id="71"/>
      <w:bookmarkEnd w:id="72"/>
      <w:bookmarkEnd w:id="73"/>
      <w:bookmarkEnd w:id="74"/>
    </w:p>
    <w:p w14:paraId="035499CA">
      <w:pPr>
        <w:shd w:val="clea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rPr>
        <w:t>如因投标人未参加开标导致开评标过程中无法澄清、说明或补正的，视同投标人放弃该权利。</w:t>
      </w:r>
    </w:p>
    <w:p w14:paraId="35142ED8">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6CB3DD03">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447B8A24">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ADE800">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023B27E0">
      <w:pPr>
        <w:shd w:val="clea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1"/>
    <w:p w14:paraId="0EF8C6F4">
      <w:pPr>
        <w:shd w:val="clear"/>
        <w:spacing w:beforeLines="50" w:afterLines="50"/>
        <w:jc w:val="center"/>
        <w:outlineLvl w:val="1"/>
        <w:rPr>
          <w:rFonts w:ascii="宋体"/>
          <w:b/>
          <w:color w:val="auto"/>
          <w:sz w:val="28"/>
          <w:szCs w:val="28"/>
          <w:highlight w:val="none"/>
        </w:rPr>
      </w:pPr>
      <w:bookmarkStart w:id="75" w:name="_Toc449028880"/>
      <w:bookmarkStart w:id="76" w:name="_Toc58430320"/>
      <w:bookmarkStart w:id="77" w:name="_Toc3630"/>
      <w:bookmarkStart w:id="78" w:name="_Hlk101517174"/>
      <w:r>
        <w:rPr>
          <w:rFonts w:hint="eastAsia" w:ascii="宋体"/>
          <w:b/>
          <w:color w:val="auto"/>
          <w:sz w:val="28"/>
          <w:szCs w:val="28"/>
          <w:highlight w:val="none"/>
        </w:rPr>
        <w:t>四、比较与评价</w:t>
      </w:r>
      <w:bookmarkEnd w:id="75"/>
      <w:bookmarkEnd w:id="76"/>
      <w:bookmarkEnd w:id="77"/>
    </w:p>
    <w:p w14:paraId="52174A82">
      <w:pPr>
        <w:shd w:val="clea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79"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063381AF">
      <w:pPr>
        <w:shd w:val="clea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40</w:t>
      </w:r>
      <w:r>
        <w:rPr>
          <w:rFonts w:hint="eastAsia" w:ascii="宋体" w:hAnsi="宋体" w:cs="宋体"/>
          <w:b/>
          <w:bCs/>
          <w:color w:val="auto"/>
          <w:szCs w:val="21"/>
          <w:highlight w:val="none"/>
        </w:rPr>
        <w:t>分）</w:t>
      </w:r>
    </w:p>
    <w:tbl>
      <w:tblPr>
        <w:tblStyle w:val="36"/>
        <w:tblW w:w="9616"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51"/>
        <w:gridCol w:w="766"/>
        <w:gridCol w:w="7002"/>
      </w:tblGrid>
      <w:tr w14:paraId="035E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EDDBDCF">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51" w:type="dxa"/>
            <w:vAlign w:val="center"/>
          </w:tcPr>
          <w:p w14:paraId="5C2F01E3">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66" w:type="dxa"/>
            <w:vAlign w:val="center"/>
          </w:tcPr>
          <w:p w14:paraId="06071A15">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002" w:type="dxa"/>
            <w:vAlign w:val="center"/>
          </w:tcPr>
          <w:p w14:paraId="673F96E5">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0E21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F5429D3">
            <w:pPr>
              <w:pStyle w:val="15"/>
              <w:shd w:val="clear"/>
              <w:spacing w:line="500" w:lineRule="exact"/>
              <w:jc w:val="center"/>
              <w:rPr>
                <w:rFonts w:ascii="宋体" w:hAnsi="宋体" w:cs="宋体"/>
                <w:b/>
                <w:bCs/>
                <w:color w:val="auto"/>
                <w:highlight w:val="none"/>
              </w:rPr>
            </w:pPr>
            <w:r>
              <w:rPr>
                <w:rFonts w:hint="eastAsia" w:ascii="宋体" w:hAnsi="宋体" w:cs="宋体"/>
                <w:b/>
                <w:bCs/>
                <w:color w:val="auto"/>
                <w:highlight w:val="none"/>
              </w:rPr>
              <w:t>1</w:t>
            </w:r>
          </w:p>
        </w:tc>
        <w:tc>
          <w:tcPr>
            <w:tcW w:w="1151" w:type="dxa"/>
            <w:vAlign w:val="center"/>
          </w:tcPr>
          <w:p w14:paraId="0088E6A7">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企业业绩</w:t>
            </w:r>
          </w:p>
        </w:tc>
        <w:tc>
          <w:tcPr>
            <w:tcW w:w="766" w:type="dxa"/>
            <w:vAlign w:val="center"/>
          </w:tcPr>
          <w:p w14:paraId="16504C93">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分</w:t>
            </w:r>
          </w:p>
        </w:tc>
        <w:tc>
          <w:tcPr>
            <w:tcW w:w="7002" w:type="dxa"/>
            <w:vAlign w:val="center"/>
          </w:tcPr>
          <w:p w14:paraId="01FC005C">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b/>
                <w:bCs/>
                <w:color w:val="auto"/>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月1日至投标截止时间，投标人</w:t>
            </w:r>
            <w:r>
              <w:rPr>
                <w:rFonts w:hint="eastAsia" w:ascii="宋体" w:hAnsi="宋体" w:cs="宋体"/>
                <w:color w:val="auto"/>
                <w:szCs w:val="21"/>
                <w:highlight w:val="none"/>
                <w:lang w:val="en-US" w:eastAsia="zh-CN"/>
              </w:rPr>
              <w:t>承担过城市照明、泵站、城市交安设施养护业绩中任意两项的得4分，三项均满足的</w:t>
            </w:r>
            <w:r>
              <w:rPr>
                <w:rFonts w:hint="eastAsia" w:ascii="宋体" w:hAnsi="宋体" w:cs="宋体"/>
                <w:color w:val="auto"/>
                <w:szCs w:val="21"/>
                <w:highlight w:val="none"/>
              </w:rPr>
              <w:t>得5分，满分为</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363DEBEB">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cs="宋体"/>
                <w:b/>
                <w:bCs/>
                <w:color w:val="auto"/>
                <w:highlight w:val="none"/>
                <w:lang w:val="en-US" w:eastAsia="zh-CN"/>
              </w:rPr>
            </w:pPr>
            <w:r>
              <w:rPr>
                <w:rFonts w:hint="eastAsia" w:ascii="宋体" w:hAnsi="宋体" w:cs="宋体"/>
                <w:b/>
                <w:bCs/>
                <w:color w:val="auto"/>
                <w:highlight w:val="none"/>
              </w:rPr>
              <w:t>注：</w:t>
            </w:r>
            <w:r>
              <w:rPr>
                <w:rFonts w:hint="eastAsia" w:ascii="宋体" w:hAnsi="宋体" w:cs="宋体"/>
                <w:b/>
                <w:bCs/>
                <w:color w:val="auto"/>
                <w:highlight w:val="none"/>
                <w:lang w:val="en-US" w:eastAsia="zh-CN"/>
              </w:rPr>
              <w:t>①</w:t>
            </w:r>
            <w:r>
              <w:rPr>
                <w:rFonts w:hint="eastAsia" w:ascii="宋体" w:hAnsi="宋体" w:cs="宋体"/>
                <w:b/>
                <w:color w:val="auto"/>
                <w:szCs w:val="21"/>
                <w:highlight w:val="none"/>
              </w:rPr>
              <w:t>中标通知书扫描件（中标通知书须加盖招投标管理部门印章或招投标管理部门备案印章，无招投标管理部门盖章的还须提供招投标管理部门官网或公共资源交易平台官网发布的中标公示网页完整截图及网址链接</w:t>
            </w:r>
            <w:r>
              <w:rPr>
                <w:rFonts w:hint="eastAsia" w:ascii="宋体" w:hAnsi="宋体" w:cs="宋体"/>
                <w:b/>
                <w:bCs/>
                <w:color w:val="auto"/>
                <w:highlight w:val="none"/>
                <w:lang w:val="en-US" w:eastAsia="zh-CN"/>
              </w:rPr>
              <w:t>）；②合同。</w:t>
            </w:r>
          </w:p>
          <w:p w14:paraId="44BC97C6">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以上材料缺一不可，如上述材料不能够充分有效证明该业绩的养护内容</w:t>
            </w:r>
            <w:r>
              <w:rPr>
                <w:rFonts w:hint="eastAsia" w:ascii="宋体" w:hAnsi="宋体" w:eastAsia="宋体" w:cs="宋体"/>
                <w:b/>
                <w:bCs/>
                <w:color w:val="auto"/>
                <w:highlight w:val="none"/>
                <w:lang w:val="en-US" w:eastAsia="zh-CN"/>
              </w:rPr>
              <w:t>、类型等内容，还须另外提供建设单位出具的加盖建设单位公章的证明材料，不符合要求，不得分。业绩</w:t>
            </w:r>
            <w:r>
              <w:rPr>
                <w:rFonts w:hint="eastAsia" w:ascii="宋体" w:hAnsi="宋体" w:cs="宋体"/>
                <w:b/>
                <w:color w:val="auto"/>
                <w:szCs w:val="21"/>
                <w:highlight w:val="none"/>
              </w:rPr>
              <w:t>时间以合同签订时间为准</w:t>
            </w:r>
            <w:r>
              <w:rPr>
                <w:rFonts w:hint="eastAsia" w:ascii="宋体" w:hAnsi="宋体" w:cs="宋体"/>
                <w:b/>
                <w:color w:val="auto"/>
                <w:szCs w:val="21"/>
                <w:highlight w:val="none"/>
                <w:lang w:eastAsia="zh-CN"/>
              </w:rPr>
              <w:t>。</w:t>
            </w:r>
            <w:r>
              <w:rPr>
                <w:rFonts w:hint="eastAsia" w:ascii="宋体" w:hAnsi="宋体" w:eastAsia="宋体" w:cs="宋体"/>
                <w:b/>
                <w:bCs/>
                <w:color w:val="auto"/>
                <w:highlight w:val="none"/>
                <w:lang w:val="en-US" w:eastAsia="zh-CN"/>
              </w:rPr>
              <w:t xml:space="preserve"> </w:t>
            </w:r>
          </w:p>
          <w:p w14:paraId="3E4D6737">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b/>
                <w:bCs/>
                <w:color w:val="auto"/>
                <w:highlight w:val="none"/>
                <w:lang w:val="en-US" w:eastAsia="zh-CN"/>
              </w:rPr>
              <w:t>工程建设施工业绩不予认可。企业业绩和项目负责人业绩不可为同一业绩</w:t>
            </w:r>
            <w:r>
              <w:rPr>
                <w:rFonts w:hint="eastAsia" w:ascii="宋体" w:hAnsi="宋体" w:cs="宋体"/>
                <w:b/>
                <w:bCs/>
                <w:color w:val="auto"/>
                <w:highlight w:val="none"/>
                <w:lang w:val="en-US" w:eastAsia="zh-CN"/>
              </w:rPr>
              <w:t>，为同一业绩的不重复计分，仅计取一次得分</w:t>
            </w:r>
            <w:r>
              <w:rPr>
                <w:rFonts w:hint="eastAsia" w:ascii="宋体" w:hAnsi="宋体" w:eastAsia="宋体" w:cs="宋体"/>
                <w:b/>
                <w:bCs/>
                <w:color w:val="auto"/>
                <w:highlight w:val="none"/>
                <w:lang w:val="en-US" w:eastAsia="zh-CN"/>
              </w:rPr>
              <w:t>。同一单位的不同年份的续签合同，仅计取一次。</w:t>
            </w:r>
          </w:p>
        </w:tc>
      </w:tr>
      <w:tr w14:paraId="4285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F5F9BF7">
            <w:pPr>
              <w:pStyle w:val="15"/>
              <w:shd w:val="clear"/>
              <w:spacing w:line="500" w:lineRule="exact"/>
              <w:jc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w:t>
            </w:r>
          </w:p>
        </w:tc>
        <w:tc>
          <w:tcPr>
            <w:tcW w:w="1151" w:type="dxa"/>
            <w:vAlign w:val="center"/>
          </w:tcPr>
          <w:p w14:paraId="5562AA9F">
            <w:pPr>
              <w:shd w:val="clear"/>
              <w:spacing w:line="5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项目负责人业绩</w:t>
            </w:r>
          </w:p>
        </w:tc>
        <w:tc>
          <w:tcPr>
            <w:tcW w:w="766" w:type="dxa"/>
            <w:vAlign w:val="center"/>
          </w:tcPr>
          <w:p w14:paraId="742DFDAC">
            <w:pPr>
              <w:shd w:val="clear"/>
              <w:spacing w:line="5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分</w:t>
            </w:r>
          </w:p>
        </w:tc>
        <w:tc>
          <w:tcPr>
            <w:tcW w:w="7002" w:type="dxa"/>
            <w:vAlign w:val="center"/>
          </w:tcPr>
          <w:p w14:paraId="53BE7AC5">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b/>
                <w:bCs/>
                <w:color w:val="auto"/>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月1日至投标截止时间，</w:t>
            </w:r>
            <w:r>
              <w:rPr>
                <w:rFonts w:hint="eastAsia" w:ascii="宋体" w:hAnsi="宋体" w:cs="宋体"/>
                <w:color w:val="auto"/>
                <w:szCs w:val="21"/>
                <w:highlight w:val="none"/>
                <w:lang w:val="en-US" w:eastAsia="zh-CN"/>
              </w:rPr>
              <w:t>项目负责人承担过城市照明、泵站、城市交安设施养护业绩中任意两项的得4分，三项均满足的</w:t>
            </w:r>
            <w:r>
              <w:rPr>
                <w:rFonts w:hint="eastAsia" w:ascii="宋体" w:hAnsi="宋体" w:cs="宋体"/>
                <w:color w:val="auto"/>
                <w:szCs w:val="21"/>
                <w:highlight w:val="none"/>
              </w:rPr>
              <w:t>得5分，满分为</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605CC39D">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highlight w:val="none"/>
                <w:lang w:val="en-US" w:eastAsia="zh-CN"/>
              </w:rPr>
            </w:pPr>
            <w:r>
              <w:rPr>
                <w:rFonts w:hint="eastAsia" w:ascii="宋体" w:hAnsi="宋体" w:cs="宋体"/>
                <w:b/>
                <w:bCs/>
                <w:color w:val="auto"/>
                <w:highlight w:val="none"/>
              </w:rPr>
              <w:t>注：</w:t>
            </w:r>
            <w:r>
              <w:rPr>
                <w:rFonts w:hint="eastAsia" w:ascii="宋体" w:hAnsi="宋体" w:cs="宋体"/>
                <w:b/>
                <w:bCs/>
                <w:color w:val="auto"/>
                <w:highlight w:val="none"/>
                <w:lang w:val="en-US" w:eastAsia="zh-CN"/>
              </w:rPr>
              <w:t>①</w:t>
            </w:r>
            <w:r>
              <w:rPr>
                <w:rFonts w:hint="eastAsia" w:ascii="宋体" w:hAnsi="宋体" w:cs="宋体"/>
                <w:b/>
                <w:color w:val="auto"/>
                <w:szCs w:val="21"/>
                <w:highlight w:val="none"/>
              </w:rPr>
              <w:t>中标通知书扫描件（中标通知书须加盖招投标管理部门印章或招投标管理部门备案印章，无招投标管理部门盖章的还须提供招投标管理部门官网或公共资源交易平台官网发布的中标公示网页完整截图及网址链接</w:t>
            </w:r>
            <w:r>
              <w:rPr>
                <w:rFonts w:hint="eastAsia" w:ascii="宋体" w:hAnsi="宋体" w:cs="宋体"/>
                <w:b/>
                <w:bCs/>
                <w:color w:val="auto"/>
                <w:highlight w:val="none"/>
                <w:lang w:val="en-US" w:eastAsia="zh-CN"/>
              </w:rPr>
              <w:t>）；②合同。</w:t>
            </w:r>
            <w:r>
              <w:rPr>
                <w:rFonts w:hint="eastAsia" w:ascii="宋体" w:hAnsi="宋体" w:eastAsia="宋体" w:cs="宋体"/>
                <w:b/>
                <w:bCs/>
                <w:color w:val="auto"/>
                <w:highlight w:val="none"/>
                <w:lang w:val="en-US" w:eastAsia="zh-CN"/>
              </w:rPr>
              <w:t>业绩</w:t>
            </w:r>
            <w:r>
              <w:rPr>
                <w:rFonts w:hint="eastAsia" w:ascii="宋体" w:hAnsi="宋体" w:cs="宋体"/>
                <w:b/>
                <w:color w:val="auto"/>
                <w:szCs w:val="21"/>
                <w:highlight w:val="none"/>
              </w:rPr>
              <w:t>时间以合同签订时间为准</w:t>
            </w:r>
            <w:r>
              <w:rPr>
                <w:rFonts w:hint="eastAsia" w:ascii="宋体" w:hAnsi="宋体" w:cs="宋体"/>
                <w:b/>
                <w:color w:val="auto"/>
                <w:szCs w:val="21"/>
                <w:highlight w:val="none"/>
                <w:lang w:eastAsia="zh-CN"/>
              </w:rPr>
              <w:t>。</w:t>
            </w:r>
            <w:r>
              <w:rPr>
                <w:rFonts w:hint="eastAsia" w:ascii="宋体" w:hAnsi="宋体" w:eastAsia="宋体" w:cs="宋体"/>
                <w:b/>
                <w:bCs/>
                <w:color w:val="auto"/>
                <w:highlight w:val="none"/>
                <w:lang w:val="en-US" w:eastAsia="zh-CN"/>
              </w:rPr>
              <w:t>项目负责人以合同中约定姓名为准，且必须以项目负责人身份参与的，其他身份参与的不予认可。</w:t>
            </w:r>
          </w:p>
          <w:p w14:paraId="45A21829">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以上材料缺一不可，如上述材料不能够充分有效证明该业绩养护内容</w:t>
            </w:r>
            <w:r>
              <w:rPr>
                <w:rFonts w:hint="eastAsia" w:ascii="宋体" w:hAnsi="宋体" w:eastAsia="宋体" w:cs="宋体"/>
                <w:b/>
                <w:bCs/>
                <w:color w:val="auto"/>
                <w:highlight w:val="none"/>
                <w:lang w:val="en-US" w:eastAsia="zh-CN"/>
              </w:rPr>
              <w:t>、类型等内容，还须另外提供建设单位出具的加盖建设单位公章的证明材料，不符合要求，不得分。</w:t>
            </w:r>
          </w:p>
          <w:p w14:paraId="653CC605">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cs="宋体"/>
                <w:b/>
                <w:bCs/>
                <w:color w:val="auto"/>
                <w:highlight w:val="none"/>
                <w:lang w:val="en-US" w:eastAsia="zh-CN"/>
              </w:rPr>
            </w:pPr>
            <w:r>
              <w:rPr>
                <w:rFonts w:hint="eastAsia" w:ascii="宋体" w:hAnsi="宋体" w:eastAsia="宋体" w:cs="宋体"/>
                <w:b/>
                <w:bCs/>
                <w:color w:val="auto"/>
                <w:highlight w:val="none"/>
                <w:lang w:val="en-US" w:eastAsia="zh-CN"/>
              </w:rPr>
              <w:t>工程建设施工业绩不予认可。企业业绩和项目负责人业绩不可为同一业绩</w:t>
            </w:r>
            <w:r>
              <w:rPr>
                <w:rFonts w:hint="eastAsia" w:ascii="宋体" w:hAnsi="宋体" w:cs="宋体"/>
                <w:b/>
                <w:bCs/>
                <w:color w:val="auto"/>
                <w:highlight w:val="none"/>
                <w:lang w:val="en-US" w:eastAsia="zh-CN"/>
              </w:rPr>
              <w:t>，为同一业绩的不重复计分，仅计取一次得分</w:t>
            </w:r>
            <w:r>
              <w:rPr>
                <w:rFonts w:hint="eastAsia" w:ascii="宋体" w:hAnsi="宋体" w:eastAsia="宋体" w:cs="宋体"/>
                <w:b/>
                <w:bCs/>
                <w:color w:val="auto"/>
                <w:highlight w:val="none"/>
                <w:lang w:val="en-US" w:eastAsia="zh-CN"/>
              </w:rPr>
              <w:t>。同一单位的不同年份的续签合同，仅计取一次。</w:t>
            </w:r>
          </w:p>
        </w:tc>
      </w:tr>
      <w:tr w14:paraId="79DB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697" w:type="dxa"/>
            <w:vAlign w:val="center"/>
          </w:tcPr>
          <w:p w14:paraId="4C10CA56">
            <w:pPr>
              <w:pStyle w:val="15"/>
              <w:shd w:val="clear"/>
              <w:spacing w:line="500" w:lineRule="exact"/>
              <w:jc w:val="center"/>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3</w:t>
            </w:r>
          </w:p>
        </w:tc>
        <w:tc>
          <w:tcPr>
            <w:tcW w:w="1151" w:type="dxa"/>
            <w:vAlign w:val="center"/>
          </w:tcPr>
          <w:p w14:paraId="75181F64">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企业认证</w:t>
            </w:r>
          </w:p>
        </w:tc>
        <w:tc>
          <w:tcPr>
            <w:tcW w:w="766" w:type="dxa"/>
            <w:vAlign w:val="center"/>
          </w:tcPr>
          <w:p w14:paraId="08FE306A">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c>
        <w:tc>
          <w:tcPr>
            <w:tcW w:w="7002" w:type="dxa"/>
            <w:vAlign w:val="center"/>
          </w:tcPr>
          <w:p w14:paraId="6C5AB717">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eastAsia" w:ascii="宋体" w:hAnsi="宋体"/>
                <w:color w:val="auto"/>
                <w:szCs w:val="21"/>
                <w:highlight w:val="none"/>
              </w:rPr>
            </w:pPr>
            <w:r>
              <w:rPr>
                <w:rFonts w:hint="eastAsia" w:ascii="宋体" w:hAnsi="宋体"/>
                <w:color w:val="auto"/>
                <w:szCs w:val="21"/>
                <w:highlight w:val="none"/>
              </w:rPr>
              <w:t>投标人具有经中国国家认证认可监督管理委员会认证机构颁发的在有效期内的质量管理体系认证证书、环境管理体系认证证书、职业健康安全管理体系认证证书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信息安全管理体系认证证书、企业诚信管理体系</w:t>
            </w:r>
            <w:r>
              <w:rPr>
                <w:rFonts w:hint="eastAsia" w:ascii="宋体" w:hAnsi="宋体"/>
                <w:color w:val="auto"/>
                <w:szCs w:val="21"/>
                <w:highlight w:val="none"/>
              </w:rPr>
              <w:t>，每提供一项得</w:t>
            </w:r>
            <w:r>
              <w:rPr>
                <w:rFonts w:hint="eastAsia" w:ascii="宋体" w:hAnsi="宋体"/>
                <w:color w:val="auto"/>
                <w:szCs w:val="21"/>
                <w:highlight w:val="none"/>
                <w:lang w:val="en-US" w:eastAsia="zh-CN"/>
              </w:rPr>
              <w:t>2</w:t>
            </w:r>
            <w:r>
              <w:rPr>
                <w:rFonts w:hint="eastAsia" w:ascii="宋体" w:hAnsi="宋体"/>
                <w:color w:val="auto"/>
                <w:szCs w:val="21"/>
                <w:highlight w:val="none"/>
              </w:rPr>
              <w:t>分，最高得</w:t>
            </w:r>
            <w:r>
              <w:rPr>
                <w:rFonts w:hint="eastAsia" w:ascii="宋体" w:hAnsi="宋体"/>
                <w:color w:val="auto"/>
                <w:szCs w:val="21"/>
                <w:highlight w:val="none"/>
                <w:lang w:val="en-US" w:eastAsia="zh-CN"/>
              </w:rPr>
              <w:t>10</w:t>
            </w:r>
            <w:r>
              <w:rPr>
                <w:rFonts w:hint="eastAsia" w:ascii="宋体" w:hAnsi="宋体"/>
                <w:color w:val="auto"/>
                <w:szCs w:val="21"/>
                <w:highlight w:val="none"/>
              </w:rPr>
              <w:t>分，未提供不得分。</w:t>
            </w:r>
          </w:p>
          <w:p w14:paraId="7AC45B92">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bCs/>
                <w:color w:val="auto"/>
                <w:szCs w:val="21"/>
                <w:highlight w:val="none"/>
              </w:rPr>
            </w:pPr>
            <w:r>
              <w:rPr>
                <w:rFonts w:hint="eastAsia" w:ascii="宋体" w:hAnsi="宋体"/>
                <w:b/>
                <w:bCs/>
                <w:color w:val="auto"/>
                <w:szCs w:val="21"/>
                <w:highlight w:val="none"/>
                <w:lang w:val="en-US" w:eastAsia="zh-CN"/>
              </w:rPr>
              <w:t>注：</w:t>
            </w:r>
            <w:r>
              <w:rPr>
                <w:rFonts w:hint="eastAsia" w:ascii="宋体" w:hAnsi="宋体"/>
                <w:b/>
                <w:bCs/>
                <w:color w:val="auto"/>
                <w:szCs w:val="21"/>
                <w:highlight w:val="none"/>
              </w:rPr>
              <w:t>提供证书扫描件，并提供</w:t>
            </w:r>
            <w:r>
              <w:rPr>
                <w:rFonts w:hint="eastAsia" w:ascii="宋体" w:hAnsi="宋体" w:eastAsia="宋体" w:cs="Times New Roman"/>
                <w:b/>
                <w:bCs/>
                <w:color w:val="auto"/>
                <w:szCs w:val="21"/>
                <w:highlight w:val="none"/>
              </w:rPr>
              <w:t>全国认证认可信息公共服务平台官网证书信息查询截图，证书单位名称与投标人名称一致。</w:t>
            </w:r>
          </w:p>
          <w:p w14:paraId="060F93BD">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ascii="宋体" w:hAnsi="宋体" w:cs="宋体"/>
                <w:b/>
                <w:bCs/>
                <w:color w:val="auto"/>
                <w:highlight w:val="none"/>
              </w:rPr>
            </w:pPr>
            <w:r>
              <w:rPr>
                <w:rFonts w:hint="eastAsia" w:ascii="宋体" w:hAnsi="宋体" w:eastAsia="宋体" w:cs="Times New Roman"/>
                <w:b/>
                <w:bCs/>
                <w:color w:val="auto"/>
                <w:szCs w:val="21"/>
                <w:highlight w:val="none"/>
                <w:lang w:val="en-US" w:eastAsia="zh-CN"/>
              </w:rPr>
              <w:t>证书认证范围须包含市政工程养护</w:t>
            </w:r>
            <w:r>
              <w:rPr>
                <w:rFonts w:hint="eastAsia" w:ascii="宋体" w:hAnsi="宋体" w:cs="Times New Roman"/>
                <w:b/>
                <w:bCs/>
                <w:color w:val="auto"/>
                <w:szCs w:val="21"/>
                <w:highlight w:val="none"/>
                <w:lang w:val="en-US" w:eastAsia="zh-CN"/>
              </w:rPr>
              <w:t>或市政施工</w:t>
            </w:r>
            <w:r>
              <w:rPr>
                <w:rFonts w:hint="eastAsia" w:ascii="宋体" w:hAnsi="宋体" w:eastAsia="宋体" w:cs="Times New Roman"/>
                <w:b/>
                <w:bCs/>
                <w:color w:val="auto"/>
                <w:szCs w:val="21"/>
                <w:highlight w:val="none"/>
                <w:lang w:val="en-US" w:eastAsia="zh-CN"/>
              </w:rPr>
              <w:t>，否则不予认可。</w:t>
            </w:r>
          </w:p>
        </w:tc>
      </w:tr>
      <w:tr w14:paraId="7367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Align w:val="center"/>
          </w:tcPr>
          <w:p w14:paraId="6BA85A4D">
            <w:pPr>
              <w:pStyle w:val="15"/>
              <w:shd w:val="clear"/>
              <w:spacing w:line="500" w:lineRule="exact"/>
              <w:jc w:val="center"/>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4</w:t>
            </w:r>
          </w:p>
        </w:tc>
        <w:tc>
          <w:tcPr>
            <w:tcW w:w="1151" w:type="dxa"/>
            <w:vAlign w:val="center"/>
          </w:tcPr>
          <w:p w14:paraId="4DD35739">
            <w:pPr>
              <w:shd w:val="clear"/>
              <w:spacing w:line="5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服务团队</w:t>
            </w:r>
          </w:p>
        </w:tc>
        <w:tc>
          <w:tcPr>
            <w:tcW w:w="766" w:type="dxa"/>
            <w:vAlign w:val="center"/>
          </w:tcPr>
          <w:p w14:paraId="2BCD8519">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分</w:t>
            </w:r>
          </w:p>
        </w:tc>
        <w:tc>
          <w:tcPr>
            <w:tcW w:w="7002" w:type="dxa"/>
            <w:vAlign w:val="center"/>
          </w:tcPr>
          <w:p w14:paraId="58F29F44">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1、拟派项目负责人具有</w:t>
            </w:r>
            <w:r>
              <w:rPr>
                <w:rFonts w:hint="eastAsia" w:ascii="宋体" w:hAnsi="宋体" w:cs="Times New Roman"/>
                <w:color w:val="auto"/>
                <w:szCs w:val="21"/>
                <w:highlight w:val="none"/>
                <w:lang w:val="en-US" w:eastAsia="zh-CN"/>
              </w:rPr>
              <w:t>工程类</w:t>
            </w:r>
            <w:r>
              <w:rPr>
                <w:rFonts w:hint="eastAsia" w:ascii="宋体" w:hAnsi="宋体" w:eastAsia="宋体" w:cs="Times New Roman"/>
                <w:color w:val="auto"/>
                <w:szCs w:val="21"/>
                <w:highlight w:val="none"/>
                <w:lang w:val="en-US" w:eastAsia="zh-CN"/>
              </w:rPr>
              <w:t>中级及以上技术职称的得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分，本条最高得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分；</w:t>
            </w:r>
          </w:p>
          <w:p w14:paraId="6FA91C2A">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拟派</w:t>
            </w:r>
            <w:r>
              <w:rPr>
                <w:rFonts w:hint="eastAsia" w:ascii="宋体" w:hAnsi="宋体" w:cs="Times New Roman"/>
                <w:color w:val="auto"/>
                <w:szCs w:val="21"/>
                <w:highlight w:val="none"/>
                <w:lang w:val="en-US" w:eastAsia="zh-CN"/>
              </w:rPr>
              <w:t>技术</w:t>
            </w:r>
            <w:r>
              <w:rPr>
                <w:rFonts w:hint="eastAsia" w:ascii="宋体" w:hAnsi="宋体" w:eastAsia="宋体" w:cs="Times New Roman"/>
                <w:color w:val="auto"/>
                <w:szCs w:val="21"/>
                <w:highlight w:val="none"/>
                <w:lang w:val="en-US" w:eastAsia="zh-CN"/>
              </w:rPr>
              <w:t>负责人具有机电工程</w:t>
            </w:r>
            <w:r>
              <w:rPr>
                <w:rFonts w:hint="eastAsia" w:ascii="宋体" w:hAnsi="宋体" w:cs="Times New Roman"/>
                <w:color w:val="auto"/>
                <w:szCs w:val="21"/>
                <w:highlight w:val="none"/>
                <w:lang w:val="en-US" w:eastAsia="zh-CN"/>
              </w:rPr>
              <w:t>类</w:t>
            </w:r>
            <w:r>
              <w:rPr>
                <w:rFonts w:hint="eastAsia" w:ascii="宋体" w:hAnsi="宋体" w:eastAsia="宋体" w:cs="Times New Roman"/>
                <w:color w:val="auto"/>
                <w:szCs w:val="21"/>
                <w:highlight w:val="none"/>
                <w:lang w:val="en-US" w:eastAsia="zh-CN"/>
              </w:rPr>
              <w:t>高级及以上技术职称的得</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分，本条最高得</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分；</w:t>
            </w:r>
          </w:p>
          <w:p w14:paraId="6F30D58D">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3、拟派安全负责人</w:t>
            </w:r>
            <w:r>
              <w:rPr>
                <w:rFonts w:hint="eastAsia" w:ascii="宋体" w:hAnsi="Times New Roman" w:eastAsia="宋体" w:cs="宋体"/>
                <w:color w:val="auto"/>
                <w:kern w:val="2"/>
                <w:sz w:val="21"/>
                <w:szCs w:val="21"/>
                <w:highlight w:val="none"/>
                <w:lang w:val="en-US" w:eastAsia="zh-CN" w:bidi="ar-SA"/>
              </w:rPr>
              <w:t>具有注册在投标单位的注册安全工程师（专业类别</w:t>
            </w:r>
            <w:r>
              <w:rPr>
                <w:rFonts w:hint="eastAsia" w:ascii="宋体" w:hAnsi="宋体" w:eastAsia="宋体" w:cs="Times New Roman"/>
                <w:color w:val="auto"/>
                <w:szCs w:val="21"/>
                <w:highlight w:val="none"/>
                <w:lang w:val="en-US" w:eastAsia="zh-CN"/>
              </w:rPr>
              <w:t>（或注册类别）为建筑施工安全）</w:t>
            </w:r>
            <w:r>
              <w:rPr>
                <w:rFonts w:hint="eastAsia" w:ascii="宋体" w:cs="宋体"/>
                <w:color w:val="auto"/>
                <w:kern w:val="2"/>
                <w:sz w:val="21"/>
                <w:szCs w:val="21"/>
                <w:highlight w:val="none"/>
                <w:lang w:val="en-US" w:eastAsia="zh-CN" w:bidi="ar-SA"/>
              </w:rPr>
              <w:t>执业</w:t>
            </w:r>
            <w:r>
              <w:rPr>
                <w:rFonts w:hint="eastAsia" w:ascii="宋体" w:hAnsi="宋体" w:eastAsia="宋体" w:cs="Times New Roman"/>
                <w:color w:val="auto"/>
                <w:szCs w:val="21"/>
                <w:highlight w:val="none"/>
                <w:lang w:val="en-US" w:eastAsia="zh-CN"/>
              </w:rPr>
              <w:t>证书的得2分，本条最高得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分；</w:t>
            </w:r>
          </w:p>
          <w:p w14:paraId="1740289D">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4、投标人拟派人员</w:t>
            </w:r>
            <w:r>
              <w:rPr>
                <w:rFonts w:hint="eastAsia" w:ascii="宋体" w:hAnsi="宋体" w:cs="Times New Roman"/>
                <w:color w:val="auto"/>
                <w:szCs w:val="21"/>
                <w:highlight w:val="none"/>
                <w:lang w:val="en-US" w:eastAsia="zh-CN"/>
              </w:rPr>
              <w:t>中</w:t>
            </w:r>
            <w:r>
              <w:rPr>
                <w:rFonts w:hint="eastAsia" w:ascii="宋体" w:hAnsi="宋体" w:eastAsia="宋体" w:cs="Times New Roman"/>
                <w:color w:val="auto"/>
                <w:szCs w:val="21"/>
                <w:highlight w:val="none"/>
                <w:lang w:val="en-US" w:eastAsia="zh-CN"/>
              </w:rPr>
              <w:t>同时具有政府主管部门颁发的高</w:t>
            </w:r>
            <w:r>
              <w:rPr>
                <w:rFonts w:hint="eastAsia" w:ascii="宋体" w:hAnsi="宋体" w:cs="Times New Roman"/>
                <w:color w:val="auto"/>
                <w:szCs w:val="21"/>
                <w:highlight w:val="none"/>
                <w:lang w:val="en-US" w:eastAsia="zh-CN"/>
              </w:rPr>
              <w:t>（或</w:t>
            </w:r>
            <w:r>
              <w:rPr>
                <w:rFonts w:hint="eastAsia" w:ascii="宋体" w:hAnsi="宋体" w:eastAsia="宋体" w:cs="Times New Roman"/>
                <w:color w:val="auto"/>
                <w:szCs w:val="21"/>
                <w:highlight w:val="none"/>
                <w:lang w:val="en-US" w:eastAsia="zh-CN"/>
              </w:rPr>
              <w:t>低</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压电工证和高处作业证的，每提供1人得2分，本条最高得6分</w:t>
            </w:r>
            <w:r>
              <w:rPr>
                <w:rFonts w:hint="eastAsia" w:ascii="宋体" w:hAnsi="宋体" w:cs="Times New Roman"/>
                <w:color w:val="auto"/>
                <w:szCs w:val="21"/>
                <w:highlight w:val="none"/>
                <w:lang w:val="en-US" w:eastAsia="zh-CN"/>
              </w:rPr>
              <w:t>；</w:t>
            </w:r>
          </w:p>
          <w:p w14:paraId="173811B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投标人拟派人员</w:t>
            </w:r>
            <w:r>
              <w:rPr>
                <w:rFonts w:hint="eastAsia" w:ascii="宋体" w:hAnsi="宋体" w:cs="Times New Roman"/>
                <w:color w:val="auto"/>
                <w:szCs w:val="21"/>
                <w:highlight w:val="none"/>
                <w:lang w:val="en-US" w:eastAsia="zh-CN"/>
              </w:rPr>
              <w:t>中</w:t>
            </w:r>
            <w:r>
              <w:rPr>
                <w:rFonts w:hint="eastAsia" w:ascii="宋体" w:hAnsi="宋体" w:eastAsia="宋体" w:cs="Times New Roman"/>
                <w:color w:val="auto"/>
                <w:szCs w:val="21"/>
                <w:highlight w:val="none"/>
                <w:lang w:val="en-US" w:eastAsia="zh-CN"/>
              </w:rPr>
              <w:t>具有</w:t>
            </w:r>
            <w:r>
              <w:rPr>
                <w:rFonts w:hint="eastAsia" w:ascii="宋体" w:hAnsi="宋体" w:cs="Times New Roman"/>
                <w:color w:val="auto"/>
                <w:szCs w:val="21"/>
                <w:highlight w:val="none"/>
                <w:lang w:val="en-US" w:eastAsia="zh-CN"/>
              </w:rPr>
              <w:t>CAAC或ALPA或AOPA</w:t>
            </w:r>
            <w:r>
              <w:rPr>
                <w:rFonts w:hint="eastAsia" w:ascii="宋体" w:hAnsi="宋体" w:eastAsia="宋体" w:cs="Times New Roman"/>
                <w:color w:val="auto"/>
                <w:szCs w:val="21"/>
                <w:highlight w:val="none"/>
                <w:lang w:val="en-US" w:eastAsia="zh-CN"/>
              </w:rPr>
              <w:t>无人机</w:t>
            </w:r>
            <w:r>
              <w:rPr>
                <w:rFonts w:hint="eastAsia" w:ascii="宋体" w:hAnsi="宋体" w:cs="Times New Roman"/>
                <w:color w:val="auto"/>
                <w:szCs w:val="21"/>
                <w:highlight w:val="none"/>
                <w:lang w:val="en-US" w:eastAsia="zh-CN"/>
              </w:rPr>
              <w:t>操控员证书</w:t>
            </w:r>
            <w:r>
              <w:rPr>
                <w:rFonts w:hint="eastAsia" w:ascii="宋体" w:hAnsi="宋体" w:eastAsia="宋体" w:cs="Times New Roman"/>
                <w:color w:val="auto"/>
                <w:szCs w:val="21"/>
                <w:highlight w:val="none"/>
                <w:lang w:val="en-US" w:eastAsia="zh-CN"/>
              </w:rPr>
              <w:t>的得2分，</w:t>
            </w:r>
            <w:r>
              <w:rPr>
                <w:rFonts w:hint="eastAsia" w:ascii="宋体" w:hAnsi="宋体" w:cs="Times New Roman"/>
                <w:color w:val="auto"/>
                <w:szCs w:val="21"/>
                <w:highlight w:val="none"/>
                <w:lang w:val="en-US" w:eastAsia="zh-CN"/>
              </w:rPr>
              <w:t>本条</w:t>
            </w:r>
            <w:r>
              <w:rPr>
                <w:rFonts w:hint="eastAsia" w:ascii="宋体" w:hAnsi="宋体" w:eastAsia="宋体" w:cs="Times New Roman"/>
                <w:color w:val="auto"/>
                <w:szCs w:val="21"/>
                <w:highlight w:val="none"/>
                <w:lang w:val="en-US" w:eastAsia="zh-CN"/>
              </w:rPr>
              <w:t>最高得2分；</w:t>
            </w:r>
          </w:p>
          <w:p w14:paraId="3EAD1F7E">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注：同时提供上述人员</w:t>
            </w:r>
            <w:r>
              <w:rPr>
                <w:rFonts w:hint="eastAsia" w:ascii="宋体" w:hAnsi="宋体" w:cs="Times New Roman"/>
                <w:b/>
                <w:bCs/>
                <w:color w:val="auto"/>
                <w:szCs w:val="21"/>
                <w:highlight w:val="none"/>
                <w:lang w:val="en-US" w:eastAsia="zh-CN"/>
              </w:rPr>
              <w:t>有效期内的</w:t>
            </w:r>
            <w:r>
              <w:rPr>
                <w:rFonts w:hint="eastAsia" w:ascii="宋体" w:hAnsi="宋体" w:eastAsia="宋体" w:cs="Times New Roman"/>
                <w:b/>
                <w:bCs/>
                <w:color w:val="auto"/>
                <w:szCs w:val="21"/>
                <w:highlight w:val="none"/>
                <w:lang w:val="en-US" w:eastAsia="zh-CN"/>
              </w:rPr>
              <w:t>证书扫描件</w:t>
            </w:r>
            <w:r>
              <w:rPr>
                <w:rFonts w:hint="eastAsia" w:ascii="宋体" w:hAnsi="宋体" w:cs="Times New Roman"/>
                <w:b/>
                <w:bCs/>
                <w:color w:val="auto"/>
                <w:szCs w:val="21"/>
                <w:highlight w:val="none"/>
                <w:lang w:val="en-US" w:eastAsia="zh-CN"/>
              </w:rPr>
              <w:t>、身份证扫描件、</w:t>
            </w:r>
            <w:r>
              <w:rPr>
                <w:rFonts w:hint="eastAsia" w:ascii="宋体" w:hAnsi="宋体" w:eastAsia="宋体" w:cs="Times New Roman"/>
                <w:b/>
                <w:bCs/>
                <w:color w:val="auto"/>
                <w:szCs w:val="21"/>
                <w:highlight w:val="none"/>
                <w:lang w:val="en-US" w:eastAsia="zh-CN"/>
              </w:rPr>
              <w:t>社保部门出具的投标单位为上述人员缴纳的投标前近三个月中任意1个月的养老保险证明（含官网在线打印件，证明文件两个月内有效）。</w:t>
            </w:r>
          </w:p>
          <w:p w14:paraId="11A972B2">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Times New Roman"/>
                <w:b/>
                <w:bCs/>
                <w:color w:val="auto"/>
                <w:szCs w:val="21"/>
                <w:highlight w:val="none"/>
                <w:lang w:val="en-US" w:eastAsia="zh-CN"/>
              </w:rPr>
              <w:t>机电工程相关专业包括：暖通、给排水、电气、机械设备、焊接、自动化控制，名称中含有“机电”、“电气”或“机械”的均予以认可。</w:t>
            </w:r>
            <w:r>
              <w:rPr>
                <w:rFonts w:hint="eastAsia" w:ascii="宋体" w:hAnsi="宋体" w:eastAsia="宋体" w:cs="Times New Roman"/>
                <w:b/>
                <w:bCs/>
                <w:color w:val="auto"/>
                <w:szCs w:val="21"/>
                <w:highlight w:val="none"/>
                <w:lang w:val="en-US" w:eastAsia="zh-CN"/>
              </w:rPr>
              <w:br w:type="textWrapping"/>
            </w:r>
            <w:r>
              <w:rPr>
                <w:rFonts w:hint="eastAsia" w:ascii="宋体" w:hAnsi="宋体" w:cs="Times New Roman"/>
                <w:b/>
                <w:bCs/>
                <w:color w:val="auto"/>
                <w:szCs w:val="21"/>
                <w:highlight w:val="none"/>
                <w:lang w:val="en-US" w:eastAsia="zh-CN"/>
              </w:rPr>
              <w:t>以上人员不可兼任。</w:t>
            </w:r>
          </w:p>
        </w:tc>
      </w:tr>
      <w:tr w14:paraId="7A38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ACADF27">
            <w:pPr>
              <w:pStyle w:val="15"/>
              <w:shd w:val="clear"/>
              <w:spacing w:line="500" w:lineRule="exact"/>
              <w:jc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5</w:t>
            </w:r>
          </w:p>
        </w:tc>
        <w:tc>
          <w:tcPr>
            <w:tcW w:w="1151" w:type="dxa"/>
            <w:vAlign w:val="center"/>
          </w:tcPr>
          <w:p w14:paraId="567F3217">
            <w:pPr>
              <w:shd w:val="clear"/>
              <w:spacing w:line="44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企业实力</w:t>
            </w:r>
          </w:p>
        </w:tc>
        <w:tc>
          <w:tcPr>
            <w:tcW w:w="766" w:type="dxa"/>
            <w:vAlign w:val="center"/>
          </w:tcPr>
          <w:p w14:paraId="343F67FD">
            <w:pPr>
              <w:shd w:val="clear"/>
              <w:spacing w:line="44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5分</w:t>
            </w:r>
          </w:p>
        </w:tc>
        <w:tc>
          <w:tcPr>
            <w:tcW w:w="7002" w:type="dxa"/>
            <w:vAlign w:val="center"/>
          </w:tcPr>
          <w:p w14:paraId="5931EAA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投标人提供</w:t>
            </w:r>
            <w:r>
              <w:rPr>
                <w:rFonts w:hint="eastAsia" w:ascii="宋体" w:hAnsi="宋体" w:cs="宋体"/>
                <w:color w:val="auto"/>
                <w:kern w:val="0"/>
                <w:szCs w:val="21"/>
                <w:highlight w:val="none"/>
                <w:lang w:val="en-US" w:eastAsia="zh-CN"/>
              </w:rPr>
              <w:t>的高空</w:t>
            </w:r>
            <w:r>
              <w:rPr>
                <w:rFonts w:hint="eastAsia" w:ascii="宋体" w:hAnsi="宋体" w:eastAsia="宋体" w:cs="宋体"/>
                <w:color w:val="auto"/>
                <w:kern w:val="0"/>
                <w:szCs w:val="21"/>
                <w:highlight w:val="none"/>
                <w:lang w:val="en-US" w:eastAsia="zh-CN"/>
              </w:rPr>
              <w:t>作业</w:t>
            </w:r>
            <w:r>
              <w:rPr>
                <w:rFonts w:hint="eastAsia" w:ascii="宋体" w:hAnsi="宋体" w:cs="宋体"/>
                <w:color w:val="auto"/>
                <w:kern w:val="0"/>
                <w:szCs w:val="21"/>
                <w:highlight w:val="none"/>
                <w:lang w:val="en-US" w:eastAsia="zh-CN"/>
              </w:rPr>
              <w:t>车作业</w:t>
            </w:r>
            <w:r>
              <w:rPr>
                <w:rFonts w:hint="eastAsia" w:ascii="宋体" w:hAnsi="宋体" w:eastAsia="宋体" w:cs="宋体"/>
                <w:color w:val="auto"/>
                <w:kern w:val="0"/>
                <w:szCs w:val="21"/>
                <w:highlight w:val="none"/>
                <w:lang w:val="en-US" w:eastAsia="zh-CN"/>
              </w:rPr>
              <w:t>高度≥16米的得2分，</w:t>
            </w:r>
            <w:r>
              <w:rPr>
                <w:rFonts w:hint="eastAsia" w:ascii="宋体" w:hAnsi="宋体" w:cs="宋体"/>
                <w:color w:val="auto"/>
                <w:kern w:val="0"/>
                <w:szCs w:val="21"/>
                <w:highlight w:val="none"/>
                <w:lang w:val="en-US" w:eastAsia="zh-CN"/>
              </w:rPr>
              <w:t>本条</w:t>
            </w:r>
            <w:r>
              <w:rPr>
                <w:rFonts w:hint="eastAsia" w:ascii="宋体" w:hAnsi="宋体" w:eastAsia="宋体" w:cs="宋体"/>
                <w:color w:val="auto"/>
                <w:kern w:val="0"/>
                <w:szCs w:val="21"/>
                <w:highlight w:val="none"/>
                <w:lang w:val="en-US" w:eastAsia="zh-CN"/>
              </w:rPr>
              <w:t xml:space="preserve">最高得2分。 </w:t>
            </w:r>
          </w:p>
          <w:p w14:paraId="6BA8B9F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2、投标人提供</w:t>
            </w:r>
            <w:r>
              <w:rPr>
                <w:rFonts w:hint="eastAsia" w:ascii="宋体" w:hAnsi="宋体" w:cs="宋体"/>
                <w:color w:val="auto"/>
                <w:kern w:val="0"/>
                <w:szCs w:val="21"/>
                <w:highlight w:val="none"/>
                <w:lang w:val="en-US" w:eastAsia="zh-CN"/>
              </w:rPr>
              <w:t>的</w:t>
            </w:r>
            <w:r>
              <w:rPr>
                <w:rFonts w:hint="eastAsia" w:ascii="宋体" w:hAnsi="宋体" w:eastAsia="宋体" w:cs="宋体"/>
                <w:color w:val="auto"/>
                <w:kern w:val="0"/>
                <w:szCs w:val="21"/>
                <w:highlight w:val="none"/>
                <w:lang w:val="en-US" w:eastAsia="zh-CN"/>
              </w:rPr>
              <w:t>1台</w:t>
            </w:r>
            <w:r>
              <w:rPr>
                <w:rFonts w:hint="eastAsia" w:ascii="宋体" w:hAnsi="宋体" w:cs="宋体"/>
                <w:color w:val="auto"/>
                <w:kern w:val="0"/>
                <w:szCs w:val="21"/>
                <w:highlight w:val="none"/>
                <w:lang w:val="en-US" w:eastAsia="zh-CN"/>
              </w:rPr>
              <w:t>排涝泵车</w:t>
            </w:r>
            <w:r>
              <w:rPr>
                <w:rFonts w:hint="eastAsia" w:ascii="宋体" w:hAnsi="宋体" w:eastAsia="宋体" w:cs="宋体"/>
                <w:color w:val="auto"/>
                <w:kern w:val="0"/>
                <w:szCs w:val="21"/>
                <w:highlight w:val="none"/>
                <w:lang w:val="en-US" w:eastAsia="zh-CN"/>
              </w:rPr>
              <w:t>（须为组合式排涝泵车流量≥4000m³/h</w:t>
            </w:r>
            <w:r>
              <w:rPr>
                <w:rFonts w:hint="eastAsia" w:ascii="宋体" w:hAnsi="宋体" w:cs="宋体"/>
                <w:color w:val="auto"/>
                <w:kern w:val="0"/>
                <w:szCs w:val="21"/>
                <w:highlight w:val="none"/>
                <w:lang w:val="en-US" w:eastAsia="zh-CN"/>
              </w:rPr>
              <w:t>，有车辆行驶证</w:t>
            </w:r>
            <w:r>
              <w:rPr>
                <w:rFonts w:hint="eastAsia" w:ascii="宋体" w:hAnsi="宋体" w:eastAsia="宋体" w:cs="宋体"/>
                <w:color w:val="auto"/>
                <w:kern w:val="0"/>
                <w:szCs w:val="21"/>
                <w:highlight w:val="none"/>
                <w:lang w:val="en-US" w:eastAsia="zh-CN"/>
              </w:rPr>
              <w:t>）的得3分，</w:t>
            </w:r>
            <w:r>
              <w:rPr>
                <w:rFonts w:hint="eastAsia" w:ascii="宋体" w:hAnsi="宋体" w:cs="宋体"/>
                <w:color w:val="auto"/>
                <w:kern w:val="0"/>
                <w:szCs w:val="21"/>
                <w:highlight w:val="none"/>
                <w:lang w:val="en-US" w:eastAsia="zh-CN"/>
              </w:rPr>
              <w:t>本条</w:t>
            </w:r>
            <w:r>
              <w:rPr>
                <w:rFonts w:hint="eastAsia" w:ascii="宋体" w:hAnsi="宋体" w:eastAsia="宋体" w:cs="宋体"/>
                <w:color w:val="auto"/>
                <w:kern w:val="0"/>
                <w:szCs w:val="21"/>
                <w:highlight w:val="none"/>
                <w:lang w:val="en-US" w:eastAsia="zh-CN"/>
              </w:rPr>
              <w:t>最高得3分。</w:t>
            </w:r>
          </w:p>
          <w:p w14:paraId="3FE09FB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default"/>
                <w:color w:val="auto"/>
                <w:highlight w:val="none"/>
                <w:lang w:val="en-US"/>
              </w:rPr>
            </w:pPr>
            <w:r>
              <w:rPr>
                <w:rFonts w:hint="eastAsia" w:ascii="宋体" w:hAnsi="宋体" w:cs="宋体"/>
                <w:color w:val="auto"/>
                <w:kern w:val="0"/>
                <w:szCs w:val="21"/>
                <w:highlight w:val="none"/>
                <w:lang w:val="en-US" w:eastAsia="zh-CN"/>
              </w:rPr>
              <w:t>注：</w:t>
            </w:r>
            <w:r>
              <w:rPr>
                <w:rFonts w:hint="eastAsia" w:ascii="宋体" w:hAnsi="宋体" w:eastAsia="宋体" w:cs="宋体"/>
                <w:color w:val="auto"/>
                <w:spacing w:val="-1"/>
                <w:sz w:val="21"/>
                <w:szCs w:val="21"/>
                <w:highlight w:val="none"/>
              </w:rPr>
              <w:t>自有或租赁车辆须同时提供以下证明材料:①购置发票原件扫描件或购置发票复印件并加盖投标单位公章的扫描件:②在有效期内的车辆行驶证</w:t>
            </w:r>
            <w:r>
              <w:rPr>
                <w:rFonts w:hint="eastAsia" w:cs="宋体"/>
                <w:color w:val="auto"/>
                <w:spacing w:val="-1"/>
                <w:sz w:val="21"/>
                <w:szCs w:val="21"/>
                <w:highlight w:val="none"/>
                <w:lang w:val="en-US" w:eastAsia="zh-CN"/>
              </w:rPr>
              <w:t>及车辆登记证</w:t>
            </w:r>
            <w:r>
              <w:rPr>
                <w:rFonts w:hint="eastAsia" w:ascii="宋体" w:hAnsi="宋体" w:eastAsia="宋体" w:cs="宋体"/>
                <w:color w:val="auto"/>
                <w:spacing w:val="-1"/>
                <w:sz w:val="21"/>
                <w:szCs w:val="21"/>
                <w:highlight w:val="none"/>
              </w:rPr>
              <w:t>原件扫描件:③如为租赁车辆需提供投标人与</w:t>
            </w:r>
            <w:r>
              <w:rPr>
                <w:rFonts w:hint="eastAsia" w:cs="宋体"/>
                <w:color w:val="auto"/>
                <w:spacing w:val="-1"/>
                <w:sz w:val="21"/>
                <w:szCs w:val="21"/>
                <w:highlight w:val="none"/>
                <w:lang w:val="en-US" w:eastAsia="zh-CN"/>
              </w:rPr>
              <w:t>出租方</w:t>
            </w:r>
            <w:r>
              <w:rPr>
                <w:rFonts w:hint="eastAsia" w:ascii="宋体" w:hAnsi="宋体" w:eastAsia="宋体" w:cs="宋体"/>
                <w:color w:val="auto"/>
                <w:spacing w:val="-1"/>
                <w:sz w:val="21"/>
                <w:szCs w:val="21"/>
                <w:highlight w:val="none"/>
              </w:rPr>
              <w:t>签订的租赁合同原件彩色扫描件，租赁期限必须满足本项目服务期，否则不得分。</w:t>
            </w:r>
            <w:r>
              <w:rPr>
                <w:rFonts w:hint="eastAsia" w:cs="宋体"/>
                <w:color w:val="auto"/>
                <w:spacing w:val="-1"/>
                <w:sz w:val="21"/>
                <w:szCs w:val="21"/>
                <w:highlight w:val="none"/>
                <w:lang w:val="en-US" w:eastAsia="zh-CN"/>
              </w:rPr>
              <w:t>出租方需为车辆所有人，</w:t>
            </w:r>
            <w:r>
              <w:rPr>
                <w:rFonts w:hint="eastAsia" w:ascii="宋体" w:hAnsi="宋体" w:cs="宋体"/>
                <w:color w:val="auto"/>
                <w:kern w:val="0"/>
                <w:szCs w:val="21"/>
                <w:highlight w:val="none"/>
                <w:lang w:val="en-US" w:eastAsia="zh-CN"/>
              </w:rPr>
              <w:t>租赁人必须为投标单位</w:t>
            </w:r>
            <w:r>
              <w:rPr>
                <w:rFonts w:hint="eastAsia" w:cs="宋体"/>
                <w:color w:val="auto"/>
                <w:spacing w:val="-1"/>
                <w:sz w:val="21"/>
                <w:szCs w:val="21"/>
                <w:highlight w:val="none"/>
                <w:lang w:val="en-US" w:eastAsia="zh-CN"/>
              </w:rPr>
              <w:t>。④提供能反映车牌号的车辆实景照片，</w:t>
            </w:r>
            <w:r>
              <w:rPr>
                <w:rFonts w:hint="eastAsia" w:ascii="宋体" w:hAnsi="宋体" w:cs="宋体"/>
                <w:b/>
                <w:bCs/>
                <w:color w:val="auto"/>
                <w:kern w:val="0"/>
                <w:szCs w:val="21"/>
                <w:highlight w:val="none"/>
                <w:lang w:val="en-US" w:eastAsia="zh-CN"/>
              </w:rPr>
              <w:t>车辆彩色照片(车牌清晰可辨车牌号与行驶证一致)。高空作业车必须是专业高空作业车，不允许是吊车或起重车；高空作业车作业高度的相关证明材料：如高空作业车具体型号的产品介绍或说明书（盖投标人章）。排涝泵车</w:t>
            </w:r>
            <w:r>
              <w:rPr>
                <w:rFonts w:hint="eastAsia" w:ascii="宋体" w:hAnsi="宋体" w:eastAsia="宋体" w:cs="宋体"/>
                <w:b/>
                <w:bCs/>
                <w:color w:val="auto"/>
                <w:kern w:val="0"/>
                <w:szCs w:val="21"/>
                <w:highlight w:val="none"/>
                <w:lang w:val="en-US" w:eastAsia="zh-CN"/>
              </w:rPr>
              <w:t>的</w:t>
            </w:r>
            <w:r>
              <w:rPr>
                <w:rFonts w:hint="eastAsia" w:ascii="宋体" w:hAnsi="宋体" w:cs="宋体"/>
                <w:b/>
                <w:bCs/>
                <w:color w:val="auto"/>
                <w:kern w:val="0"/>
                <w:szCs w:val="21"/>
                <w:highlight w:val="none"/>
                <w:lang w:val="en-US" w:eastAsia="zh-CN"/>
              </w:rPr>
              <w:t>实景</w:t>
            </w:r>
            <w:r>
              <w:rPr>
                <w:rFonts w:hint="eastAsia" w:ascii="宋体" w:hAnsi="宋体" w:eastAsia="宋体" w:cs="宋体"/>
                <w:b/>
                <w:bCs/>
                <w:color w:val="auto"/>
                <w:kern w:val="0"/>
                <w:szCs w:val="21"/>
                <w:highlight w:val="none"/>
                <w:lang w:val="en-US" w:eastAsia="zh-CN"/>
              </w:rPr>
              <w:t>照片须能清楚体现该车同时含抽水泵、发电机组、配电柜</w:t>
            </w:r>
            <w:r>
              <w:rPr>
                <w:rFonts w:hint="eastAsia" w:ascii="宋体" w:hAnsi="宋体" w:cs="宋体"/>
                <w:b/>
                <w:bCs/>
                <w:color w:val="auto"/>
                <w:kern w:val="0"/>
                <w:szCs w:val="21"/>
                <w:highlight w:val="none"/>
                <w:lang w:val="en-US" w:eastAsia="zh-CN"/>
              </w:rPr>
              <w:t>的排涝泵车</w:t>
            </w:r>
            <w:r>
              <w:rPr>
                <w:rFonts w:hint="eastAsia" w:ascii="宋体" w:hAnsi="宋体" w:eastAsia="宋体" w:cs="宋体"/>
                <w:b/>
                <w:bCs/>
                <w:color w:val="auto"/>
                <w:kern w:val="0"/>
                <w:szCs w:val="21"/>
                <w:highlight w:val="none"/>
                <w:lang w:val="en-US" w:eastAsia="zh-CN"/>
              </w:rPr>
              <w:t>。否则不予认可</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⑤</w:t>
            </w:r>
            <w:r>
              <w:rPr>
                <w:rFonts w:hint="eastAsia" w:ascii="宋体" w:hAnsi="宋体" w:cs="宋体"/>
                <w:b/>
                <w:bCs/>
                <w:color w:val="auto"/>
                <w:kern w:val="0"/>
                <w:szCs w:val="21"/>
                <w:highlight w:val="none"/>
                <w:lang w:val="en-US" w:eastAsia="zh-CN"/>
              </w:rPr>
              <w:t>参数证明材料（如合格证或车辆铭牌或官网参数截图）。</w:t>
            </w:r>
          </w:p>
        </w:tc>
      </w:tr>
      <w:bookmarkEnd w:id="78"/>
    </w:tbl>
    <w:p w14:paraId="3E947C90">
      <w:pPr>
        <w:shd w:val="clea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45</w:t>
      </w:r>
      <w:r>
        <w:rPr>
          <w:rFonts w:hint="eastAsia" w:ascii="宋体" w:hAnsi="宋体" w:cs="宋体"/>
          <w:b/>
          <w:bCs/>
          <w:color w:val="auto"/>
          <w:szCs w:val="21"/>
          <w:highlight w:val="none"/>
        </w:rPr>
        <w:t>分）</w:t>
      </w:r>
    </w:p>
    <w:tbl>
      <w:tblPr>
        <w:tblStyle w:val="36"/>
        <w:tblW w:w="9579"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27"/>
        <w:gridCol w:w="778"/>
        <w:gridCol w:w="6977"/>
      </w:tblGrid>
      <w:tr w14:paraId="25E8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FECA773">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27" w:type="dxa"/>
            <w:vAlign w:val="center"/>
          </w:tcPr>
          <w:p w14:paraId="4E93F01A">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78" w:type="dxa"/>
            <w:vAlign w:val="center"/>
          </w:tcPr>
          <w:p w14:paraId="103756A1">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6977" w:type="dxa"/>
            <w:vAlign w:val="center"/>
          </w:tcPr>
          <w:p w14:paraId="119AB06B">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451D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E08784C">
            <w:pPr>
              <w:pStyle w:val="15"/>
              <w:shd w:val="clear"/>
              <w:spacing w:after="0"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1127" w:type="dxa"/>
            <w:vAlign w:val="center"/>
          </w:tcPr>
          <w:p w14:paraId="5141FFA0">
            <w:pPr>
              <w:widowControl/>
              <w:shd w:val="clea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路灯维护实施方案</w:t>
            </w:r>
          </w:p>
        </w:tc>
        <w:tc>
          <w:tcPr>
            <w:tcW w:w="778" w:type="dxa"/>
            <w:vAlign w:val="center"/>
          </w:tcPr>
          <w:p w14:paraId="06639F75">
            <w:pPr>
              <w:shd w:val="clear"/>
              <w:spacing w:line="5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5分</w:t>
            </w:r>
          </w:p>
        </w:tc>
        <w:tc>
          <w:tcPr>
            <w:tcW w:w="6977" w:type="dxa"/>
            <w:vAlign w:val="center"/>
          </w:tcPr>
          <w:p w14:paraId="551B4B1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根据各投标人提供的针对本项目实际情况制定的路灯维护实施方案</w:t>
            </w:r>
            <w:r>
              <w:rPr>
                <w:rFonts w:hint="eastAsia" w:ascii="宋体" w:hAnsi="宋体" w:cs="宋体"/>
                <w:color w:val="auto"/>
                <w:kern w:val="0"/>
                <w:szCs w:val="21"/>
                <w:highlight w:val="none"/>
                <w:lang w:val="en-US" w:eastAsia="zh-CN"/>
              </w:rPr>
              <w:t>，包括但不限于</w:t>
            </w:r>
            <w:r>
              <w:rPr>
                <w:rFonts w:hint="eastAsia" w:ascii="宋体" w:hAnsi="宋体" w:eastAsia="宋体" w:cs="宋体"/>
                <w:color w:val="auto"/>
                <w:kern w:val="0"/>
                <w:szCs w:val="21"/>
                <w:highlight w:val="none"/>
                <w:lang w:val="en-US" w:eastAsia="zh-CN"/>
              </w:rPr>
              <w:t>日常维护方案（如每日巡检流程、突发故障响应机制、设备外观检查标准等）</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月计划维护方案（如月度设备性能检测、线路隐患排查、零部件损耗评估等）</w:t>
            </w:r>
            <w:r>
              <w:rPr>
                <w:rFonts w:hint="eastAsia" w:ascii="宋体" w:hAnsi="宋体" w:cs="宋体"/>
                <w:color w:val="auto"/>
                <w:kern w:val="0"/>
                <w:szCs w:val="21"/>
                <w:highlight w:val="none"/>
                <w:lang w:val="en-US" w:eastAsia="zh-CN"/>
              </w:rPr>
              <w:t>、维修方法、安装环境、实施路径的完整性、可行性、针对性等综合评分，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3BBD9E0B">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eastAsia="宋体" w:cs="宋体"/>
                <w:color w:val="auto"/>
                <w:kern w:val="0"/>
                <w:szCs w:val="21"/>
                <w:highlight w:val="none"/>
                <w:lang w:val="en-US" w:eastAsia="zh-CN"/>
              </w:rPr>
              <w:t>【技术标中须能充分反映出本评分项内容】</w:t>
            </w:r>
          </w:p>
        </w:tc>
      </w:tr>
      <w:tr w14:paraId="35A2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3CD9DD6">
            <w:pPr>
              <w:pStyle w:val="15"/>
              <w:shd w:val="clear"/>
              <w:spacing w:after="0"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2</w:t>
            </w:r>
          </w:p>
        </w:tc>
        <w:tc>
          <w:tcPr>
            <w:tcW w:w="1127" w:type="dxa"/>
            <w:vAlign w:val="center"/>
          </w:tcPr>
          <w:p w14:paraId="348F5D74">
            <w:pPr>
              <w:widowControl/>
              <w:shd w:val="clear"/>
              <w:spacing w:line="440" w:lineRule="exact"/>
              <w:jc w:val="center"/>
              <w:rPr>
                <w:rFonts w:ascii="宋体" w:hAnsi="宋体" w:cs="宋体"/>
                <w:b/>
                <w:bCs/>
                <w:color w:val="auto"/>
                <w:szCs w:val="21"/>
                <w:highlight w:val="none"/>
              </w:rPr>
            </w:pPr>
            <w:r>
              <w:rPr>
                <w:rFonts w:ascii="宋体" w:hAnsi="宋体" w:cs="宋体"/>
                <w:b/>
                <w:bCs/>
                <w:color w:val="auto"/>
                <w:szCs w:val="21"/>
                <w:highlight w:val="none"/>
              </w:rPr>
              <w:t>交安设施维护实施方案</w:t>
            </w:r>
          </w:p>
        </w:tc>
        <w:tc>
          <w:tcPr>
            <w:tcW w:w="778" w:type="dxa"/>
            <w:vAlign w:val="center"/>
          </w:tcPr>
          <w:p w14:paraId="67F867D1">
            <w:pPr>
              <w:shd w:val="clear"/>
              <w:spacing w:line="5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5分</w:t>
            </w:r>
          </w:p>
        </w:tc>
        <w:tc>
          <w:tcPr>
            <w:tcW w:w="6977" w:type="dxa"/>
            <w:vAlign w:val="top"/>
          </w:tcPr>
          <w:p w14:paraId="4EACED1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val="en-US" w:eastAsia="zh-CN"/>
              </w:rPr>
            </w:pPr>
            <w:r>
              <w:rPr>
                <w:rFonts w:ascii="Segoe UI" w:hAnsi="Segoe UI" w:eastAsia="Segoe UI" w:cs="Segoe UI"/>
                <w:i w:val="0"/>
                <w:iCs w:val="0"/>
                <w:caps w:val="0"/>
                <w:color w:val="auto"/>
                <w:spacing w:val="0"/>
                <w:sz w:val="20"/>
                <w:szCs w:val="20"/>
                <w:highlight w:val="none"/>
              </w:rPr>
              <w:t>根据各投标人提供的针对本项目实际情况制定的交安设施维护实施方案，包括但不限于日常维护方案（如每日设施外观巡查、基础牢固性检查、功能有效性测试等）、月计划维护方案（如月度部件损耗评估、线路安全排查、性能优化调试等）</w:t>
            </w:r>
            <w:r>
              <w:rPr>
                <w:rFonts w:hint="eastAsia" w:ascii="宋体" w:hAnsi="宋体" w:cs="宋体"/>
                <w:color w:val="auto"/>
                <w:szCs w:val="21"/>
                <w:highlight w:val="none"/>
              </w:rPr>
              <w:t>、维护方法、实施环境适配措施、执行路径的完整性、可行性、针对性等综合评分，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3491AB5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default" w:ascii="Segoe UI" w:hAnsi="Segoe UI" w:eastAsia="Segoe UI" w:cs="Segoe UI"/>
                <w:i w:val="0"/>
                <w:iCs w:val="0"/>
                <w:caps w:val="0"/>
                <w:color w:val="auto"/>
                <w:spacing w:val="0"/>
                <w:sz w:val="20"/>
                <w:szCs w:val="20"/>
                <w:highlight w:val="none"/>
              </w:rPr>
              <w:t>【技术标中须能充分反映出本评分项内容】</w:t>
            </w:r>
          </w:p>
        </w:tc>
      </w:tr>
      <w:tr w14:paraId="18EB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F9E4020">
            <w:pPr>
              <w:pStyle w:val="15"/>
              <w:shd w:val="clear"/>
              <w:spacing w:after="0" w:line="50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p>
        </w:tc>
        <w:tc>
          <w:tcPr>
            <w:tcW w:w="1127" w:type="dxa"/>
            <w:vAlign w:val="center"/>
          </w:tcPr>
          <w:p w14:paraId="77C1D647">
            <w:pPr>
              <w:widowControl/>
              <w:shd w:val="clea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维护检查方案</w:t>
            </w:r>
          </w:p>
        </w:tc>
        <w:tc>
          <w:tcPr>
            <w:tcW w:w="778" w:type="dxa"/>
            <w:vAlign w:val="center"/>
          </w:tcPr>
          <w:p w14:paraId="38B6567A">
            <w:pPr>
              <w:shd w:val="clear"/>
              <w:spacing w:line="5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5分</w:t>
            </w:r>
          </w:p>
        </w:tc>
        <w:tc>
          <w:tcPr>
            <w:tcW w:w="6977" w:type="dxa"/>
            <w:vAlign w:val="top"/>
          </w:tcPr>
          <w:p w14:paraId="45457C3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val="en-US" w:eastAsia="zh-CN"/>
              </w:rPr>
            </w:pPr>
            <w:r>
              <w:rPr>
                <w:rFonts w:ascii="Segoe UI" w:hAnsi="Segoe UI" w:eastAsia="Segoe UI" w:cs="Segoe UI"/>
                <w:i w:val="0"/>
                <w:iCs w:val="0"/>
                <w:caps w:val="0"/>
                <w:color w:val="auto"/>
                <w:spacing w:val="0"/>
                <w:sz w:val="20"/>
                <w:szCs w:val="20"/>
                <w:highlight w:val="none"/>
              </w:rPr>
              <w:t>根据各投标人提供的针对本项目实际情况制定的维护检查方案，包括但不限于定期检查计划（如检查周期设定、检查范围界定、检查频次安排等）、维护检查内容（如设备运行参数检测、设施结构安全排查、故障隐患识别标准等）、检查方法、结果处理流程、方案</w:t>
            </w:r>
            <w:r>
              <w:rPr>
                <w:rFonts w:hint="eastAsia" w:ascii="宋体" w:hAnsi="宋体" w:cs="宋体"/>
                <w:color w:val="auto"/>
                <w:szCs w:val="21"/>
                <w:highlight w:val="none"/>
              </w:rPr>
              <w:t>周全性、具体性、有效性等综合评分，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058C20D8">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cs="宋体"/>
                <w:b/>
                <w:bCs/>
                <w:color w:val="auto"/>
                <w:kern w:val="0"/>
                <w:szCs w:val="21"/>
                <w:highlight w:val="none"/>
              </w:rPr>
            </w:pPr>
            <w:r>
              <w:rPr>
                <w:rFonts w:hint="default" w:ascii="Segoe UI" w:hAnsi="Segoe UI" w:eastAsia="Segoe UI" w:cs="Segoe UI"/>
                <w:i w:val="0"/>
                <w:iCs w:val="0"/>
                <w:caps w:val="0"/>
                <w:color w:val="auto"/>
                <w:spacing w:val="0"/>
                <w:sz w:val="20"/>
                <w:szCs w:val="20"/>
                <w:highlight w:val="none"/>
              </w:rPr>
              <w:t>【技术标中须能充分反映出本评分项内容】</w:t>
            </w:r>
          </w:p>
        </w:tc>
      </w:tr>
      <w:tr w14:paraId="6877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EB7C79B">
            <w:pPr>
              <w:pStyle w:val="15"/>
              <w:shd w:val="clear"/>
              <w:spacing w:after="0" w:line="50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p>
        </w:tc>
        <w:tc>
          <w:tcPr>
            <w:tcW w:w="1127" w:type="dxa"/>
            <w:vAlign w:val="center"/>
          </w:tcPr>
          <w:p w14:paraId="3A2DCE51">
            <w:pPr>
              <w:widowControl/>
              <w:shd w:val="clea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维护日志与记录</w:t>
            </w:r>
          </w:p>
        </w:tc>
        <w:tc>
          <w:tcPr>
            <w:tcW w:w="778" w:type="dxa"/>
            <w:vAlign w:val="center"/>
          </w:tcPr>
          <w:p w14:paraId="530155C6">
            <w:pPr>
              <w:shd w:val="clear"/>
              <w:spacing w:line="500" w:lineRule="exact"/>
              <w:jc w:val="center"/>
              <w:rPr>
                <w:rFonts w:hint="eastAsia" w:ascii="宋体" w:hAnsi="宋体" w:cs="宋体"/>
                <w:b/>
                <w:bCs/>
                <w:color w:val="auto"/>
                <w:szCs w:val="21"/>
                <w:highlight w:val="none"/>
              </w:rPr>
            </w:pPr>
            <w:r>
              <w:rPr>
                <w:rFonts w:hint="eastAsia" w:ascii="宋体" w:hAnsi="宋体" w:eastAsia="宋体" w:cs="宋体"/>
                <w:b/>
                <w:bCs/>
                <w:color w:val="auto"/>
                <w:szCs w:val="21"/>
                <w:highlight w:val="none"/>
                <w:lang w:val="en-US" w:eastAsia="zh-CN"/>
              </w:rPr>
              <w:t>5分</w:t>
            </w:r>
          </w:p>
        </w:tc>
        <w:tc>
          <w:tcPr>
            <w:tcW w:w="6977" w:type="dxa"/>
            <w:vAlign w:val="center"/>
          </w:tcPr>
          <w:p w14:paraId="43B5244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val="en-US" w:eastAsia="zh-CN"/>
              </w:rPr>
            </w:pPr>
            <w:r>
              <w:rPr>
                <w:rFonts w:ascii="Segoe UI" w:hAnsi="Segoe UI" w:eastAsia="Segoe UI" w:cs="Segoe UI"/>
                <w:i w:val="0"/>
                <w:iCs w:val="0"/>
                <w:caps w:val="0"/>
                <w:color w:val="auto"/>
                <w:spacing w:val="0"/>
                <w:sz w:val="20"/>
                <w:szCs w:val="20"/>
                <w:highlight w:val="none"/>
              </w:rPr>
              <w:t>根据各投标人提供的针对本项目实际情况制定的维护日志与记录方案，包括但不限于日志记录内容（如维护时间、维护部位、维护人员、维护操作详情等）、记录规范（如填写标准、归档流程、查阅机制等</w:t>
            </w:r>
            <w:r>
              <w:rPr>
                <w:rFonts w:hint="eastAsia" w:ascii="宋体" w:hAnsi="宋体" w:cs="宋体"/>
                <w:color w:val="auto"/>
                <w:szCs w:val="21"/>
                <w:highlight w:val="none"/>
              </w:rPr>
              <w:t>）、记录完整性（如无关键信息缺失、无时间断层）、准确性、可追溯性等综合评分，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7595161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cs="宋体"/>
                <w:b/>
                <w:bCs/>
                <w:color w:val="auto"/>
                <w:kern w:val="0"/>
                <w:szCs w:val="21"/>
                <w:highlight w:val="none"/>
              </w:rPr>
            </w:pPr>
            <w:r>
              <w:rPr>
                <w:rFonts w:hint="default" w:ascii="Segoe UI" w:hAnsi="Segoe UI" w:eastAsia="Segoe UI" w:cs="Segoe UI"/>
                <w:i w:val="0"/>
                <w:iCs w:val="0"/>
                <w:caps w:val="0"/>
                <w:color w:val="auto"/>
                <w:spacing w:val="0"/>
                <w:sz w:val="20"/>
                <w:szCs w:val="20"/>
                <w:highlight w:val="none"/>
              </w:rPr>
              <w:t>【技术标中须能充分反映出本评分项内容】</w:t>
            </w:r>
          </w:p>
        </w:tc>
      </w:tr>
      <w:tr w14:paraId="2E3B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2838750">
            <w:pPr>
              <w:pStyle w:val="15"/>
              <w:shd w:val="clear"/>
              <w:spacing w:after="0" w:line="50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p>
        </w:tc>
        <w:tc>
          <w:tcPr>
            <w:tcW w:w="1127" w:type="dxa"/>
            <w:vAlign w:val="center"/>
          </w:tcPr>
          <w:p w14:paraId="096DC388">
            <w:pPr>
              <w:widowControl/>
              <w:shd w:val="clear"/>
              <w:spacing w:line="440" w:lineRule="exact"/>
              <w:jc w:val="center"/>
              <w:rPr>
                <w:rFonts w:hint="eastAsia" w:ascii="宋体" w:hAnsi="宋体" w:cs="宋体"/>
                <w:b/>
                <w:bCs/>
                <w:color w:val="auto"/>
                <w:kern w:val="0"/>
                <w:szCs w:val="21"/>
                <w:highlight w:val="none"/>
              </w:rPr>
            </w:pPr>
            <w:r>
              <w:rPr>
                <w:rFonts w:hint="eastAsia" w:ascii="宋体" w:hAnsi="宋体" w:eastAsia="宋体" w:cs="宋体"/>
                <w:b/>
                <w:bCs/>
                <w:color w:val="auto"/>
                <w:kern w:val="0"/>
                <w:szCs w:val="21"/>
                <w:highlight w:val="none"/>
              </w:rPr>
              <w:t>特殊情况恢复方案</w:t>
            </w:r>
          </w:p>
        </w:tc>
        <w:tc>
          <w:tcPr>
            <w:tcW w:w="778" w:type="dxa"/>
            <w:vAlign w:val="center"/>
          </w:tcPr>
          <w:p w14:paraId="770109B7">
            <w:pPr>
              <w:shd w:val="clear"/>
              <w:spacing w:line="500" w:lineRule="exact"/>
              <w:jc w:val="center"/>
              <w:rPr>
                <w:rFonts w:hint="eastAsia" w:ascii="宋体" w:hAnsi="宋体" w:cs="宋体"/>
                <w:b/>
                <w:bCs/>
                <w:color w:val="auto"/>
                <w:szCs w:val="21"/>
                <w:highlight w:val="none"/>
              </w:rPr>
            </w:pPr>
            <w:r>
              <w:rPr>
                <w:rFonts w:hint="eastAsia" w:ascii="宋体" w:hAnsi="宋体" w:eastAsia="宋体" w:cs="宋体"/>
                <w:b/>
                <w:bCs/>
                <w:color w:val="auto"/>
                <w:szCs w:val="21"/>
                <w:highlight w:val="none"/>
                <w:lang w:val="en-US" w:eastAsia="zh-CN"/>
              </w:rPr>
              <w:t>5 分</w:t>
            </w:r>
          </w:p>
        </w:tc>
        <w:tc>
          <w:tcPr>
            <w:tcW w:w="6977" w:type="dxa"/>
            <w:vAlign w:val="top"/>
          </w:tcPr>
          <w:p w14:paraId="77666E4E">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val="en-US" w:eastAsia="zh-CN"/>
              </w:rPr>
            </w:pPr>
            <w:r>
              <w:rPr>
                <w:rFonts w:ascii="Segoe UI" w:hAnsi="Segoe UI" w:eastAsia="Segoe UI" w:cs="Segoe UI"/>
                <w:i w:val="0"/>
                <w:iCs w:val="0"/>
                <w:caps w:val="0"/>
                <w:color w:val="auto"/>
                <w:spacing w:val="0"/>
                <w:sz w:val="20"/>
                <w:szCs w:val="20"/>
                <w:highlight w:val="none"/>
              </w:rPr>
              <w:t>根据各投标人提供的针对本项目实际情况制定的特殊情况恢复方案，包括但不限于重大活动保障计划（如设施提前检修、人员值守安排等）、文明创建配合措施（如设施外观美化、周边环境协同整治等）、防汛抗台预案（如设备防护加固、排水疏导方案等）、雨雪灾害天气应对策略（如除冰除雪措施、设备防冻保护等）、重大节假日保障方案（如高频巡检计划</w:t>
            </w:r>
            <w:r>
              <w:rPr>
                <w:rFonts w:hint="eastAsia" w:ascii="宋体" w:hAnsi="宋体" w:cs="宋体"/>
                <w:color w:val="auto"/>
                <w:szCs w:val="21"/>
                <w:highlight w:val="none"/>
              </w:rPr>
              <w:t>、应急抢修准备等）、方案针对性、与项目实际贴合度、可操作性等综合评分，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3602DDD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cs="宋体"/>
                <w:b/>
                <w:bCs/>
                <w:color w:val="auto"/>
                <w:kern w:val="0"/>
                <w:szCs w:val="21"/>
                <w:highlight w:val="none"/>
              </w:rPr>
            </w:pPr>
            <w:r>
              <w:rPr>
                <w:rFonts w:hint="default" w:ascii="Segoe UI" w:hAnsi="Segoe UI" w:eastAsia="Segoe UI" w:cs="Segoe UI"/>
                <w:i w:val="0"/>
                <w:iCs w:val="0"/>
                <w:caps w:val="0"/>
                <w:color w:val="auto"/>
                <w:spacing w:val="0"/>
                <w:sz w:val="20"/>
                <w:szCs w:val="20"/>
                <w:highlight w:val="none"/>
              </w:rPr>
              <w:t>【技术标中须能充分反映出本评分项内容】</w:t>
            </w:r>
          </w:p>
        </w:tc>
      </w:tr>
      <w:tr w14:paraId="4BCA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F1344F3">
            <w:pPr>
              <w:widowControl/>
              <w:shd w:val="clear"/>
              <w:spacing w:line="440" w:lineRule="exact"/>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6</w:t>
            </w:r>
          </w:p>
        </w:tc>
        <w:tc>
          <w:tcPr>
            <w:tcW w:w="1127" w:type="dxa"/>
            <w:vAlign w:val="center"/>
          </w:tcPr>
          <w:p w14:paraId="19560EBF">
            <w:pPr>
              <w:widowControl/>
              <w:shd w:val="clear"/>
              <w:spacing w:line="440" w:lineRule="exact"/>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项目进场交接计划与承诺</w:t>
            </w:r>
          </w:p>
        </w:tc>
        <w:tc>
          <w:tcPr>
            <w:tcW w:w="778" w:type="dxa"/>
            <w:vAlign w:val="center"/>
          </w:tcPr>
          <w:p w14:paraId="33629BF9">
            <w:pPr>
              <w:widowControl/>
              <w:shd w:val="clear"/>
              <w:spacing w:line="440" w:lineRule="exact"/>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5 分</w:t>
            </w:r>
          </w:p>
        </w:tc>
        <w:tc>
          <w:tcPr>
            <w:tcW w:w="6977" w:type="dxa"/>
            <w:vAlign w:val="top"/>
          </w:tcPr>
          <w:p w14:paraId="697BDA5E">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val="en-US" w:eastAsia="zh-CN"/>
              </w:rPr>
            </w:pPr>
            <w:r>
              <w:rPr>
                <w:rFonts w:ascii="Segoe UI" w:hAnsi="Segoe UI" w:eastAsia="Segoe UI" w:cs="Segoe UI"/>
                <w:i w:val="0"/>
                <w:iCs w:val="0"/>
                <w:caps w:val="0"/>
                <w:color w:val="auto"/>
                <w:spacing w:val="0"/>
                <w:sz w:val="20"/>
                <w:szCs w:val="20"/>
                <w:highlight w:val="none"/>
              </w:rPr>
              <w:t>根据各投标人提供的针对本项目实际情况制定的项目进场交接计划与承诺，包括但不限于交接流程（如现场勘查确认、资料移交清单、设备设施清点步骤等）、交接时间安排（如各阶段节点设定、工期衔接计划等）、承诺内容（如质量保障期限、服务响应时效等）、计划完整性、承诺可行性、与项目需求适配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ascii="Segoe UI" w:hAnsi="Segoe UI" w:eastAsia="Segoe UI" w:cs="Segoe UI"/>
                <w:i w:val="0"/>
                <w:iCs w:val="0"/>
                <w:caps w:val="0"/>
                <w:color w:val="auto"/>
                <w:spacing w:val="0"/>
                <w:sz w:val="20"/>
                <w:szCs w:val="20"/>
                <w:highlight w:val="none"/>
              </w:rPr>
              <w:t>；</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56EB44C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cs="宋体"/>
                <w:b/>
                <w:bCs/>
                <w:color w:val="auto"/>
                <w:kern w:val="0"/>
                <w:szCs w:val="21"/>
                <w:highlight w:val="none"/>
              </w:rPr>
            </w:pPr>
            <w:r>
              <w:rPr>
                <w:rFonts w:hint="default" w:ascii="Segoe UI" w:hAnsi="Segoe UI" w:eastAsia="Segoe UI" w:cs="Segoe UI"/>
                <w:i w:val="0"/>
                <w:iCs w:val="0"/>
                <w:caps w:val="0"/>
                <w:color w:val="auto"/>
                <w:spacing w:val="0"/>
                <w:sz w:val="20"/>
                <w:szCs w:val="20"/>
                <w:highlight w:val="none"/>
              </w:rPr>
              <w:t>【技术标中须能充分反映出本评分项内容】</w:t>
            </w:r>
          </w:p>
        </w:tc>
      </w:tr>
      <w:tr w14:paraId="564D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079DEDE">
            <w:pPr>
              <w:widowControl/>
              <w:shd w:val="clear"/>
              <w:spacing w:line="440" w:lineRule="exact"/>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7</w:t>
            </w:r>
          </w:p>
        </w:tc>
        <w:tc>
          <w:tcPr>
            <w:tcW w:w="1127" w:type="dxa"/>
            <w:vAlign w:val="center"/>
          </w:tcPr>
          <w:p w14:paraId="12DFF676">
            <w:pPr>
              <w:widowControl/>
              <w:shd w:val="clear"/>
              <w:spacing w:line="440" w:lineRule="exact"/>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安全文明  作业方案</w:t>
            </w:r>
          </w:p>
        </w:tc>
        <w:tc>
          <w:tcPr>
            <w:tcW w:w="778" w:type="dxa"/>
            <w:vAlign w:val="center"/>
          </w:tcPr>
          <w:p w14:paraId="30C6CEAA">
            <w:pPr>
              <w:widowControl/>
              <w:shd w:val="clear"/>
              <w:spacing w:line="440" w:lineRule="exact"/>
              <w:jc w:val="center"/>
              <w:rPr>
                <w:rFonts w:hint="eastAsia" w:ascii="宋体" w:hAnsi="宋体" w:cs="宋体"/>
                <w:b/>
                <w:bCs/>
                <w:color w:val="auto"/>
                <w:szCs w:val="21"/>
                <w:highlight w:val="none"/>
              </w:rPr>
            </w:pPr>
            <w:r>
              <w:rPr>
                <w:rFonts w:hint="eastAsia" w:ascii="宋体" w:hAnsi="宋体" w:eastAsia="宋体" w:cs="宋体"/>
                <w:b/>
                <w:bCs/>
                <w:color w:val="auto"/>
                <w:kern w:val="0"/>
                <w:szCs w:val="21"/>
                <w:highlight w:val="none"/>
                <w:lang w:val="en-US" w:eastAsia="zh-CN"/>
              </w:rPr>
              <w:t>5 分</w:t>
            </w:r>
          </w:p>
        </w:tc>
        <w:tc>
          <w:tcPr>
            <w:tcW w:w="6977" w:type="dxa"/>
            <w:vAlign w:val="top"/>
          </w:tcPr>
          <w:p w14:paraId="6D0FC13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val="en-US" w:eastAsia="zh-CN"/>
              </w:rPr>
            </w:pPr>
            <w:r>
              <w:rPr>
                <w:rFonts w:ascii="Segoe UI" w:hAnsi="Segoe UI" w:eastAsia="Segoe UI" w:cs="Segoe UI"/>
                <w:i w:val="0"/>
                <w:iCs w:val="0"/>
                <w:caps w:val="0"/>
                <w:color w:val="auto"/>
                <w:spacing w:val="0"/>
                <w:sz w:val="20"/>
                <w:szCs w:val="20"/>
                <w:highlight w:val="none"/>
              </w:rPr>
              <w:t>根据各投标人提供的针对本项目实际情况制定的安全文明作业方案，包括但不限于道路作业安全保障措施（如警示标识设置、交通疏导方案等）、日常维护噪音管理措施（如低噪音设备选用、作</w:t>
            </w:r>
            <w:r>
              <w:rPr>
                <w:rFonts w:hint="eastAsia" w:ascii="宋体" w:hAnsi="宋体" w:cs="宋体"/>
                <w:color w:val="auto"/>
                <w:szCs w:val="21"/>
                <w:highlight w:val="none"/>
              </w:rPr>
              <w:t>业时间优化等）、人员服装规范（如统一工装标准、安全防护装备要求等）、方案全面性、措施合理性、与项目现场适配性等综合评分，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4C7011C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cs="宋体"/>
                <w:b/>
                <w:bCs/>
                <w:color w:val="auto"/>
                <w:kern w:val="0"/>
                <w:szCs w:val="21"/>
                <w:highlight w:val="none"/>
              </w:rPr>
            </w:pPr>
            <w:r>
              <w:rPr>
                <w:rFonts w:hint="default" w:ascii="Segoe UI" w:hAnsi="Segoe UI" w:eastAsia="Segoe UI" w:cs="Segoe UI"/>
                <w:i w:val="0"/>
                <w:iCs w:val="0"/>
                <w:caps w:val="0"/>
                <w:color w:val="auto"/>
                <w:spacing w:val="0"/>
                <w:sz w:val="20"/>
                <w:szCs w:val="20"/>
                <w:highlight w:val="none"/>
              </w:rPr>
              <w:t>【技术标中须能充分反映出本评分项内容】</w:t>
            </w:r>
          </w:p>
        </w:tc>
      </w:tr>
      <w:tr w14:paraId="66F2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9545809">
            <w:pPr>
              <w:widowControl/>
              <w:shd w:val="clear"/>
              <w:spacing w:line="440" w:lineRule="exact"/>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8</w:t>
            </w:r>
          </w:p>
        </w:tc>
        <w:tc>
          <w:tcPr>
            <w:tcW w:w="1127" w:type="dxa"/>
            <w:vAlign w:val="center"/>
          </w:tcPr>
          <w:p w14:paraId="42E29415">
            <w:pPr>
              <w:widowControl/>
              <w:shd w:val="clear"/>
              <w:spacing w:line="440" w:lineRule="exact"/>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人员管理和培训方 案</w:t>
            </w:r>
          </w:p>
        </w:tc>
        <w:tc>
          <w:tcPr>
            <w:tcW w:w="778" w:type="dxa"/>
            <w:vAlign w:val="center"/>
          </w:tcPr>
          <w:p w14:paraId="686EAB73">
            <w:pPr>
              <w:widowControl/>
              <w:shd w:val="clear"/>
              <w:spacing w:line="440" w:lineRule="exact"/>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5 分</w:t>
            </w:r>
          </w:p>
        </w:tc>
        <w:tc>
          <w:tcPr>
            <w:tcW w:w="6977" w:type="dxa"/>
            <w:vAlign w:val="top"/>
          </w:tcPr>
          <w:p w14:paraId="3E4E25C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val="en-US" w:eastAsia="zh-CN"/>
              </w:rPr>
            </w:pPr>
            <w:r>
              <w:rPr>
                <w:rFonts w:hint="eastAsia" w:ascii="Segoe UI" w:hAnsi="Segoe UI" w:eastAsia="Segoe UI" w:cs="Segoe UI"/>
                <w:i w:val="0"/>
                <w:iCs w:val="0"/>
                <w:caps w:val="0"/>
                <w:color w:val="auto"/>
                <w:spacing w:val="0"/>
                <w:sz w:val="20"/>
                <w:szCs w:val="20"/>
                <w:highlight w:val="none"/>
              </w:rPr>
              <w:t>根据各投标人提供的针对本项目实际情况制定的人员管理和培训方案，包括但不限于人员培训计划（如培训周期、培训内容模块等）、培训方式（如线上理论教学、线下实操演练等）、培训目标（如技能达标要求、服务意识提升标准等）、人员行为规范（如作业操作准则、沟通服务规范等）、录用与考核机制（如招聘标准、绩效评估办法等）、淘</w:t>
            </w:r>
            <w:r>
              <w:rPr>
                <w:rFonts w:hint="eastAsia" w:ascii="宋体" w:hAnsi="宋体" w:cs="宋体"/>
                <w:color w:val="auto"/>
                <w:szCs w:val="21"/>
                <w:highlight w:val="none"/>
              </w:rPr>
              <w:t>汰与奖罚制度（如末位淘汰规则、奖惩等级设定等）、方案完整性、针对性、可行性等综合评分，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5CA039C6">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cs="宋体"/>
                <w:b/>
                <w:bCs/>
                <w:color w:val="auto"/>
                <w:kern w:val="0"/>
                <w:szCs w:val="21"/>
                <w:highlight w:val="none"/>
              </w:rPr>
            </w:pPr>
            <w:r>
              <w:rPr>
                <w:rFonts w:hint="eastAsia" w:ascii="Segoe UI" w:hAnsi="Segoe UI" w:eastAsia="Segoe UI" w:cs="Segoe UI"/>
                <w:i w:val="0"/>
                <w:iCs w:val="0"/>
                <w:caps w:val="0"/>
                <w:color w:val="auto"/>
                <w:spacing w:val="0"/>
                <w:sz w:val="20"/>
                <w:szCs w:val="20"/>
                <w:highlight w:val="none"/>
              </w:rPr>
              <w:t>【技术标中须能充分反映出本评分项内容】</w:t>
            </w:r>
          </w:p>
        </w:tc>
      </w:tr>
      <w:tr w14:paraId="7ACC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3AAF9E8">
            <w:pPr>
              <w:widowControl/>
              <w:shd w:val="clear"/>
              <w:spacing w:line="440" w:lineRule="exact"/>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9</w:t>
            </w:r>
          </w:p>
        </w:tc>
        <w:tc>
          <w:tcPr>
            <w:tcW w:w="1127" w:type="dxa"/>
            <w:vAlign w:val="center"/>
          </w:tcPr>
          <w:p w14:paraId="47F76892">
            <w:pPr>
              <w:widowControl/>
              <w:shd w:val="clear"/>
              <w:spacing w:line="440" w:lineRule="exact"/>
              <w:jc w:val="center"/>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泵站养护实施方案</w:t>
            </w:r>
          </w:p>
        </w:tc>
        <w:tc>
          <w:tcPr>
            <w:tcW w:w="778" w:type="dxa"/>
            <w:vAlign w:val="center"/>
          </w:tcPr>
          <w:p w14:paraId="7B1DEE06">
            <w:pPr>
              <w:widowControl/>
              <w:shd w:val="clear"/>
              <w:spacing w:line="440" w:lineRule="exact"/>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5 分</w:t>
            </w:r>
          </w:p>
        </w:tc>
        <w:tc>
          <w:tcPr>
            <w:tcW w:w="6977" w:type="dxa"/>
            <w:vAlign w:val="top"/>
          </w:tcPr>
          <w:p w14:paraId="2A215B7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val="en-US" w:eastAsia="zh-CN"/>
              </w:rPr>
            </w:pPr>
            <w:r>
              <w:rPr>
                <w:rFonts w:hint="eastAsia" w:ascii="Segoe UI" w:hAnsi="Segoe UI" w:eastAsia="Segoe UI" w:cs="Segoe UI"/>
                <w:i w:val="0"/>
                <w:iCs w:val="0"/>
                <w:caps w:val="0"/>
                <w:color w:val="auto"/>
                <w:spacing w:val="0"/>
                <w:sz w:val="20"/>
                <w:szCs w:val="20"/>
                <w:highlight w:val="none"/>
              </w:rPr>
              <w:t>根据各投标人提供的针对本项目实际情况制定的泵站养护实施方案，包括但不限于水泵养护内容（如部件清洁周期、故障排查标准等）、电机养护措施（如性能检测方法、润滑维护要求等）、辅助系统养护方案（如液压系统检查、配电系统调试等）、养护质量保障机制、安全保</w:t>
            </w:r>
            <w:r>
              <w:rPr>
                <w:rFonts w:hint="eastAsia" w:ascii="宋体" w:hAnsi="宋体" w:cs="宋体"/>
                <w:color w:val="auto"/>
                <w:szCs w:val="21"/>
                <w:highlight w:val="none"/>
              </w:rPr>
              <w:t>障措施、工期保障计划、岗位职责划分、协作机制、方案完整性、可行性、针对性等综合评分，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6F0DAE1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cs="宋体"/>
                <w:b/>
                <w:bCs/>
                <w:color w:val="auto"/>
                <w:kern w:val="0"/>
                <w:szCs w:val="21"/>
                <w:highlight w:val="none"/>
              </w:rPr>
            </w:pPr>
            <w:r>
              <w:rPr>
                <w:rFonts w:hint="eastAsia" w:ascii="Segoe UI" w:hAnsi="Segoe UI" w:eastAsia="Segoe UI" w:cs="Segoe UI"/>
                <w:i w:val="0"/>
                <w:iCs w:val="0"/>
                <w:caps w:val="0"/>
                <w:color w:val="auto"/>
                <w:spacing w:val="0"/>
                <w:sz w:val="20"/>
                <w:szCs w:val="20"/>
                <w:highlight w:val="none"/>
              </w:rPr>
              <w:t>【技术标中须能充分反映出本评分项内容】</w:t>
            </w:r>
          </w:p>
        </w:tc>
      </w:tr>
      <w:tr w14:paraId="4B07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79" w:type="dxa"/>
            <w:gridSpan w:val="4"/>
            <w:vAlign w:val="center"/>
          </w:tcPr>
          <w:p w14:paraId="2C4C9339">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注：1.各投标人技术标总得分为各评委评分的平均值为最终得分。取两位小数，小数点后第三位四舍五入。</w:t>
            </w:r>
          </w:p>
          <w:p w14:paraId="5662BD99">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23294304">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2.1 技术标暗标不设空白页。技术标投标文件封面不出现投标人、法定代表人签章内容，格式以系统设置为准。正文必须按招标文件要求的顺序进行排版；</w:t>
            </w:r>
          </w:p>
          <w:p w14:paraId="21FCAFEF">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241C1049">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489DF803">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3.技术标暗标文件的格式、制作不符合上述要求的，每一分项扣0.2分。技术标实行暗标的，对技术标（暗标）部分不予澄清、说明或者补正。</w:t>
            </w:r>
          </w:p>
          <w:p w14:paraId="2459598C">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4.技术标的</w:t>
            </w:r>
            <w:r>
              <w:rPr>
                <w:rFonts w:hint="eastAsia" w:ascii="宋体" w:hAnsi="宋体" w:cs="宋体"/>
                <w:color w:val="auto"/>
                <w:kern w:val="0"/>
                <w:szCs w:val="21"/>
                <w:highlight w:val="none"/>
                <w:lang w:val="en-US" w:eastAsia="zh-CN"/>
              </w:rPr>
              <w:t>每个评分点</w:t>
            </w:r>
            <w:r>
              <w:rPr>
                <w:rFonts w:hint="eastAsia" w:ascii="宋体" w:hAnsi="宋体" w:cs="宋体"/>
                <w:color w:val="auto"/>
                <w:kern w:val="0"/>
                <w:szCs w:val="21"/>
                <w:highlight w:val="none"/>
              </w:rPr>
              <w:t>页数不多于</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页</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含附图、附表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rPr>
              <w:t>具体篇幅(字数)要求及扣分标准（扣分值为0.</w:t>
            </w:r>
            <w:r>
              <w:rPr>
                <w:rFonts w:hint="eastAsia" w:ascii="宋体" w:hAnsi="宋体"/>
                <w:color w:val="auto"/>
                <w:szCs w:val="21"/>
                <w:highlight w:val="none"/>
                <w:lang w:val="en-US" w:eastAsia="zh-CN"/>
              </w:rPr>
              <w:t>5</w:t>
            </w:r>
            <w:r>
              <w:rPr>
                <w:rFonts w:hint="eastAsia" w:ascii="宋体" w:hAnsi="宋体"/>
                <w:color w:val="auto"/>
                <w:szCs w:val="21"/>
                <w:highlight w:val="none"/>
              </w:rPr>
              <w:t>分）。偏离规定标准的，评标委员会应酌情扣分。</w:t>
            </w:r>
          </w:p>
          <w:p w14:paraId="221A5AB5">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1E5566D5">
            <w:pPr>
              <w:shd w:val="clear"/>
              <w:spacing w:line="500" w:lineRule="exact"/>
              <w:jc w:val="left"/>
              <w:rPr>
                <w:rFonts w:ascii="宋体" w:hAnsi="宋体" w:cs="宋体"/>
                <w:b/>
                <w:bCs/>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如所有投标企业技术标都出现能反映企业信息等相关内容的，该项目流标。</w:t>
            </w:r>
          </w:p>
        </w:tc>
      </w:tr>
    </w:tbl>
    <w:p w14:paraId="0F9BB553">
      <w:pPr>
        <w:shd w:val="clear"/>
        <w:adjustRightInd w:val="0"/>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分）</w:t>
      </w:r>
    </w:p>
    <w:tbl>
      <w:tblPr>
        <w:tblStyle w:val="36"/>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609F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42B08E22">
            <w:pPr>
              <w:shd w:val="clear"/>
              <w:spacing w:line="500" w:lineRule="exact"/>
              <w:jc w:val="center"/>
              <w:rPr>
                <w:rFonts w:ascii="宋体" w:hAnsi="宋体" w:cs="宋体"/>
                <w:b/>
                <w:bCs/>
                <w:color w:val="auto"/>
                <w:highlight w:val="none"/>
              </w:rPr>
            </w:pPr>
            <w:bookmarkStart w:id="80" w:name="_Toc449028881"/>
            <w:bookmarkStart w:id="81" w:name="_Toc23311"/>
            <w:bookmarkStart w:id="82" w:name="_Toc58430321"/>
            <w:r>
              <w:rPr>
                <w:rFonts w:hint="eastAsia" w:ascii="宋体" w:hAnsi="宋体" w:cs="宋体"/>
                <w:b/>
                <w:bCs/>
                <w:color w:val="auto"/>
                <w:highlight w:val="none"/>
              </w:rPr>
              <w:t>评分因素</w:t>
            </w:r>
          </w:p>
        </w:tc>
        <w:tc>
          <w:tcPr>
            <w:tcW w:w="8584" w:type="dxa"/>
            <w:vAlign w:val="center"/>
          </w:tcPr>
          <w:p w14:paraId="65B3C38C">
            <w:pPr>
              <w:shd w:val="clear"/>
              <w:spacing w:line="500" w:lineRule="exact"/>
              <w:jc w:val="center"/>
              <w:rPr>
                <w:rFonts w:ascii="宋体" w:hAnsi="宋体" w:cs="宋体"/>
                <w:b/>
                <w:bCs/>
                <w:color w:val="auto"/>
                <w:highlight w:val="none"/>
              </w:rPr>
            </w:pPr>
            <w:r>
              <w:rPr>
                <w:rFonts w:hint="eastAsia" w:ascii="宋体" w:hAnsi="宋体" w:cs="宋体"/>
                <w:b/>
                <w:bCs/>
                <w:color w:val="auto"/>
                <w:highlight w:val="none"/>
              </w:rPr>
              <w:t>评审细则</w:t>
            </w:r>
          </w:p>
        </w:tc>
      </w:tr>
      <w:tr w14:paraId="0CC4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45" w:type="dxa"/>
            <w:vAlign w:val="center"/>
          </w:tcPr>
          <w:p w14:paraId="7C699C20">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商务标</w:t>
            </w:r>
          </w:p>
          <w:p w14:paraId="5AC233B1">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8584" w:type="dxa"/>
          </w:tcPr>
          <w:p w14:paraId="4DA7EAE9">
            <w:pPr>
              <w:shd w:val="clear"/>
              <w:tabs>
                <w:tab w:val="left" w:pos="108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2B3C4012">
            <w:pPr>
              <w:shd w:val="clea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1、评审基准价=所有有效投标人的最低报价；其得分为满分；</w:t>
            </w:r>
          </w:p>
          <w:p w14:paraId="70D0C48F">
            <w:pPr>
              <w:shd w:val="clea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2、其它报价得分=评审基准价/投标报价*满分，小数点后保留两位小数，第三位四舍五入；</w:t>
            </w:r>
          </w:p>
          <w:p w14:paraId="33B79FC5">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6F7E997E">
      <w:pPr>
        <w:shd w:val="clear"/>
        <w:spacing w:beforeLines="50"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9"/>
      <w:bookmarkEnd w:id="80"/>
      <w:bookmarkEnd w:id="81"/>
      <w:bookmarkEnd w:id="82"/>
    </w:p>
    <w:p w14:paraId="3AB9AD19">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7.评标委员会按资信、技术及商务三部分得分之和从高到低按顺序，推荐3名中标候选人。 </w:t>
      </w:r>
    </w:p>
    <w:p w14:paraId="06F3F443">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568010D1">
      <w:pPr>
        <w:shd w:val="clear"/>
        <w:snapToGrid w:val="0"/>
        <w:spacing w:line="500" w:lineRule="exact"/>
        <w:ind w:right="-212" w:rightChars="-101"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7.2</w:t>
      </w: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00A09511">
      <w:pPr>
        <w:pageBreakBefore w:val="0"/>
        <w:shd w:val="clear"/>
        <w:kinsoku/>
        <w:wordWrap w:val="0"/>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评标委员会登录全国建筑市场监管公共服务平台 ( 四库一平台)https://jzsc.mohurd.gov.cn/home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26B5628A">
      <w:pPr>
        <w:pageBreakBefore w:val="0"/>
        <w:widowControl/>
        <w:shd w:val="clear"/>
        <w:kinsoku/>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b/>
          <w:bCs/>
          <w:color w:val="auto"/>
          <w:szCs w:val="21"/>
          <w:highlight w:val="none"/>
        </w:rPr>
      </w:pPr>
      <w:r>
        <w:rPr>
          <w:rFonts w:hint="eastAsia" w:ascii="仿宋_GB2312" w:hAnsi="宋体" w:eastAsia="仿宋_GB2312" w:cs="宋体"/>
          <w:b/>
          <w:bCs/>
          <w:color w:val="auto"/>
          <w:szCs w:val="21"/>
          <w:highlight w:val="none"/>
        </w:rPr>
        <w:t>①</w:t>
      </w:r>
      <w:r>
        <w:rPr>
          <w:rFonts w:hint="eastAsia" w:ascii="宋体" w:hAnsi="宋体" w:eastAsia="宋体" w:cs="宋体"/>
          <w:b/>
          <w:bCs/>
          <w:color w:val="auto"/>
          <w:szCs w:val="21"/>
          <w:highlight w:val="none"/>
          <w:lang w:val="en-US" w:eastAsia="zh-CN"/>
        </w:rPr>
        <w:t>市政公用</w:t>
      </w:r>
      <w:r>
        <w:rPr>
          <w:rFonts w:hint="eastAsia" w:ascii="宋体" w:hAnsi="宋体" w:eastAsia="宋体" w:cs="宋体"/>
          <w:b/>
          <w:bCs/>
          <w:color w:val="auto"/>
          <w:szCs w:val="21"/>
          <w:highlight w:val="none"/>
        </w:rPr>
        <w:t>工</w:t>
      </w:r>
      <w:r>
        <w:rPr>
          <w:rFonts w:hint="eastAsia" w:ascii="宋体" w:hAnsi="宋体" w:cs="宋体"/>
          <w:b/>
          <w:bCs/>
          <w:color w:val="auto"/>
          <w:szCs w:val="21"/>
          <w:highlight w:val="none"/>
        </w:rPr>
        <w:t>程施工总承包</w:t>
      </w:r>
      <w:r>
        <w:rPr>
          <w:rFonts w:hint="eastAsia" w:ascii="宋体" w:hAnsi="宋体" w:cs="宋体"/>
          <w:b/>
          <w:bCs/>
          <w:color w:val="auto"/>
          <w:szCs w:val="21"/>
          <w:highlight w:val="none"/>
          <w:lang w:val="en-US" w:eastAsia="zh-CN"/>
        </w:rPr>
        <w:t>特</w:t>
      </w:r>
      <w:r>
        <w:rPr>
          <w:rFonts w:hint="eastAsia" w:ascii="宋体" w:hAnsi="宋体" w:cs="宋体"/>
          <w:b/>
          <w:bCs/>
          <w:color w:val="auto"/>
          <w:szCs w:val="21"/>
          <w:highlight w:val="none"/>
        </w:rPr>
        <w:t>级资质企业</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注册一级建造师5</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人以上。</w:t>
      </w:r>
    </w:p>
    <w:p w14:paraId="15D0B651">
      <w:pPr>
        <w:pageBreakBefore w:val="0"/>
        <w:widowControl/>
        <w:shd w:val="clear"/>
        <w:kinsoku/>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b/>
          <w:bCs/>
          <w:color w:val="auto"/>
          <w:szCs w:val="21"/>
          <w:highlight w:val="none"/>
        </w:rPr>
      </w:pPr>
      <w:r>
        <w:rPr>
          <w:rFonts w:hint="eastAsia" w:ascii="仿宋_GB2312" w:hAnsi="宋体" w:eastAsia="仿宋_GB2312" w:cs="宋体"/>
          <w:b/>
          <w:bCs/>
          <w:color w:val="auto"/>
          <w:szCs w:val="21"/>
          <w:highlight w:val="none"/>
        </w:rPr>
        <w:t>②</w:t>
      </w:r>
      <w:r>
        <w:rPr>
          <w:rFonts w:hint="eastAsia" w:ascii="宋体" w:hAnsi="宋体" w:eastAsia="宋体" w:cs="宋体"/>
          <w:b/>
          <w:bCs/>
          <w:color w:val="auto"/>
          <w:szCs w:val="21"/>
          <w:highlight w:val="none"/>
          <w:lang w:val="en-US" w:eastAsia="zh-CN"/>
        </w:rPr>
        <w:t>市政公用</w:t>
      </w:r>
      <w:r>
        <w:rPr>
          <w:rFonts w:hint="eastAsia" w:ascii="宋体" w:hAnsi="宋体" w:eastAsia="宋体" w:cs="宋体"/>
          <w:b/>
          <w:bCs/>
          <w:color w:val="auto"/>
          <w:szCs w:val="21"/>
          <w:highlight w:val="none"/>
        </w:rPr>
        <w:t>工</w:t>
      </w:r>
      <w:r>
        <w:rPr>
          <w:rFonts w:hint="eastAsia" w:ascii="宋体" w:hAnsi="宋体" w:cs="宋体"/>
          <w:b/>
          <w:bCs/>
          <w:color w:val="auto"/>
          <w:szCs w:val="21"/>
          <w:highlight w:val="none"/>
        </w:rPr>
        <w:t>程施工总承包</w:t>
      </w:r>
      <w:r>
        <w:rPr>
          <w:rFonts w:hint="eastAsia" w:ascii="宋体" w:hAnsi="宋体" w:cs="宋体"/>
          <w:b/>
          <w:bCs/>
          <w:color w:val="auto"/>
          <w:szCs w:val="21"/>
          <w:highlight w:val="none"/>
          <w:lang w:val="en-US" w:eastAsia="zh-CN"/>
        </w:rPr>
        <w:t>壹</w:t>
      </w:r>
      <w:r>
        <w:rPr>
          <w:rFonts w:hint="eastAsia" w:ascii="宋体" w:hAnsi="宋体" w:cs="宋体"/>
          <w:b/>
          <w:bCs/>
          <w:color w:val="auto"/>
          <w:szCs w:val="21"/>
          <w:highlight w:val="none"/>
        </w:rPr>
        <w:t>级资质企业</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市政公用</w:t>
      </w:r>
      <w:r>
        <w:rPr>
          <w:rFonts w:hint="eastAsia" w:ascii="宋体" w:hAnsi="宋体" w:cs="宋体"/>
          <w:b/>
          <w:bCs/>
          <w:color w:val="auto"/>
          <w:szCs w:val="21"/>
          <w:highlight w:val="none"/>
        </w:rPr>
        <w:t>工程专业一级注册建造师不少于</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人。</w:t>
      </w:r>
    </w:p>
    <w:p w14:paraId="7D6B154E">
      <w:pPr>
        <w:pageBreakBefore w:val="0"/>
        <w:widowControl/>
        <w:shd w:val="clear"/>
        <w:kinsoku/>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b/>
          <w:bCs/>
          <w:color w:val="auto"/>
          <w:szCs w:val="21"/>
          <w:highlight w:val="none"/>
          <w:lang w:val="en-US" w:eastAsia="zh-CN"/>
        </w:rPr>
      </w:pPr>
      <w:r>
        <w:rPr>
          <w:rFonts w:hint="eastAsia" w:ascii="仿宋_GB2312" w:hAnsi="宋体" w:eastAsia="仿宋_GB2312" w:cs="宋体"/>
          <w:b/>
          <w:bCs/>
          <w:color w:val="auto"/>
          <w:szCs w:val="21"/>
          <w:highlight w:val="none"/>
        </w:rPr>
        <w:t>③</w:t>
      </w:r>
      <w:r>
        <w:rPr>
          <w:rFonts w:hint="eastAsia" w:ascii="宋体" w:hAnsi="宋体" w:eastAsia="宋体" w:cs="宋体"/>
          <w:b/>
          <w:bCs/>
          <w:color w:val="auto"/>
          <w:szCs w:val="21"/>
          <w:highlight w:val="none"/>
          <w:lang w:val="en-US" w:eastAsia="zh-CN"/>
        </w:rPr>
        <w:t>市政公用</w:t>
      </w:r>
      <w:r>
        <w:rPr>
          <w:rFonts w:hint="eastAsia" w:ascii="宋体" w:hAnsi="宋体" w:eastAsia="宋体" w:cs="宋体"/>
          <w:b/>
          <w:bCs/>
          <w:color w:val="auto"/>
          <w:szCs w:val="21"/>
          <w:highlight w:val="none"/>
        </w:rPr>
        <w:t>工</w:t>
      </w:r>
      <w:r>
        <w:rPr>
          <w:rFonts w:hint="eastAsia" w:ascii="宋体" w:hAnsi="宋体" w:cs="宋体"/>
          <w:b/>
          <w:bCs/>
          <w:color w:val="auto"/>
          <w:szCs w:val="21"/>
          <w:highlight w:val="none"/>
        </w:rPr>
        <w:t>程施工总承包贰级、叁级资质企业：</w:t>
      </w:r>
      <w:r>
        <w:rPr>
          <w:rFonts w:hint="eastAsia" w:ascii="宋体" w:hAnsi="宋体" w:cs="宋体"/>
          <w:b/>
          <w:bCs/>
          <w:color w:val="auto"/>
          <w:szCs w:val="21"/>
          <w:highlight w:val="none"/>
          <w:lang w:val="en-US" w:eastAsia="zh-CN"/>
        </w:rPr>
        <w:t>市政公用</w:t>
      </w:r>
      <w:r>
        <w:rPr>
          <w:rFonts w:hint="eastAsia" w:ascii="宋体" w:hAnsi="宋体" w:cs="宋体"/>
          <w:b/>
          <w:bCs/>
          <w:color w:val="auto"/>
          <w:szCs w:val="21"/>
          <w:highlight w:val="none"/>
        </w:rPr>
        <w:t>工程专业注册建造师合计不少于5 人。</w:t>
      </w:r>
      <w:r>
        <w:rPr>
          <w:rFonts w:hint="eastAsia" w:ascii="宋体" w:hAnsi="宋体" w:cs="宋体"/>
          <w:b/>
          <w:bCs/>
          <w:color w:val="auto"/>
          <w:szCs w:val="21"/>
          <w:highlight w:val="none"/>
          <w:lang w:val="en-US" w:eastAsia="zh-CN"/>
        </w:rPr>
        <w:t xml:space="preserve"> </w:t>
      </w:r>
    </w:p>
    <w:p w14:paraId="3A86AC32">
      <w:pPr>
        <w:shd w:val="clear"/>
        <w:snapToGrid w:val="0"/>
        <w:spacing w:line="500" w:lineRule="exact"/>
        <w:ind w:right="-420" w:rightChars="-200" w:firstLine="422" w:firstLineChars="200"/>
        <w:rPr>
          <w:rFonts w:hint="eastAsia" w:ascii="宋体" w:hAnsi="宋体" w:cs="宋体"/>
          <w:b/>
          <w:bCs/>
          <w:color w:val="auto"/>
          <w:szCs w:val="21"/>
          <w:highlight w:val="none"/>
        </w:rPr>
      </w:pPr>
      <w:r>
        <w:rPr>
          <w:rFonts w:hint="eastAsia" w:ascii="黑体" w:hAnsi="黑体" w:cs="黑体"/>
          <w:b/>
          <w:bCs/>
          <w:color w:val="auto"/>
          <w:sz w:val="21"/>
          <w:szCs w:val="21"/>
          <w:highlight w:val="none"/>
        </w:rPr>
        <w:t>中标候选人的注册建造师不满足上述要求的，评标委员会对该投标不予认可，并将该情形报送相关行政主管部门。中标候选人依次替补，评标委员会再次对替补单位进行核查。</w:t>
      </w:r>
    </w:p>
    <w:p w14:paraId="36FAF708">
      <w:pPr>
        <w:shd w:val="clea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130990FF">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5165CF2A">
      <w:pPr>
        <w:shd w:val="clea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0FE6C475">
      <w:pPr>
        <w:shd w:val="clea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1A36FF33">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45EFCD6E">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54EA7389">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01EB877">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5E2499ED">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3CF309A9">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3AC80866">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35930E2B">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632C9DC1">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3FA8F645">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683E9871">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11A931DD">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71B40EAF">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4EA6908E">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D27A1D9">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5AE98000">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5D82418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62EFCAC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0570C6F6">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4FCDE3E5">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）投标文件签字、盖章不全，经评标委员会一致认定对开评标内容有实质性影响并经公共资源交易监督部门核准的；</w:t>
      </w:r>
    </w:p>
    <w:p w14:paraId="142F0696">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）未按规定的格式填写导致实质性内容不全以及实质上不响应，或者关键字迹模糊、无法辨认； 经公共资源交易监督部门核准的；</w:t>
      </w:r>
    </w:p>
    <w:p w14:paraId="0E724ADA">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13196FBA">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79EAFA4E">
      <w:pPr>
        <w:shd w:val="clea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462AFF5D">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06CAA607">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）其它情形，经评标委员会委提出按无效投标处理，并经公共资源交易监督部门核准的；</w:t>
      </w:r>
    </w:p>
    <w:p w14:paraId="45654798">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）投标文件含有招标人不能接受的附加条件的;</w:t>
      </w:r>
    </w:p>
    <w:p w14:paraId="38A03649">
      <w:pPr>
        <w:shd w:val="clea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07D2E54">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2297EBF5">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5AE4171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2563CFBE">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4E72078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0FE27F1E">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2CB56FEA">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14EBBF7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bookmarkEnd w:id="62"/>
    <w:p w14:paraId="32B9D1CD">
      <w:pPr>
        <w:numPr>
          <w:ilvl w:val="0"/>
          <w:numId w:val="8"/>
        </w:numPr>
        <w:shd w:val="clear"/>
        <w:snapToGrid w:val="0"/>
        <w:spacing w:line="440" w:lineRule="exact"/>
        <w:ind w:left="-10" w:leftChars="-5" w:right="-334" w:rightChars="-159" w:firstLine="14"/>
        <w:jc w:val="center"/>
        <w:outlineLvl w:val="0"/>
        <w:rPr>
          <w:rFonts w:hAnsi="宋体"/>
          <w:b/>
          <w:bCs/>
          <w:color w:val="auto"/>
          <w:sz w:val="32"/>
          <w:szCs w:val="32"/>
          <w:highlight w:val="none"/>
        </w:rPr>
      </w:pPr>
      <w:bookmarkStart w:id="83" w:name="_Toc30417"/>
      <w:bookmarkStart w:id="84" w:name="_Toc449028945"/>
      <w:bookmarkStart w:id="85" w:name="_Toc22340"/>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83"/>
    </w:p>
    <w:p w14:paraId="03D48CE1">
      <w:pPr>
        <w:pStyle w:val="15"/>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0" w:line="480" w:lineRule="exact"/>
        <w:ind w:left="425" w:leftChars="0"/>
        <w:textAlignment w:val="auto"/>
        <w:rPr>
          <w:rFonts w:hint="eastAsia" w:ascii="Times New Roman" w:hAnsi="宋体" w:eastAsia="宋体" w:cs="Times New Roman"/>
          <w:b/>
          <w:bCs/>
          <w:color w:val="auto"/>
          <w:kern w:val="2"/>
          <w:sz w:val="32"/>
          <w:szCs w:val="32"/>
          <w:highlight w:val="none"/>
          <w:lang w:val="en-US" w:eastAsia="zh-CN" w:bidi="ar-SA"/>
        </w:rPr>
      </w:pPr>
      <w:r>
        <w:rPr>
          <w:rFonts w:hint="eastAsia" w:ascii="Times New Roman" w:hAnsi="宋体" w:eastAsia="宋体" w:cs="Times New Roman"/>
          <w:b/>
          <w:bCs/>
          <w:color w:val="auto"/>
          <w:kern w:val="2"/>
          <w:sz w:val="32"/>
          <w:szCs w:val="32"/>
          <w:highlight w:val="none"/>
          <w:lang w:val="en-US" w:eastAsia="zh-CN" w:bidi="ar-SA"/>
        </w:rPr>
        <w:t>一、养护管理范围</w:t>
      </w:r>
    </w:p>
    <w:p w14:paraId="3F64CBB5">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招标人管辖及指定的所有道路路灯设施及其附属设施，包括所有灯杆、灯具、光源电器、地埋管线电缆、配电箱（柜）、检查井等，暂计有LED路灯等约1.2万盏</w:t>
      </w:r>
      <w:r>
        <w:rPr>
          <w:rFonts w:hint="eastAsia" w:ascii="宋体" w:hAnsi="宋体" w:cs="宋体"/>
          <w:color w:val="auto"/>
          <w:sz w:val="21"/>
          <w:szCs w:val="21"/>
          <w:highlight w:val="none"/>
          <w:lang w:eastAsia="zh-CN"/>
        </w:rPr>
        <w:t>。</w:t>
      </w:r>
    </w:p>
    <w:p w14:paraId="6FB131E0">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招标人管辖及指定的所有泵、闸站的从泵站高压进线设备产权分界点至泵站内部最末端受电装置，包含泵站全部设施设备、金属结构、弱电监控、自动化系统、保安保洁、消防设施、零星维修等泵站竣工图纸体现的全部内容（泵站建筑、混凝土、沥青道路、给排水设施除外，暂计有6个排涝泵站、1个污水泵站、1个补水泵站、2个临时泵站、4台移动水泵等截流闸站。</w:t>
      </w:r>
    </w:p>
    <w:p w14:paraId="4EB2C3F7">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招标人管辖及指定的所有公园景观带设施的高压供电设备产权分界点至最末端用电设备，电流所经过的所有受电装置，即高压供电电缆、环网柜、分支箱、箱式变电站、低压控制箱、低压电缆、庭院灯、草坪灯、灯带、喷泉用电、弱电监控维修、道闸维护、充电桩维护等设施设备。</w:t>
      </w:r>
    </w:p>
    <w:p w14:paraId="0B4EF43F">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招标人管辖及指定的所有停车场设施的高压供电设备产权分界点至最末端用电设备，电流所经过的所有受电装置，即高压供电电缆、分支箱、箱式变电站、低压控制箱、低压电缆、照明灯、灯带、充电桩、弱电监控维修、道闸维护等设施设备。</w:t>
      </w:r>
    </w:p>
    <w:p w14:paraId="03594048">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招标人管辖及指定的市政道路中的信号灯、信号机、标线、标志牌、护栏及配套设备等交安设施设备的维护。</w:t>
      </w:r>
    </w:p>
    <w:p w14:paraId="038905CE">
      <w:pPr>
        <w:pStyle w:val="2"/>
        <w:keepNext w:val="0"/>
        <w:keepLines w:val="0"/>
        <w:pageBreakBefore w:val="0"/>
        <w:widowControl w:val="0"/>
        <w:shd w:val="clear"/>
        <w:kinsoku/>
        <w:wordWrap/>
        <w:overflowPunct/>
        <w:topLinePunct w:val="0"/>
        <w:autoSpaceDE/>
        <w:autoSpaceDN/>
        <w:bidi w:val="0"/>
        <w:adjustRightInd/>
        <w:snapToGrid/>
        <w:spacing w:line="480" w:lineRule="exact"/>
        <w:ind w:left="0" w:leftChars="0" w:firstLine="422" w:firstLineChars="200"/>
        <w:textAlignment w:val="auto"/>
        <w:rPr>
          <w:rFonts w:hint="eastAsia"/>
          <w:b/>
          <w:bCs/>
          <w:color w:val="auto"/>
          <w:highlight w:val="none"/>
        </w:rPr>
      </w:pPr>
      <w:r>
        <w:rPr>
          <w:rFonts w:hint="eastAsia"/>
          <w:b/>
          <w:bCs/>
          <w:color w:val="auto"/>
          <w:highlight w:val="none"/>
        </w:rPr>
        <w:t>在服务期内，养护范围内因新建、改建、移交等情况面增加或减少需要维护的路灯设施时，合同价格总价不予调整。所需费用均包含在此次报价内，</w:t>
      </w:r>
      <w:r>
        <w:rPr>
          <w:rFonts w:hint="eastAsia"/>
          <w:b/>
          <w:bCs/>
          <w:color w:val="auto"/>
          <w:highlight w:val="none"/>
          <w:lang w:val="en-US" w:eastAsia="zh-CN"/>
        </w:rPr>
        <w:t>招标人</w:t>
      </w:r>
      <w:r>
        <w:rPr>
          <w:rFonts w:hint="eastAsia"/>
          <w:b/>
          <w:bCs/>
          <w:color w:val="auto"/>
          <w:highlight w:val="none"/>
        </w:rPr>
        <w:t>不再另行支付任何费用。具体设施数量随着招标人管辖及指定范围变化以及新建、改建、移交等情况发生可能发生增加或减少。</w:t>
      </w:r>
    </w:p>
    <w:p w14:paraId="1981AD87">
      <w:pPr>
        <w:pStyle w:val="15"/>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0" w:line="480" w:lineRule="exact"/>
        <w:ind w:left="425" w:leftChars="0"/>
        <w:textAlignment w:val="auto"/>
        <w:rPr>
          <w:rFonts w:hint="eastAsia" w:ascii="Times New Roman" w:hAnsi="宋体" w:eastAsia="宋体" w:cs="Times New Roman"/>
          <w:b/>
          <w:bCs/>
          <w:color w:val="auto"/>
          <w:kern w:val="2"/>
          <w:sz w:val="32"/>
          <w:szCs w:val="32"/>
          <w:highlight w:val="none"/>
          <w:lang w:val="en-US" w:eastAsia="zh-CN" w:bidi="ar-SA"/>
        </w:rPr>
      </w:pPr>
      <w:r>
        <w:rPr>
          <w:rFonts w:hint="eastAsia" w:ascii="Times New Roman" w:hAnsi="宋体" w:eastAsia="宋体" w:cs="Times New Roman"/>
          <w:b/>
          <w:bCs/>
          <w:color w:val="auto"/>
          <w:kern w:val="2"/>
          <w:sz w:val="32"/>
          <w:szCs w:val="32"/>
          <w:highlight w:val="none"/>
          <w:lang w:val="en-US" w:eastAsia="zh-CN" w:bidi="ar-SA"/>
        </w:rPr>
        <w:t>二、养护工作内容</w:t>
      </w:r>
    </w:p>
    <w:p w14:paraId="02A7A1EA">
      <w:pPr>
        <w:shd w:val="clear"/>
        <w:snapToGrid w:val="0"/>
        <w:spacing w:line="500" w:lineRule="exact"/>
        <w:ind w:right="-212" w:rightChars="-101" w:firstLine="422" w:firstLineChars="200"/>
        <w:jc w:val="left"/>
        <w:rPr>
          <w:rFonts w:hint="default" w:ascii="宋体" w:hAnsi="宋体" w:eastAsia="宋体" w:cs="宋体"/>
          <w:b/>
          <w:bCs/>
          <w:color w:val="auto"/>
          <w:szCs w:val="21"/>
          <w:highlight w:val="none"/>
          <w:shd w:val="clear" w:color="auto" w:fill="auto"/>
          <w:lang w:val="en-US" w:eastAsia="zh-CN"/>
        </w:rPr>
      </w:pPr>
      <w:r>
        <w:rPr>
          <w:rFonts w:hint="default" w:ascii="宋体" w:hAnsi="宋体" w:eastAsia="宋体" w:cs="宋体"/>
          <w:b/>
          <w:bCs/>
          <w:color w:val="auto"/>
          <w:szCs w:val="21"/>
          <w:highlight w:val="none"/>
          <w:shd w:val="clear" w:color="auto" w:fill="auto"/>
          <w:lang w:val="en-US" w:eastAsia="zh-CN"/>
        </w:rPr>
        <w:t>（一）项目内容：</w:t>
      </w:r>
    </w:p>
    <w:p w14:paraId="6FAB2F98">
      <w:pPr>
        <w:shd w:val="clear"/>
        <w:snapToGrid w:val="0"/>
        <w:spacing w:line="500" w:lineRule="exact"/>
        <w:ind w:right="-212" w:rightChars="-101" w:firstLine="422" w:firstLineChars="200"/>
        <w:jc w:val="left"/>
        <w:rPr>
          <w:rFonts w:hint="default" w:ascii="宋体" w:hAnsi="宋体" w:eastAsia="宋体" w:cs="宋体"/>
          <w:b/>
          <w:bCs/>
          <w:color w:val="auto"/>
          <w:szCs w:val="21"/>
          <w:highlight w:val="none"/>
          <w:shd w:val="clear" w:color="auto" w:fill="auto"/>
          <w:lang w:val="en-US" w:eastAsia="zh-CN"/>
        </w:rPr>
      </w:pPr>
      <w:r>
        <w:rPr>
          <w:rFonts w:hint="eastAsia" w:ascii="宋体" w:hAnsi="宋体" w:cs="宋体"/>
          <w:b/>
          <w:bCs/>
          <w:color w:val="auto"/>
          <w:szCs w:val="21"/>
          <w:highlight w:val="none"/>
          <w:shd w:val="clear" w:color="auto" w:fill="auto"/>
          <w:lang w:val="en-US" w:eastAsia="zh-CN"/>
        </w:rPr>
        <w:t>1、</w:t>
      </w:r>
      <w:r>
        <w:rPr>
          <w:rFonts w:hint="default" w:ascii="宋体" w:hAnsi="宋体" w:eastAsia="宋体" w:cs="宋体"/>
          <w:b/>
          <w:bCs/>
          <w:color w:val="auto"/>
          <w:szCs w:val="21"/>
          <w:highlight w:val="none"/>
          <w:shd w:val="clear" w:color="auto" w:fill="auto"/>
          <w:lang w:val="en-US" w:eastAsia="zh-CN"/>
        </w:rPr>
        <w:t>项目范围及数量：</w:t>
      </w:r>
    </w:p>
    <w:p w14:paraId="437939DC">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default" w:ascii="宋体" w:hAnsi="宋体" w:eastAsia="宋体" w:cs="宋体"/>
          <w:color w:val="auto"/>
          <w:szCs w:val="21"/>
          <w:highlight w:val="none"/>
          <w:shd w:val="clear" w:color="auto" w:fill="auto"/>
          <w:lang w:val="en-US" w:eastAsia="zh-CN"/>
        </w:rPr>
        <w:t>本项目主要针对路灯、信号灯、泵站等设施的高低压部分开展维修养护工作。服务范围覆盖招标人管辖及指定的所有道路相关设施，包括道路上的路灯、信号灯、路牌，还涉及公园内的照明亮化设施、各类泵站设施，同时包含与这些设施配套的附属部件，具体有灯杆、灯具、光源电器、地埋及电缆、配电箱（柜）、检查井等。具体设施数量随着招标人管辖及指定范围变化以及新建、改建、移交等情况发生可能发生增加或减少。</w:t>
      </w:r>
    </w:p>
    <w:p w14:paraId="6C5C5A58">
      <w:pPr>
        <w:shd w:val="clear"/>
        <w:snapToGrid w:val="0"/>
        <w:spacing w:line="500" w:lineRule="exact"/>
        <w:ind w:right="-212" w:rightChars="-101" w:firstLine="422"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b/>
          <w:bCs/>
          <w:color w:val="auto"/>
          <w:szCs w:val="21"/>
          <w:highlight w:val="none"/>
          <w:shd w:val="clear" w:color="auto" w:fill="auto"/>
          <w:lang w:val="en-US" w:eastAsia="zh-CN"/>
        </w:rPr>
        <w:t>2、</w:t>
      </w:r>
      <w:r>
        <w:rPr>
          <w:rFonts w:hint="default" w:ascii="宋体" w:hAnsi="宋体" w:eastAsia="宋体" w:cs="宋体"/>
          <w:b/>
          <w:bCs/>
          <w:color w:val="auto"/>
          <w:szCs w:val="21"/>
          <w:highlight w:val="none"/>
          <w:shd w:val="clear" w:color="auto" w:fill="auto"/>
          <w:lang w:val="en-US" w:eastAsia="zh-CN"/>
        </w:rPr>
        <w:t>维修养护工作内容：</w:t>
      </w:r>
    </w:p>
    <w:p w14:paraId="043B68C3">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w:t>
      </w:r>
      <w:r>
        <w:rPr>
          <w:rFonts w:hint="default" w:ascii="宋体" w:hAnsi="宋体" w:eastAsia="宋体" w:cs="宋体"/>
          <w:color w:val="auto"/>
          <w:szCs w:val="21"/>
          <w:highlight w:val="none"/>
          <w:shd w:val="clear" w:color="auto" w:fill="auto"/>
          <w:lang w:val="en-US" w:eastAsia="zh-CN"/>
        </w:rPr>
        <w:t>对项目范围内所有路灯设施及其附属设施（包括路灯、配电箱（柜）、地埋管线、检查井等）的日常维修养护更换。中标人在养护期内要确保所有设施的完好及正常、稳定、安全，要保证亮灯率≥99%，设施完好率99%；零安全事故；实现以上要求所需要做的所有工作，均在维修养护范围内。</w:t>
      </w:r>
    </w:p>
    <w:p w14:paraId="6624C520">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w:t>
      </w:r>
      <w:r>
        <w:rPr>
          <w:rFonts w:hint="default" w:ascii="宋体" w:hAnsi="宋体" w:eastAsia="宋体" w:cs="宋体"/>
          <w:color w:val="auto"/>
          <w:szCs w:val="21"/>
          <w:highlight w:val="none"/>
          <w:shd w:val="clear" w:color="auto" w:fill="auto"/>
          <w:lang w:val="en-US" w:eastAsia="zh-CN"/>
        </w:rPr>
        <w:t>对项目范围内所有路灯设施及其附属设施（包括路灯、配电箱（柜）、地埋管线、检查井等）的日常巡视养护。要求所有设施保持外观整洁、部件完整、安装稳固、连接可靠、运行安全，发现问题要及时处理；要防止设施被破坏、被偷盗，防止私拉乱接，防止偷电等行为；对被损坏设施进行修复、跟踪补偿；对被盗或缺失设施进行恢复等工作。</w:t>
      </w:r>
    </w:p>
    <w:p w14:paraId="62C05A4A">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w:t>
      </w:r>
      <w:r>
        <w:rPr>
          <w:rFonts w:hint="default" w:ascii="宋体" w:hAnsi="宋体" w:eastAsia="宋体" w:cs="宋体"/>
          <w:color w:val="auto"/>
          <w:szCs w:val="21"/>
          <w:highlight w:val="none"/>
          <w:shd w:val="clear" w:color="auto" w:fill="auto"/>
          <w:lang w:val="en-US" w:eastAsia="zh-CN"/>
        </w:rPr>
        <w:t>应急处置。项目范围内所有设施的应急安全处置如各类投诉，交通事故等造成路灯设施被损坏后及时安全处理，线路短路漏电起火处理、极端天气应急保障等。</w:t>
      </w:r>
    </w:p>
    <w:p w14:paraId="5DE4FDFC">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（4）</w:t>
      </w:r>
      <w:r>
        <w:rPr>
          <w:rFonts w:hint="default" w:ascii="宋体" w:hAnsi="宋体" w:eastAsia="宋体" w:cs="宋体"/>
          <w:color w:val="auto"/>
          <w:szCs w:val="21"/>
          <w:highlight w:val="none"/>
          <w:shd w:val="clear" w:color="auto" w:fill="auto"/>
          <w:lang w:val="en-US" w:eastAsia="zh-CN"/>
        </w:rPr>
        <w:t>路灯运行情况监控。必须安排专人（白天一人，夜晚一人，懂得电脑基本操作知识）于监控中心24小时值班，监测路灯设施运行情况和开关灯情况，及时发现问题并报告，同时值守报修热线做好报修记录及反馈。</w:t>
      </w:r>
    </w:p>
    <w:p w14:paraId="467BFD34">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（5）</w:t>
      </w:r>
      <w:r>
        <w:rPr>
          <w:rFonts w:hint="default" w:ascii="宋体" w:hAnsi="宋体" w:eastAsia="宋体" w:cs="宋体"/>
          <w:color w:val="auto"/>
          <w:szCs w:val="21"/>
          <w:highlight w:val="none"/>
          <w:shd w:val="clear" w:color="auto" w:fill="auto"/>
          <w:lang w:val="en-US" w:eastAsia="zh-CN"/>
        </w:rPr>
        <w:t>维护范围内按业主要求对相关设施进行的保护、迁移、拆除、运输、规范处理等工作。</w:t>
      </w:r>
    </w:p>
    <w:p w14:paraId="7811A610">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（6）招标人</w:t>
      </w:r>
      <w:r>
        <w:rPr>
          <w:rFonts w:hint="default" w:ascii="宋体" w:hAnsi="宋体" w:eastAsia="宋体" w:cs="宋体"/>
          <w:color w:val="auto"/>
          <w:szCs w:val="21"/>
          <w:highlight w:val="none"/>
          <w:shd w:val="clear" w:color="auto" w:fill="auto"/>
          <w:lang w:val="en-US" w:eastAsia="zh-CN"/>
        </w:rPr>
        <w:t>安排的配合照明管理的其他相关工作，包括但不限于：配合新、改、扩建项目的前期迁改工作进行现场勘查、核实方案及相关协调沟通工作，并对实施情况进行跟踪检查；相关设施数据测量统计；设施增补；材料的装卸整理；电费抄表统计；上级管理部门要求的行业管理及其它工作等。</w:t>
      </w:r>
    </w:p>
    <w:p w14:paraId="07BCF346">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（7）</w:t>
      </w:r>
      <w:r>
        <w:rPr>
          <w:rFonts w:hint="default" w:ascii="宋体" w:hAnsi="宋体" w:eastAsia="宋体" w:cs="宋体"/>
          <w:color w:val="auto"/>
          <w:szCs w:val="21"/>
          <w:highlight w:val="none"/>
          <w:shd w:val="clear" w:color="auto" w:fill="auto"/>
          <w:lang w:val="en-US" w:eastAsia="zh-CN"/>
        </w:rPr>
        <w:t>信号类设施：155个路口，信号灯路口150个，其中十字路口116个，T字路口34个，黄闪路口31个。配套的机动车信号灯、人行信号灯、非机动车信号灯、信号灯倒计时器、联网型信号机等。</w:t>
      </w:r>
    </w:p>
    <w:p w14:paraId="010DA7D9">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（8）</w:t>
      </w:r>
      <w:r>
        <w:rPr>
          <w:rFonts w:hint="default" w:ascii="宋体" w:hAnsi="宋体" w:eastAsia="宋体" w:cs="宋体"/>
          <w:color w:val="auto"/>
          <w:szCs w:val="21"/>
          <w:highlight w:val="none"/>
          <w:shd w:val="clear" w:color="auto" w:fill="auto"/>
          <w:lang w:val="en-US" w:eastAsia="zh-CN"/>
        </w:rPr>
        <w:t>泵站及河闸：泵站运行：泵站驻站人员定期记录设备参数，非驻站泵站每日巡查1次，水泵故障4小时内到场维修。河闸维护：每月检查闸阀启闭系统，汛期前全面检修，确保正常运行。</w:t>
      </w:r>
    </w:p>
    <w:p w14:paraId="79C1DA85">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（9）</w:t>
      </w:r>
      <w:r>
        <w:rPr>
          <w:rFonts w:hint="default" w:ascii="宋体" w:hAnsi="宋体" w:eastAsia="宋体" w:cs="宋体"/>
          <w:color w:val="auto"/>
          <w:szCs w:val="21"/>
          <w:highlight w:val="none"/>
          <w:shd w:val="clear" w:color="auto" w:fill="auto"/>
          <w:lang w:val="en-US" w:eastAsia="zh-CN"/>
        </w:rPr>
        <w:t>公园及停车场机电设施：灯具与大屏：每月巡查庭院灯、草坪灯，每季度检查高杆灯，大屏故障4小时内响应，显示准确率100%。</w:t>
      </w:r>
    </w:p>
    <w:p w14:paraId="21973F0E">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（10）</w:t>
      </w:r>
      <w:r>
        <w:rPr>
          <w:rFonts w:hint="default" w:ascii="宋体" w:hAnsi="宋体" w:eastAsia="宋体" w:cs="宋体"/>
          <w:color w:val="auto"/>
          <w:szCs w:val="21"/>
          <w:highlight w:val="none"/>
          <w:shd w:val="clear" w:color="auto" w:fill="auto"/>
          <w:lang w:val="en-US" w:eastAsia="zh-CN"/>
        </w:rPr>
        <w:t>停车场设备：每月巡检机电设备（如道闸、监控），故障2小时内处理。</w:t>
      </w:r>
    </w:p>
    <w:p w14:paraId="5E3E9E57">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（11）</w:t>
      </w:r>
      <w:r>
        <w:rPr>
          <w:rFonts w:hint="default" w:ascii="宋体" w:hAnsi="宋体" w:eastAsia="宋体" w:cs="宋体"/>
          <w:color w:val="auto"/>
          <w:szCs w:val="21"/>
          <w:highlight w:val="none"/>
          <w:shd w:val="clear" w:color="auto" w:fill="auto"/>
          <w:lang w:val="en-US" w:eastAsia="zh-CN"/>
        </w:rPr>
        <w:t>充电桩：巡查频率：每周1次，检测充电接口、漏电保护，故障4小时内修复。</w:t>
      </w:r>
    </w:p>
    <w:p w14:paraId="78843F6A">
      <w:pPr>
        <w:shd w:val="clear"/>
        <w:snapToGrid w:val="0"/>
        <w:spacing w:line="500" w:lineRule="exact"/>
        <w:ind w:right="-212" w:rightChars="-101" w:firstLine="422" w:firstLineChars="200"/>
        <w:jc w:val="left"/>
        <w:rPr>
          <w:rFonts w:hint="default" w:ascii="宋体" w:hAnsi="宋体" w:eastAsia="宋体" w:cs="宋体"/>
          <w:b/>
          <w:bCs/>
          <w:color w:val="auto"/>
          <w:szCs w:val="21"/>
          <w:highlight w:val="none"/>
          <w:shd w:val="clear" w:color="auto" w:fill="auto"/>
          <w:lang w:val="en-US" w:eastAsia="zh-CN"/>
        </w:rPr>
      </w:pPr>
      <w:r>
        <w:rPr>
          <w:rFonts w:hint="eastAsia" w:ascii="宋体" w:hAnsi="宋体" w:cs="宋体"/>
          <w:b/>
          <w:bCs/>
          <w:color w:val="auto"/>
          <w:szCs w:val="21"/>
          <w:highlight w:val="none"/>
          <w:shd w:val="clear" w:color="auto" w:fill="auto"/>
          <w:lang w:val="en-US" w:eastAsia="zh-CN"/>
        </w:rPr>
        <w:t>（二）</w:t>
      </w:r>
      <w:r>
        <w:rPr>
          <w:rFonts w:hint="default" w:ascii="宋体" w:hAnsi="宋体" w:eastAsia="宋体" w:cs="宋体"/>
          <w:b/>
          <w:bCs/>
          <w:color w:val="auto"/>
          <w:szCs w:val="21"/>
          <w:highlight w:val="none"/>
          <w:shd w:val="clear" w:color="auto" w:fill="auto"/>
          <w:lang w:val="en-US" w:eastAsia="zh-CN"/>
        </w:rPr>
        <w:t>服务要求</w:t>
      </w:r>
    </w:p>
    <w:p w14:paraId="09ECC673">
      <w:pPr>
        <w:shd w:val="clear"/>
        <w:snapToGrid w:val="0"/>
        <w:spacing w:line="500" w:lineRule="exact"/>
        <w:ind w:right="-212" w:rightChars="-101" w:firstLine="422" w:firstLineChars="200"/>
        <w:jc w:val="left"/>
        <w:rPr>
          <w:rFonts w:hint="default" w:ascii="宋体" w:hAnsi="宋体" w:eastAsia="宋体" w:cs="宋体"/>
          <w:b/>
          <w:bCs/>
          <w:color w:val="auto"/>
          <w:szCs w:val="21"/>
          <w:highlight w:val="none"/>
          <w:shd w:val="clear" w:color="auto" w:fill="auto"/>
          <w:lang w:val="en-US" w:eastAsia="zh-CN"/>
        </w:rPr>
      </w:pPr>
      <w:r>
        <w:rPr>
          <w:rFonts w:hint="eastAsia" w:ascii="宋体" w:hAnsi="宋体" w:cs="宋体"/>
          <w:b/>
          <w:bCs/>
          <w:color w:val="auto"/>
          <w:szCs w:val="21"/>
          <w:highlight w:val="none"/>
          <w:shd w:val="clear" w:color="auto" w:fill="auto"/>
          <w:lang w:val="en-US" w:eastAsia="zh-CN"/>
        </w:rPr>
        <w:t>1、</w:t>
      </w:r>
      <w:r>
        <w:rPr>
          <w:rFonts w:hint="default" w:ascii="宋体" w:hAnsi="宋体" w:eastAsia="宋体" w:cs="宋体"/>
          <w:b/>
          <w:bCs/>
          <w:color w:val="auto"/>
          <w:szCs w:val="21"/>
          <w:highlight w:val="none"/>
          <w:shd w:val="clear" w:color="auto" w:fill="auto"/>
          <w:lang w:val="en-US" w:eastAsia="zh-CN"/>
        </w:rPr>
        <w:t>路灯系统养护：</w:t>
      </w:r>
    </w:p>
    <w:p w14:paraId="07A095DE">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（1）中标人</w:t>
      </w:r>
      <w:r>
        <w:rPr>
          <w:rFonts w:hint="default" w:ascii="宋体" w:hAnsi="宋体" w:eastAsia="宋体" w:cs="宋体"/>
          <w:color w:val="auto"/>
          <w:szCs w:val="21"/>
          <w:highlight w:val="none"/>
          <w:shd w:val="clear" w:color="auto" w:fill="auto"/>
          <w:lang w:val="en-US" w:eastAsia="zh-CN"/>
        </w:rPr>
        <w:t>要确保项目范围内路灯照明、信号灯设施完好，保证路灯照明、信号灯设施的正常运行，要求亮灯率在99%及以上，（检查时每100盏灯如发现有两盏不亮即视为亮灯率未达99%，亮灯率考核未达要求。该项考核未达要求，将扣除当月请款的5%，连续两次扣除20%，连续三次，</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将单方面无条件终止合同。）</w:t>
      </w:r>
    </w:p>
    <w:p w14:paraId="79930DF0">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（2）中标人</w:t>
      </w:r>
      <w:r>
        <w:rPr>
          <w:rFonts w:hint="default" w:ascii="宋体" w:hAnsi="宋体" w:eastAsia="宋体" w:cs="宋体"/>
          <w:color w:val="auto"/>
          <w:szCs w:val="21"/>
          <w:highlight w:val="none"/>
          <w:shd w:val="clear" w:color="auto" w:fill="auto"/>
          <w:lang w:val="en-US" w:eastAsia="zh-CN"/>
        </w:rPr>
        <w:t>要建立每日巡修灯制度，发现问题要及时记录和检修（注：严禁擅自白天送电对照明设施进行维护或检修）。日常巡修、定期检修和巡检等都要做好原始记录，内容包括：详细记载照明设施工作情况，日常例行检查保养情况，发生故障的现象、原因、排除故障的方法、更换器材的情况等。建立维修台账、设备资料档案和巡查记录等。</w:t>
      </w:r>
    </w:p>
    <w:p w14:paraId="40542A24">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（3）中标人</w:t>
      </w:r>
      <w:r>
        <w:rPr>
          <w:rFonts w:hint="default" w:ascii="宋体" w:hAnsi="宋体" w:eastAsia="宋体" w:cs="宋体"/>
          <w:color w:val="auto"/>
          <w:szCs w:val="21"/>
          <w:highlight w:val="none"/>
          <w:shd w:val="clear" w:color="auto" w:fill="auto"/>
          <w:lang w:val="en-US" w:eastAsia="zh-CN"/>
        </w:rPr>
        <w:t>要确保灯容灯貌，设施完好率达到99%。要求每天巡查所有路灯设施，发现问题及时处理。要求所有设施（包括路灯、配电箱（柜）、地埋管线、检查井等）保持外观整洁、部件完整，无损坏、无倾斜、无变形、安装稳固、连接可靠、运行安全，接地可靠有效。要及时淸除设施上的乱贴、乱画、乱拉接等，表面严重脱漆、颜色褪变等要及时翻新；定期清洗灯具确保灯罩无明显积尘；灯杆检查垂直度，定期进行灯杆、地脚螺栓等的防腐检查和处理；配电箱（柜）周围2米内保持清洁，无杂物异物，箱（柜）内排线整齐；检修更换破损的杆门、检查井、检修门锁等。</w:t>
      </w:r>
    </w:p>
    <w:p w14:paraId="2518B0DE">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（4）中标人</w:t>
      </w:r>
      <w:r>
        <w:rPr>
          <w:rFonts w:hint="default" w:ascii="宋体" w:hAnsi="宋体" w:eastAsia="宋体" w:cs="宋体"/>
          <w:color w:val="auto"/>
          <w:szCs w:val="21"/>
          <w:highlight w:val="none"/>
          <w:shd w:val="clear" w:color="auto" w:fill="auto"/>
          <w:lang w:val="en-US" w:eastAsia="zh-CN"/>
        </w:rPr>
        <w:t>要对地下管线巡视，防止植树、打桩、开挖、重压、化学腐蚀等因素及自然灾害原因而影响安全运行；管线保持完好齐全，电缆绝缘良好、接地可靠、连接牢固、无漏电、无接头过热现象、定期进行绝缘测试。对发现的缺陷、隐患等及时维修；检查井内应整齐清洁，井盖完好平整，不沉陷。</w:t>
      </w:r>
    </w:p>
    <w:p w14:paraId="45D7F5B7">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（5）中标人</w:t>
      </w:r>
      <w:r>
        <w:rPr>
          <w:rFonts w:hint="default" w:ascii="宋体" w:hAnsi="宋体" w:eastAsia="宋体" w:cs="宋体"/>
          <w:color w:val="auto"/>
          <w:szCs w:val="21"/>
          <w:highlight w:val="none"/>
          <w:shd w:val="clear" w:color="auto" w:fill="auto"/>
          <w:lang w:val="en-US" w:eastAsia="zh-CN"/>
        </w:rPr>
        <w:t>必须每天24小时安排人员值班，发现问题，随时进行抢修。一般故障问题必须在12小时内修复，突发性紧急情况有可能危及人身安全或扩大设备损失的故障必须在1小时内赶到现场进行抢修。线路、设备等被盗或其它原因造成路灯不亮12小时内无法修复的，应及时向</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报告，并在</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规定的时间内修复。故障修复及时率合格标准为100%。</w:t>
      </w:r>
    </w:p>
    <w:p w14:paraId="13395CAC">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（6）</w:t>
      </w:r>
      <w:r>
        <w:rPr>
          <w:rFonts w:hint="default" w:ascii="宋体" w:hAnsi="宋体" w:eastAsia="宋体" w:cs="宋体"/>
          <w:color w:val="auto"/>
          <w:szCs w:val="21"/>
          <w:highlight w:val="none"/>
          <w:shd w:val="clear" w:color="auto" w:fill="auto"/>
          <w:lang w:val="en-US" w:eastAsia="zh-CN"/>
        </w:rPr>
        <w:t>因施工、交通事故、偷盗等原因造成的设施的损坏，</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须报告</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（线路、设备等被盗应同时向公安部门报案）并在</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要求期限内修复完成。如有责任方承担责任，</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授权</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办理责任事故的处理和跟踪追偿及受偿；如未发现责任方承担责任，视为</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巡查不到位，所有损失及相关责任由</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承担。</w:t>
      </w:r>
    </w:p>
    <w:p w14:paraId="5EC71E95">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（7）</w:t>
      </w:r>
      <w:r>
        <w:rPr>
          <w:rFonts w:hint="default" w:ascii="宋体" w:hAnsi="宋体" w:eastAsia="宋体" w:cs="宋体"/>
          <w:color w:val="auto"/>
          <w:szCs w:val="21"/>
          <w:highlight w:val="none"/>
          <w:shd w:val="clear" w:color="auto" w:fill="auto"/>
          <w:lang w:val="en-US" w:eastAsia="zh-CN"/>
        </w:rPr>
        <w:t>维修养护过程中除</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提供的材料外，</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所使用的所有材料、配件必须按原品牌规格型号保持一致或经</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认可同意后方可使用。所有养护工作需符合</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工艺要求，如管线敷设深度、检查井的砌筑、路灯基础法兰尺寸、浇筑尺寸等。</w:t>
      </w:r>
    </w:p>
    <w:p w14:paraId="342958DC">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（8）中标人</w:t>
      </w:r>
      <w:r>
        <w:rPr>
          <w:rFonts w:hint="default" w:ascii="宋体" w:hAnsi="宋体" w:eastAsia="宋体" w:cs="宋体"/>
          <w:color w:val="auto"/>
          <w:szCs w:val="21"/>
          <w:highlight w:val="none"/>
          <w:shd w:val="clear" w:color="auto" w:fill="auto"/>
          <w:lang w:val="en-US" w:eastAsia="zh-CN"/>
        </w:rPr>
        <w:t>必须认真落实安全生产措施，定期开展安全教育、安全生产检查、设施安全隐患排查工作，并将相关安全生产工作执行情况每月上报。</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须对其工作人员进行技术和安全知识的定期培训，并为工作人员购买意外保险，且为上岗人员配置统一的安全防护用品（工作服和绝缘鞋、安全帽、反光外套等）。在进行养护作业时必须有安全员到场，带电作业时至少保证有2名电工和1名安全员到场，电工与安全员与驾驶员不能兼任。</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人员在养护期间造成的任何安全事故，均由</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承担责任。</w:t>
      </w:r>
    </w:p>
    <w:p w14:paraId="5D785619">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（9）</w:t>
      </w:r>
      <w:r>
        <w:rPr>
          <w:rFonts w:hint="default" w:ascii="宋体" w:hAnsi="宋体" w:eastAsia="宋体" w:cs="宋体"/>
          <w:color w:val="auto"/>
          <w:szCs w:val="21"/>
          <w:highlight w:val="none"/>
          <w:shd w:val="clear" w:color="auto" w:fill="auto"/>
          <w:lang w:val="en-US" w:eastAsia="zh-CN"/>
        </w:rPr>
        <w:t>维修养护作业在保证安全的条件下，尽量减少对交通和住户的影响，作业现场必须设置明显标志和安全防护设施，要严格遵守安全操作规程，要做到安全文明施工，作业造成的路面、绿化等损坏，</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负责恢复原状，作业产生的垃圾及时清理，做到工完、料清、场清。在维修养护工作中引发的任何安全责任和事故，均由</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自行承担，概与</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无关。</w:t>
      </w:r>
    </w:p>
    <w:p w14:paraId="04463F3E">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（10）中标人</w:t>
      </w:r>
      <w:r>
        <w:rPr>
          <w:rFonts w:hint="default" w:ascii="宋体" w:hAnsi="宋体" w:eastAsia="宋体" w:cs="宋体"/>
          <w:color w:val="auto"/>
          <w:szCs w:val="21"/>
          <w:highlight w:val="none"/>
          <w:shd w:val="clear" w:color="auto" w:fill="auto"/>
          <w:lang w:val="en-US" w:eastAsia="zh-CN"/>
        </w:rPr>
        <w:t>项目负责人必须与投标时所承诺的人员一致。项目负责人出勤服从</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管理，</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每周组织例会一次，项目负责人必须到场汇报工作。维修档案、设备资料档案和巡查记录等材料每周工作例会进行汇报，并在例会之前及时提交纸质材料。</w:t>
      </w:r>
    </w:p>
    <w:p w14:paraId="07964840">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（11）</w:t>
      </w:r>
      <w:r>
        <w:rPr>
          <w:rFonts w:hint="default" w:ascii="宋体" w:hAnsi="宋体" w:eastAsia="宋体" w:cs="宋体"/>
          <w:color w:val="auto"/>
          <w:szCs w:val="21"/>
          <w:highlight w:val="none"/>
          <w:shd w:val="clear" w:color="auto" w:fill="auto"/>
          <w:lang w:val="en-US" w:eastAsia="zh-CN"/>
        </w:rPr>
        <w:t>每逢法定节假日（含春节、五一、国庆等）或有临时任务、应急任务（如防汛、防台风、迎检等重大活动），</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要服从</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的管理和监督，必须无条件服从</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组织的突击性任务，按照</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需要增设各类人员，并服从</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统一调度，按要求完成</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所分配的养护工作。</w:t>
      </w:r>
    </w:p>
    <w:p w14:paraId="437C58D0">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（12）</w:t>
      </w:r>
      <w:r>
        <w:rPr>
          <w:rFonts w:hint="default" w:ascii="宋体" w:hAnsi="宋体" w:eastAsia="宋体" w:cs="宋体"/>
          <w:color w:val="auto"/>
          <w:szCs w:val="21"/>
          <w:highlight w:val="none"/>
          <w:shd w:val="clear" w:color="auto" w:fill="auto"/>
          <w:lang w:val="en-US" w:eastAsia="zh-CN"/>
        </w:rPr>
        <w:t>如</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的专用高空作业维修车高度达不到，须自行解决，但必须保证完成维护工作，所有费用包含在投标报价中，</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不另行支付任何费用。</w:t>
      </w:r>
    </w:p>
    <w:p w14:paraId="6388DC66">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（13）中标人</w:t>
      </w:r>
      <w:r>
        <w:rPr>
          <w:rFonts w:hint="default" w:ascii="宋体" w:hAnsi="宋体" w:eastAsia="宋体" w:cs="宋体"/>
          <w:color w:val="auto"/>
          <w:szCs w:val="21"/>
          <w:highlight w:val="none"/>
          <w:shd w:val="clear" w:color="auto" w:fill="auto"/>
          <w:lang w:val="en-US" w:eastAsia="zh-CN"/>
        </w:rPr>
        <w:t>投标承诺的常规巡查机动车辆，在不影响自行巡查的前提下，需满足</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随时调度，供</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跟踪检查考核使用。重大节日、活动</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无条件提供车辆，配合</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完成巡查工作。</w:t>
      </w:r>
    </w:p>
    <w:p w14:paraId="7FFEC0F0">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（14）</w:t>
      </w:r>
      <w:r>
        <w:rPr>
          <w:rFonts w:hint="default" w:ascii="宋体" w:hAnsi="宋体" w:eastAsia="宋体" w:cs="宋体"/>
          <w:color w:val="auto"/>
          <w:szCs w:val="21"/>
          <w:highlight w:val="none"/>
          <w:shd w:val="clear" w:color="auto" w:fill="auto"/>
          <w:lang w:val="en-US" w:eastAsia="zh-CN"/>
        </w:rPr>
        <w:t>除经</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同意接入</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线路的用电设施，</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必须认真配合协助外。其它如广告灯箱、监控等任何用电设施未经</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同意，</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不得同意或协助或擅自接入</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线路，一经发现，按偷电行为，严肃处理，直接扣减</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当月维修经费，情况严重者，</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有权单方面终止合同并追究相关法律责任和经济损失。</w:t>
      </w:r>
    </w:p>
    <w:p w14:paraId="5F5EDFF6">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（15）中标人</w:t>
      </w:r>
      <w:r>
        <w:rPr>
          <w:rFonts w:hint="default" w:ascii="宋体" w:hAnsi="宋体" w:eastAsia="宋体" w:cs="宋体"/>
          <w:color w:val="auto"/>
          <w:szCs w:val="21"/>
          <w:highlight w:val="none"/>
          <w:shd w:val="clear" w:color="auto" w:fill="auto"/>
          <w:lang w:val="en-US" w:eastAsia="zh-CN"/>
        </w:rPr>
        <w:t>必须认真负责，切实履行招标文件要求和合同约定的各项职责，如发现</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组织措施不当、计划不落实、管理不严、实施方案中所列人员、车辆机械设备（工具）与现场实际不符，</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有权单方面无条件终止合同。</w:t>
      </w:r>
    </w:p>
    <w:p w14:paraId="42336A79">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（16）中标人</w:t>
      </w:r>
      <w:r>
        <w:rPr>
          <w:rFonts w:hint="default" w:ascii="宋体" w:hAnsi="宋体" w:eastAsia="宋体" w:cs="宋体"/>
          <w:color w:val="auto"/>
          <w:szCs w:val="21"/>
          <w:highlight w:val="none"/>
          <w:shd w:val="clear" w:color="auto" w:fill="auto"/>
          <w:lang w:val="en-US" w:eastAsia="zh-CN"/>
        </w:rPr>
        <w:t>必须枳极响应并接受市民、政府或有关部门的监督检査，不得发生政府或有关部门（数字城管除外）反面通报或被媒体反面曝光事件。若受到市民的投诉，经调査认定情况属实的视情节轻重予以罚款；若受反面通报或反面曝光事件，造成恶劣影响的，</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有权单方面无条件终止合同。</w:t>
      </w:r>
    </w:p>
    <w:p w14:paraId="43FE7497">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（17）中标人</w:t>
      </w:r>
      <w:r>
        <w:rPr>
          <w:rFonts w:hint="default" w:ascii="宋体" w:hAnsi="宋体" w:eastAsia="宋体" w:cs="宋体"/>
          <w:color w:val="auto"/>
          <w:szCs w:val="21"/>
          <w:highlight w:val="none"/>
          <w:shd w:val="clear" w:color="auto" w:fill="auto"/>
          <w:lang w:val="en-US" w:eastAsia="zh-CN"/>
        </w:rPr>
        <w:t>无故停止养护工作，</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有权按损失程度扣减养护费，并处以每天</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合同总额3%的违约金给</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。若无故停工累计达7天，</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有权单方面无条件终止合同。</w:t>
      </w:r>
    </w:p>
    <w:p w14:paraId="6388C240">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（18）</w:t>
      </w:r>
      <w:r>
        <w:rPr>
          <w:rFonts w:hint="default" w:ascii="宋体" w:hAnsi="宋体" w:eastAsia="宋体" w:cs="宋体"/>
          <w:color w:val="auto"/>
          <w:szCs w:val="21"/>
          <w:highlight w:val="none"/>
          <w:shd w:val="clear" w:color="auto" w:fill="auto"/>
          <w:lang w:val="en-US" w:eastAsia="zh-CN"/>
        </w:rPr>
        <w:t>在合同期内，</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负责养护的所有设施因各种原因（如违规操作、漏电、坠落、倾倒、路灯井盖破损等），引起不良后果所造成的安全责任、经济损失及第三方的损失，由</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独自承担其法律和经济责任，概与</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无关。</w:t>
      </w:r>
    </w:p>
    <w:p w14:paraId="19AC27C0">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（19）中标人</w:t>
      </w:r>
      <w:r>
        <w:rPr>
          <w:rFonts w:hint="default" w:ascii="宋体" w:hAnsi="宋体" w:eastAsia="宋体" w:cs="宋体"/>
          <w:color w:val="auto"/>
          <w:szCs w:val="21"/>
          <w:highlight w:val="none"/>
          <w:shd w:val="clear" w:color="auto" w:fill="auto"/>
          <w:lang w:val="en-US" w:eastAsia="zh-CN"/>
        </w:rPr>
        <w:t>养护维修工作中需要协调的所有地方关系、部门关系，均由</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自行负责，</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可协助开具相关证明。</w:t>
      </w:r>
    </w:p>
    <w:p w14:paraId="1E66A60C">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（20）</w:t>
      </w:r>
      <w:r>
        <w:rPr>
          <w:rFonts w:hint="default" w:ascii="宋体" w:hAnsi="宋体" w:eastAsia="宋体" w:cs="宋体"/>
          <w:color w:val="auto"/>
          <w:szCs w:val="21"/>
          <w:highlight w:val="none"/>
          <w:shd w:val="clear" w:color="auto" w:fill="auto"/>
          <w:lang w:val="en-US" w:eastAsia="zh-CN"/>
        </w:rPr>
        <w:t>在合同期内，养护范围内因新建、改建、移交等情况而增加或减少需要维护的路灯设施时，合同价格总价不予调整。所需费用均包含在此次报价内，</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不再另行支付任何费用。具体设施数量随着招标人管辖及指定范围变化以及新建、改建、移交等情况发生可能发生增加或减少。</w:t>
      </w:r>
    </w:p>
    <w:p w14:paraId="1527D9B6">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（21）中标人</w:t>
      </w:r>
      <w:r>
        <w:rPr>
          <w:rFonts w:hint="default" w:ascii="宋体" w:hAnsi="宋体" w:eastAsia="宋体" w:cs="宋体"/>
          <w:color w:val="auto"/>
          <w:szCs w:val="21"/>
          <w:highlight w:val="none"/>
          <w:shd w:val="clear" w:color="auto" w:fill="auto"/>
          <w:lang w:val="en-US" w:eastAsia="zh-CN"/>
        </w:rPr>
        <w:t>投标时配置的所有人员应报</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备案，不得随意变更。如确需变更的，需报</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同意方可变更。如</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未经批准随意更换人员，一经发现，</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有权单方面无条件终止合同。</w:t>
      </w:r>
    </w:p>
    <w:p w14:paraId="26084872">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w:t>
      </w:r>
      <w:r>
        <w:rPr>
          <w:rFonts w:hint="default" w:ascii="宋体" w:hAnsi="宋体" w:eastAsia="宋体" w:cs="宋体"/>
          <w:color w:val="auto"/>
          <w:szCs w:val="21"/>
          <w:highlight w:val="none"/>
          <w:shd w:val="clear" w:color="auto" w:fill="auto"/>
          <w:lang w:val="en-US" w:eastAsia="zh-CN"/>
        </w:rPr>
        <w:t>公园系统（含景观带：滨河北路景观带；徽州路景观带；四河景观带；滁州大道景观带；滁州路绿廊及</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后期接管的景观带）的高压供电电缆、环网柜、分支箱、箱式变电站、低压控制箱、低压电缆、庭院灯、草坪灯、灯带、喷泉、弱电监控维修、鱼尾狮公园调节闸维护、河道翻板闸维护、溢流堰阀门、游船零星维修含电池更换。</w:t>
      </w:r>
    </w:p>
    <w:p w14:paraId="4CC4EDBA">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w:t>
      </w:r>
      <w:r>
        <w:rPr>
          <w:rFonts w:hint="default" w:ascii="宋体" w:hAnsi="宋体" w:eastAsia="宋体" w:cs="宋体"/>
          <w:color w:val="auto"/>
          <w:szCs w:val="21"/>
          <w:highlight w:val="none"/>
          <w:shd w:val="clear" w:color="auto" w:fill="auto"/>
          <w:lang w:val="en-US" w:eastAsia="zh-CN"/>
        </w:rPr>
        <w:t>景观电气设备光源更换、线缆维修、控制系统同维修及路灯相关组件维修；</w:t>
      </w:r>
    </w:p>
    <w:p w14:paraId="2FE2396A">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w:t>
      </w:r>
      <w:r>
        <w:rPr>
          <w:rFonts w:hint="default" w:ascii="宋体" w:hAnsi="宋体" w:eastAsia="宋体" w:cs="宋体"/>
          <w:color w:val="auto"/>
          <w:szCs w:val="21"/>
          <w:highlight w:val="none"/>
          <w:shd w:val="clear" w:color="auto" w:fill="auto"/>
          <w:lang w:val="en-US" w:eastAsia="zh-CN"/>
        </w:rPr>
        <w:t>景观灯时间调整、亮灯模式调整由</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根据公园管理人员指令进行调整；</w:t>
      </w:r>
    </w:p>
    <w:p w14:paraId="33C227D2">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w:t>
      </w:r>
      <w:r>
        <w:rPr>
          <w:rFonts w:hint="default" w:ascii="宋体" w:hAnsi="宋体" w:eastAsia="宋体" w:cs="宋体"/>
          <w:color w:val="auto"/>
          <w:szCs w:val="21"/>
          <w:highlight w:val="none"/>
          <w:shd w:val="clear" w:color="auto" w:fill="auto"/>
          <w:lang w:val="en-US" w:eastAsia="zh-CN"/>
        </w:rPr>
        <w:t>公园景观灯的巡视、巡查，故障抢修等由</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负责。</w:t>
      </w:r>
    </w:p>
    <w:p w14:paraId="4F523621">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w:t>
      </w:r>
      <w:r>
        <w:rPr>
          <w:rFonts w:hint="default" w:ascii="宋体" w:hAnsi="宋体" w:eastAsia="宋体" w:cs="宋体"/>
          <w:color w:val="auto"/>
          <w:szCs w:val="21"/>
          <w:highlight w:val="none"/>
          <w:shd w:val="clear" w:color="auto" w:fill="auto"/>
          <w:lang w:val="en-US" w:eastAsia="zh-CN"/>
        </w:rPr>
        <w:t>已接管的公共停车场电气设备维护、弱电设施维护、新能源汽车充电站设施维护（除充电桩本身外）、公交站台维护，电气设备维护参照路灯养护标准。</w:t>
      </w:r>
    </w:p>
    <w:p w14:paraId="20586DD5">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w:t>
      </w:r>
      <w:r>
        <w:rPr>
          <w:rFonts w:hint="default" w:ascii="宋体" w:hAnsi="宋体" w:eastAsia="宋体" w:cs="宋体"/>
          <w:color w:val="auto"/>
          <w:szCs w:val="21"/>
          <w:highlight w:val="none"/>
          <w:shd w:val="clear" w:color="auto" w:fill="auto"/>
          <w:lang w:val="en-US" w:eastAsia="zh-CN"/>
        </w:rPr>
        <w:t>质保期内由原施工单位处理，质保期外由</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处理，除大批量设备更新改造除外。</w:t>
      </w:r>
    </w:p>
    <w:p w14:paraId="311B4861">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4</w:t>
      </w:r>
      <w:r>
        <w:rPr>
          <w:rFonts w:hint="default" w:ascii="宋体" w:hAnsi="宋体" w:eastAsia="宋体" w:cs="宋体"/>
          <w:color w:val="auto"/>
          <w:szCs w:val="21"/>
          <w:highlight w:val="none"/>
          <w:shd w:val="clear" w:color="auto" w:fill="auto"/>
          <w:lang w:val="en-US" w:eastAsia="zh-CN"/>
        </w:rPr>
        <w:t>、河道设施：规划四河闸站、十八河闸站、二十七河闸站、大王公园截流工程、道路临时性抽水泵站、补水站、补水管网、补水工程自用电线路开始至末端用电设备，水流进入管道至最末端出水口处所包含的全部项目的维护。</w:t>
      </w:r>
    </w:p>
    <w:p w14:paraId="4621BAE9">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w:t>
      </w:r>
      <w:r>
        <w:rPr>
          <w:rFonts w:hint="default" w:ascii="宋体" w:hAnsi="宋体" w:eastAsia="宋体" w:cs="宋体"/>
          <w:color w:val="auto"/>
          <w:szCs w:val="21"/>
          <w:highlight w:val="none"/>
          <w:shd w:val="clear" w:color="auto" w:fill="auto"/>
          <w:lang w:val="en-US" w:eastAsia="zh-CN"/>
        </w:rPr>
        <w:t>每年1次设备除锈涂漆工作、设备保养、抽排水工作、润滑油脂等更换电气线路维修参照路灯系统。</w:t>
      </w:r>
    </w:p>
    <w:p w14:paraId="3F2C48CE">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default" w:ascii="宋体" w:hAnsi="宋体" w:eastAsia="宋体" w:cs="宋体"/>
          <w:color w:val="auto"/>
          <w:szCs w:val="21"/>
          <w:highlight w:val="none"/>
          <w:shd w:val="clear" w:color="auto" w:fill="auto"/>
          <w:lang w:val="en-US" w:eastAsia="zh-CN"/>
        </w:rPr>
        <w:t>养护及巡视标准同路灯系统设备。</w:t>
      </w:r>
    </w:p>
    <w:p w14:paraId="7ABE2F09">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5、</w:t>
      </w:r>
      <w:r>
        <w:rPr>
          <w:rFonts w:hint="default" w:ascii="宋体" w:hAnsi="宋体" w:eastAsia="宋体" w:cs="宋体"/>
          <w:color w:val="auto"/>
          <w:szCs w:val="21"/>
          <w:highlight w:val="none"/>
          <w:shd w:val="clear" w:color="auto" w:fill="auto"/>
          <w:lang w:val="en-US" w:eastAsia="zh-CN"/>
        </w:rPr>
        <w:t>河东高排涝站、红庙一站、二站、伏湾圩一站、二站、胜利圩一站。从泵站高压进线设备产权分界点至泵站内部最末端受电装置，包含泵站全部设施设备、水工建筑物、金属结构、弱电监控、自动化系统、绿化养护、消防设施、房屋建筑物、零星维修等泵站竣工图纸体现的全部内容（混凝土、沥青道路、给排水设施除外）。</w:t>
      </w:r>
    </w:p>
    <w:p w14:paraId="29844B2B">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w:t>
      </w:r>
      <w:r>
        <w:rPr>
          <w:rFonts w:hint="default" w:ascii="宋体" w:hAnsi="宋体" w:eastAsia="宋体" w:cs="宋体"/>
          <w:color w:val="auto"/>
          <w:szCs w:val="21"/>
          <w:highlight w:val="none"/>
          <w:shd w:val="clear" w:color="auto" w:fill="auto"/>
          <w:lang w:val="en-US" w:eastAsia="zh-CN"/>
        </w:rPr>
        <w:t>每季度对所有电气设备进行检查小修，费用由</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负责；</w:t>
      </w:r>
    </w:p>
    <w:p w14:paraId="2F77985B">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w:t>
      </w:r>
      <w:r>
        <w:rPr>
          <w:rFonts w:hint="default" w:ascii="宋体" w:hAnsi="宋体" w:eastAsia="宋体" w:cs="宋体"/>
          <w:color w:val="auto"/>
          <w:szCs w:val="21"/>
          <w:highlight w:val="none"/>
          <w:shd w:val="clear" w:color="auto" w:fill="auto"/>
          <w:lang w:val="en-US" w:eastAsia="zh-CN"/>
        </w:rPr>
        <w:t>汛期前对水泵等设备更换润滑油（脂），电气全试验、金属结构物除锈涂漆、检查设备情况；</w:t>
      </w:r>
    </w:p>
    <w:p w14:paraId="3FA1D169">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w:t>
      </w:r>
      <w:r>
        <w:rPr>
          <w:rFonts w:hint="default" w:ascii="宋体" w:hAnsi="宋体" w:eastAsia="宋体" w:cs="宋体"/>
          <w:color w:val="auto"/>
          <w:szCs w:val="21"/>
          <w:highlight w:val="none"/>
          <w:shd w:val="clear" w:color="auto" w:fill="auto"/>
          <w:lang w:val="en-US" w:eastAsia="zh-CN"/>
        </w:rPr>
        <w:t>其余电气设备参照路灯系统执行，设备更新、维护、检测费用超过10000元以上时由</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负责，其余</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负责；</w:t>
      </w:r>
    </w:p>
    <w:p w14:paraId="7306C71B">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（4）</w:t>
      </w:r>
      <w:r>
        <w:rPr>
          <w:rFonts w:hint="default" w:ascii="宋体" w:hAnsi="宋体" w:eastAsia="宋体" w:cs="宋体"/>
          <w:color w:val="auto"/>
          <w:szCs w:val="21"/>
          <w:highlight w:val="none"/>
          <w:shd w:val="clear" w:color="auto" w:fill="auto"/>
          <w:lang w:val="en-US" w:eastAsia="zh-CN"/>
        </w:rPr>
        <w:t>汛期前后对水工建筑物进行整体检查，涉及结构方面维修由</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负责，其余的由</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处理；</w:t>
      </w:r>
    </w:p>
    <w:p w14:paraId="51E90C42">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（5）</w:t>
      </w:r>
      <w:r>
        <w:rPr>
          <w:rFonts w:hint="default" w:ascii="宋体" w:hAnsi="宋体" w:eastAsia="宋体" w:cs="宋体"/>
          <w:color w:val="auto"/>
          <w:szCs w:val="21"/>
          <w:highlight w:val="none"/>
          <w:shd w:val="clear" w:color="auto" w:fill="auto"/>
          <w:lang w:val="en-US" w:eastAsia="zh-CN"/>
        </w:rPr>
        <w:t>汛期24小时值班由</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负责；</w:t>
      </w:r>
    </w:p>
    <w:p w14:paraId="05C3A151">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（6）</w:t>
      </w:r>
      <w:r>
        <w:rPr>
          <w:rFonts w:hint="default" w:ascii="宋体" w:hAnsi="宋体" w:eastAsia="宋体" w:cs="宋体"/>
          <w:color w:val="auto"/>
          <w:szCs w:val="21"/>
          <w:highlight w:val="none"/>
          <w:shd w:val="clear" w:color="auto" w:fill="auto"/>
          <w:lang w:val="en-US" w:eastAsia="zh-CN"/>
        </w:rPr>
        <w:t>日常</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要求的相关巡视、检修、运行记录由</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负责落实，落实政府性行政发文要求等。</w:t>
      </w:r>
    </w:p>
    <w:p w14:paraId="7B474AE6">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（7）</w:t>
      </w:r>
      <w:r>
        <w:rPr>
          <w:rFonts w:hint="default" w:ascii="宋体" w:hAnsi="宋体" w:eastAsia="宋体" w:cs="宋体"/>
          <w:color w:val="auto"/>
          <w:szCs w:val="21"/>
          <w:highlight w:val="none"/>
          <w:shd w:val="clear" w:color="auto" w:fill="auto"/>
          <w:lang w:val="en-US" w:eastAsia="zh-CN"/>
        </w:rPr>
        <w:t>泵站内各种制度更新、上墙文件、日常管理制度等修改由</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制定</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落实；</w:t>
      </w:r>
    </w:p>
    <w:p w14:paraId="1CEC0888">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（8）招标人</w:t>
      </w:r>
      <w:r>
        <w:rPr>
          <w:rFonts w:hint="default" w:ascii="宋体" w:hAnsi="宋体" w:eastAsia="宋体" w:cs="宋体"/>
          <w:color w:val="auto"/>
          <w:szCs w:val="21"/>
          <w:highlight w:val="none"/>
          <w:shd w:val="clear" w:color="auto" w:fill="auto"/>
          <w:lang w:val="en-US" w:eastAsia="zh-CN"/>
        </w:rPr>
        <w:t>其他资产的管理及零星维修等，由</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负责。</w:t>
      </w:r>
    </w:p>
    <w:p w14:paraId="3B3F3C7A">
      <w:pPr>
        <w:shd w:val="clear"/>
        <w:snapToGrid w:val="0"/>
        <w:spacing w:line="500" w:lineRule="exact"/>
        <w:ind w:right="-212" w:rightChars="-101" w:firstLine="422" w:firstLineChars="200"/>
        <w:jc w:val="left"/>
        <w:rPr>
          <w:rFonts w:hint="default" w:ascii="宋体" w:hAnsi="宋体" w:eastAsia="宋体" w:cs="宋体"/>
          <w:color w:val="auto"/>
          <w:szCs w:val="21"/>
          <w:highlight w:val="none"/>
          <w:shd w:val="clear" w:color="auto" w:fill="auto"/>
          <w:lang w:val="en-US" w:eastAsia="zh-CN"/>
        </w:rPr>
      </w:pPr>
      <w:r>
        <w:rPr>
          <w:rFonts w:hint="default" w:ascii="宋体" w:hAnsi="宋体" w:eastAsia="宋体" w:cs="宋体"/>
          <w:b/>
          <w:bCs/>
          <w:color w:val="auto"/>
          <w:szCs w:val="21"/>
          <w:highlight w:val="none"/>
          <w:shd w:val="clear" w:color="auto" w:fill="auto"/>
          <w:lang w:val="en-US" w:eastAsia="zh-CN"/>
        </w:rPr>
        <w:t>养护要求：</w:t>
      </w:r>
    </w:p>
    <w:p w14:paraId="09E82AC2">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w:t>
      </w:r>
      <w:r>
        <w:rPr>
          <w:rFonts w:hint="default" w:ascii="宋体" w:hAnsi="宋体" w:eastAsia="宋体" w:cs="宋体"/>
          <w:color w:val="auto"/>
          <w:szCs w:val="21"/>
          <w:highlight w:val="none"/>
          <w:shd w:val="clear" w:color="auto" w:fill="auto"/>
          <w:lang w:val="en-US" w:eastAsia="zh-CN"/>
        </w:rPr>
        <w:t>电气设备巡视参照路灯系统，涉及水泵机组、电容器组等按照国家规范或行业规范执行；</w:t>
      </w:r>
    </w:p>
    <w:p w14:paraId="4750507E">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default" w:ascii="宋体" w:hAnsi="宋体" w:eastAsia="宋体" w:cs="宋体"/>
          <w:color w:val="auto"/>
          <w:szCs w:val="21"/>
          <w:highlight w:val="none"/>
          <w:shd w:val="clear" w:color="auto" w:fill="auto"/>
          <w:lang w:val="en-US" w:eastAsia="zh-CN"/>
        </w:rPr>
        <w:t>2、河东高泵站水泵机组每年联系厂家进行现场技术维护指导，确保水泵机组运行正常；</w:t>
      </w:r>
    </w:p>
    <w:p w14:paraId="7C1D165A">
      <w:pPr>
        <w:shd w:val="clear"/>
        <w:snapToGrid w:val="0"/>
        <w:spacing w:line="500" w:lineRule="exact"/>
        <w:ind w:right="-212" w:rightChars="-101" w:firstLine="420" w:firstLineChars="200"/>
        <w:jc w:val="left"/>
        <w:rPr>
          <w:rFonts w:hint="default" w:ascii="宋体" w:hAnsi="宋体" w:eastAsia="宋体" w:cs="宋体"/>
          <w:color w:val="auto"/>
          <w:szCs w:val="21"/>
          <w:highlight w:val="none"/>
          <w:shd w:val="clear" w:color="auto" w:fill="auto"/>
          <w:lang w:val="en-US" w:eastAsia="zh-CN"/>
        </w:rPr>
      </w:pPr>
      <w:r>
        <w:rPr>
          <w:rFonts w:hint="default" w:ascii="宋体" w:hAnsi="宋体" w:eastAsia="宋体" w:cs="宋体"/>
          <w:color w:val="auto"/>
          <w:szCs w:val="21"/>
          <w:highlight w:val="none"/>
          <w:shd w:val="clear" w:color="auto" w:fill="auto"/>
          <w:lang w:val="en-US" w:eastAsia="zh-CN"/>
        </w:rPr>
        <w:t>3、泵站内电气设备、金属结构每季度开展专项检查，汛期前对站内电气设备进行电气试验，确保设备电气性能完好；</w:t>
      </w:r>
    </w:p>
    <w:p w14:paraId="0D1C7FA0">
      <w:pPr>
        <w:shd w:val="clear"/>
        <w:snapToGrid w:val="0"/>
        <w:spacing w:line="500" w:lineRule="exact"/>
        <w:ind w:right="-212" w:rightChars="-101" w:firstLine="420" w:firstLineChars="200"/>
        <w:jc w:val="left"/>
        <w:rPr>
          <w:color w:val="auto"/>
          <w:highlight w:val="none"/>
        </w:rPr>
      </w:pPr>
      <w:r>
        <w:rPr>
          <w:rFonts w:hint="default" w:ascii="宋体" w:hAnsi="宋体" w:eastAsia="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lang w:val="en-US" w:eastAsia="zh-CN"/>
        </w:rPr>
        <w:t>中标人</w:t>
      </w:r>
      <w:r>
        <w:rPr>
          <w:rFonts w:hint="default" w:ascii="宋体" w:hAnsi="宋体" w:eastAsia="宋体" w:cs="宋体"/>
          <w:color w:val="auto"/>
          <w:szCs w:val="21"/>
          <w:highlight w:val="none"/>
          <w:shd w:val="clear" w:color="auto" w:fill="auto"/>
          <w:lang w:val="en-US" w:eastAsia="zh-CN"/>
        </w:rPr>
        <w:t>进场后应根据</w:t>
      </w:r>
      <w:r>
        <w:rPr>
          <w:rFonts w:hint="eastAsia" w:ascii="宋体" w:hAnsi="宋体" w:cs="宋体"/>
          <w:color w:val="auto"/>
          <w:szCs w:val="21"/>
          <w:highlight w:val="none"/>
          <w:shd w:val="clear" w:color="auto" w:fill="auto"/>
          <w:lang w:val="en-US" w:eastAsia="zh-CN"/>
        </w:rPr>
        <w:t>招标人</w:t>
      </w:r>
      <w:r>
        <w:rPr>
          <w:rFonts w:hint="default" w:ascii="宋体" w:hAnsi="宋体" w:eastAsia="宋体" w:cs="宋体"/>
          <w:color w:val="auto"/>
          <w:szCs w:val="21"/>
          <w:highlight w:val="none"/>
          <w:shd w:val="clear" w:color="auto" w:fill="auto"/>
          <w:lang w:val="en-US" w:eastAsia="zh-CN"/>
        </w:rPr>
        <w:t>要求采购备品备件放置于固定地点。电气设备每年一次的预防性试验。</w:t>
      </w:r>
    </w:p>
    <w:p w14:paraId="6EBF722D">
      <w:pPr>
        <w:pStyle w:val="15"/>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0" w:line="440" w:lineRule="exact"/>
        <w:ind w:left="425" w:leftChars="0"/>
        <w:textAlignment w:val="auto"/>
        <w:rPr>
          <w:rFonts w:hint="eastAsia" w:ascii="Times New Roman" w:hAnsi="宋体" w:eastAsia="宋体" w:cs="Times New Roman"/>
          <w:b/>
          <w:bCs/>
          <w:color w:val="auto"/>
          <w:kern w:val="2"/>
          <w:sz w:val="32"/>
          <w:szCs w:val="32"/>
          <w:highlight w:val="none"/>
          <w:lang w:val="en-US" w:eastAsia="zh-CN" w:bidi="ar-SA"/>
        </w:rPr>
      </w:pPr>
      <w:r>
        <w:rPr>
          <w:rFonts w:hint="eastAsia" w:ascii="Times New Roman" w:hAnsi="宋体" w:eastAsia="宋体" w:cs="Times New Roman"/>
          <w:b/>
          <w:bCs/>
          <w:color w:val="auto"/>
          <w:kern w:val="2"/>
          <w:sz w:val="32"/>
          <w:szCs w:val="32"/>
          <w:highlight w:val="none"/>
          <w:lang w:val="en-US" w:eastAsia="zh-CN" w:bidi="ar-SA"/>
        </w:rPr>
        <w:t>二、工程量清单</w:t>
      </w:r>
    </w:p>
    <w:tbl>
      <w:tblPr>
        <w:tblStyle w:val="36"/>
        <w:tblW w:w="9945"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109"/>
        <w:gridCol w:w="4137"/>
        <w:gridCol w:w="801"/>
        <w:gridCol w:w="867"/>
        <w:gridCol w:w="1115"/>
        <w:gridCol w:w="1272"/>
      </w:tblGrid>
      <w:tr w14:paraId="5CBB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945" w:type="dxa"/>
            <w:gridSpan w:val="7"/>
            <w:tcBorders>
              <w:top w:val="nil"/>
              <w:left w:val="nil"/>
              <w:bottom w:val="nil"/>
              <w:right w:val="nil"/>
            </w:tcBorders>
            <w:shd w:val="clear" w:color="auto" w:fill="auto"/>
            <w:noWrap/>
            <w:vAlign w:val="center"/>
          </w:tcPr>
          <w:p w14:paraId="7B3F712A">
            <w:pPr>
              <w:shd w:val="clear"/>
              <w:snapToGrid w:val="0"/>
              <w:spacing w:line="500" w:lineRule="exact"/>
              <w:ind w:right="-212" w:rightChars="-101" w:firstLine="422" w:firstLineChars="200"/>
              <w:jc w:val="center"/>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第一部分 路灯养护分项目清单</w:t>
            </w:r>
          </w:p>
        </w:tc>
      </w:tr>
      <w:tr w14:paraId="0CA1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28C28">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default"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序号</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FEA0386">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工程名称</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A05C8">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清单特征</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B1B22">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单位</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EB263">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工程量</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C1FB4">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综合单价</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A29F1">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全费用合价</w:t>
            </w:r>
          </w:p>
        </w:tc>
      </w:tr>
      <w:tr w14:paraId="1024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2CFA3">
            <w:pPr>
              <w:shd w:val="clear"/>
              <w:jc w:val="center"/>
              <w:rPr>
                <w:rFonts w:hint="eastAsia" w:ascii="黑体" w:hAnsi="宋体" w:eastAsia="黑体" w:cs="黑体"/>
                <w:i w:val="0"/>
                <w:iCs w:val="0"/>
                <w:color w:val="auto"/>
                <w:sz w:val="21"/>
                <w:szCs w:val="21"/>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638C40A">
            <w:pPr>
              <w:shd w:val="clear"/>
              <w:jc w:val="center"/>
              <w:rPr>
                <w:rFonts w:hint="eastAsia" w:ascii="黑体" w:hAnsi="宋体" w:eastAsia="黑体" w:cs="黑体"/>
                <w:i w:val="0"/>
                <w:iCs w:val="0"/>
                <w:color w:val="auto"/>
                <w:sz w:val="21"/>
                <w:szCs w:val="21"/>
                <w:highlight w:val="none"/>
                <w:u w:val="none"/>
              </w:rPr>
            </w:pP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B671">
            <w:pPr>
              <w:shd w:val="clear"/>
              <w:jc w:val="center"/>
              <w:rPr>
                <w:rFonts w:hint="eastAsia" w:ascii="黑体" w:hAnsi="宋体" w:eastAsia="黑体" w:cs="黑体"/>
                <w:i w:val="0"/>
                <w:iCs w:val="0"/>
                <w:color w:val="auto"/>
                <w:sz w:val="21"/>
                <w:szCs w:val="21"/>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66D32">
            <w:pPr>
              <w:shd w:val="clear"/>
              <w:jc w:val="center"/>
              <w:rPr>
                <w:rFonts w:hint="eastAsia" w:ascii="黑体" w:hAnsi="宋体" w:eastAsia="黑体" w:cs="黑体"/>
                <w:i w:val="0"/>
                <w:iCs w:val="0"/>
                <w:color w:val="auto"/>
                <w:sz w:val="21"/>
                <w:szCs w:val="21"/>
                <w:highlight w:val="none"/>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3D9D4">
            <w:pPr>
              <w:shd w:val="clear"/>
              <w:jc w:val="center"/>
              <w:rPr>
                <w:rFonts w:hint="eastAsia" w:ascii="黑体" w:hAnsi="宋体" w:eastAsia="黑体" w:cs="黑体"/>
                <w:i w:val="0"/>
                <w:iCs w:val="0"/>
                <w:color w:val="auto"/>
                <w:sz w:val="21"/>
                <w:szCs w:val="21"/>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4ADA0">
            <w:pPr>
              <w:shd w:val="clear"/>
              <w:jc w:val="center"/>
              <w:rPr>
                <w:rFonts w:hint="eastAsia" w:ascii="黑体" w:hAnsi="宋体" w:eastAsia="黑体" w:cs="黑体"/>
                <w:i w:val="0"/>
                <w:iCs w:val="0"/>
                <w:color w:val="auto"/>
                <w:sz w:val="21"/>
                <w:szCs w:val="21"/>
                <w:highlight w:val="none"/>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C799">
            <w:pPr>
              <w:shd w:val="clear"/>
              <w:jc w:val="center"/>
              <w:rPr>
                <w:rFonts w:hint="eastAsia" w:ascii="黑体" w:hAnsi="宋体" w:eastAsia="黑体" w:cs="黑体"/>
                <w:i w:val="0"/>
                <w:iCs w:val="0"/>
                <w:color w:val="auto"/>
                <w:sz w:val="21"/>
                <w:szCs w:val="21"/>
                <w:highlight w:val="none"/>
                <w:u w:val="none"/>
              </w:rPr>
            </w:pPr>
          </w:p>
        </w:tc>
      </w:tr>
      <w:tr w14:paraId="3849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70B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E3F8">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普通路灯养护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6C4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1、在管理养护期间要确保路灯照明设施完好（灯杆、灯具、灯罩、灯泡、基础、电缆、电线、配电柜及路灯辅助设备等）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2、包括可预见及不可预见产生的养护费用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761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盏（指灯头数）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F2A4">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7057.000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1E46">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319C">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1340830</w:t>
            </w:r>
          </w:p>
        </w:tc>
      </w:tr>
      <w:tr w14:paraId="6743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E6F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9E8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新路灯养护（不含光源）</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B74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1、在管理养护期间要确保路灯照明设施完好（灯杆、基础、电缆、电线、配电柜及路灯辅助设备等）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2、包括可预见及不可预见产生的养护费用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FCE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盏（指灯头数）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769A">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3552.000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BAF1">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3F7B">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337440</w:t>
            </w:r>
          </w:p>
        </w:tc>
      </w:tr>
      <w:tr w14:paraId="783B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687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E2A4">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中杆灯养护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F0E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1、在管理养护期间要确保路灯照明设施完好（灯杆、灯具、灯罩、灯泡、基础、电缆、电线、配电柜及路灯辅助设备等）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2、包括可预见及不可预见产生的养护费用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315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盏（指灯头数）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41C4">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1097.000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6318">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7DE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241340</w:t>
            </w:r>
          </w:p>
        </w:tc>
      </w:tr>
      <w:tr w14:paraId="0A03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672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BC0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控制柜养护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882E">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1、检查控制柜元件运行状态；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2、更换损坏的负荷开关、空气开关、断路器、接触器、熔断器和熔芯等配件；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3、清洁柜体、线路整理；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4、包含可预见及不可预见养护费用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54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367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6799">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04EF">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12200</w:t>
            </w:r>
          </w:p>
        </w:tc>
      </w:tr>
      <w:tr w14:paraId="07C4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F2E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C99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箱变养护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960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1、上垫片、螺丝、调整箱变所有程序及所需所有材料；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2、更换电缆；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3、配灭火器（2只5kg/组）；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4、包括可预见及不可预见产生的养护费用；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5、箱变检测并出具检测报告；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6、备注：变压器、高低压柜的主要元器件损坏更换费用以签证形式纳入结算；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34F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03E9">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36D1">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8226">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201000</w:t>
            </w:r>
          </w:p>
        </w:tc>
      </w:tr>
      <w:tr w14:paraId="6040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FED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6EB9">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环网柜养护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457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1、检查环网柜开关状态；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2、更换老化绝缘部件；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3、清洁柜体、测试耐压性能；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4、包含可预见及不可预见养护费用；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6FA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9DD9">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798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563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42000</w:t>
            </w:r>
          </w:p>
        </w:tc>
      </w:tr>
      <w:tr w14:paraId="0D75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4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F81B89A">
            <w:pPr>
              <w:shd w:val="clear"/>
              <w:jc w:val="center"/>
              <w:rPr>
                <w:rFonts w:hint="eastAsia" w:ascii="宋体" w:hAnsi="宋体" w:eastAsia="宋体" w:cs="宋体"/>
                <w:i w:val="0"/>
                <w:iCs w:val="0"/>
                <w:color w:val="auto"/>
                <w:sz w:val="21"/>
                <w:szCs w:val="21"/>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79BBD05">
            <w:pPr>
              <w:shd w:val="clear"/>
              <w:jc w:val="center"/>
              <w:rPr>
                <w:rFonts w:hint="eastAsia" w:ascii="宋体" w:hAnsi="宋体" w:eastAsia="宋体" w:cs="宋体"/>
                <w:i w:val="0"/>
                <w:iCs w:val="0"/>
                <w:color w:val="auto"/>
                <w:sz w:val="21"/>
                <w:szCs w:val="21"/>
                <w:highlight w:val="none"/>
                <w:u w:val="none"/>
              </w:rPr>
            </w:pPr>
          </w:p>
        </w:tc>
        <w:tc>
          <w:tcPr>
            <w:tcW w:w="413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76A432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第一部分 小计</w:t>
            </w:r>
          </w:p>
        </w:tc>
        <w:tc>
          <w:tcPr>
            <w:tcW w:w="80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EE029D3">
            <w:pPr>
              <w:shd w:val="clear"/>
              <w:jc w:val="center"/>
              <w:rPr>
                <w:rFonts w:hint="eastAsia" w:ascii="宋体" w:hAnsi="宋体" w:eastAsia="宋体" w:cs="宋体"/>
                <w:i w:val="0"/>
                <w:iCs w:val="0"/>
                <w:color w:val="auto"/>
                <w:sz w:val="21"/>
                <w:szCs w:val="21"/>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2B0E9CE">
            <w:pPr>
              <w:shd w:val="clear"/>
              <w:jc w:val="right"/>
              <w:rPr>
                <w:rFonts w:hint="eastAsia" w:ascii="宋体" w:hAnsi="宋体" w:eastAsia="宋体" w:cs="宋体"/>
                <w:i w:val="0"/>
                <w:iCs w:val="0"/>
                <w:color w:val="auto"/>
                <w:sz w:val="21"/>
                <w:szCs w:val="21"/>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79DB1ED">
            <w:pPr>
              <w:shd w:val="clear"/>
              <w:jc w:val="right"/>
              <w:rPr>
                <w:rFonts w:hint="eastAsia" w:ascii="宋体" w:hAnsi="宋体" w:eastAsia="宋体" w:cs="宋体"/>
                <w:i w:val="0"/>
                <w:iCs w:val="0"/>
                <w:color w:val="auto"/>
                <w:sz w:val="21"/>
                <w:szCs w:val="21"/>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E2BCE4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2174810</w:t>
            </w:r>
          </w:p>
        </w:tc>
      </w:tr>
      <w:tr w14:paraId="1E45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9945" w:type="dxa"/>
            <w:gridSpan w:val="7"/>
            <w:tcBorders>
              <w:top w:val="nil"/>
              <w:left w:val="nil"/>
              <w:bottom w:val="nil"/>
              <w:right w:val="nil"/>
            </w:tcBorders>
            <w:shd w:val="clear" w:color="auto" w:fill="auto"/>
            <w:noWrap/>
            <w:vAlign w:val="center"/>
          </w:tcPr>
          <w:p w14:paraId="0BDA8B34">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第二部分 泵站养护分项目清单</w:t>
            </w:r>
          </w:p>
        </w:tc>
      </w:tr>
      <w:tr w14:paraId="4CFB2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F01D09B">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序号</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66F64E5">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工程名称</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8595BB1">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清单特征</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DC50C04">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单位</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7264DAD">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工程量</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7781E0E">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综合单价</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9D60294">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全费用合价</w:t>
            </w:r>
          </w:p>
        </w:tc>
      </w:tr>
      <w:tr w14:paraId="0238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41DE585">
            <w:pPr>
              <w:shd w:val="clear"/>
              <w:jc w:val="center"/>
              <w:rPr>
                <w:rFonts w:hint="eastAsia" w:ascii="黑体" w:hAnsi="宋体" w:eastAsia="黑体" w:cs="黑体"/>
                <w:i w:val="0"/>
                <w:iCs w:val="0"/>
                <w:color w:val="auto"/>
                <w:sz w:val="21"/>
                <w:szCs w:val="21"/>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13D50EA">
            <w:pPr>
              <w:shd w:val="clear"/>
              <w:jc w:val="center"/>
              <w:rPr>
                <w:rFonts w:hint="eastAsia" w:ascii="黑体" w:hAnsi="宋体" w:eastAsia="黑体" w:cs="黑体"/>
                <w:i w:val="0"/>
                <w:iCs w:val="0"/>
                <w:color w:val="auto"/>
                <w:sz w:val="21"/>
                <w:szCs w:val="21"/>
                <w:highlight w:val="none"/>
                <w:u w:val="none"/>
              </w:rPr>
            </w:pPr>
          </w:p>
        </w:tc>
        <w:tc>
          <w:tcPr>
            <w:tcW w:w="41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14FF003">
            <w:pPr>
              <w:shd w:val="clear"/>
              <w:jc w:val="center"/>
              <w:rPr>
                <w:rFonts w:hint="eastAsia" w:ascii="黑体" w:hAnsi="宋体" w:eastAsia="黑体" w:cs="黑体"/>
                <w:i w:val="0"/>
                <w:iCs w:val="0"/>
                <w:color w:val="auto"/>
                <w:sz w:val="21"/>
                <w:szCs w:val="21"/>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E841592">
            <w:pPr>
              <w:shd w:val="clear"/>
              <w:jc w:val="center"/>
              <w:rPr>
                <w:rFonts w:hint="eastAsia" w:ascii="黑体" w:hAnsi="宋体" w:eastAsia="黑体" w:cs="黑体"/>
                <w:i w:val="0"/>
                <w:iCs w:val="0"/>
                <w:color w:val="auto"/>
                <w:sz w:val="21"/>
                <w:szCs w:val="21"/>
                <w:highlight w:val="none"/>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C5B1B53">
            <w:pPr>
              <w:shd w:val="clear"/>
              <w:jc w:val="center"/>
              <w:rPr>
                <w:rFonts w:hint="eastAsia" w:ascii="黑体" w:hAnsi="宋体" w:eastAsia="黑体" w:cs="黑体"/>
                <w:i w:val="0"/>
                <w:iCs w:val="0"/>
                <w:color w:val="auto"/>
                <w:sz w:val="21"/>
                <w:szCs w:val="21"/>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6239083">
            <w:pPr>
              <w:shd w:val="clear"/>
              <w:jc w:val="center"/>
              <w:rPr>
                <w:rFonts w:hint="eastAsia" w:ascii="黑体" w:hAnsi="宋体" w:eastAsia="黑体" w:cs="黑体"/>
                <w:i w:val="0"/>
                <w:iCs w:val="0"/>
                <w:color w:val="auto"/>
                <w:sz w:val="21"/>
                <w:szCs w:val="21"/>
                <w:highlight w:val="none"/>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4D743EC">
            <w:pPr>
              <w:shd w:val="clear"/>
              <w:jc w:val="center"/>
              <w:rPr>
                <w:rFonts w:hint="eastAsia" w:ascii="黑体" w:hAnsi="宋体" w:eastAsia="黑体" w:cs="黑体"/>
                <w:i w:val="0"/>
                <w:iCs w:val="0"/>
                <w:color w:val="auto"/>
                <w:sz w:val="21"/>
                <w:szCs w:val="21"/>
                <w:highlight w:val="none"/>
                <w:u w:val="none"/>
              </w:rPr>
            </w:pPr>
          </w:p>
        </w:tc>
      </w:tr>
      <w:tr w14:paraId="0990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4"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960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AD7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泵站养护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86F9">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1、包括：伏湾圩一站、伏湾圩二站、红庙一站、红庙二站、河东高泵站、胜利圩一站，共6座泵站的养护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2、含所有泵、闸站的运行、维保、监控设备维护及各泵、闸站前后池清淤、站内卫生保洁、垃圾清理转运工作、保安、10KV配电设施的基本维护等；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3、防汛应急响应；上墙制度；养护台账记录。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4、含4台移动水泵日常养护，应急响应。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5、包含可预见及不可预见养护费用。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16E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F54A">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A332">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72C0">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720000</w:t>
            </w:r>
          </w:p>
        </w:tc>
      </w:tr>
      <w:tr w14:paraId="486F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3BC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76E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泵站养护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614">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1、包括：徽州路污水提升泵站，补水站，共2座泵站的养护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2、泵站保洁；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3、水泵机组日常检修；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4、更换密封件、润滑油等养护工作；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5、河道、公园补水；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6、防汛应急响应；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7、上墙制度、养护台账记录；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8、养护时间：1年；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9、包含可预见及不可预见养护费用。</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E35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9ACB">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D00D">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E3B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12000</w:t>
            </w:r>
          </w:p>
        </w:tc>
      </w:tr>
      <w:tr w14:paraId="72C4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1"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D78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7A2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临时泵站、河闸、截流闸、翻板闸养护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D731">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1、包括：中新大道临时泵站，徽州路临时泵站，共2座泵站的临时养护；清流河两岸的4河闸、18河闸、27河闸，共3座河闸的养护；大王公园截流闸养护；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2、闸门启闭系统检修；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3、日常保养；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4、更换轴承、密封件等；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5、定期巡查；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6、防汛应急响应；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7、养护时间：1年；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8、包含可预见及不可预见养护费用。</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529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4F7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2052">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1D74">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w:t>
            </w:r>
          </w:p>
        </w:tc>
      </w:tr>
      <w:tr w14:paraId="6B55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4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C63B9D2">
            <w:pPr>
              <w:shd w:val="clear"/>
              <w:jc w:val="center"/>
              <w:rPr>
                <w:rFonts w:hint="eastAsia" w:ascii="宋体" w:hAnsi="宋体" w:eastAsia="宋体" w:cs="宋体"/>
                <w:i w:val="0"/>
                <w:iCs w:val="0"/>
                <w:color w:val="auto"/>
                <w:sz w:val="21"/>
                <w:szCs w:val="21"/>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9BFB953">
            <w:pPr>
              <w:shd w:val="clear"/>
              <w:jc w:val="center"/>
              <w:rPr>
                <w:rFonts w:hint="eastAsia" w:ascii="宋体" w:hAnsi="宋体" w:eastAsia="宋体" w:cs="宋体"/>
                <w:i w:val="0"/>
                <w:iCs w:val="0"/>
                <w:color w:val="auto"/>
                <w:sz w:val="21"/>
                <w:szCs w:val="21"/>
                <w:highlight w:val="none"/>
                <w:u w:val="none"/>
              </w:rPr>
            </w:pPr>
          </w:p>
        </w:tc>
        <w:tc>
          <w:tcPr>
            <w:tcW w:w="413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3D0FB1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第二部分小计</w:t>
            </w:r>
          </w:p>
        </w:tc>
        <w:tc>
          <w:tcPr>
            <w:tcW w:w="80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E4B655C">
            <w:pPr>
              <w:shd w:val="clear"/>
              <w:jc w:val="center"/>
              <w:rPr>
                <w:rFonts w:hint="eastAsia" w:ascii="宋体" w:hAnsi="宋体" w:eastAsia="宋体" w:cs="宋体"/>
                <w:i w:val="0"/>
                <w:iCs w:val="0"/>
                <w:color w:val="auto"/>
                <w:sz w:val="21"/>
                <w:szCs w:val="21"/>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685CB08">
            <w:pPr>
              <w:shd w:val="clear"/>
              <w:jc w:val="right"/>
              <w:rPr>
                <w:rFonts w:hint="eastAsia" w:ascii="宋体" w:hAnsi="宋体" w:eastAsia="宋体" w:cs="宋体"/>
                <w:i w:val="0"/>
                <w:iCs w:val="0"/>
                <w:color w:val="auto"/>
                <w:sz w:val="21"/>
                <w:szCs w:val="21"/>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0ED7AB4">
            <w:pPr>
              <w:shd w:val="clear"/>
              <w:jc w:val="right"/>
              <w:rPr>
                <w:rFonts w:hint="eastAsia" w:ascii="宋体" w:hAnsi="宋体" w:eastAsia="宋体" w:cs="宋体"/>
                <w:i w:val="0"/>
                <w:iCs w:val="0"/>
                <w:color w:val="auto"/>
                <w:sz w:val="21"/>
                <w:szCs w:val="21"/>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FAC7017">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750000</w:t>
            </w:r>
          </w:p>
        </w:tc>
      </w:tr>
      <w:tr w14:paraId="631E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9945" w:type="dxa"/>
            <w:gridSpan w:val="7"/>
            <w:tcBorders>
              <w:top w:val="nil"/>
              <w:left w:val="nil"/>
              <w:bottom w:val="nil"/>
              <w:right w:val="nil"/>
            </w:tcBorders>
            <w:shd w:val="clear" w:color="auto" w:fill="auto"/>
            <w:noWrap/>
            <w:vAlign w:val="center"/>
          </w:tcPr>
          <w:p w14:paraId="542BFBA6">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第三部分 公园机电养护分项目清单</w:t>
            </w:r>
          </w:p>
        </w:tc>
      </w:tr>
      <w:tr w14:paraId="1DEB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1515A93">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序号</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39074E4">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工程名称</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6567E84">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清单特征</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A3325BF">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单位</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425A61A">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工程量</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54AAB91">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综合单价</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90F1FB3">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全费用合价</w:t>
            </w:r>
          </w:p>
        </w:tc>
      </w:tr>
      <w:tr w14:paraId="5182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8543279">
            <w:pPr>
              <w:shd w:val="clear"/>
              <w:jc w:val="center"/>
              <w:rPr>
                <w:rFonts w:hint="eastAsia" w:ascii="黑体" w:hAnsi="宋体" w:eastAsia="黑体" w:cs="黑体"/>
                <w:i w:val="0"/>
                <w:iCs w:val="0"/>
                <w:color w:val="auto"/>
                <w:sz w:val="21"/>
                <w:szCs w:val="21"/>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EB3139B">
            <w:pPr>
              <w:shd w:val="clear"/>
              <w:jc w:val="center"/>
              <w:rPr>
                <w:rFonts w:hint="eastAsia" w:ascii="黑体" w:hAnsi="宋体" w:eastAsia="黑体" w:cs="黑体"/>
                <w:i w:val="0"/>
                <w:iCs w:val="0"/>
                <w:color w:val="auto"/>
                <w:sz w:val="21"/>
                <w:szCs w:val="21"/>
                <w:highlight w:val="none"/>
                <w:u w:val="none"/>
              </w:rPr>
            </w:pPr>
          </w:p>
        </w:tc>
        <w:tc>
          <w:tcPr>
            <w:tcW w:w="41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7EBD899">
            <w:pPr>
              <w:shd w:val="clear"/>
              <w:jc w:val="center"/>
              <w:rPr>
                <w:rFonts w:hint="eastAsia" w:ascii="黑体" w:hAnsi="宋体" w:eastAsia="黑体" w:cs="黑体"/>
                <w:i w:val="0"/>
                <w:iCs w:val="0"/>
                <w:color w:val="auto"/>
                <w:sz w:val="21"/>
                <w:szCs w:val="21"/>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82542CF">
            <w:pPr>
              <w:shd w:val="clear"/>
              <w:jc w:val="center"/>
              <w:rPr>
                <w:rFonts w:hint="eastAsia" w:ascii="黑体" w:hAnsi="宋体" w:eastAsia="黑体" w:cs="黑体"/>
                <w:i w:val="0"/>
                <w:iCs w:val="0"/>
                <w:color w:val="auto"/>
                <w:sz w:val="21"/>
                <w:szCs w:val="21"/>
                <w:highlight w:val="none"/>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F9C14C5">
            <w:pPr>
              <w:shd w:val="clear"/>
              <w:jc w:val="center"/>
              <w:rPr>
                <w:rFonts w:hint="eastAsia" w:ascii="黑体" w:hAnsi="宋体" w:eastAsia="黑体" w:cs="黑体"/>
                <w:i w:val="0"/>
                <w:iCs w:val="0"/>
                <w:color w:val="auto"/>
                <w:sz w:val="21"/>
                <w:szCs w:val="21"/>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10F025F">
            <w:pPr>
              <w:shd w:val="clear"/>
              <w:jc w:val="center"/>
              <w:rPr>
                <w:rFonts w:hint="eastAsia" w:ascii="黑体" w:hAnsi="宋体" w:eastAsia="黑体" w:cs="黑体"/>
                <w:i w:val="0"/>
                <w:iCs w:val="0"/>
                <w:color w:val="auto"/>
                <w:sz w:val="21"/>
                <w:szCs w:val="21"/>
                <w:highlight w:val="none"/>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4B34862">
            <w:pPr>
              <w:shd w:val="clear"/>
              <w:jc w:val="center"/>
              <w:rPr>
                <w:rFonts w:hint="eastAsia" w:ascii="黑体" w:hAnsi="宋体" w:eastAsia="黑体" w:cs="黑体"/>
                <w:i w:val="0"/>
                <w:iCs w:val="0"/>
                <w:color w:val="auto"/>
                <w:sz w:val="21"/>
                <w:szCs w:val="21"/>
                <w:highlight w:val="none"/>
                <w:u w:val="none"/>
              </w:rPr>
            </w:pPr>
          </w:p>
        </w:tc>
      </w:tr>
      <w:tr w14:paraId="54B6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70D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FF1A">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大王公园机电设施养护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E1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1、含公园内所有景观照明设施及其附属设施（包括灯具、配电箱（柜）、管线、控制器、控制系统、充电桩等）的日常维修养护及更换。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2、含公园内所有弱电设施及附属设施（包括监控、道闸、户外屏等）的日常维修养护及更换。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34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A4E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C7AC">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587">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w:t>
            </w:r>
          </w:p>
        </w:tc>
      </w:tr>
      <w:tr w14:paraId="122B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A3C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892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苏州公园机电设施养护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0D3A">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1、含公园内所有景观照明设施及其附属设施（包括灯具、配电箱（柜）、管线、控制器、控制系统、充电桩等）的日常维修养护及更换。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2、含公园内所有弱电设施及附属设施（包括监控、道闸、户外屏等）的日常维修养护及更换。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F83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D6F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3F21">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3E4A">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0000</w:t>
            </w:r>
          </w:p>
        </w:tc>
      </w:tr>
      <w:tr w14:paraId="690B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503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758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鱼尾狮公园机电设施养护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B53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1、含公园内所有景观照明设施及其附属设施（包括灯具、配电箱（柜）、管线、控制器、控制系统、充电桩等）的日常维修养护及更换。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2、含公园内所有弱电设施及附属设施（包括监控、道闸、户外屏等）的日常维修养护及更换。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30B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E2C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C87E">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1499">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w:t>
            </w:r>
          </w:p>
        </w:tc>
      </w:tr>
      <w:tr w14:paraId="0869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59A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FAA7">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清流花谷公园机电设施养护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8DD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1、含公园内所有景观照明设施及其附属设施（包括灯具、配电箱（柜）、管线、控制器、控制系统、充电桩等）的日常维修养护及更换。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2、含公园内所有弱电设施及附属设施（包括监控、道闸、户外屏等）的日常维修养护及更换。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A85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A02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A84E">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D01B">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w:t>
            </w:r>
          </w:p>
        </w:tc>
      </w:tr>
      <w:tr w14:paraId="520B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976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68E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苏州路绿廊机电设施养护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AA5E">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1、含公园内所有景观照明设施及其附属设施（包括灯具、配电箱（柜）、管线、控制器、控制系统、充电桩等）的日常维修养护及更换。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2、含公园内所有弱电设施及附属设施（包括监控、道闸、户外屏等）的日常维修养护及更换。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1CF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B15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578C">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13F1">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r>
      <w:tr w14:paraId="313A5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731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AB7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景观带机电设施养护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C8E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1、滨河北景观带、徽州路景观带、滁州大道景观带、双城路景观带、锦州路景观带、苏州路绿道、滁州东高速口亮化、滁州大道跨清流河大桥等桥梁亮化</w:t>
            </w:r>
            <w:r>
              <w:rPr>
                <w:rFonts w:hint="eastAsia" w:ascii="宋体" w:hAnsi="宋体" w:cs="宋体"/>
                <w:i w:val="0"/>
                <w:iCs w:val="0"/>
                <w:color w:val="auto"/>
                <w:kern w:val="0"/>
                <w:sz w:val="21"/>
                <w:szCs w:val="21"/>
                <w:highlight w:val="none"/>
                <w:u w:val="none"/>
                <w:lang w:val="en-US" w:eastAsia="zh-CN" w:bidi="ar"/>
              </w:rPr>
              <w:t>、高炮亮化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2、含景观带内所有景观照明设施及其附属设施（包括灯具、配电箱（柜）、管线、控制器、控制系统等）的日常维修养护及更换。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3、含景观带内所有弱电设施及附属设施（包括监控、道闸等）的日常维修养护及更换。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41E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38B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B83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5F34">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150000</w:t>
            </w:r>
          </w:p>
        </w:tc>
      </w:tr>
      <w:tr w14:paraId="76C4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4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0DBEC65">
            <w:pPr>
              <w:shd w:val="clear"/>
              <w:jc w:val="center"/>
              <w:rPr>
                <w:rFonts w:hint="eastAsia" w:ascii="宋体" w:hAnsi="宋体" w:eastAsia="宋体" w:cs="宋体"/>
                <w:i w:val="0"/>
                <w:iCs w:val="0"/>
                <w:color w:val="auto"/>
                <w:sz w:val="21"/>
                <w:szCs w:val="21"/>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7AA638F">
            <w:pPr>
              <w:shd w:val="clear"/>
              <w:jc w:val="center"/>
              <w:rPr>
                <w:rFonts w:hint="eastAsia" w:ascii="宋体" w:hAnsi="宋体" w:eastAsia="宋体" w:cs="宋体"/>
                <w:i w:val="0"/>
                <w:iCs w:val="0"/>
                <w:color w:val="auto"/>
                <w:sz w:val="21"/>
                <w:szCs w:val="21"/>
                <w:highlight w:val="none"/>
                <w:u w:val="none"/>
              </w:rPr>
            </w:pPr>
          </w:p>
        </w:tc>
        <w:tc>
          <w:tcPr>
            <w:tcW w:w="413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B3B3C1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第三部分  小计</w:t>
            </w:r>
          </w:p>
        </w:tc>
        <w:tc>
          <w:tcPr>
            <w:tcW w:w="80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E28F163">
            <w:pPr>
              <w:shd w:val="clear"/>
              <w:jc w:val="center"/>
              <w:rPr>
                <w:rFonts w:hint="eastAsia" w:ascii="宋体" w:hAnsi="宋体" w:eastAsia="宋体" w:cs="宋体"/>
                <w:i w:val="0"/>
                <w:iCs w:val="0"/>
                <w:color w:val="auto"/>
                <w:sz w:val="21"/>
                <w:szCs w:val="21"/>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BA244C3">
            <w:pPr>
              <w:shd w:val="clear"/>
              <w:jc w:val="right"/>
              <w:rPr>
                <w:rFonts w:hint="eastAsia" w:ascii="宋体" w:hAnsi="宋体" w:eastAsia="宋体" w:cs="宋体"/>
                <w:i w:val="0"/>
                <w:iCs w:val="0"/>
                <w:color w:val="auto"/>
                <w:sz w:val="21"/>
                <w:szCs w:val="21"/>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DC23904">
            <w:pPr>
              <w:shd w:val="clear"/>
              <w:jc w:val="right"/>
              <w:rPr>
                <w:rFonts w:hint="eastAsia" w:ascii="宋体" w:hAnsi="宋体" w:eastAsia="宋体" w:cs="宋体"/>
                <w:i w:val="0"/>
                <w:iCs w:val="0"/>
                <w:color w:val="auto"/>
                <w:sz w:val="21"/>
                <w:szCs w:val="21"/>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2151806">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0000</w:t>
            </w:r>
          </w:p>
        </w:tc>
      </w:tr>
      <w:tr w14:paraId="26EB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945" w:type="dxa"/>
            <w:gridSpan w:val="7"/>
            <w:tcBorders>
              <w:top w:val="nil"/>
              <w:left w:val="nil"/>
              <w:bottom w:val="nil"/>
              <w:right w:val="nil"/>
            </w:tcBorders>
            <w:shd w:val="clear" w:color="auto" w:fill="auto"/>
            <w:noWrap/>
            <w:vAlign w:val="center"/>
          </w:tcPr>
          <w:p w14:paraId="6E7FEC87">
            <w:pPr>
              <w:keepNext w:val="0"/>
              <w:keepLines w:val="0"/>
              <w:widowControl/>
              <w:suppressLineNumbers w:val="0"/>
              <w:shd w:val="clear"/>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第四部分 停车场养护分项目清单</w:t>
            </w:r>
          </w:p>
        </w:tc>
      </w:tr>
      <w:tr w14:paraId="1A36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0DEB727">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序号</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07A89AF">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工程名称</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63906E7">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清单特征</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6B84072">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单位</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45A2F54">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工程量</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357BA31">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综合单价</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134706C">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全费用合价</w:t>
            </w:r>
          </w:p>
        </w:tc>
      </w:tr>
      <w:tr w14:paraId="3385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7F522CF">
            <w:pPr>
              <w:shd w:val="clear"/>
              <w:jc w:val="center"/>
              <w:rPr>
                <w:rFonts w:hint="eastAsia" w:ascii="黑体" w:hAnsi="宋体" w:eastAsia="黑体" w:cs="黑体"/>
                <w:i w:val="0"/>
                <w:iCs w:val="0"/>
                <w:color w:val="auto"/>
                <w:sz w:val="21"/>
                <w:szCs w:val="21"/>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E35E7CC">
            <w:pPr>
              <w:shd w:val="clear"/>
              <w:jc w:val="center"/>
              <w:rPr>
                <w:rFonts w:hint="eastAsia" w:ascii="黑体" w:hAnsi="宋体" w:eastAsia="黑体" w:cs="黑体"/>
                <w:i w:val="0"/>
                <w:iCs w:val="0"/>
                <w:color w:val="auto"/>
                <w:sz w:val="21"/>
                <w:szCs w:val="21"/>
                <w:highlight w:val="none"/>
                <w:u w:val="none"/>
              </w:rPr>
            </w:pPr>
          </w:p>
        </w:tc>
        <w:tc>
          <w:tcPr>
            <w:tcW w:w="41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A80781F">
            <w:pPr>
              <w:shd w:val="clear"/>
              <w:jc w:val="center"/>
              <w:rPr>
                <w:rFonts w:hint="eastAsia" w:ascii="黑体" w:hAnsi="宋体" w:eastAsia="黑体" w:cs="黑体"/>
                <w:i w:val="0"/>
                <w:iCs w:val="0"/>
                <w:color w:val="auto"/>
                <w:sz w:val="21"/>
                <w:szCs w:val="21"/>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03D921D">
            <w:pPr>
              <w:shd w:val="clear"/>
              <w:jc w:val="center"/>
              <w:rPr>
                <w:rFonts w:hint="eastAsia" w:ascii="黑体" w:hAnsi="宋体" w:eastAsia="黑体" w:cs="黑体"/>
                <w:i w:val="0"/>
                <w:iCs w:val="0"/>
                <w:color w:val="auto"/>
                <w:sz w:val="21"/>
                <w:szCs w:val="21"/>
                <w:highlight w:val="none"/>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6C94562">
            <w:pPr>
              <w:shd w:val="clear"/>
              <w:jc w:val="center"/>
              <w:rPr>
                <w:rFonts w:hint="eastAsia" w:ascii="黑体" w:hAnsi="宋体" w:eastAsia="黑体" w:cs="黑体"/>
                <w:i w:val="0"/>
                <w:iCs w:val="0"/>
                <w:color w:val="auto"/>
                <w:sz w:val="21"/>
                <w:szCs w:val="21"/>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BECDB37">
            <w:pPr>
              <w:shd w:val="clear"/>
              <w:jc w:val="center"/>
              <w:rPr>
                <w:rFonts w:hint="eastAsia" w:ascii="黑体" w:hAnsi="宋体" w:eastAsia="黑体" w:cs="黑体"/>
                <w:i w:val="0"/>
                <w:iCs w:val="0"/>
                <w:color w:val="auto"/>
                <w:sz w:val="21"/>
                <w:szCs w:val="21"/>
                <w:highlight w:val="none"/>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32ACF11">
            <w:pPr>
              <w:shd w:val="clear"/>
              <w:jc w:val="center"/>
              <w:rPr>
                <w:rFonts w:hint="eastAsia" w:ascii="黑体" w:hAnsi="宋体" w:eastAsia="黑体" w:cs="黑体"/>
                <w:i w:val="0"/>
                <w:iCs w:val="0"/>
                <w:color w:val="auto"/>
                <w:sz w:val="21"/>
                <w:szCs w:val="21"/>
                <w:highlight w:val="none"/>
                <w:u w:val="none"/>
              </w:rPr>
            </w:pPr>
          </w:p>
        </w:tc>
      </w:tr>
      <w:tr w14:paraId="08C7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880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646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苏州路停车场机电设备养护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94F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1、含停车场内所有景观照明设施及其附属设施（包括灯具、亮化字、配电箱（柜）、管线、控制器、控制系统、充电桩等）的日常维修养护及更换。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2、含停车场内所有弱电设施及附属设施（包括监控、道闸等）的日常维修养护及更换。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3、包括可预见及不可预见产生的养护费用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7ED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B2C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676B">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413B">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12000</w:t>
            </w:r>
          </w:p>
        </w:tc>
      </w:tr>
      <w:tr w14:paraId="6FA2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1"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2B0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C0A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锦州路停车场机电设备养护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BC89">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1、含停车场内所有景观照明设施及其附属设施（包括灯具、亮化字、配电箱（柜）、管线、控制器、控制系统、充电桩等）的日常维修养护及更换。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2、含停车场内所有弱电设施及附属设施（包括监控、道闸等）的日常维修养护及更换。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3、包括可预见及不可预见产生的养护费用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4F7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BE61">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7BA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1F8B">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w:t>
            </w:r>
          </w:p>
        </w:tc>
      </w:tr>
      <w:tr w14:paraId="669D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778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BE21">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泉州路停车场机电设备养护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EB0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1、含停车场内所有景观照明设施及其附属设施（包括灯具、亮化字、配电箱（柜）、管线、控制器、控制系统等）的日常维修养护及更换。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2、含停车场内所有弱电设施及附属设施（包括监控、道闸等）的日常维修养护及更换。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3、包括可预见及不可预见产生的养护费用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2D7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BDAA">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19AC">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DED4">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w:t>
            </w:r>
          </w:p>
        </w:tc>
      </w:tr>
      <w:tr w14:paraId="2BD5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B40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F91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三号停车场机电设备养护（含邻里公园）</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5AA9">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1、含停车场内所有景观照明设施及其附属设施（包括灯具、亮化字、配电箱（柜）、管线、控制器、控制系统、充电桩等）的日常维修养护及更换。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2、含停车场内所有弱电设施及附属设施（包括监控、道闸等）的日常维修养护及更换。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3、含办公楼所有水电设施维护、弱电设施、室内大屏、配电房维护、电动车充电设施维护、消防泵房维护。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4、包括可预见及不可预见产生的养护费用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5、养护时间：1年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85D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5871">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3E3D">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8BF4">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w:t>
            </w:r>
          </w:p>
        </w:tc>
      </w:tr>
      <w:tr w14:paraId="6044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121E334">
            <w:pPr>
              <w:shd w:val="clear"/>
              <w:jc w:val="center"/>
              <w:rPr>
                <w:rFonts w:hint="eastAsia" w:ascii="宋体" w:hAnsi="宋体" w:eastAsia="宋体" w:cs="宋体"/>
                <w:i w:val="0"/>
                <w:iCs w:val="0"/>
                <w:color w:val="auto"/>
                <w:sz w:val="21"/>
                <w:szCs w:val="21"/>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F1A9C3B">
            <w:pPr>
              <w:shd w:val="clear"/>
              <w:jc w:val="center"/>
              <w:rPr>
                <w:rFonts w:hint="eastAsia" w:ascii="宋体" w:hAnsi="宋体" w:eastAsia="宋体" w:cs="宋体"/>
                <w:i w:val="0"/>
                <w:iCs w:val="0"/>
                <w:color w:val="auto"/>
                <w:sz w:val="21"/>
                <w:szCs w:val="21"/>
                <w:highlight w:val="none"/>
                <w:u w:val="none"/>
              </w:rPr>
            </w:pPr>
          </w:p>
        </w:tc>
        <w:tc>
          <w:tcPr>
            <w:tcW w:w="413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079733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第四部分  小计</w:t>
            </w:r>
          </w:p>
        </w:tc>
        <w:tc>
          <w:tcPr>
            <w:tcW w:w="80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80369EB">
            <w:pPr>
              <w:shd w:val="clear"/>
              <w:jc w:val="center"/>
              <w:rPr>
                <w:rFonts w:hint="eastAsia" w:ascii="宋体" w:hAnsi="宋体" w:eastAsia="宋体" w:cs="宋体"/>
                <w:i w:val="0"/>
                <w:iCs w:val="0"/>
                <w:color w:val="auto"/>
                <w:sz w:val="21"/>
                <w:szCs w:val="21"/>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31AE5EA">
            <w:pPr>
              <w:shd w:val="clear"/>
              <w:jc w:val="right"/>
              <w:rPr>
                <w:rFonts w:hint="eastAsia" w:ascii="宋体" w:hAnsi="宋体" w:eastAsia="宋体" w:cs="宋体"/>
                <w:i w:val="0"/>
                <w:iCs w:val="0"/>
                <w:color w:val="auto"/>
                <w:sz w:val="21"/>
                <w:szCs w:val="21"/>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19A8A22">
            <w:pPr>
              <w:shd w:val="clear"/>
              <w:jc w:val="right"/>
              <w:rPr>
                <w:rFonts w:hint="eastAsia" w:ascii="宋体" w:hAnsi="宋体" w:eastAsia="宋体" w:cs="宋体"/>
                <w:i w:val="0"/>
                <w:iCs w:val="0"/>
                <w:color w:val="auto"/>
                <w:sz w:val="21"/>
                <w:szCs w:val="21"/>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B04C456">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69600</w:t>
            </w:r>
          </w:p>
        </w:tc>
      </w:tr>
      <w:tr w14:paraId="2703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945" w:type="dxa"/>
            <w:gridSpan w:val="7"/>
            <w:tcBorders>
              <w:top w:val="nil"/>
              <w:left w:val="nil"/>
              <w:bottom w:val="nil"/>
              <w:right w:val="nil"/>
            </w:tcBorders>
            <w:shd w:val="clear" w:color="auto" w:fill="auto"/>
            <w:noWrap/>
            <w:vAlign w:val="center"/>
          </w:tcPr>
          <w:p w14:paraId="776A2B84">
            <w:pPr>
              <w:keepNext w:val="0"/>
              <w:keepLines w:val="0"/>
              <w:widowControl/>
              <w:suppressLineNumbers w:val="0"/>
              <w:shd w:val="clear"/>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第五部分 交安工程分项目清单</w:t>
            </w:r>
          </w:p>
        </w:tc>
      </w:tr>
      <w:tr w14:paraId="51EC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3D26CCE">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序号</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367359E">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工程名称</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778673A">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清单特征</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908AD2E">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单位</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4CDA80C">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工程量</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A3F5168">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综合单价</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A9BC132">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全费用合价</w:t>
            </w:r>
          </w:p>
        </w:tc>
      </w:tr>
      <w:tr w14:paraId="7E02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0C1893F">
            <w:pPr>
              <w:shd w:val="clear"/>
              <w:jc w:val="center"/>
              <w:rPr>
                <w:rFonts w:hint="eastAsia" w:ascii="黑体" w:hAnsi="宋体" w:eastAsia="黑体" w:cs="黑体"/>
                <w:i w:val="0"/>
                <w:iCs w:val="0"/>
                <w:color w:val="auto"/>
                <w:sz w:val="21"/>
                <w:szCs w:val="21"/>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54BAFB1">
            <w:pPr>
              <w:shd w:val="clear"/>
              <w:jc w:val="center"/>
              <w:rPr>
                <w:rFonts w:hint="eastAsia" w:ascii="黑体" w:hAnsi="宋体" w:eastAsia="黑体" w:cs="黑体"/>
                <w:i w:val="0"/>
                <w:iCs w:val="0"/>
                <w:color w:val="auto"/>
                <w:sz w:val="21"/>
                <w:szCs w:val="21"/>
                <w:highlight w:val="none"/>
                <w:u w:val="none"/>
              </w:rPr>
            </w:pPr>
          </w:p>
        </w:tc>
        <w:tc>
          <w:tcPr>
            <w:tcW w:w="41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C032338">
            <w:pPr>
              <w:shd w:val="clear"/>
              <w:jc w:val="center"/>
              <w:rPr>
                <w:rFonts w:hint="eastAsia" w:ascii="黑体" w:hAnsi="宋体" w:eastAsia="黑体" w:cs="黑体"/>
                <w:i w:val="0"/>
                <w:iCs w:val="0"/>
                <w:color w:val="auto"/>
                <w:sz w:val="21"/>
                <w:szCs w:val="21"/>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2D0A743">
            <w:pPr>
              <w:shd w:val="clear"/>
              <w:jc w:val="center"/>
              <w:rPr>
                <w:rFonts w:hint="eastAsia" w:ascii="黑体" w:hAnsi="宋体" w:eastAsia="黑体" w:cs="黑体"/>
                <w:i w:val="0"/>
                <w:iCs w:val="0"/>
                <w:color w:val="auto"/>
                <w:sz w:val="21"/>
                <w:szCs w:val="21"/>
                <w:highlight w:val="none"/>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8CA5B21">
            <w:pPr>
              <w:shd w:val="clear"/>
              <w:jc w:val="center"/>
              <w:rPr>
                <w:rFonts w:hint="eastAsia" w:ascii="黑体" w:hAnsi="宋体" w:eastAsia="黑体" w:cs="黑体"/>
                <w:i w:val="0"/>
                <w:iCs w:val="0"/>
                <w:color w:val="auto"/>
                <w:sz w:val="21"/>
                <w:szCs w:val="21"/>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A9BACB1">
            <w:pPr>
              <w:shd w:val="clear"/>
              <w:jc w:val="center"/>
              <w:rPr>
                <w:rFonts w:hint="eastAsia" w:ascii="黑体" w:hAnsi="宋体" w:eastAsia="黑体" w:cs="黑体"/>
                <w:i w:val="0"/>
                <w:iCs w:val="0"/>
                <w:color w:val="auto"/>
                <w:sz w:val="21"/>
                <w:szCs w:val="21"/>
                <w:highlight w:val="none"/>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AE907D0">
            <w:pPr>
              <w:shd w:val="clear"/>
              <w:jc w:val="center"/>
              <w:rPr>
                <w:rFonts w:hint="eastAsia" w:ascii="黑体" w:hAnsi="宋体" w:eastAsia="黑体" w:cs="黑体"/>
                <w:i w:val="0"/>
                <w:iCs w:val="0"/>
                <w:color w:val="auto"/>
                <w:sz w:val="21"/>
                <w:szCs w:val="21"/>
                <w:highlight w:val="none"/>
                <w:u w:val="none"/>
              </w:rPr>
            </w:pPr>
          </w:p>
        </w:tc>
      </w:tr>
      <w:tr w14:paraId="537D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917B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CD7A1">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十字型路口信号灯维修及养护</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9FE8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1、养护内容1：包括上垫片、螺丝、调整信号灯等所有程序及所需材料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2、养护内容2：更换损坏光源（含光源防护罩），光源技术参数符合原信号灯参数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3、养护内容3：</w:t>
            </w:r>
            <w:r>
              <w:rPr>
                <w:rFonts w:hint="eastAsia" w:ascii="宋体" w:hAnsi="宋体" w:cs="宋体"/>
                <w:i w:val="0"/>
                <w:iCs w:val="0"/>
                <w:color w:val="auto"/>
                <w:kern w:val="0"/>
                <w:sz w:val="21"/>
                <w:szCs w:val="21"/>
                <w:highlight w:val="none"/>
                <w:u w:val="none"/>
                <w:lang w:val="en-US" w:eastAsia="zh-CN" w:bidi="ar"/>
              </w:rPr>
              <w:t>更</w:t>
            </w:r>
            <w:r>
              <w:rPr>
                <w:rFonts w:hint="eastAsia" w:ascii="宋体" w:hAnsi="宋体" w:eastAsia="宋体" w:cs="宋体"/>
                <w:i w:val="0"/>
                <w:iCs w:val="0"/>
                <w:color w:val="auto"/>
                <w:kern w:val="0"/>
                <w:sz w:val="21"/>
                <w:szCs w:val="21"/>
                <w:highlight w:val="none"/>
                <w:u w:val="none"/>
                <w:lang w:val="en-US" w:eastAsia="zh-CN" w:bidi="ar"/>
              </w:rPr>
              <w:t>换信号灯电源线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4、养护内容4：校正调直灯杆、补漆及日常维护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5、养护内容5：包括可预见及不可预见产生的养护费用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6、养护内容6：系统软件维护及运营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7、养护内容7：全彩显示屏维护（若有）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8、养护时间：1年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9、含应急保障区域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备注1：本清单中包含十字路口中四个方向的全部车行灯、人行灯、倒计时器、微波探测器及配套设备等</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9F16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路口</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2B941">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0D3BD">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889FA">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464000</w:t>
            </w:r>
          </w:p>
        </w:tc>
      </w:tr>
      <w:tr w14:paraId="1614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28E4">
            <w:pPr>
              <w:shd w:val="clear"/>
              <w:jc w:val="center"/>
              <w:rPr>
                <w:rFonts w:hint="eastAsia" w:ascii="宋体" w:hAnsi="宋体" w:eastAsia="宋体" w:cs="宋体"/>
                <w:i w:val="0"/>
                <w:iCs w:val="0"/>
                <w:color w:val="auto"/>
                <w:sz w:val="21"/>
                <w:szCs w:val="21"/>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537A7">
            <w:pPr>
              <w:shd w:val="clear"/>
              <w:jc w:val="left"/>
              <w:rPr>
                <w:rFonts w:hint="eastAsia" w:ascii="宋体" w:hAnsi="宋体" w:eastAsia="宋体" w:cs="宋体"/>
                <w:i w:val="0"/>
                <w:iCs w:val="0"/>
                <w:color w:val="auto"/>
                <w:sz w:val="21"/>
                <w:szCs w:val="21"/>
                <w:highlight w:val="none"/>
                <w:u w:val="none"/>
              </w:rPr>
            </w:pP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A475F">
            <w:pPr>
              <w:shd w:val="clear"/>
              <w:jc w:val="left"/>
              <w:rPr>
                <w:rFonts w:hint="eastAsia" w:ascii="宋体" w:hAnsi="宋体" w:eastAsia="宋体" w:cs="宋体"/>
                <w:i w:val="0"/>
                <w:iCs w:val="0"/>
                <w:color w:val="auto"/>
                <w:sz w:val="21"/>
                <w:szCs w:val="21"/>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AEBEF">
            <w:pPr>
              <w:shd w:val="clear"/>
              <w:jc w:val="center"/>
              <w:rPr>
                <w:rFonts w:hint="eastAsia" w:ascii="宋体" w:hAnsi="宋体" w:eastAsia="宋体" w:cs="宋体"/>
                <w:i w:val="0"/>
                <w:iCs w:val="0"/>
                <w:color w:val="auto"/>
                <w:sz w:val="21"/>
                <w:szCs w:val="21"/>
                <w:highlight w:val="none"/>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1E741">
            <w:pPr>
              <w:shd w:val="clear"/>
              <w:jc w:val="right"/>
              <w:rPr>
                <w:rFonts w:hint="eastAsia" w:ascii="宋体" w:hAnsi="宋体" w:eastAsia="宋体" w:cs="宋体"/>
                <w:i w:val="0"/>
                <w:iCs w:val="0"/>
                <w:color w:val="auto"/>
                <w:sz w:val="21"/>
                <w:szCs w:val="21"/>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B3588">
            <w:pPr>
              <w:shd w:val="clear"/>
              <w:jc w:val="right"/>
              <w:rPr>
                <w:rFonts w:hint="eastAsia" w:ascii="宋体" w:hAnsi="宋体" w:eastAsia="宋体" w:cs="宋体"/>
                <w:i w:val="0"/>
                <w:iCs w:val="0"/>
                <w:color w:val="auto"/>
                <w:sz w:val="21"/>
                <w:szCs w:val="21"/>
                <w:highlight w:val="none"/>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E6FA7">
            <w:pPr>
              <w:shd w:val="clear"/>
              <w:jc w:val="right"/>
              <w:rPr>
                <w:rFonts w:hint="eastAsia" w:ascii="宋体" w:hAnsi="宋体" w:eastAsia="宋体" w:cs="宋体"/>
                <w:i w:val="0"/>
                <w:iCs w:val="0"/>
                <w:color w:val="auto"/>
                <w:sz w:val="21"/>
                <w:szCs w:val="21"/>
                <w:highlight w:val="none"/>
                <w:u w:val="none"/>
              </w:rPr>
            </w:pPr>
          </w:p>
        </w:tc>
      </w:tr>
      <w:tr w14:paraId="64F3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7F75D">
            <w:pPr>
              <w:shd w:val="clear"/>
              <w:jc w:val="center"/>
              <w:rPr>
                <w:rFonts w:hint="eastAsia" w:ascii="宋体" w:hAnsi="宋体" w:eastAsia="宋体" w:cs="宋体"/>
                <w:i w:val="0"/>
                <w:iCs w:val="0"/>
                <w:color w:val="auto"/>
                <w:sz w:val="21"/>
                <w:szCs w:val="21"/>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0EB06">
            <w:pPr>
              <w:shd w:val="clear"/>
              <w:jc w:val="left"/>
              <w:rPr>
                <w:rFonts w:hint="eastAsia" w:ascii="宋体" w:hAnsi="宋体" w:eastAsia="宋体" w:cs="宋体"/>
                <w:i w:val="0"/>
                <w:iCs w:val="0"/>
                <w:color w:val="auto"/>
                <w:sz w:val="21"/>
                <w:szCs w:val="21"/>
                <w:highlight w:val="none"/>
                <w:u w:val="none"/>
              </w:rPr>
            </w:pP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DD3CD">
            <w:pPr>
              <w:shd w:val="clear"/>
              <w:jc w:val="left"/>
              <w:rPr>
                <w:rFonts w:hint="eastAsia" w:ascii="宋体" w:hAnsi="宋体" w:eastAsia="宋体" w:cs="宋体"/>
                <w:i w:val="0"/>
                <w:iCs w:val="0"/>
                <w:color w:val="auto"/>
                <w:sz w:val="21"/>
                <w:szCs w:val="21"/>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C1E0">
            <w:pPr>
              <w:shd w:val="clear"/>
              <w:jc w:val="center"/>
              <w:rPr>
                <w:rFonts w:hint="eastAsia" w:ascii="宋体" w:hAnsi="宋体" w:eastAsia="宋体" w:cs="宋体"/>
                <w:i w:val="0"/>
                <w:iCs w:val="0"/>
                <w:color w:val="auto"/>
                <w:sz w:val="21"/>
                <w:szCs w:val="21"/>
                <w:highlight w:val="none"/>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04D2A">
            <w:pPr>
              <w:shd w:val="clear"/>
              <w:jc w:val="right"/>
              <w:rPr>
                <w:rFonts w:hint="eastAsia" w:ascii="宋体" w:hAnsi="宋体" w:eastAsia="宋体" w:cs="宋体"/>
                <w:i w:val="0"/>
                <w:iCs w:val="0"/>
                <w:color w:val="auto"/>
                <w:sz w:val="21"/>
                <w:szCs w:val="21"/>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23BC6">
            <w:pPr>
              <w:shd w:val="clear"/>
              <w:jc w:val="right"/>
              <w:rPr>
                <w:rFonts w:hint="eastAsia" w:ascii="宋体" w:hAnsi="宋体" w:eastAsia="宋体" w:cs="宋体"/>
                <w:i w:val="0"/>
                <w:iCs w:val="0"/>
                <w:color w:val="auto"/>
                <w:sz w:val="21"/>
                <w:szCs w:val="21"/>
                <w:highlight w:val="none"/>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B39F">
            <w:pPr>
              <w:shd w:val="clear"/>
              <w:jc w:val="right"/>
              <w:rPr>
                <w:rFonts w:hint="eastAsia" w:ascii="宋体" w:hAnsi="宋体" w:eastAsia="宋体" w:cs="宋体"/>
                <w:i w:val="0"/>
                <w:iCs w:val="0"/>
                <w:color w:val="auto"/>
                <w:sz w:val="21"/>
                <w:szCs w:val="21"/>
                <w:highlight w:val="none"/>
                <w:u w:val="none"/>
              </w:rPr>
            </w:pPr>
          </w:p>
        </w:tc>
      </w:tr>
      <w:tr w14:paraId="3589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5"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124E">
            <w:pPr>
              <w:shd w:val="clear"/>
              <w:jc w:val="center"/>
              <w:rPr>
                <w:rFonts w:hint="eastAsia" w:ascii="宋体" w:hAnsi="宋体" w:eastAsia="宋体" w:cs="宋体"/>
                <w:i w:val="0"/>
                <w:iCs w:val="0"/>
                <w:color w:val="auto"/>
                <w:sz w:val="21"/>
                <w:szCs w:val="21"/>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BB5E">
            <w:pPr>
              <w:shd w:val="clear"/>
              <w:jc w:val="left"/>
              <w:rPr>
                <w:rFonts w:hint="eastAsia" w:ascii="宋体" w:hAnsi="宋体" w:eastAsia="宋体" w:cs="宋体"/>
                <w:i w:val="0"/>
                <w:iCs w:val="0"/>
                <w:color w:val="auto"/>
                <w:sz w:val="21"/>
                <w:szCs w:val="21"/>
                <w:highlight w:val="none"/>
                <w:u w:val="none"/>
              </w:rPr>
            </w:pP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BA3F7">
            <w:pPr>
              <w:shd w:val="clear"/>
              <w:jc w:val="left"/>
              <w:rPr>
                <w:rFonts w:hint="eastAsia" w:ascii="宋体" w:hAnsi="宋体" w:eastAsia="宋体" w:cs="宋体"/>
                <w:i w:val="0"/>
                <w:iCs w:val="0"/>
                <w:color w:val="auto"/>
                <w:sz w:val="21"/>
                <w:szCs w:val="21"/>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B929">
            <w:pPr>
              <w:shd w:val="clear"/>
              <w:jc w:val="center"/>
              <w:rPr>
                <w:rFonts w:hint="eastAsia" w:ascii="宋体" w:hAnsi="宋体" w:eastAsia="宋体" w:cs="宋体"/>
                <w:i w:val="0"/>
                <w:iCs w:val="0"/>
                <w:color w:val="auto"/>
                <w:sz w:val="21"/>
                <w:szCs w:val="21"/>
                <w:highlight w:val="none"/>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5CBAD">
            <w:pPr>
              <w:shd w:val="clear"/>
              <w:jc w:val="right"/>
              <w:rPr>
                <w:rFonts w:hint="eastAsia" w:ascii="宋体" w:hAnsi="宋体" w:eastAsia="宋体" w:cs="宋体"/>
                <w:i w:val="0"/>
                <w:iCs w:val="0"/>
                <w:color w:val="auto"/>
                <w:sz w:val="21"/>
                <w:szCs w:val="21"/>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B646">
            <w:pPr>
              <w:shd w:val="clear"/>
              <w:jc w:val="right"/>
              <w:rPr>
                <w:rFonts w:hint="eastAsia" w:ascii="宋体" w:hAnsi="宋体" w:eastAsia="宋体" w:cs="宋体"/>
                <w:i w:val="0"/>
                <w:iCs w:val="0"/>
                <w:color w:val="auto"/>
                <w:sz w:val="21"/>
                <w:szCs w:val="21"/>
                <w:highlight w:val="none"/>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8674">
            <w:pPr>
              <w:shd w:val="clear"/>
              <w:jc w:val="right"/>
              <w:rPr>
                <w:rFonts w:hint="eastAsia" w:ascii="宋体" w:hAnsi="宋体" w:eastAsia="宋体" w:cs="宋体"/>
                <w:i w:val="0"/>
                <w:iCs w:val="0"/>
                <w:color w:val="auto"/>
                <w:sz w:val="21"/>
                <w:szCs w:val="21"/>
                <w:highlight w:val="none"/>
                <w:u w:val="none"/>
              </w:rPr>
            </w:pPr>
          </w:p>
        </w:tc>
      </w:tr>
      <w:tr w14:paraId="33DE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1"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DA6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0CB8">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丁字型路口信号灯维修及养护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DB9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1、养护内容1：包括上垫片、螺丝、调整信号灯等所有程序及所需材料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2、养护内容2：更换损坏光源（含光源防护罩），光源技术参数符合原信号灯参数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3、养护内容3：更换信号灯电源线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4、养护内容4：校正调直灯杆、补漆及日常维护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5、养护内容5：包括可预见及不可预见产生的养护费用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6、养护内容6：系统软件维护及运营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7、养护内容7：全彩显示屏维护（若有）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8、养护时间：1年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9、含应急保障区域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备注1：本清单中包含丁字路口中四个方向的全部车行灯、人行灯、倒计时器、微波探测器及配套设备等</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28A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路口</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34D2">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1118">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8F99">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102000</w:t>
            </w:r>
          </w:p>
        </w:tc>
      </w:tr>
      <w:tr w14:paraId="0FD6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CC6CD10">
            <w:pPr>
              <w:shd w:val="clear"/>
              <w:jc w:val="center"/>
              <w:rPr>
                <w:rFonts w:hint="eastAsia" w:ascii="宋体" w:hAnsi="宋体" w:eastAsia="宋体" w:cs="宋体"/>
                <w:i w:val="0"/>
                <w:iCs w:val="0"/>
                <w:color w:val="auto"/>
                <w:sz w:val="21"/>
                <w:szCs w:val="21"/>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A04465A">
            <w:pPr>
              <w:shd w:val="clear"/>
              <w:jc w:val="center"/>
              <w:rPr>
                <w:rFonts w:hint="eastAsia" w:ascii="宋体" w:hAnsi="宋体" w:eastAsia="宋体" w:cs="宋体"/>
                <w:i w:val="0"/>
                <w:iCs w:val="0"/>
                <w:color w:val="auto"/>
                <w:sz w:val="21"/>
                <w:szCs w:val="21"/>
                <w:highlight w:val="none"/>
                <w:u w:val="none"/>
              </w:rPr>
            </w:pPr>
          </w:p>
        </w:tc>
        <w:tc>
          <w:tcPr>
            <w:tcW w:w="413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276B07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第五部分 小计</w:t>
            </w:r>
          </w:p>
        </w:tc>
        <w:tc>
          <w:tcPr>
            <w:tcW w:w="80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2AAE2BF">
            <w:pPr>
              <w:shd w:val="clear"/>
              <w:jc w:val="center"/>
              <w:rPr>
                <w:rFonts w:hint="eastAsia" w:ascii="宋体" w:hAnsi="宋体" w:eastAsia="宋体" w:cs="宋体"/>
                <w:i w:val="0"/>
                <w:iCs w:val="0"/>
                <w:color w:val="auto"/>
                <w:sz w:val="21"/>
                <w:szCs w:val="21"/>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393BD53">
            <w:pPr>
              <w:shd w:val="clear"/>
              <w:jc w:val="right"/>
              <w:rPr>
                <w:rFonts w:hint="eastAsia" w:ascii="宋体" w:hAnsi="宋体" w:eastAsia="宋体" w:cs="宋体"/>
                <w:i w:val="0"/>
                <w:iCs w:val="0"/>
                <w:color w:val="auto"/>
                <w:sz w:val="21"/>
                <w:szCs w:val="21"/>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A18CCD5">
            <w:pPr>
              <w:shd w:val="clear"/>
              <w:jc w:val="right"/>
              <w:rPr>
                <w:rFonts w:hint="eastAsia" w:ascii="宋体" w:hAnsi="宋体" w:eastAsia="宋体" w:cs="宋体"/>
                <w:i w:val="0"/>
                <w:iCs w:val="0"/>
                <w:color w:val="auto"/>
                <w:sz w:val="21"/>
                <w:szCs w:val="21"/>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A74517C">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566000</w:t>
            </w:r>
          </w:p>
        </w:tc>
      </w:tr>
      <w:tr w14:paraId="6D00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9945" w:type="dxa"/>
            <w:gridSpan w:val="7"/>
            <w:tcBorders>
              <w:top w:val="nil"/>
              <w:left w:val="nil"/>
              <w:bottom w:val="nil"/>
              <w:right w:val="nil"/>
            </w:tcBorders>
            <w:shd w:val="clear" w:color="auto" w:fill="auto"/>
            <w:noWrap/>
            <w:vAlign w:val="center"/>
          </w:tcPr>
          <w:p w14:paraId="30A1C5F6">
            <w:pPr>
              <w:keepNext w:val="0"/>
              <w:keepLines w:val="0"/>
              <w:widowControl/>
              <w:suppressLineNumbers w:val="0"/>
              <w:shd w:val="clear"/>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第六部分 维修分项目清单</w:t>
            </w:r>
          </w:p>
        </w:tc>
      </w:tr>
      <w:tr w14:paraId="5296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8F19AF4">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序号</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0614378">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工程名称</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665A577">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清单特征</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43C6407">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单位</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FAF229F">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工程量</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311C48">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综合单价</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0107293">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全费用合价</w:t>
            </w:r>
          </w:p>
        </w:tc>
      </w:tr>
      <w:tr w14:paraId="3379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10BE833">
            <w:pPr>
              <w:shd w:val="clear"/>
              <w:jc w:val="center"/>
              <w:rPr>
                <w:rFonts w:hint="eastAsia" w:ascii="黑体" w:hAnsi="宋体" w:eastAsia="黑体" w:cs="黑体"/>
                <w:i w:val="0"/>
                <w:iCs w:val="0"/>
                <w:color w:val="auto"/>
                <w:sz w:val="21"/>
                <w:szCs w:val="21"/>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3F41A50">
            <w:pPr>
              <w:shd w:val="clear"/>
              <w:jc w:val="center"/>
              <w:rPr>
                <w:rFonts w:hint="eastAsia" w:ascii="黑体" w:hAnsi="宋体" w:eastAsia="黑体" w:cs="黑体"/>
                <w:i w:val="0"/>
                <w:iCs w:val="0"/>
                <w:color w:val="auto"/>
                <w:sz w:val="21"/>
                <w:szCs w:val="21"/>
                <w:highlight w:val="none"/>
                <w:u w:val="none"/>
              </w:rPr>
            </w:pPr>
          </w:p>
        </w:tc>
        <w:tc>
          <w:tcPr>
            <w:tcW w:w="41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FADF100">
            <w:pPr>
              <w:shd w:val="clear"/>
              <w:jc w:val="center"/>
              <w:rPr>
                <w:rFonts w:hint="eastAsia" w:ascii="黑体" w:hAnsi="宋体" w:eastAsia="黑体" w:cs="黑体"/>
                <w:i w:val="0"/>
                <w:iCs w:val="0"/>
                <w:color w:val="auto"/>
                <w:sz w:val="21"/>
                <w:szCs w:val="21"/>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B2A17B">
            <w:pPr>
              <w:shd w:val="clear"/>
              <w:jc w:val="center"/>
              <w:rPr>
                <w:rFonts w:hint="eastAsia" w:ascii="黑体" w:hAnsi="宋体" w:eastAsia="黑体" w:cs="黑体"/>
                <w:i w:val="0"/>
                <w:iCs w:val="0"/>
                <w:color w:val="auto"/>
                <w:sz w:val="21"/>
                <w:szCs w:val="21"/>
                <w:highlight w:val="none"/>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7844A9D">
            <w:pPr>
              <w:shd w:val="clear"/>
              <w:jc w:val="center"/>
              <w:rPr>
                <w:rFonts w:hint="eastAsia" w:ascii="黑体" w:hAnsi="宋体" w:eastAsia="黑体" w:cs="黑体"/>
                <w:i w:val="0"/>
                <w:iCs w:val="0"/>
                <w:color w:val="auto"/>
                <w:sz w:val="21"/>
                <w:szCs w:val="21"/>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E4E952E">
            <w:pPr>
              <w:shd w:val="clear"/>
              <w:jc w:val="center"/>
              <w:rPr>
                <w:rFonts w:hint="eastAsia" w:ascii="黑体" w:hAnsi="宋体" w:eastAsia="黑体" w:cs="黑体"/>
                <w:i w:val="0"/>
                <w:iCs w:val="0"/>
                <w:color w:val="auto"/>
                <w:sz w:val="21"/>
                <w:szCs w:val="21"/>
                <w:highlight w:val="none"/>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DBC02EC">
            <w:pPr>
              <w:shd w:val="clear"/>
              <w:jc w:val="center"/>
              <w:rPr>
                <w:rFonts w:hint="eastAsia" w:ascii="黑体" w:hAnsi="宋体" w:eastAsia="黑体" w:cs="黑体"/>
                <w:i w:val="0"/>
                <w:iCs w:val="0"/>
                <w:color w:val="auto"/>
                <w:sz w:val="21"/>
                <w:szCs w:val="21"/>
                <w:highlight w:val="none"/>
                <w:u w:val="none"/>
              </w:rPr>
            </w:pPr>
          </w:p>
        </w:tc>
      </w:tr>
      <w:tr w14:paraId="29F2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45D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7B5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标线</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474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1、反光热熔型标线漆；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2、标志涂层厚度≥2.0mm</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EC3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4FAB">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7697">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CC76">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 </w:t>
            </w:r>
          </w:p>
        </w:tc>
      </w:tr>
      <w:tr w14:paraId="6328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22F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2C48">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标线</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9519">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1、热熔减速震荡标线；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2、标志涂层厚度≥2.0mm</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E3D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60CB">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D9E4">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141.0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706B">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141.0 </w:t>
            </w:r>
          </w:p>
        </w:tc>
      </w:tr>
      <w:tr w14:paraId="2F95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632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A13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标线</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6707">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1、冷漆标线；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2、标志涂层厚度≥2.0mm</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8F8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73EA">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DFA5">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3BA8">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31.0 </w:t>
            </w:r>
          </w:p>
        </w:tc>
      </w:tr>
      <w:tr w14:paraId="78C4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4AA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91BC">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清除标线</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22A4">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1、水洗标线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2、清除原路面标线（含清除、收集）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496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656D">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41FF">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731E">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56.0 </w:t>
            </w:r>
          </w:p>
        </w:tc>
      </w:tr>
      <w:tr w14:paraId="1A73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4"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6EE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AE9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道路指示牌迁移</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ADE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1、施工定位、含土方开挖、回填、余方外弃等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2、C15 素混凝土垫层厚 100，C30 混凝土基础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3、砼浇筑，模板费用、预埋件按原尺寸定制安装、钢筋制作安装、立杆、附件安装、接地、防腐、迁移所需作业车辆等计入综合单价，满足规范及使用要求</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3FB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A5F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20EF">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F05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5000.0 </w:t>
            </w:r>
          </w:p>
        </w:tc>
      </w:tr>
      <w:tr w14:paraId="1F70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D4D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6B59">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护栏 1（</w:t>
            </w:r>
            <w:r>
              <w:rPr>
                <w:rFonts w:hint="eastAsia" w:ascii="宋体" w:hAnsi="宋体" w:cs="宋体"/>
                <w:i w:val="0"/>
                <w:iCs w:val="0"/>
                <w:color w:val="auto"/>
                <w:kern w:val="0"/>
                <w:sz w:val="21"/>
                <w:szCs w:val="21"/>
                <w:highlight w:val="none"/>
                <w:u w:val="none"/>
                <w:lang w:val="en-US" w:eastAsia="zh-CN" w:bidi="ar"/>
              </w:rPr>
              <w:t>如</w:t>
            </w:r>
            <w:r>
              <w:rPr>
                <w:rFonts w:hint="eastAsia" w:ascii="宋体" w:hAnsi="宋体" w:eastAsia="宋体" w:cs="宋体"/>
                <w:i w:val="0"/>
                <w:iCs w:val="0"/>
                <w:color w:val="auto"/>
                <w:kern w:val="0"/>
                <w:sz w:val="21"/>
                <w:szCs w:val="21"/>
                <w:highlight w:val="none"/>
                <w:u w:val="none"/>
                <w:lang w:val="en-US" w:eastAsia="zh-CN" w:bidi="ar"/>
              </w:rPr>
              <w:t>大王郢路）</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8F48">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1、立柱： 80*80*2.5mm，高度 60cm；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2、上横管 55*40*2.0mm，下横管 55*30*2.0mm，竖杆 50*40*1.5mm，含铸铁底座及固定地钉</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1A2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E558">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1E57">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178.0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D7FC">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178.0 </w:t>
            </w:r>
          </w:p>
        </w:tc>
      </w:tr>
      <w:tr w14:paraId="551A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66A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7AC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护栏 2（镀锌钢京式护栏，</w:t>
            </w:r>
            <w:r>
              <w:rPr>
                <w:rFonts w:hint="eastAsia" w:ascii="宋体" w:hAnsi="宋体" w:cs="宋体"/>
                <w:i w:val="0"/>
                <w:iCs w:val="0"/>
                <w:color w:val="auto"/>
                <w:kern w:val="0"/>
                <w:sz w:val="21"/>
                <w:szCs w:val="21"/>
                <w:highlight w:val="none"/>
                <w:u w:val="none"/>
                <w:lang w:val="en-US" w:eastAsia="zh-CN" w:bidi="ar"/>
              </w:rPr>
              <w:t>如</w:t>
            </w:r>
            <w:r>
              <w:rPr>
                <w:rFonts w:hint="eastAsia" w:ascii="宋体" w:hAnsi="宋体" w:eastAsia="宋体" w:cs="宋体"/>
                <w:i w:val="0"/>
                <w:iCs w:val="0"/>
                <w:color w:val="auto"/>
                <w:kern w:val="0"/>
                <w:sz w:val="21"/>
                <w:szCs w:val="21"/>
                <w:highlight w:val="none"/>
                <w:u w:val="none"/>
                <w:lang w:val="en-US" w:eastAsia="zh-CN" w:bidi="ar"/>
              </w:rPr>
              <w:t>扬子路与滁州大道交口处）</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4CE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1、立柱 63*48*5；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2、横管 63*48*5mm，镀锌圆钢 φ18mm；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3、含铸铁底座及固定地钉</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6CD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CA92">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80E9">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568.0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3B5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568.0 </w:t>
            </w:r>
          </w:p>
        </w:tc>
      </w:tr>
      <w:tr w14:paraId="6D22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4A8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23A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护栏 3，弧形护栏（</w:t>
            </w:r>
            <w:r>
              <w:rPr>
                <w:rFonts w:hint="eastAsia" w:ascii="宋体" w:hAnsi="宋体" w:cs="宋体"/>
                <w:i w:val="0"/>
                <w:iCs w:val="0"/>
                <w:color w:val="auto"/>
                <w:kern w:val="0"/>
                <w:sz w:val="21"/>
                <w:szCs w:val="21"/>
                <w:highlight w:val="none"/>
                <w:u w:val="none"/>
                <w:lang w:val="en-US" w:eastAsia="zh-CN" w:bidi="ar"/>
              </w:rPr>
              <w:t>如</w:t>
            </w:r>
            <w:r>
              <w:rPr>
                <w:rFonts w:hint="eastAsia" w:ascii="宋体" w:hAnsi="宋体" w:eastAsia="宋体" w:cs="宋体"/>
                <w:i w:val="0"/>
                <w:iCs w:val="0"/>
                <w:color w:val="auto"/>
                <w:kern w:val="0"/>
                <w:sz w:val="21"/>
                <w:szCs w:val="21"/>
                <w:highlight w:val="none"/>
                <w:u w:val="none"/>
                <w:lang w:val="en-US" w:eastAsia="zh-CN" w:bidi="ar"/>
              </w:rPr>
              <w:t>滁州大道）</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6DF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1、立柱 80*80*2.5mm；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2、弧形横管 40*40*2.0mm，下横管 40*40*2.0mm，竖管 30*30*1.5mm，弧形撑管 30*30*1.5mm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3、含铸铁底座及固定地钉</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F71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1037">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6AE3">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259.0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C6A4">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259.0 </w:t>
            </w:r>
          </w:p>
        </w:tc>
      </w:tr>
      <w:tr w14:paraId="560E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650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5A7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护栏 4 折弯型护栏（绿化带隔离护栏）</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3EF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1、立柱 60*60*2.0mm；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2、横杆 40*40*1.5mm，竖杆 20*20*1.5mm，高度 1m, 间距 20cm；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3、含预制或预埋底座</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2BA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AF88">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B43F">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EDFF">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r>
      <w:tr w14:paraId="01DF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1"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F26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612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旧标牌重新贴膜</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801A">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1、将旧标牌反光膜清除后重新贴膜，新反光膜要求黑膜Ⅰ类反光膜，其他膜Ⅳ类反光膜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2、包含旧标志牌拆除、抱箍或不锈钢扎带及安装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3、圆形标志按照直径的平方计算，三角形按照底乘高乘0.8计算。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6C4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3766">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4EE7">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021C">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350.0 </w:t>
            </w:r>
          </w:p>
        </w:tc>
      </w:tr>
      <w:tr w14:paraId="6562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E30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DB6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路灯拆除</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6D54">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1、路灯拆除；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2、运至至业主指定地点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486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B12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A2D7">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5F8C">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2000.0 </w:t>
            </w:r>
          </w:p>
        </w:tc>
      </w:tr>
      <w:tr w14:paraId="35F0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576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3764">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路灯迁移（拆除加迁移安装）</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945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1、路灯拆除；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2、运至至业主指定地点；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3、业主指定地点安装（含基础）</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F20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CEA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4F0A">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7CB8">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4000.0 </w:t>
            </w:r>
          </w:p>
        </w:tc>
      </w:tr>
      <w:tr w14:paraId="0ECA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644" w:type="dxa"/>
            <w:tcBorders>
              <w:top w:val="nil"/>
              <w:left w:val="nil"/>
              <w:bottom w:val="nil"/>
              <w:right w:val="nil"/>
            </w:tcBorders>
            <w:shd w:val="clear" w:color="auto" w:fill="auto"/>
            <w:noWrap/>
            <w:vAlign w:val="bottom"/>
          </w:tcPr>
          <w:p w14:paraId="50EE8C21">
            <w:pPr>
              <w:shd w:val="clear"/>
              <w:rPr>
                <w:rFonts w:hint="default" w:ascii="Arial" w:hAnsi="Arial" w:cs="Arial"/>
                <w:i w:val="0"/>
                <w:iCs w:val="0"/>
                <w:color w:val="auto"/>
                <w:sz w:val="20"/>
                <w:szCs w:val="20"/>
                <w:highlight w:val="none"/>
                <w:u w:val="none"/>
              </w:rPr>
            </w:pPr>
          </w:p>
        </w:tc>
        <w:tc>
          <w:tcPr>
            <w:tcW w:w="1109" w:type="dxa"/>
            <w:tcBorders>
              <w:top w:val="nil"/>
              <w:left w:val="nil"/>
              <w:bottom w:val="nil"/>
              <w:right w:val="nil"/>
            </w:tcBorders>
            <w:shd w:val="clear" w:color="auto" w:fill="auto"/>
            <w:noWrap/>
            <w:vAlign w:val="bottom"/>
          </w:tcPr>
          <w:p w14:paraId="44C97FE5">
            <w:pPr>
              <w:shd w:val="clear"/>
              <w:rPr>
                <w:rFonts w:hint="default" w:ascii="Arial" w:hAnsi="Arial" w:cs="Arial"/>
                <w:i w:val="0"/>
                <w:iCs w:val="0"/>
                <w:color w:val="auto"/>
                <w:sz w:val="20"/>
                <w:szCs w:val="20"/>
                <w:highlight w:val="none"/>
                <w:u w:val="none"/>
              </w:rPr>
            </w:pPr>
          </w:p>
        </w:tc>
        <w:tc>
          <w:tcPr>
            <w:tcW w:w="4137" w:type="dxa"/>
            <w:tcBorders>
              <w:top w:val="nil"/>
              <w:left w:val="nil"/>
              <w:bottom w:val="nil"/>
              <w:right w:val="nil"/>
            </w:tcBorders>
            <w:shd w:val="clear" w:color="auto" w:fill="auto"/>
            <w:noWrap/>
            <w:vAlign w:val="bottom"/>
          </w:tcPr>
          <w:p w14:paraId="04099855">
            <w:pPr>
              <w:shd w:val="clear"/>
              <w:rPr>
                <w:rFonts w:hint="default" w:ascii="Arial" w:hAnsi="Arial" w:cs="Arial"/>
                <w:i w:val="0"/>
                <w:iCs w:val="0"/>
                <w:color w:val="auto"/>
                <w:sz w:val="20"/>
                <w:szCs w:val="20"/>
                <w:highlight w:val="none"/>
                <w:u w:val="none"/>
              </w:rPr>
            </w:pPr>
          </w:p>
        </w:tc>
        <w:tc>
          <w:tcPr>
            <w:tcW w:w="801" w:type="dxa"/>
            <w:tcBorders>
              <w:top w:val="nil"/>
              <w:left w:val="nil"/>
              <w:bottom w:val="nil"/>
              <w:right w:val="nil"/>
            </w:tcBorders>
            <w:shd w:val="clear" w:color="auto" w:fill="auto"/>
            <w:noWrap/>
            <w:vAlign w:val="bottom"/>
          </w:tcPr>
          <w:p w14:paraId="2D2C8058">
            <w:pPr>
              <w:shd w:val="clear"/>
              <w:rPr>
                <w:rFonts w:hint="default" w:ascii="Arial" w:hAnsi="Arial" w:cs="Arial"/>
                <w:i w:val="0"/>
                <w:iCs w:val="0"/>
                <w:color w:val="auto"/>
                <w:sz w:val="20"/>
                <w:szCs w:val="20"/>
                <w:highlight w:val="none"/>
                <w:u w:val="none"/>
              </w:rPr>
            </w:pPr>
          </w:p>
        </w:tc>
        <w:tc>
          <w:tcPr>
            <w:tcW w:w="867" w:type="dxa"/>
            <w:tcBorders>
              <w:top w:val="nil"/>
              <w:left w:val="nil"/>
              <w:bottom w:val="nil"/>
              <w:right w:val="nil"/>
            </w:tcBorders>
            <w:shd w:val="clear" w:color="auto" w:fill="auto"/>
            <w:noWrap/>
            <w:vAlign w:val="bottom"/>
          </w:tcPr>
          <w:p w14:paraId="017EF89A">
            <w:pPr>
              <w:shd w:val="clear"/>
              <w:rPr>
                <w:rFonts w:hint="default" w:ascii="Arial" w:hAnsi="Arial" w:cs="Arial"/>
                <w:i w:val="0"/>
                <w:iCs w:val="0"/>
                <w:color w:val="auto"/>
                <w:sz w:val="20"/>
                <w:szCs w:val="20"/>
                <w:highlight w:val="none"/>
                <w:u w:val="none"/>
              </w:rPr>
            </w:pPr>
          </w:p>
        </w:tc>
        <w:tc>
          <w:tcPr>
            <w:tcW w:w="1115" w:type="dxa"/>
            <w:tcBorders>
              <w:top w:val="nil"/>
              <w:left w:val="nil"/>
              <w:bottom w:val="nil"/>
              <w:right w:val="nil"/>
            </w:tcBorders>
            <w:shd w:val="clear" w:color="auto" w:fill="auto"/>
            <w:noWrap/>
            <w:vAlign w:val="bottom"/>
          </w:tcPr>
          <w:p w14:paraId="0289CDCF">
            <w:pPr>
              <w:shd w:val="clear"/>
              <w:rPr>
                <w:rFonts w:hint="default" w:ascii="Arial" w:hAnsi="Arial" w:cs="Arial"/>
                <w:i w:val="0"/>
                <w:iCs w:val="0"/>
                <w:color w:val="auto"/>
                <w:sz w:val="20"/>
                <w:szCs w:val="20"/>
                <w:highlight w:val="none"/>
                <w:u w:val="none"/>
              </w:rPr>
            </w:pPr>
          </w:p>
        </w:tc>
        <w:tc>
          <w:tcPr>
            <w:tcW w:w="1272" w:type="dxa"/>
            <w:tcBorders>
              <w:top w:val="nil"/>
              <w:left w:val="nil"/>
              <w:bottom w:val="nil"/>
              <w:right w:val="nil"/>
            </w:tcBorders>
            <w:shd w:val="clear" w:color="auto" w:fill="auto"/>
            <w:noWrap/>
            <w:vAlign w:val="bottom"/>
          </w:tcPr>
          <w:p w14:paraId="387EFB38">
            <w:pPr>
              <w:shd w:val="clear"/>
              <w:rPr>
                <w:rFonts w:hint="default" w:ascii="Arial" w:hAnsi="Arial" w:cs="Arial"/>
                <w:i w:val="0"/>
                <w:iCs w:val="0"/>
                <w:color w:val="auto"/>
                <w:sz w:val="20"/>
                <w:szCs w:val="20"/>
                <w:highlight w:val="none"/>
                <w:u w:val="none"/>
              </w:rPr>
            </w:pPr>
          </w:p>
        </w:tc>
      </w:tr>
      <w:tr w14:paraId="0695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45" w:type="dxa"/>
            <w:gridSpan w:val="7"/>
            <w:tcBorders>
              <w:top w:val="nil"/>
              <w:left w:val="nil"/>
              <w:bottom w:val="nil"/>
              <w:right w:val="nil"/>
            </w:tcBorders>
            <w:shd w:val="clear" w:color="auto" w:fill="auto"/>
            <w:noWrap/>
            <w:vAlign w:val="center"/>
          </w:tcPr>
          <w:p w14:paraId="27E79B14">
            <w:pPr>
              <w:keepNext w:val="0"/>
              <w:keepLines w:val="0"/>
              <w:widowControl/>
              <w:suppressLineNumbers w:val="0"/>
              <w:shd w:val="clear"/>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最高限价汇总表</w:t>
            </w:r>
          </w:p>
        </w:tc>
      </w:tr>
      <w:tr w14:paraId="0E80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6BE9EC">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序号</w:t>
            </w:r>
          </w:p>
        </w:tc>
        <w:tc>
          <w:tcPr>
            <w:tcW w:w="52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1757EC">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单位工程名称</w:t>
            </w:r>
          </w:p>
        </w:tc>
        <w:tc>
          <w:tcPr>
            <w:tcW w:w="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E5AA3">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单位</w:t>
            </w:r>
          </w:p>
        </w:tc>
        <w:tc>
          <w:tcPr>
            <w:tcW w:w="867" w:type="dxa"/>
            <w:tcBorders>
              <w:top w:val="single" w:color="000000" w:sz="4" w:space="0"/>
              <w:left w:val="single" w:color="000000" w:sz="4" w:space="0"/>
              <w:bottom w:val="single" w:color="000000" w:sz="4" w:space="0"/>
              <w:right w:val="nil"/>
            </w:tcBorders>
            <w:shd w:val="clear" w:color="FFFFFF" w:fill="FFFFFF"/>
            <w:vAlign w:val="center"/>
          </w:tcPr>
          <w:p w14:paraId="3910B6C1">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工程量</w:t>
            </w:r>
          </w:p>
        </w:tc>
        <w:tc>
          <w:tcPr>
            <w:tcW w:w="23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FD9884">
            <w:pPr>
              <w:keepNext w:val="0"/>
              <w:keepLines w:val="0"/>
              <w:pageBreakBefore w:val="0"/>
              <w:widowControl w:val="0"/>
              <w:shd w:val="clear"/>
              <w:kinsoku/>
              <w:wordWrap/>
              <w:overflowPunct/>
              <w:topLinePunct w:val="0"/>
              <w:autoSpaceDE/>
              <w:autoSpaceDN/>
              <w:bidi w:val="0"/>
              <w:adjustRightInd/>
              <w:snapToGrid w:val="0"/>
              <w:spacing w:line="500" w:lineRule="exact"/>
              <w:ind w:right="0" w:rightChars="0"/>
              <w:jc w:val="center"/>
              <w:textAlignment w:val="auto"/>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金额（元）</w:t>
            </w:r>
          </w:p>
        </w:tc>
      </w:tr>
      <w:tr w14:paraId="0BAD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336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64F7D">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城市照明设施养护工程</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5BC9">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w:t>
            </w:r>
          </w:p>
        </w:tc>
        <w:tc>
          <w:tcPr>
            <w:tcW w:w="867" w:type="dxa"/>
            <w:tcBorders>
              <w:top w:val="single" w:color="000000" w:sz="4" w:space="0"/>
              <w:left w:val="single" w:color="000000" w:sz="4" w:space="0"/>
              <w:bottom w:val="single" w:color="000000" w:sz="4" w:space="0"/>
              <w:right w:val="nil"/>
            </w:tcBorders>
            <w:shd w:val="clear" w:color="auto" w:fill="auto"/>
            <w:vAlign w:val="center"/>
          </w:tcPr>
          <w:p w14:paraId="240C8C2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810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2174810</w:t>
            </w:r>
          </w:p>
        </w:tc>
      </w:tr>
      <w:tr w14:paraId="7A54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E39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83B16">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泵站及河闸养护工程</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35A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w:t>
            </w:r>
          </w:p>
        </w:tc>
        <w:tc>
          <w:tcPr>
            <w:tcW w:w="867" w:type="dxa"/>
            <w:tcBorders>
              <w:top w:val="single" w:color="000000" w:sz="4" w:space="0"/>
              <w:left w:val="single" w:color="000000" w:sz="4" w:space="0"/>
              <w:bottom w:val="single" w:color="000000" w:sz="4" w:space="0"/>
              <w:right w:val="nil"/>
            </w:tcBorders>
            <w:shd w:val="clear" w:color="auto" w:fill="auto"/>
            <w:vAlign w:val="center"/>
          </w:tcPr>
          <w:p w14:paraId="2B216C4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319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750000</w:t>
            </w:r>
          </w:p>
        </w:tc>
      </w:tr>
      <w:tr w14:paraId="0310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D11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DC8DC">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公园机电设施养护工程</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CAB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w:t>
            </w:r>
          </w:p>
        </w:tc>
        <w:tc>
          <w:tcPr>
            <w:tcW w:w="867" w:type="dxa"/>
            <w:tcBorders>
              <w:top w:val="single" w:color="000000" w:sz="4" w:space="0"/>
              <w:left w:val="single" w:color="000000" w:sz="4" w:space="0"/>
              <w:bottom w:val="single" w:color="000000" w:sz="4" w:space="0"/>
              <w:right w:val="nil"/>
            </w:tcBorders>
            <w:shd w:val="clear" w:color="auto" w:fill="auto"/>
            <w:vAlign w:val="center"/>
          </w:tcPr>
          <w:p w14:paraId="72560B8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CCF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0000</w:t>
            </w:r>
          </w:p>
        </w:tc>
      </w:tr>
      <w:tr w14:paraId="65D0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FDF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C5310">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停车场机电设施养护工程</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0F6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w:t>
            </w:r>
          </w:p>
        </w:tc>
        <w:tc>
          <w:tcPr>
            <w:tcW w:w="867" w:type="dxa"/>
            <w:tcBorders>
              <w:top w:val="single" w:color="000000" w:sz="4" w:space="0"/>
              <w:left w:val="single" w:color="000000" w:sz="4" w:space="0"/>
              <w:bottom w:val="single" w:color="000000" w:sz="4" w:space="0"/>
              <w:right w:val="nil"/>
            </w:tcBorders>
            <w:shd w:val="clear" w:color="auto" w:fill="auto"/>
            <w:vAlign w:val="center"/>
          </w:tcPr>
          <w:p w14:paraId="02A0EC99">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5068">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69600</w:t>
            </w:r>
          </w:p>
        </w:tc>
      </w:tr>
      <w:tr w14:paraId="4353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46F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5C7AA">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交安设施养护工程</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9BB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w:t>
            </w:r>
          </w:p>
        </w:tc>
        <w:tc>
          <w:tcPr>
            <w:tcW w:w="867" w:type="dxa"/>
            <w:tcBorders>
              <w:top w:val="single" w:color="000000" w:sz="4" w:space="0"/>
              <w:left w:val="single" w:color="000000" w:sz="4" w:space="0"/>
              <w:bottom w:val="single" w:color="000000" w:sz="4" w:space="0"/>
              <w:right w:val="nil"/>
            </w:tcBorders>
            <w:shd w:val="clear" w:color="auto" w:fill="auto"/>
            <w:vAlign w:val="center"/>
          </w:tcPr>
          <w:p w14:paraId="7B58B6F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5DB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566000</w:t>
            </w:r>
          </w:p>
        </w:tc>
      </w:tr>
      <w:tr w14:paraId="77F2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5B5C">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19B39">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维修工程暂列金额（据实结算）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245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w:t>
            </w:r>
          </w:p>
        </w:tc>
        <w:tc>
          <w:tcPr>
            <w:tcW w:w="867" w:type="dxa"/>
            <w:tcBorders>
              <w:top w:val="single" w:color="000000" w:sz="4" w:space="0"/>
              <w:left w:val="single" w:color="000000" w:sz="4" w:space="0"/>
              <w:bottom w:val="single" w:color="000000" w:sz="4" w:space="0"/>
              <w:right w:val="nil"/>
            </w:tcBorders>
            <w:shd w:val="clear" w:color="auto" w:fill="auto"/>
            <w:vAlign w:val="center"/>
          </w:tcPr>
          <w:p w14:paraId="6AB6717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0A9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400000</w:t>
            </w:r>
          </w:p>
        </w:tc>
      </w:tr>
      <w:tr w14:paraId="14CC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3DF208B">
            <w:pPr>
              <w:shd w:val="clear"/>
              <w:jc w:val="center"/>
              <w:rPr>
                <w:rFonts w:hint="eastAsia" w:ascii="宋体" w:hAnsi="宋体" w:eastAsia="宋体" w:cs="宋体"/>
                <w:b/>
                <w:bCs/>
                <w:i w:val="0"/>
                <w:iCs w:val="0"/>
                <w:color w:val="auto"/>
                <w:sz w:val="22"/>
                <w:szCs w:val="22"/>
                <w:highlight w:val="none"/>
                <w:u w:val="none"/>
              </w:rPr>
            </w:pPr>
          </w:p>
        </w:tc>
        <w:tc>
          <w:tcPr>
            <w:tcW w:w="5246"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7481A00D">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  计</w:t>
            </w:r>
          </w:p>
        </w:tc>
        <w:tc>
          <w:tcPr>
            <w:tcW w:w="80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9C4AFE7">
            <w:pPr>
              <w:shd w:val="clear"/>
              <w:jc w:val="center"/>
              <w:rPr>
                <w:rFonts w:hint="eastAsia" w:ascii="宋体" w:hAnsi="宋体" w:eastAsia="宋体" w:cs="宋体"/>
                <w:b/>
                <w:bCs/>
                <w:i w:val="0"/>
                <w:iCs w:val="0"/>
                <w:color w:val="auto"/>
                <w:sz w:val="22"/>
                <w:szCs w:val="22"/>
                <w:highlight w:val="none"/>
                <w:u w:val="none"/>
              </w:rPr>
            </w:pPr>
          </w:p>
        </w:tc>
        <w:tc>
          <w:tcPr>
            <w:tcW w:w="867" w:type="dxa"/>
            <w:tcBorders>
              <w:top w:val="single" w:color="000000" w:sz="4" w:space="0"/>
              <w:left w:val="single" w:color="000000" w:sz="4" w:space="0"/>
              <w:bottom w:val="single" w:color="000000" w:sz="4" w:space="0"/>
              <w:right w:val="nil"/>
            </w:tcBorders>
            <w:shd w:val="clear" w:color="auto" w:fill="F2F2F2"/>
            <w:vAlign w:val="center"/>
          </w:tcPr>
          <w:p w14:paraId="215FF7BB">
            <w:pPr>
              <w:shd w:val="clear"/>
              <w:jc w:val="right"/>
              <w:rPr>
                <w:rFonts w:hint="eastAsia" w:ascii="宋体" w:hAnsi="宋体" w:eastAsia="宋体" w:cs="宋体"/>
                <w:b/>
                <w:bCs/>
                <w:i w:val="0"/>
                <w:iCs w:val="0"/>
                <w:color w:val="auto"/>
                <w:sz w:val="22"/>
                <w:szCs w:val="22"/>
                <w:highlight w:val="none"/>
                <w:u w:val="none"/>
              </w:rPr>
            </w:pP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CF36BEB">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44</w:t>
            </w:r>
            <w:r>
              <w:rPr>
                <w:rFonts w:hint="eastAsia" w:ascii="宋体" w:hAnsi="宋体" w:cs="宋体"/>
                <w:b/>
                <w:bCs/>
                <w:i w:val="0"/>
                <w:iCs w:val="0"/>
                <w:color w:val="auto"/>
                <w:kern w:val="0"/>
                <w:sz w:val="22"/>
                <w:szCs w:val="22"/>
                <w:highlight w:val="none"/>
                <w:u w:val="none"/>
                <w:lang w:val="en-US" w:eastAsia="zh-CN" w:bidi="ar"/>
              </w:rPr>
              <w:t>3</w:t>
            </w:r>
            <w:r>
              <w:rPr>
                <w:rFonts w:hint="eastAsia" w:ascii="宋体" w:hAnsi="宋体" w:eastAsia="宋体" w:cs="宋体"/>
                <w:b/>
                <w:bCs/>
                <w:i w:val="0"/>
                <w:iCs w:val="0"/>
                <w:color w:val="auto"/>
                <w:kern w:val="0"/>
                <w:sz w:val="22"/>
                <w:szCs w:val="22"/>
                <w:highlight w:val="none"/>
                <w:u w:val="none"/>
                <w:lang w:val="en-US" w:eastAsia="zh-CN" w:bidi="ar"/>
              </w:rPr>
              <w:t>0410</w:t>
            </w:r>
          </w:p>
        </w:tc>
      </w:tr>
    </w:tbl>
    <w:p w14:paraId="161A7535">
      <w:pPr>
        <w:pStyle w:val="15"/>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0" w:line="440" w:lineRule="exact"/>
        <w:ind w:left="425" w:leftChars="0"/>
        <w:textAlignment w:val="auto"/>
        <w:rPr>
          <w:rFonts w:hint="eastAsia" w:ascii="Times New Roman" w:hAnsi="宋体" w:eastAsia="宋体" w:cs="Times New Roman"/>
          <w:b/>
          <w:bCs/>
          <w:color w:val="auto"/>
          <w:kern w:val="2"/>
          <w:sz w:val="32"/>
          <w:szCs w:val="32"/>
          <w:highlight w:val="none"/>
          <w:lang w:val="en-US" w:eastAsia="zh-CN" w:bidi="ar-SA"/>
        </w:rPr>
      </w:pPr>
      <w:r>
        <w:rPr>
          <w:rFonts w:hint="eastAsia" w:ascii="Times New Roman" w:hAnsi="宋体" w:eastAsia="宋体" w:cs="Times New Roman"/>
          <w:b/>
          <w:bCs/>
          <w:color w:val="auto"/>
          <w:kern w:val="2"/>
          <w:sz w:val="32"/>
          <w:szCs w:val="32"/>
          <w:highlight w:val="none"/>
          <w:lang w:val="en-US" w:eastAsia="zh-CN" w:bidi="ar-SA"/>
        </w:rPr>
        <w:t>三、报价要求：</w:t>
      </w:r>
    </w:p>
    <w:p w14:paraId="5870D583">
      <w:pPr>
        <w:shd w:val="clea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中标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管理维护内容包括上述所有灯杆、灯具、 电线缆、配电设备等管理维护，并自行勘察现场，项目单位对本次维护综合单价一次性包死，不再支付其他任何费用。中标单位不得在中标后，以其他变更等形式向项目单位索取任何报价范围外的费用。维修养护过程中除</w:t>
      </w:r>
      <w:r>
        <w:rPr>
          <w:rFonts w:hint="eastAsia" w:ascii="宋体" w:hAnsi="宋体" w:cs="宋体"/>
          <w:color w:val="auto"/>
          <w:szCs w:val="21"/>
          <w:highlight w:val="none"/>
          <w:lang w:val="en-US" w:eastAsia="zh-CN"/>
        </w:rPr>
        <w:t>招标人</w:t>
      </w:r>
      <w:r>
        <w:rPr>
          <w:rFonts w:hint="eastAsia" w:ascii="宋体" w:hAnsi="宋体" w:eastAsia="宋体" w:cs="宋体"/>
          <w:color w:val="auto"/>
          <w:szCs w:val="21"/>
          <w:highlight w:val="none"/>
        </w:rPr>
        <w:t>提供的材料外，</w:t>
      </w:r>
      <w:r>
        <w:rPr>
          <w:rFonts w:hint="eastAsia" w:ascii="宋体" w:hAnsi="宋体" w:cs="宋体"/>
          <w:color w:val="auto"/>
          <w:szCs w:val="21"/>
          <w:highlight w:val="none"/>
          <w:lang w:val="en-US" w:eastAsia="zh-CN"/>
        </w:rPr>
        <w:t>中标人</w:t>
      </w:r>
      <w:r>
        <w:rPr>
          <w:rFonts w:hint="eastAsia" w:ascii="宋体" w:hAnsi="宋体" w:eastAsia="宋体" w:cs="宋体"/>
          <w:color w:val="auto"/>
          <w:szCs w:val="21"/>
          <w:highlight w:val="none"/>
        </w:rPr>
        <w:t>所使用的所有材料、配件必须按原品牌规格型号或经</w:t>
      </w:r>
      <w:r>
        <w:rPr>
          <w:rFonts w:hint="eastAsia" w:ascii="宋体" w:hAnsi="宋体" w:cs="宋体"/>
          <w:color w:val="auto"/>
          <w:szCs w:val="21"/>
          <w:highlight w:val="none"/>
          <w:lang w:val="en-US" w:eastAsia="zh-CN"/>
        </w:rPr>
        <w:t>招标人</w:t>
      </w:r>
      <w:r>
        <w:rPr>
          <w:rFonts w:hint="eastAsia" w:ascii="宋体" w:hAnsi="宋体" w:eastAsia="宋体" w:cs="宋体"/>
          <w:color w:val="auto"/>
          <w:szCs w:val="21"/>
          <w:highlight w:val="none"/>
        </w:rPr>
        <w:t>认可方可使用。所有养护工作需符合</w:t>
      </w:r>
      <w:r>
        <w:rPr>
          <w:rFonts w:hint="eastAsia" w:ascii="宋体" w:hAnsi="宋体" w:cs="宋体"/>
          <w:color w:val="auto"/>
          <w:szCs w:val="21"/>
          <w:highlight w:val="none"/>
          <w:lang w:val="en-US" w:eastAsia="zh-CN"/>
        </w:rPr>
        <w:t>招标人</w:t>
      </w:r>
      <w:r>
        <w:rPr>
          <w:rFonts w:hint="eastAsia" w:ascii="宋体" w:hAnsi="宋体" w:eastAsia="宋体" w:cs="宋体"/>
          <w:color w:val="auto"/>
          <w:szCs w:val="21"/>
          <w:highlight w:val="none"/>
        </w:rPr>
        <w:t>方工艺要求，如管线敷设深度、检查井的砌筑、路灯基础法兰尺寸、浇筑尺寸等。（考核每发现</w:t>
      </w:r>
      <w:r>
        <w:rPr>
          <w:rFonts w:hint="eastAsia" w:ascii="宋体" w:hAnsi="宋体" w:cs="宋体"/>
          <w:color w:val="auto"/>
          <w:szCs w:val="21"/>
          <w:highlight w:val="none"/>
          <w:lang w:val="en-US" w:eastAsia="zh-CN"/>
        </w:rPr>
        <w:t>未按要求实施</w:t>
      </w:r>
      <w:r>
        <w:rPr>
          <w:rFonts w:hint="eastAsia" w:ascii="宋体" w:hAnsi="宋体" w:eastAsia="宋体" w:cs="宋体"/>
          <w:color w:val="auto"/>
          <w:szCs w:val="21"/>
          <w:highlight w:val="none"/>
        </w:rPr>
        <w:t>一次当月请款扣</w:t>
      </w:r>
      <w:r>
        <w:rPr>
          <w:rFonts w:hint="eastAsia" w:ascii="宋体" w:hAnsi="宋体" w:eastAsia="宋体" w:cs="宋体"/>
          <w:color w:val="auto"/>
          <w:szCs w:val="21"/>
          <w:highlight w:val="none"/>
          <w:lang w:val="en-US" w:eastAsia="zh-CN"/>
        </w:rPr>
        <w:t>除1000元）。</w:t>
      </w:r>
    </w:p>
    <w:p w14:paraId="070AEEBE">
      <w:pPr>
        <w:pStyle w:val="2"/>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每年度累计维修金额</w:t>
      </w:r>
      <w:r>
        <w:rPr>
          <w:rFonts w:hint="eastAsia" w:cs="宋体"/>
          <w:color w:val="auto"/>
          <w:kern w:val="2"/>
          <w:sz w:val="21"/>
          <w:szCs w:val="21"/>
          <w:highlight w:val="none"/>
          <w:lang w:val="en-US" w:eastAsia="zh-CN" w:bidi="ar-SA"/>
        </w:rPr>
        <w:t>不超过</w:t>
      </w:r>
      <w:r>
        <w:rPr>
          <w:rFonts w:hint="eastAsia" w:ascii="宋体" w:hAnsi="宋体" w:eastAsia="宋体" w:cs="宋体"/>
          <w:color w:val="auto"/>
          <w:kern w:val="2"/>
          <w:sz w:val="21"/>
          <w:szCs w:val="21"/>
          <w:highlight w:val="none"/>
          <w:lang w:val="en-US" w:eastAsia="zh-CN" w:bidi="ar-SA"/>
        </w:rPr>
        <w:t xml:space="preserve"> 40 万元，有维修清单的按清单中标价据实结算，无清单价的四方询价</w:t>
      </w:r>
      <w:r>
        <w:rPr>
          <w:rFonts w:hint="eastAsia" w:cs="宋体"/>
          <w:color w:val="auto"/>
          <w:kern w:val="2"/>
          <w:sz w:val="21"/>
          <w:szCs w:val="21"/>
          <w:highlight w:val="none"/>
          <w:lang w:val="en-US" w:eastAsia="zh-CN" w:bidi="ar-SA"/>
        </w:rPr>
        <w:t>后按中标下浮比例下浮后</w:t>
      </w:r>
      <w:r>
        <w:rPr>
          <w:rFonts w:hint="eastAsia" w:ascii="宋体" w:hAnsi="宋体" w:eastAsia="宋体" w:cs="宋体"/>
          <w:color w:val="auto"/>
          <w:kern w:val="2"/>
          <w:sz w:val="21"/>
          <w:szCs w:val="21"/>
          <w:highlight w:val="none"/>
          <w:lang w:val="en-US" w:eastAsia="zh-CN" w:bidi="ar-SA"/>
        </w:rPr>
        <w:t>据实结算。</w:t>
      </w:r>
    </w:p>
    <w:p w14:paraId="0DA4F144">
      <w:pPr>
        <w:shd w:val="clea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服务期内新接管的内容管养费用已包含在投标报价中，不另行支付。</w:t>
      </w:r>
    </w:p>
    <w:p w14:paraId="013A8231">
      <w:pPr>
        <w:pStyle w:val="15"/>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0" w:line="440" w:lineRule="exact"/>
        <w:ind w:left="425" w:leftChars="0"/>
        <w:textAlignment w:val="auto"/>
        <w:rPr>
          <w:rFonts w:hint="eastAsia" w:ascii="Times New Roman" w:hAnsi="宋体" w:eastAsia="宋体" w:cs="Times New Roman"/>
          <w:b/>
          <w:bCs/>
          <w:color w:val="auto"/>
          <w:kern w:val="2"/>
          <w:sz w:val="32"/>
          <w:szCs w:val="32"/>
          <w:highlight w:val="none"/>
          <w:lang w:val="en-US" w:eastAsia="zh-CN" w:bidi="ar-SA"/>
        </w:rPr>
      </w:pPr>
      <w:r>
        <w:rPr>
          <w:rFonts w:hint="eastAsia" w:hAnsi="宋体" w:cs="Times New Roman"/>
          <w:b/>
          <w:bCs/>
          <w:color w:val="auto"/>
          <w:kern w:val="2"/>
          <w:sz w:val="32"/>
          <w:szCs w:val="32"/>
          <w:highlight w:val="none"/>
          <w:lang w:val="en-US" w:eastAsia="zh-CN" w:bidi="ar-SA"/>
        </w:rPr>
        <w:t>四</w:t>
      </w:r>
      <w:r>
        <w:rPr>
          <w:rFonts w:hint="eastAsia" w:ascii="Times New Roman" w:hAnsi="宋体" w:eastAsia="宋体" w:cs="Times New Roman"/>
          <w:b/>
          <w:bCs/>
          <w:color w:val="auto"/>
          <w:kern w:val="2"/>
          <w:sz w:val="32"/>
          <w:szCs w:val="32"/>
          <w:highlight w:val="none"/>
          <w:lang w:val="en-US" w:eastAsia="zh-CN" w:bidi="ar-SA"/>
        </w:rPr>
        <w:t>、人员、设备最低配备标准：</w:t>
      </w:r>
    </w:p>
    <w:p w14:paraId="65B828BE">
      <w:pPr>
        <w:shd w:val="clear"/>
        <w:snapToGrid w:val="0"/>
        <w:spacing w:line="500" w:lineRule="exact"/>
        <w:ind w:right="-212" w:rightChars="-101" w:firstLine="422" w:firstLineChars="200"/>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1、人员最低配备标准：以下人员为最低配备标准，中标人应根据实际服务需求适当增加人员，费用包含在投标报价中。任职要求中涉及的相关证书，投标时无需提供，签合同前提供至招标人处核查。</w:t>
      </w:r>
    </w:p>
    <w:tbl>
      <w:tblPr>
        <w:tblStyle w:val="36"/>
        <w:tblW w:w="9697"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297"/>
        <w:gridCol w:w="790"/>
        <w:gridCol w:w="2761"/>
        <w:gridCol w:w="4114"/>
      </w:tblGrid>
      <w:tr w14:paraId="2FE3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4D36">
            <w:pPr>
              <w:jc w:val="center"/>
              <w:rPr>
                <w:rFonts w:hint="eastAsia"/>
                <w:color w:val="auto"/>
                <w:highlight w:val="none"/>
                <w:lang w:val="en-US" w:eastAsia="zh-CN"/>
              </w:rPr>
            </w:pPr>
            <w:r>
              <w:rPr>
                <w:rFonts w:hint="default"/>
                <w:color w:val="auto"/>
                <w:highlight w:val="none"/>
                <w:lang w:val="en-US" w:eastAsia="zh-CN"/>
              </w:rPr>
              <w:t>序号</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840C">
            <w:pPr>
              <w:jc w:val="center"/>
              <w:rPr>
                <w:rFonts w:hint="default"/>
                <w:color w:val="auto"/>
                <w:highlight w:val="none"/>
                <w:lang w:val="en-US" w:eastAsia="zh-CN"/>
              </w:rPr>
            </w:pPr>
            <w:r>
              <w:rPr>
                <w:rFonts w:hint="default"/>
                <w:color w:val="auto"/>
                <w:highlight w:val="none"/>
                <w:lang w:val="en-US" w:eastAsia="zh-CN"/>
              </w:rPr>
              <w:t>岗位类别</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A28E">
            <w:pPr>
              <w:jc w:val="center"/>
              <w:rPr>
                <w:rFonts w:hint="default"/>
                <w:color w:val="auto"/>
                <w:highlight w:val="none"/>
                <w:lang w:val="en-US" w:eastAsia="zh-CN"/>
              </w:rPr>
            </w:pPr>
            <w:r>
              <w:rPr>
                <w:rFonts w:hint="default"/>
                <w:color w:val="auto"/>
                <w:highlight w:val="none"/>
                <w:lang w:val="en-US" w:eastAsia="zh-CN"/>
              </w:rPr>
              <w:t>人数</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64DE">
            <w:pPr>
              <w:jc w:val="center"/>
              <w:rPr>
                <w:rFonts w:hint="default"/>
                <w:color w:val="auto"/>
                <w:highlight w:val="none"/>
                <w:lang w:val="en-US" w:eastAsia="zh-CN"/>
              </w:rPr>
            </w:pPr>
            <w:r>
              <w:rPr>
                <w:rFonts w:hint="default"/>
                <w:color w:val="auto"/>
                <w:highlight w:val="none"/>
                <w:lang w:val="en-US" w:eastAsia="zh-CN"/>
              </w:rPr>
              <w:t>岗位职责</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C52F">
            <w:pPr>
              <w:jc w:val="center"/>
              <w:rPr>
                <w:rFonts w:hint="default"/>
                <w:color w:val="auto"/>
                <w:highlight w:val="none"/>
                <w:lang w:val="en-US" w:eastAsia="zh-CN"/>
              </w:rPr>
            </w:pPr>
            <w:r>
              <w:rPr>
                <w:rFonts w:hint="default"/>
                <w:color w:val="auto"/>
                <w:highlight w:val="none"/>
                <w:lang w:val="en-US" w:eastAsia="zh-CN"/>
              </w:rPr>
              <w:t>任职要求</w:t>
            </w:r>
          </w:p>
        </w:tc>
      </w:tr>
      <w:tr w14:paraId="7C49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FAE">
            <w:pPr>
              <w:jc w:val="center"/>
              <w:rPr>
                <w:rFonts w:hint="default"/>
                <w:color w:val="auto"/>
                <w:highlight w:val="none"/>
                <w:lang w:val="en-US" w:eastAsia="zh-CN"/>
              </w:rPr>
            </w:pPr>
            <w:r>
              <w:rPr>
                <w:rFonts w:hint="default"/>
                <w:color w:val="auto"/>
                <w:highlight w:val="none"/>
                <w:lang w:val="en-US" w:eastAsia="zh-CN"/>
              </w:rPr>
              <w:t>1</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A543">
            <w:pPr>
              <w:jc w:val="center"/>
              <w:rPr>
                <w:rFonts w:hint="default"/>
                <w:color w:val="auto"/>
                <w:highlight w:val="none"/>
                <w:lang w:val="en-US" w:eastAsia="zh-CN"/>
              </w:rPr>
            </w:pPr>
            <w:r>
              <w:rPr>
                <w:rFonts w:hint="default"/>
                <w:color w:val="auto"/>
                <w:highlight w:val="none"/>
                <w:lang w:val="en-US" w:eastAsia="zh-CN"/>
              </w:rPr>
              <w:t>项目负责人</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E3F0">
            <w:pPr>
              <w:jc w:val="center"/>
              <w:rPr>
                <w:rFonts w:hint="default"/>
                <w:color w:val="auto"/>
                <w:highlight w:val="none"/>
                <w:lang w:val="en-US" w:eastAsia="zh-CN"/>
              </w:rPr>
            </w:pPr>
            <w:r>
              <w:rPr>
                <w:rFonts w:hint="default"/>
                <w:color w:val="auto"/>
                <w:highlight w:val="none"/>
                <w:lang w:val="en-US" w:eastAsia="zh-CN"/>
              </w:rPr>
              <w:t>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019F">
            <w:pPr>
              <w:jc w:val="center"/>
              <w:rPr>
                <w:rFonts w:hint="default"/>
                <w:color w:val="auto"/>
                <w:highlight w:val="none"/>
                <w:lang w:val="en-US" w:eastAsia="zh-CN"/>
              </w:rPr>
            </w:pPr>
            <w:r>
              <w:rPr>
                <w:rFonts w:hint="default"/>
                <w:color w:val="auto"/>
                <w:highlight w:val="none"/>
                <w:lang w:val="en-US" w:eastAsia="zh-CN"/>
              </w:rPr>
              <w:t>统筹机电与交安设施整体养护管理，协调应急抢修、人员调度</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4E1C">
            <w:pPr>
              <w:jc w:val="center"/>
              <w:rPr>
                <w:rFonts w:hint="default"/>
                <w:color w:val="auto"/>
                <w:highlight w:val="none"/>
                <w:lang w:val="en-US" w:eastAsia="zh-CN"/>
              </w:rPr>
            </w:pPr>
            <w:r>
              <w:rPr>
                <w:rFonts w:hint="default"/>
                <w:color w:val="auto"/>
                <w:highlight w:val="none"/>
                <w:lang w:val="en-US" w:eastAsia="zh-CN"/>
              </w:rPr>
              <w:t>大专及以上学历，年龄≤50周岁，持</w:t>
            </w:r>
            <w:r>
              <w:rPr>
                <w:rFonts w:hint="eastAsia"/>
                <w:color w:val="auto"/>
                <w:highlight w:val="none"/>
                <w:lang w:val="en-US" w:eastAsia="zh-CN"/>
              </w:rPr>
              <w:t>市政公用</w:t>
            </w:r>
            <w:r>
              <w:rPr>
                <w:rFonts w:hint="default"/>
                <w:color w:val="auto"/>
                <w:highlight w:val="none"/>
                <w:lang w:val="en-US" w:eastAsia="zh-CN"/>
              </w:rPr>
              <w:t>工程二级及以上注册建造师+安全生产考核B证</w:t>
            </w:r>
          </w:p>
        </w:tc>
      </w:tr>
      <w:tr w14:paraId="54A3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2FE6">
            <w:pPr>
              <w:jc w:val="center"/>
              <w:rPr>
                <w:rFonts w:hint="default"/>
                <w:color w:val="auto"/>
                <w:highlight w:val="none"/>
                <w:lang w:val="en-US" w:eastAsia="zh-CN"/>
              </w:rPr>
            </w:pPr>
            <w:r>
              <w:rPr>
                <w:rFonts w:hint="default"/>
                <w:color w:val="auto"/>
                <w:highlight w:val="none"/>
                <w:lang w:val="en-US" w:eastAsia="zh-CN"/>
              </w:rPr>
              <w:t>2</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39F8">
            <w:pPr>
              <w:jc w:val="center"/>
              <w:rPr>
                <w:rFonts w:hint="default"/>
                <w:color w:val="auto"/>
                <w:highlight w:val="none"/>
                <w:lang w:val="en-US" w:eastAsia="zh-CN"/>
              </w:rPr>
            </w:pPr>
            <w:r>
              <w:rPr>
                <w:rFonts w:hint="default"/>
                <w:color w:val="auto"/>
                <w:highlight w:val="none"/>
                <w:lang w:val="en-US" w:eastAsia="zh-CN"/>
              </w:rPr>
              <w:t>安全员</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509A">
            <w:pPr>
              <w:jc w:val="center"/>
              <w:rPr>
                <w:rFonts w:hint="default"/>
                <w:color w:val="auto"/>
                <w:highlight w:val="none"/>
                <w:lang w:val="en-US" w:eastAsia="zh-CN"/>
              </w:rPr>
            </w:pPr>
            <w:r>
              <w:rPr>
                <w:rFonts w:hint="default"/>
                <w:color w:val="auto"/>
                <w:highlight w:val="none"/>
                <w:lang w:val="en-US" w:eastAsia="zh-CN"/>
              </w:rPr>
              <w:t>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874B">
            <w:pPr>
              <w:jc w:val="center"/>
              <w:rPr>
                <w:rFonts w:hint="default"/>
                <w:color w:val="auto"/>
                <w:highlight w:val="none"/>
                <w:lang w:val="en-US" w:eastAsia="zh-CN"/>
              </w:rPr>
            </w:pPr>
            <w:r>
              <w:rPr>
                <w:rFonts w:hint="default"/>
                <w:color w:val="auto"/>
                <w:highlight w:val="none"/>
                <w:lang w:val="en-US" w:eastAsia="zh-CN"/>
              </w:rPr>
              <w:t>监督机电（如高压设备、充电桩）与交安（如信号灯杆安装、路口抢修）作业安全，组织安全培训</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7AEB">
            <w:pPr>
              <w:jc w:val="center"/>
              <w:rPr>
                <w:rFonts w:hint="default"/>
                <w:color w:val="auto"/>
                <w:highlight w:val="none"/>
                <w:lang w:val="en-US" w:eastAsia="zh-CN"/>
              </w:rPr>
            </w:pPr>
            <w:r>
              <w:rPr>
                <w:rFonts w:hint="default"/>
                <w:color w:val="auto"/>
                <w:highlight w:val="none"/>
                <w:lang w:val="en-US" w:eastAsia="zh-CN"/>
              </w:rPr>
              <w:t>年龄≤40周岁，持安全管理资格C证，熟悉《城市道路施工作业交通组织规范》</w:t>
            </w:r>
          </w:p>
        </w:tc>
      </w:tr>
      <w:tr w14:paraId="56AC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99D3">
            <w:pPr>
              <w:jc w:val="center"/>
              <w:rPr>
                <w:rFonts w:hint="default"/>
                <w:color w:val="auto"/>
                <w:highlight w:val="none"/>
                <w:lang w:val="en-US" w:eastAsia="zh-CN"/>
              </w:rPr>
            </w:pPr>
            <w:r>
              <w:rPr>
                <w:rFonts w:hint="default"/>
                <w:color w:val="auto"/>
                <w:highlight w:val="none"/>
                <w:lang w:val="en-US" w:eastAsia="zh-CN"/>
              </w:rPr>
              <w:t>3</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850C">
            <w:pPr>
              <w:jc w:val="center"/>
              <w:rPr>
                <w:rFonts w:hint="default"/>
                <w:color w:val="auto"/>
                <w:highlight w:val="none"/>
                <w:lang w:val="en-US" w:eastAsia="zh-CN"/>
              </w:rPr>
            </w:pPr>
            <w:r>
              <w:rPr>
                <w:rFonts w:hint="default"/>
                <w:color w:val="auto"/>
                <w:highlight w:val="none"/>
                <w:lang w:val="en-US" w:eastAsia="zh-CN"/>
              </w:rPr>
              <w:t>文员</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B2CE">
            <w:pPr>
              <w:jc w:val="center"/>
              <w:rPr>
                <w:rFonts w:hint="default"/>
                <w:color w:val="auto"/>
                <w:highlight w:val="none"/>
                <w:lang w:val="en-US" w:eastAsia="zh-CN"/>
              </w:rPr>
            </w:pPr>
            <w:r>
              <w:rPr>
                <w:rFonts w:hint="default"/>
                <w:color w:val="auto"/>
                <w:highlight w:val="none"/>
                <w:lang w:val="en-US" w:eastAsia="zh-CN"/>
              </w:rPr>
              <w:t>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4B82">
            <w:pPr>
              <w:jc w:val="center"/>
              <w:rPr>
                <w:rFonts w:hint="default"/>
                <w:color w:val="auto"/>
                <w:highlight w:val="none"/>
                <w:lang w:val="en-US" w:eastAsia="zh-CN"/>
              </w:rPr>
            </w:pPr>
            <w:r>
              <w:rPr>
                <w:rFonts w:hint="default"/>
                <w:color w:val="auto"/>
                <w:highlight w:val="none"/>
                <w:lang w:val="en-US" w:eastAsia="zh-CN"/>
              </w:rPr>
              <w:t>负责机电与交安养护台账整合（含设施台账、巡查记录、维修单据），数据统计与报表提交</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DCC7">
            <w:pPr>
              <w:jc w:val="center"/>
              <w:rPr>
                <w:rFonts w:hint="default"/>
                <w:color w:val="auto"/>
                <w:highlight w:val="none"/>
                <w:lang w:val="en-US" w:eastAsia="zh-CN"/>
              </w:rPr>
            </w:pPr>
            <w:r>
              <w:rPr>
                <w:rFonts w:hint="default"/>
                <w:color w:val="auto"/>
                <w:highlight w:val="none"/>
                <w:lang w:val="en-US" w:eastAsia="zh-CN"/>
              </w:rPr>
              <w:t>大专及以上学历，年龄≤35周岁，熟练掌握办公自动化软件</w:t>
            </w:r>
          </w:p>
        </w:tc>
      </w:tr>
      <w:tr w14:paraId="38EE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125">
            <w:pPr>
              <w:jc w:val="center"/>
              <w:rPr>
                <w:rFonts w:hint="default"/>
                <w:color w:val="auto"/>
                <w:highlight w:val="none"/>
                <w:lang w:val="en-US" w:eastAsia="zh-CN"/>
              </w:rPr>
            </w:pPr>
            <w:r>
              <w:rPr>
                <w:rFonts w:hint="default"/>
                <w:color w:val="auto"/>
                <w:highlight w:val="none"/>
                <w:lang w:val="en-US" w:eastAsia="zh-CN"/>
              </w:rPr>
              <w:t>4</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0B09">
            <w:pPr>
              <w:jc w:val="center"/>
              <w:rPr>
                <w:rFonts w:hint="default"/>
                <w:color w:val="auto"/>
                <w:highlight w:val="none"/>
                <w:lang w:val="en-US" w:eastAsia="zh-CN"/>
              </w:rPr>
            </w:pPr>
            <w:r>
              <w:rPr>
                <w:rFonts w:hint="default"/>
                <w:color w:val="auto"/>
                <w:highlight w:val="none"/>
                <w:lang w:val="en-US" w:eastAsia="zh-CN"/>
              </w:rPr>
              <w:t>机电交安综合维修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ECC3">
            <w:pPr>
              <w:jc w:val="center"/>
              <w:rPr>
                <w:rFonts w:hint="default"/>
                <w:color w:val="auto"/>
                <w:highlight w:val="none"/>
                <w:lang w:val="en-US" w:eastAsia="zh-CN"/>
              </w:rPr>
            </w:pPr>
            <w:r>
              <w:rPr>
                <w:rFonts w:hint="eastAsia"/>
                <w:color w:val="auto"/>
                <w:highlight w:val="none"/>
                <w:lang w:val="en-US" w:eastAsia="zh-CN"/>
              </w:rPr>
              <w:t>10</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BF1E">
            <w:pPr>
              <w:jc w:val="center"/>
              <w:rPr>
                <w:rFonts w:hint="default"/>
                <w:color w:val="auto"/>
                <w:highlight w:val="none"/>
                <w:lang w:val="en-US" w:eastAsia="zh-CN"/>
              </w:rPr>
            </w:pPr>
            <w:r>
              <w:rPr>
                <w:rFonts w:hint="default"/>
                <w:color w:val="auto"/>
                <w:highlight w:val="none"/>
                <w:lang w:val="en-US" w:eastAsia="zh-CN"/>
              </w:rPr>
              <w:t>覆盖城市照明（路灯检修、控制柜维护）、交安设施（信号灯维修、路牌更换）、泵站河闸（设备巡检、闸阀维护）</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3630">
            <w:pPr>
              <w:jc w:val="center"/>
              <w:rPr>
                <w:rFonts w:hint="default"/>
                <w:color w:val="auto"/>
                <w:highlight w:val="none"/>
                <w:lang w:val="en-US" w:eastAsia="zh-CN"/>
              </w:rPr>
            </w:pPr>
            <w:r>
              <w:rPr>
                <w:rFonts w:hint="default"/>
                <w:color w:val="auto"/>
                <w:highlight w:val="none"/>
                <w:lang w:val="en-US" w:eastAsia="zh-CN"/>
              </w:rPr>
              <w:t>年龄≤50周岁，</w:t>
            </w:r>
            <w:r>
              <w:rPr>
                <w:rFonts w:hint="eastAsia"/>
                <w:color w:val="auto"/>
                <w:highlight w:val="none"/>
                <w:lang w:val="en-US" w:eastAsia="zh-CN"/>
              </w:rPr>
              <w:t>维修人员须持证上岗</w:t>
            </w:r>
          </w:p>
        </w:tc>
      </w:tr>
      <w:tr w14:paraId="72AA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890">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w:t>
            </w:r>
          </w:p>
        </w:tc>
        <w:tc>
          <w:tcPr>
            <w:tcW w:w="1297" w:type="dxa"/>
            <w:tcBorders>
              <w:top w:val="single" w:color="000000" w:sz="4" w:space="0"/>
              <w:left w:val="single" w:color="000000" w:sz="4" w:space="0"/>
              <w:bottom w:val="single" w:color="auto" w:sz="4" w:space="0"/>
              <w:right w:val="single" w:color="000000" w:sz="4" w:space="0"/>
            </w:tcBorders>
            <w:shd w:val="clear" w:color="auto" w:fill="auto"/>
            <w:vAlign w:val="center"/>
          </w:tcPr>
          <w:p w14:paraId="1FFD37FC">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泵站驻站人员</w:t>
            </w:r>
          </w:p>
        </w:tc>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60AB94">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w:t>
            </w:r>
          </w:p>
        </w:tc>
        <w:tc>
          <w:tcPr>
            <w:tcW w:w="27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A6F03F3">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6个驻站泵站24小时轮班值守（每站1人，2人机动调配）。发现生产隐患，要及时上报。 认真填写运行记录，做好各类记录。</w:t>
            </w:r>
          </w:p>
        </w:tc>
        <w:tc>
          <w:tcPr>
            <w:tcW w:w="4114" w:type="dxa"/>
            <w:tcBorders>
              <w:top w:val="single" w:color="000000" w:sz="4" w:space="0"/>
              <w:left w:val="single" w:color="000000" w:sz="4" w:space="0"/>
              <w:bottom w:val="single" w:color="auto" w:sz="4" w:space="0"/>
              <w:right w:val="single" w:color="000000" w:sz="4" w:space="0"/>
            </w:tcBorders>
            <w:shd w:val="clear" w:color="auto" w:fill="auto"/>
            <w:vAlign w:val="center"/>
          </w:tcPr>
          <w:p w14:paraId="2E7AC6FB">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身体健康</w:t>
            </w:r>
          </w:p>
        </w:tc>
      </w:tr>
      <w:tr w14:paraId="0910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4" w:hRule="atLeast"/>
        </w:trPr>
        <w:tc>
          <w:tcPr>
            <w:tcW w:w="735" w:type="dxa"/>
            <w:tcBorders>
              <w:top w:val="single" w:color="000000" w:sz="4" w:space="0"/>
              <w:left w:val="single" w:color="000000" w:sz="4" w:space="0"/>
              <w:bottom w:val="single" w:color="000000" w:sz="4" w:space="0"/>
              <w:right w:val="single" w:color="auto" w:sz="4" w:space="0"/>
            </w:tcBorders>
            <w:shd w:val="clear" w:color="auto" w:fill="auto"/>
            <w:vAlign w:val="center"/>
          </w:tcPr>
          <w:p w14:paraId="39D91D9E">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74B66DA3">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智慧中心值班</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14BE0B44">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w:t>
            </w:r>
          </w:p>
        </w:tc>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14:paraId="47FD4FFC">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智慧中心24小时</w:t>
            </w:r>
            <w:r>
              <w:rPr>
                <w:rFonts w:hint="default" w:ascii="Times New Roman" w:hAnsi="Times New Roman" w:eastAsia="宋体" w:cs="Times New Roman"/>
                <w:color w:val="auto"/>
                <w:highlight w:val="none"/>
                <w:lang w:val="en-US" w:eastAsia="zh-CN"/>
              </w:rPr>
              <w:t>值班期间需负责</w:t>
            </w:r>
            <w:r>
              <w:rPr>
                <w:rFonts w:hint="eastAsia" w:ascii="Times New Roman" w:hAnsi="Times New Roman" w:eastAsia="宋体" w:cs="Times New Roman"/>
                <w:color w:val="auto"/>
                <w:highlight w:val="none"/>
                <w:lang w:val="en-US" w:eastAsia="zh-CN"/>
              </w:rPr>
              <w:t>大厅讲解、信息收集上报</w:t>
            </w:r>
            <w:r>
              <w:rPr>
                <w:rFonts w:hint="default" w:ascii="Times New Roman" w:hAnsi="Times New Roman" w:eastAsia="宋体" w:cs="Times New Roman"/>
                <w:color w:val="auto"/>
                <w:highlight w:val="none"/>
                <w:lang w:val="en-US" w:eastAsia="zh-CN"/>
              </w:rPr>
              <w:t>等工作。</w:t>
            </w:r>
          </w:p>
        </w:tc>
        <w:tc>
          <w:tcPr>
            <w:tcW w:w="4114" w:type="dxa"/>
            <w:tcBorders>
              <w:top w:val="single" w:color="auto" w:sz="4" w:space="0"/>
              <w:left w:val="single" w:color="auto" w:sz="4" w:space="0"/>
              <w:bottom w:val="single" w:color="auto" w:sz="4" w:space="0"/>
              <w:right w:val="single" w:color="auto" w:sz="4" w:space="0"/>
            </w:tcBorders>
            <w:shd w:val="clear" w:color="auto" w:fill="auto"/>
            <w:vAlign w:val="center"/>
          </w:tcPr>
          <w:p w14:paraId="01F2069E">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年龄≤35周岁，能够接受并胜任夜班值班工作，具备电脑基本知识，符合夜班值班的时间安排及岗位要求。至少1人需持有有效的无人机操作相关资质证书。</w:t>
            </w:r>
          </w:p>
        </w:tc>
      </w:tr>
    </w:tbl>
    <w:p w14:paraId="51EB3E41">
      <w:pPr>
        <w:shd w:val="clear"/>
        <w:snapToGrid w:val="0"/>
        <w:spacing w:line="500" w:lineRule="exact"/>
        <w:ind w:right="-212" w:rightChars="-101"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注：（1）中标人在合同签订前须给本项目配备的所有人员购买安全责任险。</w:t>
      </w:r>
    </w:p>
    <w:p w14:paraId="4D8D0DE3">
      <w:pPr>
        <w:shd w:val="clear"/>
        <w:snapToGrid w:val="0"/>
        <w:spacing w:line="500" w:lineRule="exact"/>
        <w:ind w:right="-212" w:rightChars="-101"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（2）上述人员为基础配备人员，如应急防汛期间业主要求增加人员的，中标人须无条件服从。</w:t>
      </w:r>
    </w:p>
    <w:p w14:paraId="198F0115">
      <w:pPr>
        <w:shd w:val="clear"/>
        <w:snapToGrid w:val="0"/>
        <w:spacing w:line="500" w:lineRule="exact"/>
        <w:ind w:right="-212" w:rightChars="-101"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（3）投标人配备所有人员须无条件服从采购人的统一工作安排、调度和接受招标人的考核。</w:t>
      </w:r>
    </w:p>
    <w:p w14:paraId="3310E5FA">
      <w:pPr>
        <w:shd w:val="clear"/>
        <w:snapToGrid w:val="0"/>
        <w:spacing w:line="500" w:lineRule="exact"/>
        <w:ind w:right="-212" w:rightChars="-101" w:firstLine="422" w:firstLineChars="200"/>
        <w:jc w:val="left"/>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、人员培训要求</w:t>
      </w:r>
    </w:p>
    <w:p w14:paraId="09579442">
      <w:pPr>
        <w:shd w:val="clea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每月组织1次跨领域技能培训，内容涵盖：</w:t>
      </w:r>
    </w:p>
    <w:p w14:paraId="5DD2AF80">
      <w:pPr>
        <w:shd w:val="clea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机电领域：高压设备操作、充电桩故障排查、泵站水泵维修；</w:t>
      </w:r>
    </w:p>
    <w:p w14:paraId="43FDF623">
      <w:pPr>
        <w:shd w:val="clea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交安领域：信号灯检测标准（如GB14887-2011）、路口抢修流程（含交通事故现场取证）；</w:t>
      </w:r>
    </w:p>
    <w:p w14:paraId="39B121D9">
      <w:pPr>
        <w:shd w:val="clea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安全领域：高空作业防护、路口施工交通导行、触电应急处置。</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培训后需留存台账（含时间、地点、照片、签到表），每月16日前提交至招标人及监督检查单位。</w:t>
      </w:r>
    </w:p>
    <w:p w14:paraId="64B8E1F3">
      <w:pPr>
        <w:shd w:val="clear"/>
        <w:snapToGrid w:val="0"/>
        <w:spacing w:line="500" w:lineRule="exact"/>
        <w:ind w:right="-212" w:rightChars="-101" w:firstLine="422" w:firstLineChars="200"/>
        <w:jc w:val="left"/>
        <w:rPr>
          <w:rFonts w:hint="eastAsia" w:ascii="仿宋_GB2312" w:hAnsi="仿宋_GB2312" w:eastAsia="仿宋_GB2312" w:cs="仿宋_GB2312"/>
          <w:color w:val="auto"/>
          <w:sz w:val="32"/>
          <w:szCs w:val="32"/>
          <w:highlight w:val="none"/>
        </w:rPr>
      </w:pP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、设备最低配备标准：以下设备为最低配备标准，中标人应根据实际服务需求适当增加相应设备，费用包含在投标报价中。</w:t>
      </w:r>
    </w:p>
    <w:tbl>
      <w:tblPr>
        <w:tblStyle w:val="36"/>
        <w:tblW w:w="9553"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0"/>
        <w:gridCol w:w="1272"/>
        <w:gridCol w:w="1174"/>
        <w:gridCol w:w="2912"/>
        <w:gridCol w:w="3495"/>
      </w:tblGrid>
      <w:tr w14:paraId="3D8F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9B98">
            <w:pPr>
              <w:jc w:val="center"/>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序号</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708D">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设备名称</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F15D">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数量</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E0A1">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规格参数</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E0B1">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用途</w:t>
            </w:r>
          </w:p>
        </w:tc>
      </w:tr>
      <w:tr w14:paraId="5C2C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9FDA4">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B666">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高空作业车</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6C2C">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D776">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高度≥1</w:t>
            </w:r>
            <w:r>
              <w:rPr>
                <w:rFonts w:hint="eastAsia"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lang w:val="en-US" w:eastAsia="zh-CN"/>
              </w:rPr>
              <w:t>m，配备绝缘平台</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8BB3">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机电：路灯灯头维修、高杆灯检修。</w:t>
            </w:r>
          </w:p>
        </w:tc>
      </w:tr>
      <w:tr w14:paraId="4A75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BBA42">
            <w:pPr>
              <w:jc w:val="center"/>
              <w:rPr>
                <w:rFonts w:hint="default" w:ascii="Times New Roman" w:hAnsi="Times New Roman" w:eastAsia="宋体" w:cs="Times New Roman"/>
                <w:color w:val="auto"/>
                <w:highlight w:val="none"/>
                <w:lang w:val="en-US" w:eastAsia="zh-CN"/>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A474">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升高车</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73F7">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B525">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高度≥6.5m，配备平板车拖运。</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D7AD">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交安：高悬臂信号灯杆安装与维护。</w:t>
            </w:r>
          </w:p>
        </w:tc>
      </w:tr>
      <w:tr w14:paraId="1D47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396B">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B114">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作业车辆</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C7E5">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EC9C">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2023年1月后购置，皮卡车。</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C0D6">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3台日常检修（机电设施路灯，泵站维修、交安设施信号灯维修）、应急抢修物资运输；1台智慧中心值班人员使用。</w:t>
            </w:r>
          </w:p>
        </w:tc>
      </w:tr>
    </w:tbl>
    <w:p w14:paraId="47584CF1">
      <w:pPr>
        <w:shd w:val="clear"/>
        <w:snapToGrid w:val="0"/>
        <w:spacing w:line="500" w:lineRule="exact"/>
        <w:ind w:right="-212" w:rightChars="-101" w:firstLine="422" w:firstLineChars="200"/>
        <w:jc w:val="left"/>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、设备管理要求</w:t>
      </w:r>
    </w:p>
    <w:p w14:paraId="5E74FA21">
      <w:pPr>
        <w:shd w:val="clea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所有设备需登记台账，记录购置时间、维护记录、使用状态，每月16日前同步至机电与交安养护台账；</w:t>
      </w:r>
    </w:p>
    <w:p w14:paraId="366F91F0">
      <w:pPr>
        <w:shd w:val="clea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登高车、皮卡车需固定停放于园区内项目部仓库，不得用于其他项目，车辆维修时需及时调配备用设备，确保养护不中断。</w:t>
      </w:r>
    </w:p>
    <w:p w14:paraId="0F4B3E31">
      <w:pPr>
        <w:shd w:val="clear"/>
        <w:snapToGrid w:val="0"/>
        <w:spacing w:line="500" w:lineRule="exact"/>
        <w:ind w:right="-212" w:rightChars="-101" w:firstLine="422" w:firstLineChars="200"/>
        <w:jc w:val="left"/>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、投标人拟为本项目在养护范围内设立养护基地，投标人自有或租赁均可，必须承诺中标后合同签订前设立。投标时提供承诺书，否则按无效标处理。</w:t>
      </w:r>
    </w:p>
    <w:p w14:paraId="785A289E">
      <w:pPr>
        <w:pStyle w:val="15"/>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0" w:line="440" w:lineRule="exact"/>
        <w:ind w:left="425" w:leftChars="0"/>
        <w:textAlignment w:val="auto"/>
        <w:rPr>
          <w:rFonts w:hint="eastAsia" w:hAnsi="宋体" w:cs="Times New Roman"/>
          <w:b/>
          <w:bCs/>
          <w:color w:val="auto"/>
          <w:kern w:val="2"/>
          <w:sz w:val="32"/>
          <w:szCs w:val="32"/>
          <w:highlight w:val="none"/>
          <w:lang w:val="en-US" w:eastAsia="zh-CN" w:bidi="ar-SA"/>
        </w:rPr>
      </w:pPr>
      <w:r>
        <w:rPr>
          <w:rFonts w:hint="eastAsia" w:hAnsi="宋体" w:cs="Times New Roman"/>
          <w:b/>
          <w:bCs/>
          <w:color w:val="auto"/>
          <w:kern w:val="2"/>
          <w:sz w:val="32"/>
          <w:szCs w:val="32"/>
          <w:highlight w:val="none"/>
          <w:lang w:val="en-US" w:eastAsia="zh-CN" w:bidi="ar-SA"/>
        </w:rPr>
        <w:t>五、考核办法</w:t>
      </w:r>
    </w:p>
    <w:p w14:paraId="17477580">
      <w:pPr>
        <w:pStyle w:val="15"/>
        <w:numPr>
          <w:ilvl w:val="0"/>
          <w:numId w:val="0"/>
        </w:numPr>
        <w:shd w:val="clear"/>
        <w:spacing w:before="161" w:line="228" w:lineRule="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执行招标</w:t>
      </w:r>
      <w:r>
        <w:rPr>
          <w:rFonts w:hint="eastAsia" w:ascii="宋体" w:hAnsi="宋体" w:cs="宋体"/>
          <w:color w:val="auto"/>
          <w:kern w:val="2"/>
          <w:sz w:val="21"/>
          <w:szCs w:val="21"/>
          <w:highlight w:val="none"/>
          <w:lang w:val="en-US" w:eastAsia="zh-CN" w:bidi="ar-SA"/>
        </w:rPr>
        <w:t>人</w:t>
      </w:r>
      <w:r>
        <w:rPr>
          <w:rFonts w:hint="eastAsia" w:ascii="宋体" w:hAnsi="宋体" w:eastAsia="宋体" w:cs="宋体"/>
          <w:color w:val="auto"/>
          <w:kern w:val="2"/>
          <w:sz w:val="21"/>
          <w:szCs w:val="21"/>
          <w:highlight w:val="none"/>
          <w:lang w:val="en-US" w:eastAsia="zh-CN" w:bidi="ar-SA"/>
        </w:rPr>
        <w:t xml:space="preserve">发布的考核管理办法 </w:t>
      </w:r>
    </w:p>
    <w:p w14:paraId="30398148">
      <w:pPr>
        <w:pStyle w:val="15"/>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0" w:line="440" w:lineRule="exact"/>
        <w:ind w:left="425" w:leftChars="0"/>
        <w:textAlignment w:val="auto"/>
        <w:rPr>
          <w:rFonts w:hint="eastAsia" w:hAnsi="宋体" w:cs="Times New Roman"/>
          <w:b/>
          <w:bCs/>
          <w:color w:val="auto"/>
          <w:kern w:val="2"/>
          <w:sz w:val="32"/>
          <w:szCs w:val="32"/>
          <w:highlight w:val="none"/>
          <w:lang w:val="en-US" w:eastAsia="zh-CN" w:bidi="ar-SA"/>
        </w:rPr>
      </w:pPr>
      <w:r>
        <w:rPr>
          <w:rFonts w:hint="eastAsia" w:hAnsi="宋体" w:cs="Times New Roman"/>
          <w:b/>
          <w:bCs/>
          <w:color w:val="auto"/>
          <w:kern w:val="2"/>
          <w:sz w:val="32"/>
          <w:szCs w:val="32"/>
          <w:highlight w:val="none"/>
          <w:lang w:val="en-US" w:eastAsia="zh-CN" w:bidi="ar-SA"/>
        </w:rPr>
        <w:t>六、特别说明</w:t>
      </w:r>
    </w:p>
    <w:p w14:paraId="535D5E4E">
      <w:pPr>
        <w:shd w:val="clea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责任划分：因养护单位未及时处理机电（如充电桩漏电）或交安（如信号灯故障）问题导致事故的，由中标单位承担全部安全责任及经济损失；</w:t>
      </w:r>
    </w:p>
    <w:p w14:paraId="16C5DAC2">
      <w:pPr>
        <w:shd w:val="clea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协同配合：涉及跨领域作业（如机电管线与交安电缆同沟铺设）时，养护单位需统一规划施工，避免重复开挖，减少对交通及居民生活的影响。</w:t>
      </w:r>
    </w:p>
    <w:p w14:paraId="62F3B6EF">
      <w:pPr>
        <w:shd w:val="clear"/>
        <w:spacing w:line="440" w:lineRule="exact"/>
        <w:ind w:firstLine="542" w:firstLineChars="150"/>
        <w:jc w:val="center"/>
        <w:rPr>
          <w:rFonts w:hint="eastAsia" w:ascii="宋体"/>
          <w:b/>
          <w:bCs/>
          <w:color w:val="auto"/>
          <w:sz w:val="36"/>
          <w:szCs w:val="52"/>
          <w:highlight w:val="none"/>
        </w:rPr>
      </w:pPr>
    </w:p>
    <w:p w14:paraId="3C4D9256">
      <w:pPr>
        <w:shd w:val="clear"/>
        <w:spacing w:line="440" w:lineRule="exact"/>
        <w:ind w:firstLine="542" w:firstLineChars="150"/>
        <w:jc w:val="center"/>
        <w:rPr>
          <w:rFonts w:hint="eastAsia" w:ascii="宋体"/>
          <w:b/>
          <w:bCs/>
          <w:color w:val="auto"/>
          <w:sz w:val="36"/>
          <w:szCs w:val="52"/>
          <w:highlight w:val="none"/>
        </w:rPr>
      </w:pPr>
    </w:p>
    <w:p w14:paraId="5F60C3D7">
      <w:pPr>
        <w:shd w:val="clear"/>
        <w:spacing w:line="440" w:lineRule="exact"/>
        <w:ind w:firstLine="542" w:firstLineChars="150"/>
        <w:jc w:val="center"/>
        <w:rPr>
          <w:rFonts w:hint="eastAsia" w:ascii="宋体"/>
          <w:b/>
          <w:bCs/>
          <w:color w:val="auto"/>
          <w:sz w:val="36"/>
          <w:szCs w:val="52"/>
          <w:highlight w:val="none"/>
        </w:rPr>
      </w:pPr>
    </w:p>
    <w:p w14:paraId="242CD800">
      <w:pPr>
        <w:shd w:val="clear"/>
        <w:spacing w:line="440" w:lineRule="exact"/>
        <w:ind w:firstLine="542" w:firstLineChars="150"/>
        <w:jc w:val="center"/>
        <w:rPr>
          <w:rFonts w:hint="eastAsia" w:ascii="宋体"/>
          <w:b/>
          <w:bCs/>
          <w:color w:val="auto"/>
          <w:sz w:val="36"/>
          <w:szCs w:val="52"/>
          <w:highlight w:val="none"/>
        </w:rPr>
      </w:pPr>
    </w:p>
    <w:p w14:paraId="31240B8B">
      <w:pPr>
        <w:pStyle w:val="2"/>
        <w:shd w:val="clear"/>
        <w:rPr>
          <w:rFonts w:hint="eastAsia" w:ascii="宋体"/>
          <w:b/>
          <w:bCs/>
          <w:color w:val="auto"/>
          <w:sz w:val="36"/>
          <w:szCs w:val="52"/>
          <w:highlight w:val="none"/>
        </w:rPr>
      </w:pPr>
    </w:p>
    <w:p w14:paraId="5C07E8B7">
      <w:pPr>
        <w:shd w:val="clear"/>
        <w:rPr>
          <w:rFonts w:hint="eastAsia" w:ascii="宋体"/>
          <w:b/>
          <w:bCs/>
          <w:color w:val="auto"/>
          <w:sz w:val="36"/>
          <w:szCs w:val="52"/>
          <w:highlight w:val="none"/>
        </w:rPr>
      </w:pPr>
    </w:p>
    <w:p w14:paraId="58604906">
      <w:pPr>
        <w:pStyle w:val="2"/>
        <w:shd w:val="clear"/>
        <w:rPr>
          <w:rFonts w:hint="eastAsia" w:ascii="宋体"/>
          <w:b/>
          <w:bCs/>
          <w:color w:val="auto"/>
          <w:sz w:val="36"/>
          <w:szCs w:val="52"/>
          <w:highlight w:val="none"/>
        </w:rPr>
      </w:pPr>
    </w:p>
    <w:p w14:paraId="29397891">
      <w:pPr>
        <w:shd w:val="clear"/>
        <w:rPr>
          <w:rFonts w:hint="eastAsia" w:ascii="宋体"/>
          <w:b/>
          <w:bCs/>
          <w:color w:val="auto"/>
          <w:sz w:val="36"/>
          <w:szCs w:val="52"/>
          <w:highlight w:val="none"/>
        </w:rPr>
      </w:pPr>
    </w:p>
    <w:p w14:paraId="66F7064D">
      <w:pPr>
        <w:pStyle w:val="2"/>
        <w:shd w:val="clear"/>
        <w:rPr>
          <w:rFonts w:hint="eastAsia" w:ascii="宋体"/>
          <w:b/>
          <w:bCs/>
          <w:color w:val="auto"/>
          <w:sz w:val="36"/>
          <w:szCs w:val="52"/>
          <w:highlight w:val="none"/>
        </w:rPr>
      </w:pPr>
    </w:p>
    <w:p w14:paraId="25A28DDB">
      <w:pPr>
        <w:shd w:val="clear"/>
        <w:rPr>
          <w:rFonts w:hint="eastAsia" w:ascii="宋体"/>
          <w:b/>
          <w:bCs/>
          <w:color w:val="auto"/>
          <w:sz w:val="36"/>
          <w:szCs w:val="52"/>
          <w:highlight w:val="none"/>
        </w:rPr>
      </w:pPr>
    </w:p>
    <w:p w14:paraId="722FD5DF">
      <w:pPr>
        <w:pStyle w:val="2"/>
        <w:shd w:val="clear"/>
        <w:rPr>
          <w:rFonts w:hint="eastAsia" w:ascii="宋体"/>
          <w:b/>
          <w:bCs/>
          <w:color w:val="auto"/>
          <w:sz w:val="36"/>
          <w:szCs w:val="52"/>
          <w:highlight w:val="none"/>
        </w:rPr>
      </w:pPr>
    </w:p>
    <w:p w14:paraId="190C137F">
      <w:pPr>
        <w:shd w:val="clear"/>
        <w:rPr>
          <w:rFonts w:hint="eastAsia" w:ascii="宋体"/>
          <w:b/>
          <w:bCs/>
          <w:color w:val="auto"/>
          <w:sz w:val="36"/>
          <w:szCs w:val="52"/>
          <w:highlight w:val="none"/>
        </w:rPr>
      </w:pPr>
    </w:p>
    <w:p w14:paraId="070EF630">
      <w:pPr>
        <w:pStyle w:val="2"/>
        <w:shd w:val="clear"/>
        <w:rPr>
          <w:rFonts w:hint="eastAsia"/>
          <w:color w:val="auto"/>
          <w:highlight w:val="none"/>
        </w:rPr>
      </w:pPr>
    </w:p>
    <w:p w14:paraId="2F2576DA">
      <w:pPr>
        <w:pStyle w:val="2"/>
        <w:shd w:val="clear"/>
        <w:rPr>
          <w:rFonts w:hint="eastAsia"/>
          <w:color w:val="auto"/>
          <w:highlight w:val="none"/>
        </w:rPr>
      </w:pPr>
    </w:p>
    <w:p w14:paraId="3332F90D">
      <w:pPr>
        <w:shd w:val="clear"/>
        <w:spacing w:line="440" w:lineRule="exact"/>
        <w:ind w:firstLine="542" w:firstLineChars="150"/>
        <w:jc w:val="center"/>
        <w:rPr>
          <w:rFonts w:hint="eastAsia" w:ascii="宋体"/>
          <w:b/>
          <w:bCs/>
          <w:color w:val="auto"/>
          <w:sz w:val="36"/>
          <w:szCs w:val="52"/>
          <w:highlight w:val="none"/>
        </w:rPr>
      </w:pPr>
    </w:p>
    <w:p w14:paraId="1D9699B2">
      <w:pPr>
        <w:shd w:val="clear"/>
        <w:spacing w:line="440" w:lineRule="exact"/>
        <w:ind w:firstLine="542" w:firstLineChars="150"/>
        <w:jc w:val="center"/>
        <w:rPr>
          <w:rFonts w:hint="eastAsia" w:ascii="宋体"/>
          <w:b/>
          <w:bCs/>
          <w:color w:val="auto"/>
          <w:sz w:val="36"/>
          <w:szCs w:val="52"/>
          <w:highlight w:val="none"/>
        </w:rPr>
      </w:pPr>
    </w:p>
    <w:p w14:paraId="7BB79620">
      <w:pPr>
        <w:shd w:val="clear"/>
        <w:spacing w:line="440" w:lineRule="exact"/>
        <w:ind w:firstLine="542" w:firstLineChars="150"/>
        <w:jc w:val="center"/>
        <w:rPr>
          <w:rFonts w:hint="eastAsia" w:ascii="宋体"/>
          <w:b/>
          <w:bCs/>
          <w:color w:val="auto"/>
          <w:sz w:val="36"/>
          <w:szCs w:val="52"/>
          <w:highlight w:val="none"/>
        </w:rPr>
      </w:pPr>
    </w:p>
    <w:p w14:paraId="074C9BAD">
      <w:pPr>
        <w:shd w:val="clear"/>
        <w:spacing w:line="440" w:lineRule="exact"/>
        <w:ind w:firstLine="542" w:firstLineChars="150"/>
        <w:jc w:val="center"/>
        <w:rPr>
          <w:rFonts w:hint="eastAsia" w:ascii="宋体"/>
          <w:b/>
          <w:bCs/>
          <w:color w:val="auto"/>
          <w:sz w:val="36"/>
          <w:szCs w:val="52"/>
          <w:highlight w:val="none"/>
        </w:rPr>
      </w:pPr>
    </w:p>
    <w:p w14:paraId="7994FA03">
      <w:pPr>
        <w:shd w:val="clear"/>
        <w:spacing w:line="440" w:lineRule="exact"/>
        <w:jc w:val="center"/>
        <w:rPr>
          <w:rFonts w:ascii="宋体"/>
          <w:color w:val="auto"/>
          <w:szCs w:val="32"/>
          <w:highlight w:val="none"/>
        </w:rPr>
      </w:pPr>
      <w:r>
        <w:rPr>
          <w:rFonts w:hint="eastAsia" w:ascii="宋体"/>
          <w:b/>
          <w:bCs/>
          <w:color w:val="auto"/>
          <w:sz w:val="36"/>
          <w:szCs w:val="52"/>
          <w:highlight w:val="none"/>
        </w:rPr>
        <w:t>第五章  合同条款及格式</w:t>
      </w:r>
      <w:bookmarkEnd w:id="84"/>
      <w:bookmarkEnd w:id="85"/>
    </w:p>
    <w:p w14:paraId="7BC52B25">
      <w:pPr>
        <w:pStyle w:val="35"/>
        <w:shd w:val="clear"/>
        <w:ind w:firstLine="883"/>
        <w:rPr>
          <w:rFonts w:ascii="黑体" w:hAnsi="黑体" w:eastAsia="黑体" w:cs="黑体"/>
          <w:b/>
          <w:color w:val="auto"/>
          <w:sz w:val="44"/>
          <w:szCs w:val="44"/>
          <w:highlight w:val="none"/>
          <w:lang w:eastAsia="zh-CN" w:bidi="ar"/>
        </w:rPr>
      </w:pPr>
      <w:bookmarkStart w:id="86" w:name="_Toc449028948"/>
    </w:p>
    <w:p w14:paraId="5BC061F8">
      <w:pPr>
        <w:pStyle w:val="27"/>
        <w:shd w:val="clear"/>
        <w:rPr>
          <w:color w:val="auto"/>
          <w:highlight w:val="none"/>
          <w:lang w:eastAsia="zh-CN"/>
        </w:rPr>
      </w:pPr>
    </w:p>
    <w:p w14:paraId="0F9DAE2E">
      <w:pPr>
        <w:pStyle w:val="27"/>
        <w:shd w:val="clear"/>
        <w:ind w:left="0" w:firstLine="0"/>
        <w:rPr>
          <w:rFonts w:ascii="黑体" w:hAnsi="黑体" w:eastAsia="黑体" w:cs="黑体"/>
          <w:b/>
          <w:color w:val="auto"/>
          <w:sz w:val="44"/>
          <w:szCs w:val="44"/>
          <w:highlight w:val="none"/>
          <w:lang w:bidi="ar"/>
        </w:rPr>
      </w:pPr>
    </w:p>
    <w:p w14:paraId="6EE460D6">
      <w:pPr>
        <w:pStyle w:val="27"/>
        <w:shd w:val="clear"/>
        <w:ind w:left="0" w:firstLine="0"/>
        <w:rPr>
          <w:rFonts w:ascii="黑体" w:hAnsi="黑体" w:eastAsia="黑体" w:cs="黑体"/>
          <w:b/>
          <w:color w:val="auto"/>
          <w:sz w:val="44"/>
          <w:szCs w:val="44"/>
          <w:highlight w:val="none"/>
          <w:lang w:bidi="ar"/>
        </w:rPr>
      </w:pPr>
    </w:p>
    <w:p w14:paraId="3BE55552">
      <w:pPr>
        <w:pStyle w:val="27"/>
        <w:shd w:val="clear"/>
        <w:ind w:left="883" w:hanging="883"/>
        <w:rPr>
          <w:rFonts w:ascii="黑体" w:hAnsi="黑体" w:eastAsia="黑体" w:cs="黑体"/>
          <w:b/>
          <w:color w:val="auto"/>
          <w:sz w:val="44"/>
          <w:szCs w:val="44"/>
          <w:highlight w:val="none"/>
          <w:lang w:bidi="ar"/>
        </w:rPr>
      </w:pPr>
    </w:p>
    <w:p w14:paraId="3C3C6362">
      <w:pPr>
        <w:pStyle w:val="27"/>
        <w:shd w:val="clear"/>
        <w:ind w:left="883" w:hanging="883"/>
        <w:rPr>
          <w:rFonts w:ascii="黑体" w:hAnsi="黑体" w:eastAsia="黑体" w:cs="黑体"/>
          <w:b/>
          <w:color w:val="auto"/>
          <w:sz w:val="44"/>
          <w:szCs w:val="44"/>
          <w:highlight w:val="none"/>
          <w:lang w:bidi="ar"/>
        </w:rPr>
      </w:pPr>
    </w:p>
    <w:p w14:paraId="1DCBB85C">
      <w:pPr>
        <w:pStyle w:val="27"/>
        <w:shd w:val="clear"/>
        <w:ind w:left="883" w:hanging="883"/>
        <w:rPr>
          <w:rFonts w:ascii="黑体" w:hAnsi="黑体" w:eastAsia="黑体" w:cs="黑体"/>
          <w:b/>
          <w:color w:val="auto"/>
          <w:sz w:val="44"/>
          <w:szCs w:val="44"/>
          <w:highlight w:val="none"/>
          <w:lang w:bidi="ar"/>
        </w:rPr>
      </w:pPr>
    </w:p>
    <w:p w14:paraId="39962344">
      <w:pPr>
        <w:pStyle w:val="27"/>
        <w:shd w:val="clear"/>
        <w:ind w:left="883" w:hanging="883"/>
        <w:rPr>
          <w:rFonts w:ascii="黑体" w:hAnsi="黑体" w:eastAsia="黑体" w:cs="黑体"/>
          <w:b/>
          <w:color w:val="auto"/>
          <w:sz w:val="44"/>
          <w:szCs w:val="44"/>
          <w:highlight w:val="none"/>
          <w:lang w:bidi="ar"/>
        </w:rPr>
      </w:pPr>
    </w:p>
    <w:p w14:paraId="6A9DC3F2">
      <w:pPr>
        <w:pStyle w:val="27"/>
        <w:shd w:val="clear"/>
        <w:ind w:left="883" w:hanging="883"/>
        <w:rPr>
          <w:rFonts w:ascii="黑体" w:hAnsi="黑体" w:eastAsia="黑体" w:cs="黑体"/>
          <w:b/>
          <w:color w:val="auto"/>
          <w:sz w:val="44"/>
          <w:szCs w:val="44"/>
          <w:highlight w:val="none"/>
          <w:lang w:bidi="ar"/>
        </w:rPr>
      </w:pPr>
    </w:p>
    <w:p w14:paraId="6F2C194D">
      <w:pPr>
        <w:pStyle w:val="27"/>
        <w:shd w:val="clear"/>
        <w:ind w:left="883" w:hanging="883"/>
        <w:rPr>
          <w:rFonts w:ascii="黑体" w:hAnsi="黑体" w:eastAsia="黑体" w:cs="黑体"/>
          <w:b/>
          <w:color w:val="auto"/>
          <w:sz w:val="44"/>
          <w:szCs w:val="44"/>
          <w:highlight w:val="none"/>
          <w:lang w:bidi="ar"/>
        </w:rPr>
      </w:pPr>
    </w:p>
    <w:p w14:paraId="6C505F42">
      <w:pPr>
        <w:shd w:val="clear"/>
        <w:spacing w:line="500" w:lineRule="exact"/>
        <w:rPr>
          <w:rFonts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lang w:bidi="ar"/>
        </w:rPr>
        <w:t>发包人（甲方）：【滁州市苏滁市政公用发展有限公司】</w:t>
      </w:r>
    </w:p>
    <w:p w14:paraId="2AE076A6">
      <w:pPr>
        <w:shd w:val="clear"/>
        <w:spacing w:line="500" w:lineRule="exact"/>
        <w:ind w:firstLine="643" w:firstLineChars="200"/>
        <w:rPr>
          <w:rFonts w:ascii="黑体" w:hAnsi="黑体" w:eastAsia="黑体" w:cs="黑体"/>
          <w:b/>
          <w:color w:val="auto"/>
          <w:sz w:val="32"/>
          <w:szCs w:val="32"/>
          <w:highlight w:val="none"/>
          <w:lang w:bidi="ar"/>
        </w:rPr>
      </w:pPr>
    </w:p>
    <w:p w14:paraId="75F8AB3C">
      <w:pPr>
        <w:shd w:val="clear"/>
        <w:spacing w:line="500" w:lineRule="exact"/>
        <w:rPr>
          <w:rFonts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lang w:bidi="ar"/>
        </w:rPr>
        <w:t>承包人（乙方）：【</w:t>
      </w:r>
      <w:r>
        <w:rPr>
          <w:rFonts w:hint="eastAsia" w:ascii="黑体" w:hAnsi="黑体" w:eastAsia="黑体" w:cs="黑体"/>
          <w:b/>
          <w:color w:val="auto"/>
          <w:sz w:val="32"/>
          <w:szCs w:val="32"/>
          <w:highlight w:val="none"/>
          <w:lang w:val="en-US" w:eastAsia="zh-CN" w:bidi="ar"/>
        </w:rPr>
        <w:t xml:space="preserve">                         </w:t>
      </w:r>
      <w:r>
        <w:rPr>
          <w:rFonts w:hint="eastAsia" w:ascii="黑体" w:hAnsi="黑体" w:eastAsia="黑体" w:cs="黑体"/>
          <w:b/>
          <w:color w:val="auto"/>
          <w:sz w:val="32"/>
          <w:szCs w:val="32"/>
          <w:highlight w:val="none"/>
          <w:lang w:bidi="ar"/>
        </w:rPr>
        <w:t>】</w:t>
      </w:r>
    </w:p>
    <w:p w14:paraId="690A62BA">
      <w:pPr>
        <w:shd w:val="clear"/>
        <w:spacing w:line="500" w:lineRule="exact"/>
        <w:rPr>
          <w:rFonts w:ascii="黑体" w:hAnsi="黑体" w:eastAsia="黑体" w:cs="黑体"/>
          <w:b/>
          <w:color w:val="auto"/>
          <w:sz w:val="32"/>
          <w:szCs w:val="32"/>
          <w:highlight w:val="none"/>
          <w:lang w:bidi="ar"/>
        </w:rPr>
      </w:pPr>
    </w:p>
    <w:p w14:paraId="310659FC">
      <w:pPr>
        <w:shd w:val="clear"/>
        <w:spacing w:line="500" w:lineRule="exact"/>
        <w:rPr>
          <w:rFonts w:ascii="黑体" w:hAnsi="黑体" w:eastAsia="黑体" w:cs="黑体"/>
          <w:b/>
          <w:color w:val="auto"/>
          <w:sz w:val="44"/>
          <w:szCs w:val="44"/>
          <w:highlight w:val="none"/>
        </w:rPr>
      </w:pPr>
      <w:r>
        <w:rPr>
          <w:rFonts w:hint="eastAsia" w:ascii="黑体" w:hAnsi="黑体" w:eastAsia="黑体" w:cs="黑体"/>
          <w:b/>
          <w:color w:val="auto"/>
          <w:sz w:val="32"/>
          <w:szCs w:val="32"/>
          <w:highlight w:val="none"/>
          <w:lang w:bidi="ar"/>
        </w:rPr>
        <w:t>签订地点：【</w:t>
      </w:r>
      <w:r>
        <w:rPr>
          <w:rFonts w:hint="eastAsia" w:ascii="黑体" w:hAnsi="黑体" w:eastAsia="黑体" w:cs="黑体"/>
          <w:b/>
          <w:color w:val="auto"/>
          <w:sz w:val="32"/>
          <w:szCs w:val="32"/>
          <w:highlight w:val="none"/>
          <w:u w:val="single"/>
          <w:lang w:bidi="ar"/>
        </w:rPr>
        <w:t>滁州市</w:t>
      </w:r>
      <w:r>
        <w:rPr>
          <w:rFonts w:hint="eastAsia" w:ascii="黑体" w:hAnsi="黑体" w:eastAsia="黑体" w:cs="黑体"/>
          <w:b/>
          <w:color w:val="auto"/>
          <w:sz w:val="32"/>
          <w:szCs w:val="32"/>
          <w:highlight w:val="none"/>
          <w:lang w:bidi="ar"/>
        </w:rPr>
        <w:t>】</w:t>
      </w:r>
    </w:p>
    <w:p w14:paraId="14210C79">
      <w:pPr>
        <w:pStyle w:val="27"/>
        <w:shd w:val="clear"/>
        <w:ind w:left="0" w:firstLine="0"/>
        <w:rPr>
          <w:rFonts w:hint="eastAsia" w:ascii="仿宋_GB2312" w:hAnsi="仿宋_GB2312" w:eastAsia="仿宋_GB2312" w:cs="仿宋_GB2312"/>
          <w:b/>
          <w:bCs/>
          <w:color w:val="auto"/>
          <w:szCs w:val="28"/>
          <w:highlight w:val="none"/>
        </w:rPr>
      </w:pPr>
    </w:p>
    <w:p w14:paraId="73ADA71C">
      <w:pPr>
        <w:pStyle w:val="27"/>
        <w:shd w:val="clear"/>
        <w:ind w:left="0" w:firstLine="0"/>
        <w:rPr>
          <w:rFonts w:hint="eastAsia" w:ascii="仿宋_GB2312" w:hAnsi="仿宋_GB2312" w:eastAsia="仿宋_GB2312" w:cs="仿宋_GB2312"/>
          <w:b/>
          <w:bCs/>
          <w:color w:val="auto"/>
          <w:szCs w:val="28"/>
          <w:highlight w:val="none"/>
        </w:rPr>
      </w:pPr>
    </w:p>
    <w:p w14:paraId="773E29D2">
      <w:pPr>
        <w:pStyle w:val="27"/>
        <w:shd w:val="clear"/>
        <w:ind w:left="0" w:firstLine="0"/>
        <w:rPr>
          <w:rFonts w:hint="eastAsia" w:ascii="仿宋_GB2312" w:hAnsi="仿宋_GB2312" w:eastAsia="仿宋_GB2312" w:cs="仿宋_GB2312"/>
          <w:b/>
          <w:bCs/>
          <w:color w:val="auto"/>
          <w:szCs w:val="28"/>
          <w:highlight w:val="none"/>
        </w:rPr>
      </w:pPr>
    </w:p>
    <w:p w14:paraId="61F6DC02">
      <w:pPr>
        <w:pStyle w:val="27"/>
        <w:shd w:val="clear"/>
        <w:ind w:left="0" w:firstLine="0"/>
        <w:rPr>
          <w:rFonts w:hint="eastAsia" w:ascii="仿宋_GB2312" w:hAnsi="仿宋_GB2312" w:eastAsia="仿宋_GB2312" w:cs="仿宋_GB2312"/>
          <w:b/>
          <w:bCs/>
          <w:color w:val="auto"/>
          <w:szCs w:val="28"/>
          <w:highlight w:val="none"/>
        </w:rPr>
      </w:pPr>
    </w:p>
    <w:p w14:paraId="58390766">
      <w:pPr>
        <w:shd w:val="clear"/>
        <w:spacing w:line="560" w:lineRule="exact"/>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lang w:val="en-US" w:eastAsia="zh-CN"/>
        </w:rPr>
        <w:t>中新苏滁高新区2025-2028年度道路照明等设施维护服务项目</w:t>
      </w:r>
      <w:r>
        <w:rPr>
          <w:rFonts w:hint="eastAsia" w:ascii="黑体" w:hAnsi="黑体" w:eastAsia="黑体"/>
          <w:b/>
          <w:bCs/>
          <w:color w:val="auto"/>
          <w:sz w:val="28"/>
          <w:szCs w:val="28"/>
          <w:highlight w:val="none"/>
        </w:rPr>
        <w:t>合同</w:t>
      </w:r>
    </w:p>
    <w:p w14:paraId="5B495D76">
      <w:pPr>
        <w:pStyle w:val="31"/>
        <w:shd w:val="clea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委托方（以下简称甲方）：滁州市苏滁市政公用发展有限公司 </w:t>
      </w:r>
    </w:p>
    <w:p w14:paraId="4B64CA87">
      <w:pPr>
        <w:shd w:val="clea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受托方（以下简称乙方）：</w:t>
      </w:r>
      <w:r>
        <w:rPr>
          <w:rFonts w:hint="eastAsia" w:ascii="宋体" w:hAnsi="宋体" w:eastAsia="宋体" w:cs="宋体"/>
          <w:color w:val="auto"/>
          <w:sz w:val="24"/>
          <w:szCs w:val="24"/>
          <w:highlight w:val="none"/>
          <w:lang w:val="en-US" w:eastAsia="zh-CN"/>
        </w:rPr>
        <w:t xml:space="preserve"> </w:t>
      </w:r>
    </w:p>
    <w:p w14:paraId="29D6A02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依照《中华人民共和国民法典》及其他有关法律、行政法规，遵循平等、自愿、公平和诚实信用的原则，滁州市苏滁市政公用发展有限公司（以下简称甲方）通过公开招标的方式确定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（以下简称乙方）为乙方，乙方应按照《</w:t>
      </w:r>
      <w:r>
        <w:rPr>
          <w:rFonts w:hint="eastAsia" w:ascii="宋体" w:hAnsi="宋体" w:eastAsia="宋体" w:cs="宋体"/>
          <w:b/>
          <w:color w:val="auto"/>
          <w:sz w:val="24"/>
          <w:szCs w:val="24"/>
          <w:highlight w:val="none"/>
          <w:lang w:val="en-US" w:eastAsia="zh-CN"/>
        </w:rPr>
        <w:t>中新苏滁高新区2025-2028年度道路照明等设施维护服务项目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文件》的要求，开展泵站及机电设施养护服务工作。经双方友好协商同意签订本合同，具体要求如下：</w:t>
      </w:r>
    </w:p>
    <w:p w14:paraId="0DBCEE4C">
      <w:pPr>
        <w:pStyle w:val="19"/>
        <w:shd w:val="clear"/>
        <w:spacing w:line="5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一、合同服务期限</w:t>
      </w:r>
    </w:p>
    <w:p w14:paraId="70FE3143">
      <w:pPr>
        <w:pStyle w:val="19"/>
        <w:shd w:val="clea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1、乙方负责中新苏滁高新区内市政公园照明设施、箱变、电缆、泵站、河道等相关设备巡检、维护、维修服务。</w:t>
      </w:r>
    </w:p>
    <w:p w14:paraId="6D7E31B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总服务期限为：3年。</w:t>
      </w:r>
    </w:p>
    <w:p w14:paraId="604090FB">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本年度合同服务开始日期：【202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】日，实际服务开始日期以甲方书面通知为准。</w:t>
      </w:r>
    </w:p>
    <w:p w14:paraId="5A8CF5A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本年度服务结束日期：【202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】日，实际服务结束日期以下列2条任一条实际发生为准。</w:t>
      </w:r>
    </w:p>
    <w:p w14:paraId="7548B81C">
      <w:pPr>
        <w:numPr>
          <w:ilvl w:val="0"/>
          <w:numId w:val="9"/>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本项目服务期限3年，合同一年一签，月度量化考核，月考评分≥95分的，月服务费用</w:t>
      </w:r>
      <w:r>
        <w:rPr>
          <w:rFonts w:hint="eastAsia" w:ascii="宋体" w:hAnsi="宋体" w:eastAsia="宋体" w:cs="宋体"/>
          <w:color w:val="auto"/>
          <w:sz w:val="24"/>
          <w:szCs w:val="24"/>
          <w:highlight w:val="none"/>
          <w:lang w:val="en-US" w:eastAsia="zh-CN"/>
        </w:rPr>
        <w:t>正常</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80分≤</w:t>
      </w:r>
      <w:r>
        <w:rPr>
          <w:rFonts w:hint="eastAsia" w:ascii="宋体" w:hAnsi="宋体" w:eastAsia="宋体" w:cs="宋体"/>
          <w:color w:val="auto"/>
          <w:sz w:val="24"/>
          <w:szCs w:val="24"/>
          <w:highlight w:val="none"/>
        </w:rPr>
        <w:t>月考评分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95分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按200元</w:t>
      </w:r>
      <w:r>
        <w:rPr>
          <w:rFonts w:hint="eastAsia" w:ascii="宋体" w:hAnsi="宋体" w:eastAsia="宋体" w:cs="宋体"/>
          <w:color w:val="auto"/>
          <w:sz w:val="24"/>
          <w:szCs w:val="24"/>
          <w:highlight w:val="none"/>
          <w:lang w:val="en-US" w:eastAsia="zh-CN"/>
        </w:rPr>
        <w:t>/分在</w:t>
      </w:r>
      <w:r>
        <w:rPr>
          <w:rFonts w:hint="eastAsia" w:ascii="宋体" w:hAnsi="宋体" w:eastAsia="宋体" w:cs="宋体"/>
          <w:color w:val="auto"/>
          <w:sz w:val="24"/>
          <w:szCs w:val="24"/>
          <w:highlight w:val="none"/>
        </w:rPr>
        <w:t>月服务费用</w:t>
      </w:r>
      <w:r>
        <w:rPr>
          <w:rFonts w:hint="eastAsia" w:ascii="宋体" w:hAnsi="宋体" w:eastAsia="宋体" w:cs="宋体"/>
          <w:color w:val="auto"/>
          <w:sz w:val="24"/>
          <w:szCs w:val="24"/>
          <w:highlight w:val="none"/>
          <w:lang w:val="en-US" w:eastAsia="zh-CN"/>
        </w:rPr>
        <w:t>中扣除</w:t>
      </w:r>
      <w:r>
        <w:rPr>
          <w:rFonts w:hint="eastAsia" w:ascii="宋体" w:hAnsi="宋体" w:eastAsia="宋体" w:cs="宋体"/>
          <w:color w:val="auto"/>
          <w:sz w:val="24"/>
          <w:szCs w:val="24"/>
          <w:highlight w:val="none"/>
        </w:rPr>
        <w:t>；月考评分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则按500元</w:t>
      </w:r>
      <w:r>
        <w:rPr>
          <w:rFonts w:hint="eastAsia" w:ascii="宋体" w:hAnsi="宋体" w:eastAsia="宋体" w:cs="宋体"/>
          <w:color w:val="auto"/>
          <w:sz w:val="24"/>
          <w:szCs w:val="24"/>
          <w:highlight w:val="none"/>
          <w:lang w:val="en-US" w:eastAsia="zh-CN"/>
        </w:rPr>
        <w:t>/分在</w:t>
      </w:r>
      <w:r>
        <w:rPr>
          <w:rFonts w:hint="eastAsia" w:ascii="宋体" w:hAnsi="宋体" w:eastAsia="宋体" w:cs="宋体"/>
          <w:color w:val="auto"/>
          <w:sz w:val="24"/>
          <w:szCs w:val="24"/>
          <w:highlight w:val="none"/>
        </w:rPr>
        <w:t>月服务费用</w:t>
      </w:r>
      <w:r>
        <w:rPr>
          <w:rFonts w:hint="eastAsia" w:ascii="宋体" w:hAnsi="宋体" w:eastAsia="宋体" w:cs="宋体"/>
          <w:color w:val="auto"/>
          <w:sz w:val="24"/>
          <w:szCs w:val="24"/>
          <w:highlight w:val="none"/>
          <w:lang w:val="en-US" w:eastAsia="zh-CN"/>
        </w:rPr>
        <w:t>中扣除，</w:t>
      </w:r>
      <w:r>
        <w:rPr>
          <w:rFonts w:hint="eastAsia" w:ascii="宋体" w:hAnsi="宋体" w:eastAsia="宋体" w:cs="宋体"/>
          <w:color w:val="auto"/>
          <w:sz w:val="24"/>
          <w:szCs w:val="24"/>
          <w:highlight w:val="none"/>
        </w:rPr>
        <w:t>并加扣该周期服务费用</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5%；连续两个月未满80分则扣该周期服务费用</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30%并限期整改，如第三月月考评分仍在80分以下则终止合同并扣除履约保证金。</w:t>
      </w:r>
    </w:p>
    <w:p w14:paraId="3D5607F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2、若乙方不履行或不完全履行合同义务，导致本项目提前终止合作的，甲方有权单方面解除本合同，应由乙方对甲方补偿因乙方违约造成的损失。</w:t>
      </w:r>
    </w:p>
    <w:p w14:paraId="7EC8822A">
      <w:pPr>
        <w:pStyle w:val="19"/>
        <w:shd w:val="clear"/>
        <w:spacing w:line="5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二、构成合同的文件</w:t>
      </w:r>
    </w:p>
    <w:p w14:paraId="4ED1ED03">
      <w:pPr>
        <w:shd w:val="clear"/>
        <w:tabs>
          <w:tab w:val="left" w:pos="735"/>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构成合同的文件应能相互解释，互为说明。除合同条款另有约定外，组成本合同的文件如下：</w:t>
      </w:r>
    </w:p>
    <w:p w14:paraId="5F89B39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（1）合同履行中，甲乙方有关本项目的洽商、变更等书面协议或文件；</w:t>
      </w:r>
    </w:p>
    <w:p w14:paraId="04CD232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（2）本项目服务合同；</w:t>
      </w:r>
    </w:p>
    <w:p w14:paraId="00F40D3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w:t>
      </w:r>
      <w:r>
        <w:rPr>
          <w:rFonts w:hint="eastAsia" w:ascii="宋体" w:hAnsi="宋体" w:eastAsia="宋体" w:cs="宋体"/>
          <w:color w:val="auto"/>
          <w:sz w:val="24"/>
          <w:szCs w:val="24"/>
          <w:highlight w:val="none"/>
          <w:lang w:val="en-GB"/>
        </w:rPr>
        <w:t>投</w:t>
      </w:r>
      <w:r>
        <w:rPr>
          <w:rFonts w:hint="eastAsia" w:ascii="宋体" w:hAnsi="宋体" w:eastAsia="宋体" w:cs="宋体"/>
          <w:color w:val="auto"/>
          <w:sz w:val="24"/>
          <w:szCs w:val="24"/>
          <w:highlight w:val="none"/>
        </w:rPr>
        <w:t>标文件及其附件、承诺书或合同条件约谈记录；</w:t>
      </w:r>
    </w:p>
    <w:p w14:paraId="5F1574C0">
      <w:pPr>
        <w:pStyle w:val="19"/>
        <w:shd w:val="clear"/>
        <w:spacing w:line="5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三、合同履约保证金</w:t>
      </w:r>
    </w:p>
    <w:p w14:paraId="72349C30">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本年度合同履约数额：</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rPr>
        <w:t>；</w:t>
      </w:r>
    </w:p>
    <w:p w14:paraId="69DB13C2">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形式：①银行转账或②银行保函【须为见索即付保函（无条件保函）】</w:t>
      </w:r>
    </w:p>
    <w:p w14:paraId="4321D56F">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备注：1、须由项目所在地的六大国有银行（或股份制银行）或公司所在地的六大国有银行或滁州市融资担保集团出具，保函出具前须取得</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认可。</w:t>
      </w:r>
    </w:p>
    <w:p w14:paraId="18EF6099">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注释：①六大国有银行仅指中国银行、农业银行、建设银行、工商银行、交通银行、邮储银行。②股份制银行不包括城市商业银行。</w:t>
      </w:r>
    </w:p>
    <w:p w14:paraId="75CE1175">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缴纳时间：乙方须在中标通知书发出后30日内及合同签订前。</w:t>
      </w:r>
    </w:p>
    <w:p w14:paraId="4489D7EC">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缴纳方式</w:t>
      </w:r>
    </w:p>
    <w:p w14:paraId="2D53BD73">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（1）采用银行转账方式：合同服务期满后，一个月内无息退还。</w:t>
      </w:r>
    </w:p>
    <w:p w14:paraId="7435B056">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（2）采用银行保函方式，保函有效期为：合同服务期满后 1 个月。</w:t>
      </w:r>
    </w:p>
    <w:p w14:paraId="269A48E7">
      <w:pPr>
        <w:shd w:val="clea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四、合同价款及支付方式</w:t>
      </w:r>
    </w:p>
    <w:p w14:paraId="39F46258">
      <w:pPr>
        <w:pStyle w:val="12"/>
        <w:shd w:val="clear"/>
        <w:spacing w:line="560" w:lineRule="exact"/>
        <w:ind w:right="-50" w:rightChars="-24"/>
        <w:jc w:val="both"/>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4.3.1合同价款及支付</w:t>
      </w:r>
    </w:p>
    <w:p w14:paraId="44482D90">
      <w:pPr>
        <w:pStyle w:val="12"/>
        <w:shd w:val="clear"/>
        <w:spacing w:line="560" w:lineRule="exact"/>
        <w:ind w:right="-50" w:rightChars="-24"/>
        <w:jc w:val="both"/>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三年服务期</w:t>
      </w:r>
      <w:r>
        <w:rPr>
          <w:rFonts w:hint="eastAsia" w:ascii="宋体" w:hAnsi="宋体" w:eastAsia="宋体" w:cs="宋体"/>
          <w:color w:val="auto"/>
          <w:sz w:val="24"/>
          <w:szCs w:val="24"/>
          <w:highlight w:val="none"/>
        </w:rPr>
        <w:t>合同暂定总价：￥【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其中三年服务期</w:t>
      </w:r>
      <w:r>
        <w:rPr>
          <w:rFonts w:hint="eastAsia" w:ascii="宋体" w:hAnsi="宋体" w:eastAsia="宋体" w:cs="宋体"/>
          <w:color w:val="auto"/>
          <w:sz w:val="24"/>
          <w:szCs w:val="24"/>
          <w:highlight w:val="none"/>
        </w:rPr>
        <w:t>设施抢修维修费用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p>
    <w:p w14:paraId="6E1320CC">
      <w:pPr>
        <w:pStyle w:val="12"/>
        <w:shd w:val="clear"/>
        <w:spacing w:line="560" w:lineRule="exact"/>
        <w:ind w:right="-50" w:rightChars="-2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2025-2026</w:t>
      </w:r>
      <w:r>
        <w:rPr>
          <w:rFonts w:hint="eastAsia" w:ascii="宋体" w:hAnsi="宋体" w:eastAsia="宋体" w:cs="宋体"/>
          <w:color w:val="auto"/>
          <w:sz w:val="24"/>
          <w:szCs w:val="24"/>
          <w:highlight w:val="none"/>
        </w:rPr>
        <w:t>年合同暂定总价为人民币：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（其中设施抢修、维修费用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AAFDE71">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w:t>
      </w:r>
    </w:p>
    <w:p w14:paraId="67AE0D3C">
      <w:pPr>
        <w:pStyle w:val="19"/>
        <w:shd w:val="clear"/>
        <w:spacing w:line="5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1）每月支付应付月服务费用的90%，剩余10%服务费用根据年度服务综合情况，在年合同结束后2个月内一次</w:t>
      </w:r>
      <w:r>
        <w:rPr>
          <w:rFonts w:hint="eastAsia" w:hAnsi="宋体" w:cs="宋体"/>
          <w:b/>
          <w:bCs/>
          <w:color w:val="auto"/>
          <w:sz w:val="24"/>
          <w:szCs w:val="24"/>
          <w:highlight w:val="none"/>
          <w:lang w:val="en-US" w:eastAsia="zh-CN"/>
        </w:rPr>
        <w:t>性</w:t>
      </w:r>
      <w:r>
        <w:rPr>
          <w:rFonts w:hint="eastAsia" w:ascii="宋体" w:hAnsi="宋体" w:eastAsia="宋体" w:cs="宋体"/>
          <w:b/>
          <w:bCs/>
          <w:color w:val="auto"/>
          <w:sz w:val="24"/>
          <w:szCs w:val="24"/>
          <w:highlight w:val="none"/>
          <w:lang w:val="en-US" w:eastAsia="zh-CN"/>
        </w:rPr>
        <w:t>无息支付。乙方应在月服务结束后的10个工作日内向甲方提交该周期服务进度付款申请，月度服务报告（复印件）和由甲方签发的月度现场考核表单应作为附件。甲方收到付款申请后，审核无误，则在其后的30个工作日内支付进度款给乙方。月考评分≥95分的，月服务费用正常支付；80分≤月考评分＜95分的，按200元/分在月服务费用中扣除；月考评分≤80分，则按500元/分在月服务费用中扣除，并加扣该周期服务费用得5%；连续两个月未满80分则扣该周期服务费用的30%并限期整改，如第三月月考评分仍在80分以下则终止合同并扣除履约保证金。</w:t>
      </w:r>
    </w:p>
    <w:p w14:paraId="42ED295F">
      <w:pPr>
        <w:pStyle w:val="19"/>
        <w:shd w:val="clear"/>
        <w:spacing w:line="5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2）月度服务剩余10%服务费用支付：年度服务月平均考评分90分及以上的支付剩余10%金额；80分≤月平均考评分&lt;90分的支付剩余10%金额的90%；月平均考评分&lt;80分的支付剩余10%金额的50%；并有权终止合同。</w:t>
      </w:r>
    </w:p>
    <w:p w14:paraId="023FE6E5">
      <w:pPr>
        <w:pStyle w:val="19"/>
        <w:shd w:val="clear"/>
        <w:spacing w:line="5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3）维修费用：由甲方派发工作联系单（以实际发生为准），乙方按要求进行设施抢修维修经验收合格后，甲方每季度支付实际维修金额的85%，年度审计备案完成后支付至备案总价100%。</w:t>
      </w:r>
    </w:p>
    <w:p w14:paraId="30C416F5">
      <w:pPr>
        <w:pStyle w:val="19"/>
        <w:shd w:val="clea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4）合同履行期间，乙方所有违约金的支付、考核不达标的扣款，均将从该周期应给付的服务费用中予以扣除</w:t>
      </w:r>
      <w:r>
        <w:rPr>
          <w:rFonts w:hint="eastAsia" w:ascii="宋体" w:hAnsi="宋体" w:eastAsia="宋体" w:cs="宋体"/>
          <w:b/>
          <w:bCs/>
          <w:color w:val="auto"/>
          <w:sz w:val="24"/>
          <w:szCs w:val="24"/>
          <w:highlight w:val="none"/>
        </w:rPr>
        <w:t>。</w:t>
      </w:r>
    </w:p>
    <w:p w14:paraId="20CD8091">
      <w:pPr>
        <w:pStyle w:val="19"/>
        <w:shd w:val="clea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）在首次付款前，乙方应提供其为投入本项目服务人员购买的意外伤害险保单、服装购买凭证、履约保证金缴纳凭证及甲方和招标文件约定需新购置设备的相关证明等。</w:t>
      </w:r>
    </w:p>
    <w:p w14:paraId="2F0B2EFF">
      <w:pPr>
        <w:widowControl/>
        <w:shd w:val="clear"/>
        <w:spacing w:line="360" w:lineRule="auto"/>
        <w:ind w:right="-76"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4.3.2</w:t>
      </w:r>
      <w:r>
        <w:rPr>
          <w:rFonts w:hint="eastAsia" w:ascii="宋体" w:hAnsi="宋体" w:eastAsia="宋体" w:cs="宋体"/>
          <w:color w:val="auto"/>
          <w:sz w:val="24"/>
          <w:szCs w:val="24"/>
          <w:highlight w:val="none"/>
        </w:rPr>
        <w:t>乙方收款前应向甲方提供等额合法有效的增值税专用发票，甲方在收到乙方增值税发票且经验证合法有效后方能向乙方付款。乙方未按上述要求提供发票的，需按甲方要求重新提供发票，否则甲方有权拒绝付款，由此产生的损失或责任由乙方承担。</w:t>
      </w:r>
    </w:p>
    <w:p w14:paraId="28E063EE">
      <w:pPr>
        <w:shd w:val="clea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五、双方的权利与义务</w:t>
      </w:r>
    </w:p>
    <w:p w14:paraId="428EF565">
      <w:pPr>
        <w:shd w:val="clear"/>
        <w:autoSpaceDE w:val="0"/>
        <w:autoSpaceDN w:val="0"/>
        <w:adjustRightInd w:val="0"/>
        <w:snapToGrid w:val="0"/>
        <w:spacing w:line="400" w:lineRule="exact"/>
        <w:ind w:right="-10"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5.1</w:t>
      </w:r>
      <w:r>
        <w:rPr>
          <w:rFonts w:hint="eastAsia" w:ascii="宋体" w:hAnsi="宋体" w:eastAsia="宋体" w:cs="宋体"/>
          <w:color w:val="auto"/>
          <w:sz w:val="24"/>
          <w:szCs w:val="24"/>
          <w:highlight w:val="none"/>
        </w:rPr>
        <w:t>甲方的权利与义务</w:t>
      </w:r>
    </w:p>
    <w:p w14:paraId="0C053FE5">
      <w:pPr>
        <w:shd w:val="clear"/>
        <w:spacing w:line="360" w:lineRule="auto"/>
        <w:ind w:firstLine="480" w:firstLineChars="200"/>
        <w:rPr>
          <w:rFonts w:hint="eastAsia" w:ascii="宋体" w:hAnsi="宋体" w:eastAsia="宋体" w:cs="宋体"/>
          <w:bCs/>
          <w:color w:val="auto"/>
          <w:sz w:val="24"/>
          <w:szCs w:val="24"/>
          <w:highlight w:val="none"/>
        </w:rPr>
      </w:pPr>
      <w:bookmarkStart w:id="87" w:name="_Toc306782723"/>
      <w:bookmarkStart w:id="88" w:name="_Toc248131474"/>
      <w:r>
        <w:rPr>
          <w:rFonts w:hint="eastAsia" w:ascii="宋体" w:hAnsi="宋体" w:eastAsia="宋体" w:cs="宋体"/>
          <w:bCs/>
          <w:color w:val="auto"/>
          <w:sz w:val="24"/>
          <w:szCs w:val="24"/>
          <w:highlight w:val="none"/>
        </w:rPr>
        <w:t xml:space="preserve">5.1.1  </w:t>
      </w:r>
      <w:r>
        <w:rPr>
          <w:rFonts w:hint="eastAsia" w:ascii="宋体" w:hAnsi="宋体" w:eastAsia="宋体" w:cs="宋体"/>
          <w:color w:val="auto"/>
          <w:sz w:val="24"/>
          <w:szCs w:val="24"/>
          <w:highlight w:val="none"/>
        </w:rPr>
        <w:t>甲方对本项目的实施进行统一管理，并负责与相关部门的联络及总体协调工作。</w:t>
      </w:r>
      <w:bookmarkEnd w:id="87"/>
      <w:bookmarkEnd w:id="88"/>
    </w:p>
    <w:p w14:paraId="6152A2C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  监督检查服务质量，负责进度款的支付等。</w:t>
      </w:r>
    </w:p>
    <w:p w14:paraId="56B2B9F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  根据实际需要，对现场布置进行调整。</w:t>
      </w:r>
    </w:p>
    <w:p w14:paraId="70EDCF5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  如乙方不按合同及招投标文件要求进行服务，甲方可勒令乙方暂停服务，待整改完毕后报甲方并经同意后方可复工，由此造成的损失由乙方承担。</w:t>
      </w:r>
    </w:p>
    <w:p w14:paraId="491DAA2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乙方的权利与义务</w:t>
      </w:r>
    </w:p>
    <w:p w14:paraId="20D79E69">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本项目乙方负责人【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】。乙方项目负责人即为乙方本项目总代表，代表乙方行使合同约定的权利，履行合同约定的义务。乙方的要求、通知，均以书面形式由乙方项目负责人签字加盖乙方公章后递交甲方。未经甲方批准不得更换。</w:t>
      </w:r>
    </w:p>
    <w:p w14:paraId="574313C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项目负责人应保证每月在现场全日制工作不少于【22】天。甲方有权要求乙方更换甲方认为不合适的项目负责人。乙方项目负责人全权负责乙方现场管理，代表乙方行使与本合同有关的权利和义务，并与甲方保持通畅的通讯联系和现场配合，乙方对该项目负责人所有基于履行本合同约定的行为承担全部法律责任。</w:t>
      </w:r>
    </w:p>
    <w:p w14:paraId="38429465">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.2.2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乙方应按本合同约定的内容和时间，完成下列工作：</w:t>
      </w:r>
    </w:p>
    <w:p w14:paraId="16ED344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）乙方应按照本合同约定，全面、准确、按时履行合同，</w:t>
      </w:r>
      <w:r>
        <w:rPr>
          <w:rFonts w:hint="eastAsia" w:ascii="宋体" w:hAnsi="宋体" w:eastAsia="宋体" w:cs="宋体"/>
          <w:color w:val="auto"/>
          <w:sz w:val="24"/>
          <w:szCs w:val="24"/>
          <w:highlight w:val="none"/>
        </w:rPr>
        <w:t>对全部服务内容的适用性、可靠性和安全性承担全部责任。</w:t>
      </w:r>
    </w:p>
    <w:p w14:paraId="518CDA1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（2）乙方服从甲方的总体部署，接受甲方指导和督促。</w:t>
      </w:r>
    </w:p>
    <w:p w14:paraId="468BBBE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（3）乙方应按甲方要求及时提交各类报表台账、作业记录、巡查日志等资料，并保证资料的完整性和真实性。</w:t>
      </w:r>
    </w:p>
    <w:p w14:paraId="4412B634">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（4）乙方应遵守政府有关安全的法律、条例和安全操作规则，建立安全保证体系，按要求提供照明、围栏、警告标志等安全防护措施，并承担由于其安全措施不得力而造成的安全事故的责任和费用。</w:t>
      </w:r>
    </w:p>
    <w:p w14:paraId="33D4B43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对其现场人员的安全负一切责任，若发生安全事故，乙方应第一时间内无条件对其受伤人员安全负一切费用，事后根据事故原因追究责任。若事故为乙方引起，乙方应承担对甲方造成的一切损失；若出现意外伤亡，全部由乙方自行承担。若工伤事故处理不及时或不妥当，由此给甲方造成的一切经济损失均从进度款中予以扣除，乙方对此无条件接受。</w:t>
      </w:r>
    </w:p>
    <w:p w14:paraId="499983F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甲方支付的进度款，乙方须优先用于支付工人劳动报酬。乙方作为用人单位，需与劳动者签订劳动合同，缴纳社会保险等社会福利及支付工人工资；若因工资发放与工人发生纠纷的，与甲方无关。若发生劳动纠纷，乙方须妥善解决并不得影响甲方正常的生产经营，因此造成一切损失由乙方承担。</w:t>
      </w:r>
    </w:p>
    <w:p w14:paraId="7C96DF0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不得组织、策划、指挥指使默许工人（含所雇人员）向有关部门投诉、控告、检举或聚集、闹事等，并应积极预防、组织上述情况发生。若每发生一次，甲方可从乙方进度款中扣除1万元作为违约金。甲方有权视情况严重程度每次额外追究乙方2万元违约金。</w:t>
      </w:r>
    </w:p>
    <w:p w14:paraId="04B67734">
      <w:pPr>
        <w:shd w:val="clear"/>
        <w:autoSpaceDE w:val="0"/>
        <w:autoSpaceDN w:val="0"/>
        <w:adjustRightInd w:val="0"/>
        <w:snapToGrid w:val="0"/>
        <w:spacing w:line="360" w:lineRule="auto"/>
        <w:ind w:righ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负责将自己的范围内垃圾运到管理单位指定的垃圾堆放点，负责清运指定堆放点的垃圾，如发现乙方的垃圾乱放，作业面清理不到位，则甲方有权另行委托其他作业队将作业面清理后，所发生的人工费、机械费将在乙方进度款中扣除。</w:t>
      </w:r>
    </w:p>
    <w:p w14:paraId="7C4CCC6B">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不得将转包或者再次分包，否则，经查实甲方有权单方面解除合同。乙方须在24小时内退场（现场清理干净，人员及机械撤离现场，并做好现场的交接工作，否则不予结算进度款），并按本年度合同价的10%向甲方支付违约金，如果甲方因此遭受损失，一切损失赔偿责任均由乙方承担。</w:t>
      </w:r>
    </w:p>
    <w:p w14:paraId="2D8342E5">
      <w:pPr>
        <w:numPr>
          <w:ilvl w:val="0"/>
          <w:numId w:val="10"/>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乙方需在甲方通知进场后15日内完成本项目服务的人员和设备进场准备（具体进驻时间以甲方通知为准）。</w:t>
      </w:r>
    </w:p>
    <w:p w14:paraId="4DF7642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（11）乙方须遵守各项法律法规、项目管理制度与规约，承担本项目的委托服务事项，达到委托服务要求工作质量标准。</w:t>
      </w:r>
    </w:p>
    <w:p w14:paraId="4CD784B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（12）乙方每班到岗数量、质量不低于委托合同及招标文件约定，执行岗位职责、工作计划，服务质量标准不得低于招标文件约定。</w:t>
      </w:r>
    </w:p>
    <w:p w14:paraId="6407310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（13）乙方应自行租赁办公场所，并配备办公类设备（办公桌椅、固定电话、电脑，打印机等办公设施），配备设备和工具。</w:t>
      </w:r>
    </w:p>
    <w:p w14:paraId="6FF29D8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（14）因乙方管理不善，造成工作范围内的设施、设备、景观等损坏的，由乙方负责赔偿损失，情节严重的可终止合同甚至诉诸法律。</w:t>
      </w:r>
    </w:p>
    <w:p w14:paraId="2BEDDF47">
      <w:pPr>
        <w:shd w:val="clea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（15）节假日，遇突击任务及重大活动时，乙方应无条件按甲方要求完成服务。如因此临时增加服务人员或耗材，则相关费用甲方不再另行支付。</w:t>
      </w:r>
    </w:p>
    <w:p w14:paraId="43200706">
      <w:pPr>
        <w:shd w:val="clea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六、相关管理要求</w:t>
      </w:r>
    </w:p>
    <w:p w14:paraId="3A56FD1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同招标文件</w:t>
      </w:r>
      <w:r>
        <w:rPr>
          <w:rFonts w:hint="eastAsia" w:ascii="宋体" w:hAnsi="宋体" w:eastAsia="宋体" w:cs="宋体"/>
          <w:color w:val="auto"/>
          <w:sz w:val="24"/>
          <w:szCs w:val="24"/>
          <w:highlight w:val="none"/>
        </w:rPr>
        <w:t>。</w:t>
      </w:r>
    </w:p>
    <w:p w14:paraId="745FED80">
      <w:pPr>
        <w:shd w:val="clea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七、养护及巡视标准</w:t>
      </w:r>
    </w:p>
    <w:p w14:paraId="606B4A39">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同招标文件要求。</w:t>
      </w:r>
    </w:p>
    <w:p w14:paraId="5C343CE8">
      <w:pPr>
        <w:shd w:val="clea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、合同的解除和转让</w:t>
      </w:r>
    </w:p>
    <w:p w14:paraId="435E14E3">
      <w:pPr>
        <w:shd w:val="clear"/>
        <w:snapToGrid w:val="0"/>
        <w:spacing w:before="180" w:beforeLines="5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1、甲方和乙方协商一致，可以解除合同。</w:t>
      </w:r>
    </w:p>
    <w:p w14:paraId="282B7D54">
      <w:pPr>
        <w:shd w:val="clear"/>
        <w:snapToGrid w:val="0"/>
        <w:spacing w:before="180" w:beforeLines="5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2、有下列情形之一，合同一方可以解除合同：</w:t>
      </w:r>
    </w:p>
    <w:p w14:paraId="045EB4E2">
      <w:pPr>
        <w:shd w:val="clear"/>
        <w:snapToGrid w:val="0"/>
        <w:spacing w:before="180" w:beforeLines="5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（1）因不可抗力致使不能实现合同目的，未受不可抗力影响的一方有权解除合同；</w:t>
      </w:r>
    </w:p>
    <w:p w14:paraId="6074953F">
      <w:pPr>
        <w:shd w:val="clear"/>
        <w:snapToGrid w:val="0"/>
        <w:spacing w:before="180" w:beforeLines="5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（2）因合同一方违约导致合同不能履行，另一方有权解除合同。</w:t>
      </w:r>
    </w:p>
    <w:p w14:paraId="6715F43C">
      <w:pPr>
        <w:pStyle w:val="2"/>
        <w:shd w:val="clear"/>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乙方合同履约金额达到中标通知书约定金额，甲方可以单方解除合同，提前半个月书面通知乙方。</w:t>
      </w:r>
    </w:p>
    <w:p w14:paraId="4ADC0498">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因下列情形之一发生的，甲方有权单方解除合同并提前一个月书面知会乙方，同时可扣留尚未支付乙方的服务进度款。由此给甲方造成的经济损失超过扣留款项的，乙方仍应赔偿。 </w:t>
      </w:r>
    </w:p>
    <w:p w14:paraId="4C0E8241">
      <w:pPr>
        <w:keepNext w:val="0"/>
        <w:keepLines w:val="0"/>
        <w:pageBreakBefore w:val="0"/>
        <w:widowControl w:val="0"/>
        <w:shd w:val="clear"/>
        <w:kinsoku/>
        <w:wordWrap/>
        <w:overflowPunct/>
        <w:topLinePunct w:val="0"/>
        <w:autoSpaceDE/>
        <w:autoSpaceDN/>
        <w:bidi w:val="0"/>
        <w:adjustRightIn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（1）乙方违反合同约定，影响市政整体环境、降低服务质量或导致其他方面的严重损害的。</w:t>
      </w:r>
    </w:p>
    <w:p w14:paraId="24767153">
      <w:pPr>
        <w:keepNext w:val="0"/>
        <w:keepLines w:val="0"/>
        <w:pageBreakBefore w:val="0"/>
        <w:widowControl w:val="0"/>
        <w:shd w:val="clear"/>
        <w:kinsoku/>
        <w:wordWrap/>
        <w:overflowPunct/>
        <w:topLinePunct w:val="0"/>
        <w:autoSpaceDE/>
        <w:autoSpaceDN/>
        <w:bidi w:val="0"/>
        <w:adjustRightIn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（2）月考评分≥95分的，月服务费用</w:t>
      </w:r>
      <w:r>
        <w:rPr>
          <w:rFonts w:hint="eastAsia" w:ascii="宋体" w:hAnsi="宋体" w:eastAsia="宋体" w:cs="宋体"/>
          <w:color w:val="auto"/>
          <w:sz w:val="24"/>
          <w:szCs w:val="24"/>
          <w:highlight w:val="none"/>
          <w:lang w:val="en-US" w:eastAsia="zh-CN"/>
        </w:rPr>
        <w:t>正常</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80分≤</w:t>
      </w:r>
      <w:r>
        <w:rPr>
          <w:rFonts w:hint="eastAsia" w:ascii="宋体" w:hAnsi="宋体" w:eastAsia="宋体" w:cs="宋体"/>
          <w:color w:val="auto"/>
          <w:sz w:val="24"/>
          <w:szCs w:val="24"/>
          <w:highlight w:val="none"/>
        </w:rPr>
        <w:t>月考评分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95分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按200元</w:t>
      </w:r>
      <w:r>
        <w:rPr>
          <w:rFonts w:hint="eastAsia" w:ascii="宋体" w:hAnsi="宋体" w:eastAsia="宋体" w:cs="宋体"/>
          <w:color w:val="auto"/>
          <w:sz w:val="24"/>
          <w:szCs w:val="24"/>
          <w:highlight w:val="none"/>
          <w:lang w:val="en-US" w:eastAsia="zh-CN"/>
        </w:rPr>
        <w:t>/分在</w:t>
      </w:r>
      <w:r>
        <w:rPr>
          <w:rFonts w:hint="eastAsia" w:ascii="宋体" w:hAnsi="宋体" w:eastAsia="宋体" w:cs="宋体"/>
          <w:color w:val="auto"/>
          <w:sz w:val="24"/>
          <w:szCs w:val="24"/>
          <w:highlight w:val="none"/>
        </w:rPr>
        <w:t>月服务费用</w:t>
      </w:r>
      <w:r>
        <w:rPr>
          <w:rFonts w:hint="eastAsia" w:ascii="宋体" w:hAnsi="宋体" w:eastAsia="宋体" w:cs="宋体"/>
          <w:color w:val="auto"/>
          <w:sz w:val="24"/>
          <w:szCs w:val="24"/>
          <w:highlight w:val="none"/>
          <w:lang w:val="en-US" w:eastAsia="zh-CN"/>
        </w:rPr>
        <w:t>中扣除</w:t>
      </w:r>
      <w:r>
        <w:rPr>
          <w:rFonts w:hint="eastAsia" w:ascii="宋体" w:hAnsi="宋体" w:eastAsia="宋体" w:cs="宋体"/>
          <w:color w:val="auto"/>
          <w:sz w:val="24"/>
          <w:szCs w:val="24"/>
          <w:highlight w:val="none"/>
        </w:rPr>
        <w:t>；月考评分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则按500元</w:t>
      </w:r>
      <w:r>
        <w:rPr>
          <w:rFonts w:hint="eastAsia" w:ascii="宋体" w:hAnsi="宋体" w:eastAsia="宋体" w:cs="宋体"/>
          <w:color w:val="auto"/>
          <w:sz w:val="24"/>
          <w:szCs w:val="24"/>
          <w:highlight w:val="none"/>
          <w:lang w:val="en-US" w:eastAsia="zh-CN"/>
        </w:rPr>
        <w:t>/分在</w:t>
      </w:r>
      <w:r>
        <w:rPr>
          <w:rFonts w:hint="eastAsia" w:ascii="宋体" w:hAnsi="宋体" w:eastAsia="宋体" w:cs="宋体"/>
          <w:color w:val="auto"/>
          <w:sz w:val="24"/>
          <w:szCs w:val="24"/>
          <w:highlight w:val="none"/>
        </w:rPr>
        <w:t>月服务费用</w:t>
      </w:r>
      <w:r>
        <w:rPr>
          <w:rFonts w:hint="eastAsia" w:ascii="宋体" w:hAnsi="宋体" w:eastAsia="宋体" w:cs="宋体"/>
          <w:color w:val="auto"/>
          <w:sz w:val="24"/>
          <w:szCs w:val="24"/>
          <w:highlight w:val="none"/>
          <w:lang w:val="en-US" w:eastAsia="zh-CN"/>
        </w:rPr>
        <w:t>中扣除，</w:t>
      </w:r>
      <w:r>
        <w:rPr>
          <w:rFonts w:hint="eastAsia" w:ascii="宋体" w:hAnsi="宋体" w:eastAsia="宋体" w:cs="宋体"/>
          <w:color w:val="auto"/>
          <w:sz w:val="24"/>
          <w:szCs w:val="24"/>
          <w:highlight w:val="none"/>
        </w:rPr>
        <w:t>并加扣该周期服务费用</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5%；连续两个月未满80分则扣该周期服务费用</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30%并限期整改，如第三月月考评分仍在80分以下则终止合同并扣除履约保证金</w:t>
      </w:r>
      <w:r>
        <w:rPr>
          <w:rFonts w:hint="eastAsia" w:ascii="宋体" w:hAnsi="宋体" w:eastAsia="宋体" w:cs="宋体"/>
          <w:color w:val="auto"/>
          <w:sz w:val="24"/>
          <w:szCs w:val="24"/>
          <w:highlight w:val="none"/>
          <w:lang w:eastAsia="zh-CN"/>
        </w:rPr>
        <w:t>。</w:t>
      </w:r>
    </w:p>
    <w:p w14:paraId="73ACB697">
      <w:pPr>
        <w:keepNext w:val="0"/>
        <w:keepLines w:val="0"/>
        <w:pageBreakBefore w:val="0"/>
        <w:widowControl w:val="0"/>
        <w:shd w:val="clear"/>
        <w:kinsoku/>
        <w:wordWrap/>
        <w:overflowPunct/>
        <w:topLinePunct w:val="0"/>
        <w:autoSpaceDE/>
        <w:autoSpaceDN/>
        <w:bidi w:val="0"/>
        <w:adjustRightIn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（4）在国家、省、市、区等各级检查和创优等评比过程中，涉及本类别未能达标的。 </w:t>
      </w:r>
    </w:p>
    <w:p w14:paraId="03AB6684">
      <w:pPr>
        <w:keepNext w:val="0"/>
        <w:keepLines w:val="0"/>
        <w:pageBreakBefore w:val="0"/>
        <w:widowControl w:val="0"/>
        <w:shd w:val="clear"/>
        <w:tabs>
          <w:tab w:val="left" w:pos="567"/>
        </w:tabs>
        <w:kinsoku/>
        <w:wordWrap/>
        <w:overflowPunct/>
        <w:topLinePunct w:val="0"/>
        <w:autoSpaceDE/>
        <w:autoSpaceDN/>
        <w:bidi w:val="0"/>
        <w:adjustRightIn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（5）乙方将本合同权利义务分包或变相转包的。</w:t>
      </w:r>
    </w:p>
    <w:p w14:paraId="234CAE8F">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（6）专项检查（如中新苏滁高新区管委会专项检查等）不合格的。</w:t>
      </w:r>
    </w:p>
    <w:p w14:paraId="4A9C5B92">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（7）乙方或其服务人员涉及违法或违规行为的。</w:t>
      </w:r>
    </w:p>
    <w:p w14:paraId="39BA1C3F">
      <w:pPr>
        <w:keepNext w:val="0"/>
        <w:keepLines w:val="0"/>
        <w:pageBreakBefore w:val="0"/>
        <w:widowControl w:val="0"/>
        <w:shd w:val="clear"/>
        <w:tabs>
          <w:tab w:val="left" w:pos="567"/>
        </w:tabs>
        <w:kinsoku/>
        <w:wordWrap/>
        <w:overflowPunct/>
        <w:topLinePunct w:val="0"/>
        <w:autoSpaceDE/>
        <w:autoSpaceDN/>
        <w:bidi w:val="0"/>
        <w:adjustRightIn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4、有权解除合同的一方，应当在违约事实或不可抗力发生之后三十天内书面通知对方提出解除合同，合同在书面通知到达对方时解除。</w:t>
      </w:r>
    </w:p>
    <w:p w14:paraId="6163DD9B">
      <w:pPr>
        <w:keepNext w:val="0"/>
        <w:keepLines w:val="0"/>
        <w:pageBreakBefore w:val="0"/>
        <w:widowControl w:val="0"/>
        <w:shd w:val="clear"/>
        <w:tabs>
          <w:tab w:val="left" w:pos="567"/>
        </w:tabs>
        <w:kinsoku/>
        <w:wordWrap/>
        <w:overflowPunct/>
        <w:topLinePunct w:val="0"/>
        <w:autoSpaceDE/>
        <w:autoSpaceDN/>
        <w:bidi w:val="0"/>
        <w:adjustRightIn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5、合同的部分和全部都不得转让。</w:t>
      </w:r>
    </w:p>
    <w:p w14:paraId="1B7BADBF">
      <w:pPr>
        <w:shd w:val="clea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、养护考核办法及相关考核表</w:t>
      </w:r>
    </w:p>
    <w:p w14:paraId="38CAC1FE">
      <w:pPr>
        <w:shd w:val="clear"/>
        <w:spacing w:line="48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.1考核频次及要求</w:t>
      </w:r>
    </w:p>
    <w:p w14:paraId="701796C9">
      <w:pPr>
        <w:widowControl/>
        <w:shd w:val="clear"/>
        <w:spacing w:line="48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.1.1频次：</w:t>
      </w:r>
    </w:p>
    <w:p w14:paraId="3E98CE07">
      <w:pPr>
        <w:widowControl/>
        <w:shd w:val="clear"/>
        <w:spacing w:line="48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城维管理部每月至少对管辖区域内的承包商进行2考核。</w:t>
      </w:r>
      <w:r>
        <w:rPr>
          <w:rFonts w:hint="eastAsia" w:ascii="宋体" w:hAnsi="宋体" w:eastAsia="宋体" w:cs="宋体"/>
          <w:color w:val="auto"/>
          <w:sz w:val="24"/>
          <w:szCs w:val="24"/>
          <w:highlight w:val="none"/>
          <w:lang w:eastAsia="zh-CN"/>
        </w:rPr>
        <w:t>考核监管部</w:t>
      </w:r>
      <w:r>
        <w:rPr>
          <w:rFonts w:hint="eastAsia" w:ascii="宋体" w:hAnsi="宋体" w:eastAsia="宋体" w:cs="宋体"/>
          <w:color w:val="auto"/>
          <w:sz w:val="24"/>
          <w:szCs w:val="24"/>
          <w:highlight w:val="none"/>
        </w:rPr>
        <w:t>每月进行一次考核。</w:t>
      </w:r>
    </w:p>
    <w:p w14:paraId="3CD541CE">
      <w:pPr>
        <w:widowControl/>
        <w:shd w:val="clear"/>
        <w:spacing w:line="48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.1.2 要求：</w:t>
      </w:r>
    </w:p>
    <w:p w14:paraId="6A598213">
      <w:pPr>
        <w:shd w:val="clear"/>
        <w:spacing w:line="480" w:lineRule="auto"/>
        <w:ind w:firstLine="441" w:firstLineChars="1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考核应至现场对照百分制考核表内容逐项进行检查，应采取步行或慢行的方式，考核选取区域按“以点带面”“以部分带全局”的方式，但不得低于被考核区域的30%。</w:t>
      </w:r>
    </w:p>
    <w:p w14:paraId="3D011357">
      <w:pPr>
        <w:shd w:val="clear"/>
        <w:spacing w:line="480" w:lineRule="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.2</w:t>
      </w:r>
      <w:r>
        <w:rPr>
          <w:rFonts w:hint="eastAsia" w:ascii="宋体" w:hAnsi="宋体" w:eastAsia="宋体" w:cs="宋体"/>
          <w:b/>
          <w:color w:val="auto"/>
          <w:sz w:val="28"/>
          <w:szCs w:val="28"/>
          <w:highlight w:val="none"/>
        </w:rPr>
        <w:t>考核权重</w:t>
      </w:r>
    </w:p>
    <w:p w14:paraId="42B00360">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采用百分制考核，权重分配为：城维管理部对服务单位每月进行2次考核打分，最终取平均分作为最终考核得分。</w:t>
      </w:r>
    </w:p>
    <w:p w14:paraId="734720C6">
      <w:pPr>
        <w:shd w:val="clear"/>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考核监管部</w:t>
      </w:r>
      <w:r>
        <w:rPr>
          <w:rFonts w:hint="eastAsia" w:ascii="宋体" w:hAnsi="宋体" w:eastAsia="宋体" w:cs="宋体"/>
          <w:color w:val="auto"/>
          <w:sz w:val="24"/>
          <w:szCs w:val="24"/>
          <w:highlight w:val="none"/>
        </w:rPr>
        <w:t>每月对服务外包单位进行一次考核，对考核固定扣款项进行评价。考核结果：考核扣分加扣款作为最终考核结果</w:t>
      </w:r>
      <w:r>
        <w:rPr>
          <w:rFonts w:hint="eastAsia" w:ascii="宋体" w:hAnsi="宋体" w:eastAsia="宋体" w:cs="宋体"/>
          <w:color w:val="auto"/>
          <w:sz w:val="24"/>
          <w:szCs w:val="24"/>
          <w:highlight w:val="none"/>
          <w:lang w:eastAsia="zh-CN"/>
        </w:rPr>
        <w:t>。</w:t>
      </w:r>
    </w:p>
    <w:p w14:paraId="0354B264">
      <w:pPr>
        <w:shd w:val="clear"/>
        <w:spacing w:line="48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.3考评标准</w:t>
      </w:r>
    </w:p>
    <w:p w14:paraId="074E6635">
      <w:pPr>
        <w:shd w:val="clear"/>
        <w:spacing w:line="48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按照滁州市苏滁市政公用发展有限公司最新考核标准执行。</w:t>
      </w:r>
    </w:p>
    <w:p w14:paraId="1FF1453D">
      <w:pPr>
        <w:shd w:val="clear"/>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十、争议解决方式</w:t>
      </w:r>
    </w:p>
    <w:p w14:paraId="3529995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如有未尽事宜，须经甲、乙方双方协商，协商达成一致后签订补充协议；补充协议与本合同具有同等法律效力。因履行本合同发生纠纷的，双方应友好协商解决；协商不成，任何一方有权向项目所在地的人民法院提起诉讼。</w:t>
      </w:r>
    </w:p>
    <w:p w14:paraId="685882F3">
      <w:pPr>
        <w:shd w:val="clear"/>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十一、其它</w:t>
      </w:r>
    </w:p>
    <w:p w14:paraId="1548893E">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负责办理乙方服务期间现场人员的生命财产、现场使用设施、设备的保险，并支付相应的费用，该费用已含在合同价款中。因乙方原因造成的任何事故（包括第三者人员在内）所发生的依法应支付的损失、赔偿费、补偿费用等，由乙方承担。</w:t>
      </w:r>
    </w:p>
    <w:p w14:paraId="4BC6765A">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乙方须根据甲方《灾害天气或突发事件(重大活动)应急处置工作制度》制定详细的自然灾害、交通事故、重大活动等的应急预案。遇灾害性天气或突发事件时，必须按照应急预案要求进行准备。</w:t>
      </w:r>
    </w:p>
    <w:p w14:paraId="2A5D4D4C">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若遇重大保障活动和突发事件，乙方无条件服从甲方对服务时间的调整及对车辆的调度，车辆迅速到位，人机结合快速处置。</w:t>
      </w:r>
    </w:p>
    <w:p w14:paraId="7A251B90">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服务期限届满后，甲乙双方应办理交接手续，具体交接事宜双方另行协商。</w:t>
      </w:r>
    </w:p>
    <w:p w14:paraId="392ED9C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本合同经双方签字并盖章后生效。本合同一式【捌】份，甲方持【陆】份，乙方持【贰】份，各份具有同等法律效力。本合同未尽事宜，由合同双方另行协商签订补充协议，补充协议与本合同具有同等法律效力。</w:t>
      </w:r>
    </w:p>
    <w:p w14:paraId="5A8A21AD">
      <w:pPr>
        <w:pStyle w:val="27"/>
        <w:shd w:val="clear"/>
        <w:ind w:left="0" w:firstLine="0"/>
        <w:rPr>
          <w:rFonts w:hint="eastAsia" w:ascii="宋体" w:hAnsi="宋体" w:eastAsia="宋体" w:cs="宋体"/>
          <w:color w:val="auto"/>
          <w:sz w:val="24"/>
          <w:szCs w:val="24"/>
          <w:highlight w:val="none"/>
        </w:rPr>
      </w:pPr>
    </w:p>
    <w:p w14:paraId="04F929FF">
      <w:pPr>
        <w:pStyle w:val="27"/>
        <w:shd w:val="clear"/>
        <w:ind w:left="0" w:firstLine="0"/>
        <w:rPr>
          <w:rFonts w:hint="eastAsia" w:ascii="宋体" w:hAnsi="宋体" w:eastAsia="宋体" w:cs="宋体"/>
          <w:color w:val="auto"/>
          <w:highlight w:val="none"/>
        </w:rPr>
      </w:pPr>
    </w:p>
    <w:p w14:paraId="11DBE57B">
      <w:pPr>
        <w:pStyle w:val="27"/>
        <w:shd w:val="clear"/>
        <w:ind w:left="0" w:firstLine="0"/>
        <w:rPr>
          <w:rFonts w:hint="eastAsia" w:ascii="宋体" w:hAnsi="宋体" w:eastAsia="宋体" w:cs="宋体"/>
          <w:color w:val="auto"/>
          <w:highlight w:val="none"/>
        </w:rPr>
      </w:pPr>
    </w:p>
    <w:p w14:paraId="7E08C4C7">
      <w:pPr>
        <w:shd w:val="clea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  方：                           乙  方：            </w:t>
      </w:r>
    </w:p>
    <w:p w14:paraId="5D3526D4">
      <w:pPr>
        <w:shd w:val="clea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                         单位盖章：</w:t>
      </w:r>
    </w:p>
    <w:p w14:paraId="3CD9DE7A">
      <w:pPr>
        <w:shd w:val="clea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           法定代表人或委托代理人：</w:t>
      </w:r>
    </w:p>
    <w:p w14:paraId="1313A22A">
      <w:pPr>
        <w:shd w:val="clear"/>
        <w:spacing w:line="360" w:lineRule="auto"/>
        <w:ind w:firstLine="723" w:firstLineChars="200"/>
        <w:jc w:val="center"/>
        <w:rPr>
          <w:rFonts w:hint="eastAsia" w:ascii="宋体" w:hAnsi="宋体" w:eastAsia="宋体" w:cs="宋体"/>
          <w:b/>
          <w:bCs/>
          <w:color w:val="auto"/>
          <w:sz w:val="36"/>
          <w:szCs w:val="36"/>
          <w:highlight w:val="none"/>
        </w:rPr>
      </w:pPr>
    </w:p>
    <w:p w14:paraId="5127C5FE">
      <w:pPr>
        <w:shd w:val="clear"/>
        <w:spacing w:line="360" w:lineRule="auto"/>
        <w:ind w:firstLine="723" w:firstLineChars="200"/>
        <w:jc w:val="center"/>
        <w:rPr>
          <w:rFonts w:hint="eastAsia" w:ascii="宋体" w:hAnsi="宋体" w:eastAsia="宋体" w:cs="宋体"/>
          <w:b/>
          <w:bCs/>
          <w:color w:val="auto"/>
          <w:sz w:val="36"/>
          <w:szCs w:val="36"/>
          <w:highlight w:val="none"/>
        </w:rPr>
      </w:pPr>
    </w:p>
    <w:p w14:paraId="52871F47">
      <w:pPr>
        <w:shd w:val="clear"/>
        <w:spacing w:line="360" w:lineRule="auto"/>
        <w:ind w:firstLine="723" w:firstLineChars="200"/>
        <w:jc w:val="center"/>
        <w:rPr>
          <w:rFonts w:hint="eastAsia" w:ascii="宋体" w:hAnsi="宋体" w:eastAsia="宋体" w:cs="宋体"/>
          <w:b/>
          <w:bCs/>
          <w:color w:val="auto"/>
          <w:sz w:val="36"/>
          <w:szCs w:val="36"/>
          <w:highlight w:val="none"/>
        </w:rPr>
      </w:pPr>
    </w:p>
    <w:p w14:paraId="2049B789">
      <w:pPr>
        <w:shd w:val="clear"/>
        <w:spacing w:line="360" w:lineRule="auto"/>
        <w:ind w:firstLine="723" w:firstLineChars="200"/>
        <w:jc w:val="center"/>
        <w:rPr>
          <w:rFonts w:hint="eastAsia" w:ascii="宋体" w:hAnsi="宋体" w:eastAsia="宋体" w:cs="宋体"/>
          <w:b/>
          <w:bCs/>
          <w:color w:val="auto"/>
          <w:sz w:val="36"/>
          <w:szCs w:val="36"/>
          <w:highlight w:val="none"/>
        </w:rPr>
      </w:pPr>
    </w:p>
    <w:p w14:paraId="050D62BB">
      <w:pPr>
        <w:shd w:val="clear"/>
        <w:spacing w:line="360" w:lineRule="auto"/>
        <w:ind w:firstLine="723" w:firstLineChars="200"/>
        <w:jc w:val="center"/>
        <w:rPr>
          <w:rFonts w:hint="eastAsia" w:ascii="宋体" w:hAnsi="宋体" w:eastAsia="宋体" w:cs="宋体"/>
          <w:b/>
          <w:bCs/>
          <w:color w:val="auto"/>
          <w:sz w:val="36"/>
          <w:szCs w:val="36"/>
          <w:highlight w:val="none"/>
        </w:rPr>
      </w:pPr>
    </w:p>
    <w:p w14:paraId="1ACE10FE">
      <w:pPr>
        <w:shd w:val="clear"/>
        <w:spacing w:line="360" w:lineRule="auto"/>
        <w:ind w:firstLine="723" w:firstLineChars="200"/>
        <w:jc w:val="center"/>
        <w:rPr>
          <w:rFonts w:hint="eastAsia" w:ascii="宋体" w:hAnsi="宋体" w:eastAsia="宋体" w:cs="宋体"/>
          <w:b/>
          <w:bCs/>
          <w:color w:val="auto"/>
          <w:sz w:val="36"/>
          <w:szCs w:val="36"/>
          <w:highlight w:val="none"/>
        </w:rPr>
      </w:pPr>
    </w:p>
    <w:p w14:paraId="2B84A440">
      <w:pPr>
        <w:shd w:val="clear"/>
        <w:spacing w:line="360" w:lineRule="auto"/>
        <w:ind w:firstLine="723" w:firstLineChars="200"/>
        <w:jc w:val="center"/>
        <w:rPr>
          <w:rFonts w:hint="eastAsia" w:ascii="宋体" w:hAnsi="宋体" w:eastAsia="宋体" w:cs="宋体"/>
          <w:b/>
          <w:bCs/>
          <w:color w:val="auto"/>
          <w:sz w:val="36"/>
          <w:szCs w:val="36"/>
          <w:highlight w:val="none"/>
        </w:rPr>
      </w:pPr>
    </w:p>
    <w:p w14:paraId="459AFE6A">
      <w:pPr>
        <w:shd w:val="clear"/>
        <w:spacing w:line="360" w:lineRule="auto"/>
        <w:ind w:firstLine="723" w:firstLineChars="200"/>
        <w:jc w:val="center"/>
        <w:rPr>
          <w:rFonts w:hint="eastAsia" w:ascii="宋体" w:hAnsi="宋体" w:eastAsia="宋体" w:cs="宋体"/>
          <w:b/>
          <w:bCs/>
          <w:color w:val="auto"/>
          <w:sz w:val="36"/>
          <w:szCs w:val="36"/>
          <w:highlight w:val="none"/>
        </w:rPr>
      </w:pPr>
    </w:p>
    <w:p w14:paraId="1ABFC5EC">
      <w:pPr>
        <w:shd w:val="clear"/>
        <w:spacing w:line="360" w:lineRule="auto"/>
        <w:ind w:firstLine="723" w:firstLineChars="200"/>
        <w:jc w:val="center"/>
        <w:rPr>
          <w:rFonts w:hint="eastAsia" w:ascii="宋体" w:hAnsi="宋体" w:eastAsia="宋体" w:cs="宋体"/>
          <w:b/>
          <w:bCs/>
          <w:color w:val="auto"/>
          <w:sz w:val="36"/>
          <w:szCs w:val="36"/>
          <w:highlight w:val="none"/>
        </w:rPr>
      </w:pPr>
    </w:p>
    <w:p w14:paraId="2C099FA4">
      <w:pPr>
        <w:shd w:val="clear"/>
        <w:spacing w:line="360" w:lineRule="auto"/>
        <w:ind w:firstLine="723" w:firstLineChars="200"/>
        <w:jc w:val="center"/>
        <w:rPr>
          <w:rFonts w:hint="eastAsia" w:ascii="宋体" w:hAnsi="宋体" w:eastAsia="宋体" w:cs="宋体"/>
          <w:b/>
          <w:bCs/>
          <w:color w:val="auto"/>
          <w:sz w:val="36"/>
          <w:szCs w:val="36"/>
          <w:highlight w:val="none"/>
        </w:rPr>
      </w:pPr>
    </w:p>
    <w:p w14:paraId="00464A7C">
      <w:pPr>
        <w:shd w:val="clear"/>
        <w:spacing w:line="360" w:lineRule="auto"/>
        <w:ind w:firstLine="723" w:firstLineChars="200"/>
        <w:jc w:val="center"/>
        <w:rPr>
          <w:rFonts w:hint="eastAsia" w:ascii="宋体" w:hAnsi="宋体" w:eastAsia="宋体" w:cs="宋体"/>
          <w:b/>
          <w:bCs/>
          <w:color w:val="auto"/>
          <w:sz w:val="36"/>
          <w:szCs w:val="36"/>
          <w:highlight w:val="none"/>
        </w:rPr>
      </w:pPr>
    </w:p>
    <w:p w14:paraId="0C0A87AA">
      <w:pPr>
        <w:shd w:val="clear"/>
        <w:spacing w:line="360" w:lineRule="auto"/>
        <w:ind w:firstLine="723" w:firstLineChars="200"/>
        <w:jc w:val="center"/>
        <w:rPr>
          <w:rFonts w:hint="eastAsia" w:ascii="宋体" w:hAnsi="宋体" w:eastAsia="宋体" w:cs="宋体"/>
          <w:b/>
          <w:bCs/>
          <w:color w:val="auto"/>
          <w:sz w:val="36"/>
          <w:szCs w:val="36"/>
          <w:highlight w:val="none"/>
        </w:rPr>
      </w:pPr>
    </w:p>
    <w:p w14:paraId="37ED3F30">
      <w:pPr>
        <w:shd w:val="clear"/>
        <w:spacing w:line="360" w:lineRule="auto"/>
        <w:ind w:firstLine="723" w:firstLineChars="200"/>
        <w:jc w:val="center"/>
        <w:rPr>
          <w:rFonts w:hint="eastAsia" w:ascii="宋体" w:hAnsi="宋体" w:eastAsia="宋体" w:cs="宋体"/>
          <w:b/>
          <w:bCs/>
          <w:color w:val="auto"/>
          <w:sz w:val="36"/>
          <w:szCs w:val="36"/>
          <w:highlight w:val="none"/>
        </w:rPr>
      </w:pPr>
    </w:p>
    <w:p w14:paraId="7E7710EF">
      <w:pPr>
        <w:shd w:val="clear"/>
        <w:spacing w:line="360" w:lineRule="auto"/>
        <w:jc w:val="center"/>
        <w:rPr>
          <w:rFonts w:hint="eastAsia" w:ascii="宋体" w:hAnsi="宋体" w:eastAsia="宋体" w:cs="宋体"/>
          <w:b/>
          <w:bCs/>
          <w:color w:val="auto"/>
          <w:sz w:val="36"/>
          <w:szCs w:val="36"/>
          <w:highlight w:val="none"/>
        </w:rPr>
      </w:pPr>
    </w:p>
    <w:p w14:paraId="69631351">
      <w:pPr>
        <w:shd w:val="clea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廉政合同书</w:t>
      </w:r>
    </w:p>
    <w:p w14:paraId="29C48B1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为了贯彻落实党中央、国务院《关于实行党风廉政建设责任制的规定》和国家及滁州市 有关工程建设、廉政建设的法律法规，加强工程建设中的党风廉政建设，保持廉洁自律的工 作风，防止各种不正当行为的发生，保证工程建设优质高效、健康有序地进行，（以下简称甲方）， （以下简 称乙方），（以下简称丙方）订立如下协议：</w:t>
      </w:r>
    </w:p>
    <w:p w14:paraId="2E55DFE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一、甲乙双方约定 </w:t>
      </w:r>
    </w:p>
    <w:p w14:paraId="2C469EA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1、甲乙双方应共同遵守国家和省、市以及行发包人管部门关于加强基础设施建设管理 以及党风廉政建设的各项规定。</w:t>
      </w:r>
    </w:p>
    <w:p w14:paraId="4293E1D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2、甲乙双方应认真执行约定的合同文件，自觉按合同办事。</w:t>
      </w:r>
    </w:p>
    <w:p w14:paraId="18D934A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3、除非法律认定的商业秘密和合同文件另有规定之外，甲乙双方的业务活动应坚持公 开、公正、透明的原则，严禁搞损害国家和集体利益、违反工程建设管理规章制度的不正当 交易。 </w:t>
      </w:r>
    </w:p>
    <w:p w14:paraId="072D0BC9">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4、甲乙双方应加强对本方人员的廉政监督，建立和健全廉政制度，认真查处本方的违 法违纪行为。 </w:t>
      </w:r>
    </w:p>
    <w:p w14:paraId="379031D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5、甲乙双方有对本方人员开展廉政告知、廉政教育和职业道德教育的义务。 </w:t>
      </w:r>
    </w:p>
    <w:p w14:paraId="040498D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6、甲乙双方如发现对方在业务活动中有不廉洁行为，有及时提醒对方并督促其纠正的 权利和义务。 </w:t>
      </w:r>
    </w:p>
    <w:p w14:paraId="1479C12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二、甲方在廉政建设方面的责任 </w:t>
      </w:r>
    </w:p>
    <w:p w14:paraId="059CE969">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1、甲方及其工作人员不得以任何形式向乙方索要和收受回扣。 </w:t>
      </w:r>
    </w:p>
    <w:p w14:paraId="508F2A74">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2、甲方及其工作人员不得接受乙方的礼金、有价证券和贵重物品，不得在乙方报销任 何应由个人支付的费用。</w:t>
      </w:r>
    </w:p>
    <w:p w14:paraId="64B105E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3、甲方工作人员不得参加可能对公正执行公务有影响的宴请和娱乐、旅游活动。 </w:t>
      </w:r>
    </w:p>
    <w:p w14:paraId="79FF316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4、甲方及其工作人员不得要求或者接受乙方为其住房装修、婚丧嫁娶、家属子女的工 作安排以及出国等提供方便。</w:t>
      </w:r>
    </w:p>
    <w:p w14:paraId="59D2C8F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5、甲方工作人员不得在家里或宿舍接待乙方有关工程事项的询访。 </w:t>
      </w:r>
    </w:p>
    <w:p w14:paraId="2A2B2E0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三、乙方在廉政建设方面的责任 </w:t>
      </w:r>
    </w:p>
    <w:p w14:paraId="07C95744">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1、乙方不得以任何理由向甲方工作人员行贿或馈赠礼品。</w:t>
      </w:r>
    </w:p>
    <w:p w14:paraId="24727E3B">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2、乙方不得以任何名义为甲方及其工作人员报支需由其个人支付的任何费用。 </w:t>
      </w:r>
    </w:p>
    <w:p w14:paraId="6031100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3、乙方不得以任何理由邀请甲方工作人员参加由公款支付的娱乐性活动。 </w:t>
      </w:r>
    </w:p>
    <w:p w14:paraId="4C985C1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4、乙方不得为甲方单位和个人购置或提供通信工具、交通工具、家电和高档办公用品。 </w:t>
      </w:r>
    </w:p>
    <w:p w14:paraId="2B1B72A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5、乙方人员不得到甲方人员家里或宿舍里询访有关工程建设事项。 </w:t>
      </w:r>
    </w:p>
    <w:p w14:paraId="62058A5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四、违约责任 </w:t>
      </w:r>
    </w:p>
    <w:p w14:paraId="30131AF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1、甲方有违反本合同第一条第 1 至 5 款和第二条的，除按甲方单位的廉政建设规定和 有关行业规定处罚外，另外罚款 1000 元和 5000 元；给乙方单位造成损失的，应予以赔偿。 </w:t>
      </w:r>
    </w:p>
    <w:p w14:paraId="65906EF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2、乙方有违反合同第一条第 1 至 5 款和第三条的，除按乙方单位的廉政建设规定和有关行业规定处罚外，视情节轻重和造成损失大小分别给予合同价款 1%至 5%（最 高不超过合同价款的 5%）的违约罚款或 1-3 年内不得进入中新苏滁高新技术产业开发区招标市场的处罚。 </w:t>
      </w:r>
    </w:p>
    <w:p w14:paraId="74F7AD9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五、检查方式 本协议的履约情况由见证单位主持检查，甲乙双方共同派人参加，检查方式为座谈、问卷调查、查看资料或由各方约定的其他方式等。检查时间、次数、检查结论和处罚意见等由 各方协商确定，如无法达成一致的，由见证单位依据事实裁定。 </w:t>
      </w:r>
    </w:p>
    <w:p w14:paraId="0B138A1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六、本协议作为合同的附件，与合同具有同等的法律效力，经协议双方签署后 立即生效。 </w:t>
      </w:r>
    </w:p>
    <w:p w14:paraId="604B7B8B">
      <w:pPr>
        <w:shd w:val="clear"/>
        <w:spacing w:line="360" w:lineRule="auto"/>
        <w:ind w:firstLine="480" w:firstLineChars="200"/>
        <w:rPr>
          <w:rFonts w:hint="eastAsia" w:ascii="宋体" w:hAnsi="宋体" w:eastAsia="宋体" w:cs="宋体"/>
          <w:color w:val="auto"/>
          <w:sz w:val="24"/>
          <w:szCs w:val="24"/>
          <w:highlight w:val="none"/>
        </w:rPr>
      </w:pPr>
    </w:p>
    <w:p w14:paraId="0BDB2FA2">
      <w:pPr>
        <w:shd w:val="clear"/>
        <w:spacing w:line="360" w:lineRule="auto"/>
        <w:ind w:firstLine="560" w:firstLineChars="200"/>
        <w:rPr>
          <w:rFonts w:hint="eastAsia" w:ascii="宋体" w:hAnsi="宋体" w:eastAsia="宋体" w:cs="宋体"/>
          <w:color w:val="auto"/>
          <w:sz w:val="28"/>
          <w:szCs w:val="28"/>
          <w:highlight w:val="none"/>
        </w:rPr>
      </w:pPr>
    </w:p>
    <w:p w14:paraId="02667D75">
      <w:pPr>
        <w:shd w:val="clea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甲方单位：                        乙方单位：</w:t>
      </w:r>
    </w:p>
    <w:p w14:paraId="203A9096">
      <w:pPr>
        <w:shd w:val="clea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 （授权人）：           法定代表人 （授权人）： </w:t>
      </w:r>
    </w:p>
    <w:p w14:paraId="5DBA4955">
      <w:pPr>
        <w:shd w:val="clear"/>
        <w:spacing w:line="360" w:lineRule="auto"/>
        <w:ind w:firstLine="883" w:firstLineChars="200"/>
        <w:jc w:val="center"/>
        <w:rPr>
          <w:rFonts w:hint="eastAsia" w:ascii="宋体" w:hAnsi="宋体" w:eastAsia="宋体" w:cs="宋体"/>
          <w:b/>
          <w:bCs/>
          <w:color w:val="auto"/>
          <w:sz w:val="44"/>
          <w:szCs w:val="44"/>
          <w:highlight w:val="none"/>
        </w:rPr>
      </w:pPr>
    </w:p>
    <w:p w14:paraId="4452D3A3">
      <w:pPr>
        <w:shd w:val="clear"/>
        <w:spacing w:line="360" w:lineRule="auto"/>
        <w:ind w:firstLine="883" w:firstLineChars="200"/>
        <w:jc w:val="center"/>
        <w:rPr>
          <w:rFonts w:hint="eastAsia" w:ascii="宋体" w:hAnsi="宋体" w:eastAsia="宋体" w:cs="宋体"/>
          <w:b/>
          <w:bCs/>
          <w:color w:val="auto"/>
          <w:sz w:val="44"/>
          <w:szCs w:val="44"/>
          <w:highlight w:val="none"/>
        </w:rPr>
      </w:pPr>
    </w:p>
    <w:p w14:paraId="3B5FEA68">
      <w:pPr>
        <w:shd w:val="clear"/>
        <w:spacing w:line="360" w:lineRule="auto"/>
        <w:ind w:firstLine="883" w:firstLineChars="200"/>
        <w:jc w:val="center"/>
        <w:rPr>
          <w:rFonts w:hint="eastAsia" w:ascii="宋体" w:hAnsi="宋体" w:eastAsia="宋体" w:cs="宋体"/>
          <w:b/>
          <w:bCs/>
          <w:color w:val="auto"/>
          <w:sz w:val="44"/>
          <w:szCs w:val="44"/>
          <w:highlight w:val="none"/>
        </w:rPr>
      </w:pPr>
    </w:p>
    <w:p w14:paraId="7127D078">
      <w:pPr>
        <w:pStyle w:val="2"/>
        <w:shd w:val="clear"/>
        <w:rPr>
          <w:rFonts w:hint="eastAsia" w:ascii="宋体" w:hAnsi="宋体" w:eastAsia="宋体" w:cs="宋体"/>
          <w:b/>
          <w:bCs/>
          <w:color w:val="auto"/>
          <w:sz w:val="44"/>
          <w:szCs w:val="44"/>
          <w:highlight w:val="none"/>
        </w:rPr>
      </w:pPr>
    </w:p>
    <w:p w14:paraId="2B1CDA45">
      <w:pPr>
        <w:shd w:val="clear"/>
        <w:rPr>
          <w:rFonts w:hint="eastAsia" w:ascii="宋体" w:hAnsi="宋体" w:eastAsia="宋体" w:cs="宋体"/>
          <w:b/>
          <w:bCs/>
          <w:color w:val="auto"/>
          <w:sz w:val="44"/>
          <w:szCs w:val="44"/>
          <w:highlight w:val="none"/>
        </w:rPr>
      </w:pPr>
    </w:p>
    <w:p w14:paraId="41973288">
      <w:pPr>
        <w:shd w:val="clear"/>
        <w:rPr>
          <w:rFonts w:hint="eastAsia" w:ascii="宋体" w:hAnsi="宋体" w:eastAsia="宋体" w:cs="宋体"/>
          <w:color w:val="auto"/>
          <w:highlight w:val="none"/>
        </w:rPr>
      </w:pPr>
    </w:p>
    <w:p w14:paraId="397E0D97">
      <w:pPr>
        <w:shd w:val="clear"/>
        <w:spacing w:line="360" w:lineRule="auto"/>
        <w:ind w:firstLine="883" w:firstLineChars="20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44"/>
          <w:szCs w:val="44"/>
          <w:highlight w:val="none"/>
        </w:rPr>
        <w:t>安全目标责任书</w:t>
      </w:r>
    </w:p>
    <w:p w14:paraId="58FC31F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中新苏滁高新区2025-2028年度道路照明等设施维护服务项目</w:t>
      </w:r>
      <w:r>
        <w:rPr>
          <w:rFonts w:hint="eastAsia" w:ascii="宋体" w:hAnsi="宋体" w:eastAsia="宋体" w:cs="宋体"/>
          <w:color w:val="auto"/>
          <w:sz w:val="24"/>
          <w:szCs w:val="24"/>
          <w:highlight w:val="none"/>
        </w:rPr>
        <w:t xml:space="preserve"> </w:t>
      </w:r>
    </w:p>
    <w:p w14:paraId="7345522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甲方：滁州市苏滁市政公用发展有限公司</w:t>
      </w:r>
    </w:p>
    <w:p w14:paraId="7B2CEB54">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 xml:space="preserve"> </w:t>
      </w:r>
    </w:p>
    <w:p w14:paraId="4BCC57AE">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贯彻“安全第一、预防为主”的安全生产方针，坚持项目管理“以人为本”原则，确保项目无重大安全责任事故，保障现场作业人员、行人的人身安全及国家财产安全，根据《安全生产法》等相关法律法规，经甲乙双方协商，特制定本项目安全目标责任书。 </w:t>
      </w:r>
    </w:p>
    <w:p w14:paraId="287AB0A4">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一、本项目确定下列人员负责现场安全管理工作： </w:t>
      </w:r>
    </w:p>
    <w:p w14:paraId="7E85972F">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1、服务单位项目负责人： </w:t>
      </w:r>
    </w:p>
    <w:p w14:paraId="144EFB53">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二、本项目服务单位安全目标责任如下：</w:t>
      </w:r>
    </w:p>
    <w:p w14:paraId="2D0395C1">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1、服务单位项目负责人是本项目安全生产及相关业务活动的第一责任人。服务期间未经甲方批准不得擅离职守。 </w:t>
      </w:r>
    </w:p>
    <w:p w14:paraId="516D9921">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服务单位应全面负责服务项目的安全管理工作，保持服务作业现场的基本安全条件和状况符合有关的安全技术标准。服务单位必须落实安全生产管理措施。建立健全安全生产、安全管理组织和安全管理网络，成立安全领导小组，由项目负责人任组长。 </w:t>
      </w:r>
    </w:p>
    <w:p w14:paraId="2380E77F">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立和完善以岗位安全生产责任制为核心的安全生产制，明确安全生产目标，每个分解目标必须明确负责人和责任人，并制定具体的保证措施，确保目标实现。安全管理网络及安全工作的目标分解及保证措施必须报甲方审核确认后备案。</w:t>
      </w:r>
    </w:p>
    <w:p w14:paraId="1A8824AA">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4、服务单位在进行进场准备的同时，必须具备全体服务管理人员、服务作业人员用工合同、社保证明、特种作业证书及以上人员意外伤害保险投保合同。 </w:t>
      </w:r>
    </w:p>
    <w:p w14:paraId="3EEA10C0">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服务单位应认真执行“安全生产技术交底制度”：服务作业前由项目现场负责人向服务作业人员进行安全技术交底，对服务作业中机械设备操作、用电等环节要重点交底，交底后由服务作业人员在交底表上签字确认。该交底表应与安全教育培训记录统一保存，备案待查。 </w:t>
      </w:r>
    </w:p>
    <w:p w14:paraId="6CDE2C22">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6、服务单位应当建立、健全对服务作业人员的日常安全教育、技术培训和考核制度， 严格组织服务作业，不得安排未接受过安全教育和技术培训的服务作业人员上岗作业，尤其是危险性大的机械使用及高空作业。 </w:t>
      </w:r>
    </w:p>
    <w:p w14:paraId="3BE08529">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切实做好“安全三上岗”制度，上岗前由项目现场负责人进行安全技术交底，上岗时班组安全员进行上岗巡回检查并做好上岗记录，每周进行一次总结讲评工作。培训记录必须有被培训对象签字，记录备案等查。 </w:t>
      </w:r>
    </w:p>
    <w:p w14:paraId="5060AC15">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8、服务单位项目部每月应至少组织一次安全检查，同时根据季节环境和服务情况随时 组织有针对性地检查，消除项目及服务中存在的安全隐患，所查问题必须明确整改措施、整改时间及负责人，并以书面的形式报甲方审查。 </w:t>
      </w:r>
    </w:p>
    <w:p w14:paraId="6759A9F0">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9、坚持持证上岗制度，特殊工种作业人员必须提供国家、行业主管部门颁发的有效资 格证明，具备上岗操作的技能和安全知识，方可上岗操作。对在施工中出现问题的操作人员 应立即停止上岗操作。 </w:t>
      </w:r>
    </w:p>
    <w:p w14:paraId="5AF351A5">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10、进场机械设备的使用必须有符合要求的操作规程，操作人员应持证操作，禁止违规操作使用。发包单位应进行现场的检查监督，对屡教屡犯人员勒令撤离现场，对服务单位 告或处罚直至勒令停工、清场，严格保障服务作业安全。</w:t>
      </w:r>
    </w:p>
    <w:p w14:paraId="6216F866">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临时设施（包括临时工棚、临时办公、食堂等设施）的搭建必须书面报告发包单位审批同意，按园区相关部门的规定办理有关用地手续，并符合中新苏滁高新区规划建设局文件规定要求建造，所用材料必须满足防火、防台风、防汛的相关要求。临时设施必须按规 范配备消防器材，并保持完好。临时设施内用电、接线应规范整齐，工棚内严禁私接电水壶、 电饭锅、热得快等大功率电器设备，严禁私接乱拉电线，严禁存放汽油等易燃易爆用品，防止火灾发生。 </w:t>
      </w:r>
    </w:p>
    <w:p w14:paraId="3C9E27B6">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12、服务作业区应设有安全防护措施，并要有围护或隔离措施及警示标志，夜间作业设有明显的安全标志牌和夜间红灯示警。夜间作业须按相关规定到环保部门申报备案，并按要求控制噪声等扰民因素。 </w:t>
      </w:r>
    </w:p>
    <w:p w14:paraId="6BBAD909">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13、服务单位应成立专业巡视队伍，配置相应的巡视车辆和巡视人员对设施状态及作业行为安全进行检查，主要检查要点有（但不仅限于下述内容）： 作业行为安全检查要点：巡视、现场作业人员着装；交通分流、疏导标示标牌设置； 现场作业指示、警示标志设置；现场作业范围围挡设置；夜间施工警示标志（警示灯）设置； 防暑降温措施等其他检查要点。</w:t>
      </w:r>
    </w:p>
    <w:p w14:paraId="5458ABA6">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14、服务单位对巡视发现的安全隐患应及时修复，如无法及时修复应采取围挡、封闭等安全措施并设置明显的警示、指示标志。任何因未及时发现或未及时围挡、修复而造成的任何损失由服务单位承担。</w:t>
      </w:r>
    </w:p>
    <w:p w14:paraId="541693B1">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三、本项目发包单位安全目标责任如下： </w:t>
      </w:r>
    </w:p>
    <w:p w14:paraId="79E4EFD0">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1、建立、健全本单位安全生产责任制 </w:t>
      </w:r>
    </w:p>
    <w:p w14:paraId="48534A65">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2、组织制定本单位安全生产规章制度和操作规程</w:t>
      </w:r>
    </w:p>
    <w:p w14:paraId="4A109985">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3、保证本单位安全生产投入的有效实施</w:t>
      </w:r>
    </w:p>
    <w:p w14:paraId="499FF6E0">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4、督促、检查本单位的安全生产工作，及时消除生产安全事故隐患</w:t>
      </w:r>
    </w:p>
    <w:p w14:paraId="10C6045E">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5、组织制定并实施本单位的生产安全事故应急救援预案</w:t>
      </w:r>
    </w:p>
    <w:p w14:paraId="72277009">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6、及时、如实报告生产安全事故 </w:t>
      </w:r>
    </w:p>
    <w:p w14:paraId="443BA6F9">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7、组织制定并实施本单位安全生产教育和培训计划 </w:t>
      </w:r>
    </w:p>
    <w:p w14:paraId="35DB82E6">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8、根据有关规定定期对项目进行抽查，并书面记录。</w:t>
      </w:r>
    </w:p>
    <w:p w14:paraId="2854BDC6">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9、发包单位项目管理工程师是履行项目管理职能的现场代表，负责检查、督促作业单 位对本项目的安全管理活动。 </w:t>
      </w:r>
    </w:p>
    <w:p w14:paraId="1AC65BCF">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10、项目进场前，发包单位项目工程师应检查项目服务单位安全教育记录，未经安全 教育的服务作业人员不得进驻服务范围现场。</w:t>
      </w:r>
    </w:p>
    <w:p w14:paraId="50DCB41A">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11、项目进场前，发包单位项目工程师应组织相关专业部门对项目服务单位现场负责人、安全管理人员进行服务作业安全交底，内容包括：相关法律法规、服务作业安全注意事 项、环境注意事项、项目安全目标责任书相关条款。安全交底要有书面记录，各方保存备查。 </w:t>
      </w:r>
    </w:p>
    <w:p w14:paraId="26601CD2">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12、发包单位项目工程师应及时了解服务动态，如发现服务作业及项目现场中存在安 全隐患应及时督促服务单位进行整改。 </w:t>
      </w:r>
    </w:p>
    <w:p w14:paraId="601CA1FE">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13、发包单位管理工程师应按照公司《巡视管理工作制度》、《安全生产管理工作制 度》等相关制度要求对辖区内绿地范围进行巡视检查，及时发现和督促服务单位整改。 </w:t>
      </w:r>
    </w:p>
    <w:p w14:paraId="0D216242">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四、本项目安全隐患的处罚办法： </w:t>
      </w:r>
    </w:p>
    <w:p w14:paraId="40930420">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1、服务单位擅自更换项目现场负责人属严重违规，按合同相应条款考核扣款，开具《整改单》并责令限期整改。 </w:t>
      </w:r>
    </w:p>
    <w:p w14:paraId="6954F29F">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2、个人劳动防护用品佩戴不正确或未佩戴，属一般隐患，发现一次罚款 100-200 元。 </w:t>
      </w:r>
    </w:p>
    <w:p w14:paraId="6EDED960">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3、服务作业人员酒后作业、上树抽烟闲聊，发现一次罚款 500 元。  </w:t>
      </w:r>
    </w:p>
    <w:p w14:paraId="60996962">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4、使用不合格设备，设备使用影响交通存在较大隐患的，发现一次罚款 1000 元。 </w:t>
      </w:r>
    </w:p>
    <w:p w14:paraId="1A92FBD3">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5、道路作业未设警示标志、未设交通分流标志，发现一次罚款 1000 元。 </w:t>
      </w:r>
    </w:p>
    <w:p w14:paraId="46A028E2">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6、违反文明作业要求，作业环境差，发现一次罚款 200-500 元 </w:t>
      </w:r>
    </w:p>
    <w:p w14:paraId="165FF643">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 上述对服务单位的罚金于服务费用中扣除。 </w:t>
      </w:r>
    </w:p>
    <w:p w14:paraId="3236342F">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五、本项目安全事故的处罚规定：</w:t>
      </w:r>
    </w:p>
    <w:p w14:paraId="3EF7893C">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1、对发生安全事故的服务单位按照滁州市和中新苏滁高新区政府的管理办法进行处罚， 并将其清退出场。</w:t>
      </w:r>
    </w:p>
    <w:p w14:paraId="61C896BD">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2、如项目服务作业中出现人员伤亡，发包单位有权代服务单位处理事故，并动用适当比例（视事故大小）服务费用作为事故预处理费用，该费用由服务单位承担。</w:t>
      </w:r>
    </w:p>
    <w:p w14:paraId="68D5DE66">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3、服务单位因安全事故造成人员死亡的，对项目现场负责人及相关人员立即更换，除按有关规定处理以外，同时取消该服务单位在发包单位自事故处理完结起两年内的投标资格。 </w:t>
      </w:r>
    </w:p>
    <w:p w14:paraId="5384F7A2">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六、其他事项 </w:t>
      </w:r>
    </w:p>
    <w:p w14:paraId="33391BA7">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1、本项目安全生产责任书为发包单位、服务单位的双方协议，由双方授权代表签字并加盖公章后生效； </w:t>
      </w:r>
    </w:p>
    <w:p w14:paraId="630DD191">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2、本项目安全生产责任书为发包单位与服务单位签订的服务合同的附件，与服务合同具有同等法律效力。 </w:t>
      </w:r>
    </w:p>
    <w:p w14:paraId="5339F597">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发包单位（盖章）            服务单位（盖章）</w:t>
      </w:r>
    </w:p>
    <w:p w14:paraId="0B3FFC50">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项目现场负责人签字：        项目现场负责人签字：</w:t>
      </w:r>
    </w:p>
    <w:p w14:paraId="262CDD14">
      <w:pPr>
        <w:shd w:val="clear"/>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年 月 日 </w:t>
      </w:r>
    </w:p>
    <w:p w14:paraId="6503E683">
      <w:pPr>
        <w:pStyle w:val="4"/>
        <w:numPr>
          <w:ilvl w:val="1"/>
          <w:numId w:val="0"/>
        </w:numPr>
        <w:shd w:val="clear"/>
        <w:ind w:left="840" w:leftChars="0"/>
        <w:jc w:val="both"/>
        <w:rPr>
          <w:b/>
          <w:bCs/>
          <w:color w:val="auto"/>
          <w:szCs w:val="24"/>
          <w:highlight w:val="none"/>
        </w:rPr>
      </w:pPr>
    </w:p>
    <w:p w14:paraId="76EC9619">
      <w:pPr>
        <w:shd w:val="clear"/>
        <w:rPr>
          <w:color w:val="auto"/>
          <w:highlight w:val="none"/>
        </w:rPr>
      </w:pPr>
    </w:p>
    <w:p w14:paraId="1DD3DCEE">
      <w:pPr>
        <w:shd w:val="clear"/>
        <w:rPr>
          <w:color w:val="auto"/>
          <w:highlight w:val="none"/>
        </w:rPr>
      </w:pPr>
      <w:r>
        <w:rPr>
          <w:rFonts w:hint="eastAsia"/>
          <w:color w:val="auto"/>
          <w:highlight w:val="none"/>
        </w:rPr>
        <w:br w:type="page"/>
      </w:r>
    </w:p>
    <w:p w14:paraId="4B8B61E9">
      <w:pPr>
        <w:pStyle w:val="3"/>
        <w:shd w:val="clear"/>
        <w:rPr>
          <w:color w:val="auto"/>
          <w:highlight w:val="none"/>
        </w:rPr>
      </w:pPr>
      <w:bookmarkStart w:id="89" w:name="_Toc8628"/>
      <w:r>
        <w:rPr>
          <w:rFonts w:hint="eastAsia"/>
          <w:color w:val="auto"/>
          <w:highlight w:val="none"/>
        </w:rPr>
        <w:t>第六章  投标文件格式</w:t>
      </w:r>
      <w:bookmarkEnd w:id="86"/>
      <w:bookmarkEnd w:id="89"/>
    </w:p>
    <w:p w14:paraId="2F3ECE03">
      <w:pPr>
        <w:shd w:val="clea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3F39163B">
      <w:pPr>
        <w:shd w:val="clear"/>
        <w:jc w:val="center"/>
        <w:rPr>
          <w:rFonts w:eastAsia="黑体"/>
          <w:color w:val="auto"/>
          <w:sz w:val="20"/>
          <w:highlight w:val="none"/>
        </w:rPr>
      </w:pPr>
    </w:p>
    <w:p w14:paraId="0C64D765">
      <w:pPr>
        <w:shd w:val="clear"/>
        <w:rPr>
          <w:rFonts w:eastAsia="黑体"/>
          <w:color w:val="auto"/>
          <w:sz w:val="20"/>
          <w:highlight w:val="none"/>
        </w:rPr>
      </w:pPr>
    </w:p>
    <w:p w14:paraId="47C3C2C8">
      <w:pPr>
        <w:shd w:val="clear"/>
        <w:jc w:val="center"/>
        <w:rPr>
          <w:rFonts w:ascii="宋体"/>
          <w:b/>
          <w:color w:val="auto"/>
          <w:sz w:val="44"/>
          <w:szCs w:val="44"/>
          <w:highlight w:val="none"/>
        </w:rPr>
      </w:pPr>
      <w:bookmarkStart w:id="90" w:name="_Toc350698753"/>
      <w:bookmarkStart w:id="91" w:name="_Toc449028949"/>
      <w:r>
        <w:rPr>
          <w:rFonts w:hint="eastAsia" w:ascii="宋体"/>
          <w:b/>
          <w:color w:val="auto"/>
          <w:sz w:val="44"/>
          <w:szCs w:val="44"/>
          <w:highlight w:val="none"/>
        </w:rPr>
        <w:t>资信证明文件</w:t>
      </w:r>
      <w:bookmarkEnd w:id="90"/>
      <w:bookmarkEnd w:id="91"/>
    </w:p>
    <w:p w14:paraId="2B23B304">
      <w:pPr>
        <w:shd w:val="clear"/>
        <w:jc w:val="center"/>
        <w:rPr>
          <w:rFonts w:ascii="宋体"/>
          <w:color w:val="auto"/>
          <w:sz w:val="32"/>
          <w:szCs w:val="32"/>
          <w:highlight w:val="none"/>
        </w:rPr>
      </w:pPr>
      <w:r>
        <w:rPr>
          <w:rFonts w:hint="eastAsia" w:ascii="宋体"/>
          <w:color w:val="auto"/>
          <w:sz w:val="32"/>
          <w:szCs w:val="32"/>
          <w:highlight w:val="none"/>
        </w:rPr>
        <w:t>（投标文件一）</w:t>
      </w:r>
    </w:p>
    <w:p w14:paraId="1F908BE7">
      <w:pPr>
        <w:shd w:val="clear"/>
        <w:jc w:val="center"/>
        <w:rPr>
          <w:rFonts w:eastAsia="黑体"/>
          <w:color w:val="auto"/>
          <w:sz w:val="44"/>
          <w:szCs w:val="44"/>
          <w:highlight w:val="none"/>
        </w:rPr>
      </w:pPr>
    </w:p>
    <w:p w14:paraId="50FA55E3">
      <w:pPr>
        <w:shd w:val="clea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6CEDA27A">
      <w:pPr>
        <w:shd w:val="clea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352D2CB3">
      <w:pPr>
        <w:shd w:val="clear"/>
        <w:rPr>
          <w:rFonts w:ascii="宋体"/>
          <w:color w:val="auto"/>
          <w:sz w:val="28"/>
          <w:szCs w:val="28"/>
          <w:highlight w:val="none"/>
        </w:rPr>
      </w:pPr>
    </w:p>
    <w:p w14:paraId="4FC5A753">
      <w:pPr>
        <w:shd w:val="clear"/>
        <w:rPr>
          <w:rFonts w:ascii="宋体"/>
          <w:color w:val="auto"/>
          <w:sz w:val="28"/>
          <w:szCs w:val="28"/>
          <w:highlight w:val="none"/>
        </w:rPr>
      </w:pPr>
    </w:p>
    <w:p w14:paraId="26198A86">
      <w:pPr>
        <w:shd w:val="clear"/>
        <w:rPr>
          <w:rFonts w:ascii="宋体"/>
          <w:color w:val="auto"/>
          <w:sz w:val="28"/>
          <w:szCs w:val="28"/>
          <w:highlight w:val="none"/>
        </w:rPr>
      </w:pPr>
    </w:p>
    <w:p w14:paraId="54DD1591">
      <w:pPr>
        <w:shd w:val="clear"/>
        <w:rPr>
          <w:rFonts w:ascii="宋体"/>
          <w:color w:val="auto"/>
          <w:sz w:val="28"/>
          <w:szCs w:val="28"/>
          <w:highlight w:val="none"/>
        </w:rPr>
      </w:pPr>
    </w:p>
    <w:p w14:paraId="2CE33B46">
      <w:pPr>
        <w:shd w:val="clear"/>
        <w:rPr>
          <w:rFonts w:ascii="宋体"/>
          <w:color w:val="auto"/>
          <w:sz w:val="28"/>
          <w:szCs w:val="28"/>
          <w:highlight w:val="none"/>
        </w:rPr>
      </w:pPr>
    </w:p>
    <w:p w14:paraId="562597AD">
      <w:pPr>
        <w:shd w:val="clear"/>
        <w:rPr>
          <w:rFonts w:ascii="宋体"/>
          <w:color w:val="auto"/>
          <w:sz w:val="28"/>
          <w:szCs w:val="28"/>
          <w:highlight w:val="none"/>
        </w:rPr>
      </w:pPr>
    </w:p>
    <w:p w14:paraId="4DF176C3">
      <w:pPr>
        <w:shd w:val="clear"/>
        <w:rPr>
          <w:rFonts w:ascii="宋体"/>
          <w:color w:val="auto"/>
          <w:sz w:val="28"/>
          <w:szCs w:val="28"/>
          <w:highlight w:val="none"/>
        </w:rPr>
      </w:pPr>
    </w:p>
    <w:p w14:paraId="14FE95C4">
      <w:pPr>
        <w:shd w:val="clea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C42B740">
      <w:pPr>
        <w:shd w:val="clea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94E2F68">
      <w:pPr>
        <w:shd w:val="clea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6053E0B">
      <w:pPr>
        <w:shd w:val="clear"/>
        <w:spacing w:line="720" w:lineRule="auto"/>
        <w:jc w:val="center"/>
        <w:rPr>
          <w:rFonts w:ascii="宋体"/>
          <w:b/>
          <w:color w:val="auto"/>
          <w:sz w:val="36"/>
          <w:szCs w:val="36"/>
          <w:highlight w:val="none"/>
        </w:rPr>
      </w:pPr>
    </w:p>
    <w:p w14:paraId="5DCA0A8E">
      <w:pPr>
        <w:shd w:val="clear"/>
        <w:spacing w:line="400" w:lineRule="exact"/>
        <w:ind w:firstLine="4130" w:firstLineChars="935"/>
        <w:rPr>
          <w:b/>
          <w:color w:val="auto"/>
          <w:sz w:val="44"/>
          <w:szCs w:val="44"/>
          <w:highlight w:val="none"/>
        </w:rPr>
      </w:pPr>
    </w:p>
    <w:p w14:paraId="4D492B39">
      <w:pPr>
        <w:pStyle w:val="34"/>
        <w:shd w:val="clear"/>
        <w:ind w:firstLine="210"/>
        <w:rPr>
          <w:color w:val="auto"/>
          <w:highlight w:val="none"/>
        </w:rPr>
      </w:pPr>
    </w:p>
    <w:p w14:paraId="188F7BCB">
      <w:pPr>
        <w:shd w:val="clear"/>
        <w:jc w:val="center"/>
        <w:rPr>
          <w:b/>
          <w:color w:val="auto"/>
          <w:sz w:val="44"/>
          <w:szCs w:val="44"/>
          <w:highlight w:val="none"/>
        </w:rPr>
      </w:pPr>
      <w:r>
        <w:rPr>
          <w:rFonts w:hint="eastAsia"/>
          <w:b/>
          <w:color w:val="auto"/>
          <w:sz w:val="36"/>
          <w:szCs w:val="36"/>
          <w:highlight w:val="none"/>
        </w:rPr>
        <w:t>目   录</w:t>
      </w:r>
    </w:p>
    <w:p w14:paraId="00773A97">
      <w:pPr>
        <w:shd w:val="clear"/>
        <w:spacing w:line="400" w:lineRule="exact"/>
        <w:ind w:firstLine="562" w:firstLineChars="200"/>
        <w:rPr>
          <w:b/>
          <w:color w:val="auto"/>
          <w:sz w:val="28"/>
          <w:szCs w:val="28"/>
          <w:highlight w:val="none"/>
        </w:rPr>
      </w:pPr>
    </w:p>
    <w:p w14:paraId="7B4CE8D5">
      <w:pPr>
        <w:shd w:val="clea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6ABC3A8C">
      <w:pPr>
        <w:shd w:val="clea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（2）投标人有效的营业执照、税务登记证、组织机构代码证（或三合一证书）；</w:t>
      </w:r>
    </w:p>
    <w:p w14:paraId="64CECD03">
      <w:pPr>
        <w:shd w:val="clear"/>
        <w:spacing w:line="440" w:lineRule="exact"/>
        <w:jc w:val="left"/>
        <w:rPr>
          <w:rFonts w:ascii="宋体" w:hAnsi="宋体" w:eastAsia="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企业资质证书</w:t>
      </w:r>
      <w:r>
        <w:rPr>
          <w:rFonts w:hint="eastAsia" w:ascii="宋体" w:hAnsi="宋体" w:cs="宋体"/>
          <w:bCs/>
          <w:color w:val="auto"/>
          <w:szCs w:val="21"/>
          <w:highlight w:val="none"/>
        </w:rPr>
        <w:t>；</w:t>
      </w:r>
    </w:p>
    <w:p w14:paraId="5D9F8042">
      <w:pPr>
        <w:shd w:val="clear"/>
        <w:spacing w:line="440" w:lineRule="exact"/>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（4）企业安全生产许可证；</w:t>
      </w:r>
    </w:p>
    <w:p w14:paraId="655AC4CC">
      <w:pPr>
        <w:shd w:val="clear"/>
        <w:spacing w:line="440" w:lineRule="exact"/>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（5）拟任</w:t>
      </w:r>
      <w:r>
        <w:rPr>
          <w:rFonts w:hint="eastAsia" w:ascii="宋体" w:hAnsi="宋体" w:cs="宋体"/>
          <w:bCs/>
          <w:color w:val="auto"/>
          <w:szCs w:val="21"/>
          <w:highlight w:val="none"/>
          <w:lang w:val="en-US" w:eastAsia="zh-CN"/>
        </w:rPr>
        <w:t>项目负责人</w:t>
      </w:r>
      <w:r>
        <w:rPr>
          <w:rFonts w:hint="eastAsia" w:ascii="宋体" w:hAnsi="宋体" w:eastAsia="宋体" w:cs="宋体"/>
          <w:bCs/>
          <w:color w:val="auto"/>
          <w:szCs w:val="21"/>
          <w:highlight w:val="none"/>
        </w:rPr>
        <w:t>身份证、建造师注册证书以及安全生产考核合格证书（B证）</w:t>
      </w:r>
      <w:r>
        <w:rPr>
          <w:rFonts w:hint="eastAsia" w:ascii="宋体" w:hAnsi="宋体" w:eastAsia="宋体" w:cs="宋体"/>
          <w:bCs/>
          <w:color w:val="auto"/>
          <w:szCs w:val="21"/>
          <w:highlight w:val="none"/>
          <w:lang w:eastAsia="zh-CN"/>
        </w:rPr>
        <w:t>；</w:t>
      </w:r>
    </w:p>
    <w:p w14:paraId="5C62B856">
      <w:pPr>
        <w:shd w:val="clear"/>
        <w:spacing w:line="440" w:lineRule="exact"/>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投标人拟为本项目在养护范围内设立养护基地，投标人自有或租赁均可，必须承诺中标后合同签订前设立。投标时提供承诺书</w:t>
      </w:r>
      <w:r>
        <w:rPr>
          <w:rFonts w:hint="eastAsia" w:ascii="宋体" w:hAnsi="宋体" w:cs="宋体"/>
          <w:bCs/>
          <w:color w:val="auto"/>
          <w:szCs w:val="21"/>
          <w:highlight w:val="none"/>
          <w:lang w:val="en-US" w:eastAsia="zh-CN"/>
        </w:rPr>
        <w:t>（格式自拟）</w:t>
      </w:r>
      <w:r>
        <w:rPr>
          <w:rFonts w:hint="eastAsia" w:ascii="宋体" w:hAnsi="宋体" w:eastAsia="宋体" w:cs="宋体"/>
          <w:bCs/>
          <w:color w:val="auto"/>
          <w:szCs w:val="21"/>
          <w:highlight w:val="none"/>
          <w:lang w:val="en-US" w:eastAsia="zh-CN"/>
        </w:rPr>
        <w:t>。</w:t>
      </w:r>
    </w:p>
    <w:p w14:paraId="429DC2FB">
      <w:pPr>
        <w:shd w:val="clear"/>
        <w:spacing w:line="440" w:lineRule="exact"/>
        <w:jc w:val="left"/>
        <w:rPr>
          <w:rFonts w:ascii="宋体" w:hAnsi="宋体" w:cs="宋体"/>
          <w:bCs/>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658D5A8A">
      <w:pPr>
        <w:shd w:val="clea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）服务承诺：是否响应招标文件要求的书面说明和服务承诺书（格式见附件）</w:t>
      </w:r>
    </w:p>
    <w:p w14:paraId="1052AE67">
      <w:pPr>
        <w:shd w:val="clea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）招标文件中要求的资信标评审及其他支持资料</w:t>
      </w:r>
    </w:p>
    <w:p w14:paraId="1A732646">
      <w:pPr>
        <w:shd w:val="clear"/>
        <w:spacing w:line="400" w:lineRule="exact"/>
        <w:ind w:firstLine="562" w:firstLineChars="200"/>
        <w:rPr>
          <w:b/>
          <w:color w:val="auto"/>
          <w:sz w:val="28"/>
          <w:szCs w:val="28"/>
          <w:highlight w:val="none"/>
        </w:rPr>
      </w:pPr>
    </w:p>
    <w:p w14:paraId="1217EE06">
      <w:pPr>
        <w:shd w:val="clear"/>
        <w:spacing w:line="400" w:lineRule="exact"/>
        <w:ind w:firstLine="562" w:firstLineChars="200"/>
        <w:rPr>
          <w:b/>
          <w:color w:val="auto"/>
          <w:sz w:val="28"/>
          <w:szCs w:val="28"/>
          <w:highlight w:val="none"/>
        </w:rPr>
      </w:pPr>
    </w:p>
    <w:p w14:paraId="1AC9D31B">
      <w:pPr>
        <w:shd w:val="clear"/>
        <w:spacing w:line="400" w:lineRule="exact"/>
        <w:ind w:firstLine="562" w:firstLineChars="200"/>
        <w:rPr>
          <w:b/>
          <w:color w:val="auto"/>
          <w:sz w:val="28"/>
          <w:szCs w:val="28"/>
          <w:highlight w:val="none"/>
        </w:rPr>
      </w:pPr>
    </w:p>
    <w:p w14:paraId="7ACC4C61">
      <w:pPr>
        <w:shd w:val="clear"/>
        <w:spacing w:line="400" w:lineRule="exact"/>
        <w:ind w:firstLine="562" w:firstLineChars="200"/>
        <w:rPr>
          <w:b/>
          <w:color w:val="auto"/>
          <w:sz w:val="28"/>
          <w:szCs w:val="28"/>
          <w:highlight w:val="none"/>
        </w:rPr>
      </w:pPr>
    </w:p>
    <w:p w14:paraId="0F1ED68A">
      <w:pPr>
        <w:shd w:val="clea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cols w:space="720" w:num="1"/>
          <w:docGrid w:type="lines" w:linePitch="312" w:charSpace="0"/>
        </w:sectPr>
      </w:pPr>
    </w:p>
    <w:p w14:paraId="1CC8963C">
      <w:pPr>
        <w:shd w:val="clear"/>
        <w:spacing w:line="360" w:lineRule="auto"/>
        <w:rPr>
          <w:b/>
          <w:color w:val="auto"/>
          <w:sz w:val="28"/>
          <w:szCs w:val="28"/>
          <w:highlight w:val="none"/>
        </w:rPr>
      </w:pPr>
      <w:r>
        <w:rPr>
          <w:rFonts w:hint="eastAsia"/>
          <w:b/>
          <w:color w:val="auto"/>
          <w:sz w:val="28"/>
          <w:szCs w:val="28"/>
          <w:highlight w:val="none"/>
        </w:rPr>
        <w:t>附件1</w:t>
      </w:r>
    </w:p>
    <w:p w14:paraId="7DE805B1">
      <w:pPr>
        <w:shd w:val="clea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40902BE5">
      <w:pPr>
        <w:pStyle w:val="104"/>
        <w:shd w:val="clear"/>
        <w:spacing w:beforeLines="100"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752263EB">
      <w:pPr>
        <w:shd w:val="clea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2572523A">
      <w:pPr>
        <w:shd w:val="clea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482C208">
      <w:pPr>
        <w:shd w:val="clea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764296D5">
      <w:pPr>
        <w:shd w:val="clea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2F6D72D">
      <w:pPr>
        <w:shd w:val="clea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7F6D6611">
      <w:pPr>
        <w:shd w:val="clea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DF80ADB">
      <w:pPr>
        <w:shd w:val="clea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0CE5E9A">
      <w:pPr>
        <w:shd w:val="clea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73C60D79">
      <w:pPr>
        <w:shd w:val="clea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29CCF73D">
      <w:pPr>
        <w:shd w:val="clea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4E98EF0F">
      <w:pPr>
        <w:shd w:val="clear"/>
        <w:spacing w:beforeLines="100"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0C0D3E2D">
      <w:pPr>
        <w:shd w:val="clea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7A554FF7">
      <w:pPr>
        <w:shd w:val="clea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6B84D81A">
      <w:pPr>
        <w:shd w:val="clea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0238882B">
      <w:pPr>
        <w:shd w:val="clea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38BBE11E">
      <w:pPr>
        <w:shd w:val="clear"/>
        <w:spacing w:line="480" w:lineRule="exact"/>
        <w:rPr>
          <w:rFonts w:ascii="宋体"/>
          <w:color w:val="auto"/>
          <w:sz w:val="24"/>
          <w:highlight w:val="none"/>
        </w:rPr>
      </w:pPr>
      <w:r>
        <w:rPr>
          <w:rFonts w:hint="eastAsia" w:ascii="宋体"/>
          <w:color w:val="auto"/>
          <w:sz w:val="24"/>
          <w:highlight w:val="none"/>
        </w:rPr>
        <w:t xml:space="preserve">                                     投标人：             （盖单位章）</w:t>
      </w:r>
    </w:p>
    <w:p w14:paraId="0CA3C949">
      <w:pPr>
        <w:shd w:val="clea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07B8A61D">
      <w:pPr>
        <w:shd w:val="clea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2E067C6D">
      <w:pPr>
        <w:shd w:val="clear"/>
        <w:spacing w:line="360" w:lineRule="exact"/>
        <w:ind w:firstLine="413" w:firstLineChars="147"/>
        <w:rPr>
          <w:b/>
          <w:color w:val="auto"/>
          <w:sz w:val="28"/>
          <w:szCs w:val="28"/>
          <w:highlight w:val="none"/>
          <w:u w:val="single"/>
        </w:rPr>
      </w:pPr>
    </w:p>
    <w:p w14:paraId="2118DE66">
      <w:pPr>
        <w:shd w:val="clear"/>
        <w:spacing w:line="360" w:lineRule="exact"/>
        <w:ind w:firstLine="413" w:firstLineChars="147"/>
        <w:rPr>
          <w:b/>
          <w:color w:val="auto"/>
          <w:sz w:val="28"/>
          <w:szCs w:val="28"/>
          <w:highlight w:val="none"/>
          <w:u w:val="single"/>
        </w:rPr>
      </w:pPr>
    </w:p>
    <w:p w14:paraId="78F23557">
      <w:pPr>
        <w:shd w:val="clear"/>
        <w:spacing w:line="360" w:lineRule="exact"/>
        <w:rPr>
          <w:rFonts w:ascii="宋体"/>
          <w:b/>
          <w:color w:val="auto"/>
          <w:sz w:val="30"/>
          <w:szCs w:val="30"/>
          <w:highlight w:val="none"/>
        </w:rPr>
      </w:pPr>
      <w:r>
        <w:rPr>
          <w:rFonts w:hint="eastAsia" w:ascii="宋体"/>
          <w:b/>
          <w:color w:val="auto"/>
          <w:sz w:val="30"/>
          <w:szCs w:val="30"/>
          <w:highlight w:val="none"/>
        </w:rPr>
        <w:t>附件2</w:t>
      </w:r>
    </w:p>
    <w:p w14:paraId="0CCAAACC">
      <w:pPr>
        <w:shd w:val="clear"/>
        <w:spacing w:line="360" w:lineRule="exact"/>
        <w:ind w:firstLine="413" w:firstLineChars="147"/>
        <w:jc w:val="center"/>
        <w:rPr>
          <w:b/>
          <w:color w:val="auto"/>
          <w:sz w:val="28"/>
          <w:szCs w:val="28"/>
          <w:highlight w:val="none"/>
        </w:rPr>
      </w:pPr>
      <w:bookmarkStart w:id="92" w:name="_Toc449028950"/>
      <w:bookmarkStart w:id="93" w:name="_Toc440443268"/>
      <w:r>
        <w:rPr>
          <w:rFonts w:hint="eastAsia"/>
          <w:b/>
          <w:color w:val="auto"/>
          <w:sz w:val="28"/>
          <w:szCs w:val="28"/>
          <w:highlight w:val="none"/>
        </w:rPr>
        <w:t>（2）诚信投标承诺书</w:t>
      </w:r>
    </w:p>
    <w:p w14:paraId="20738049">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240F7DE4">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2966BA52">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37A1F08B">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49B65B28">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107E5175">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F9B250">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94" w:name="OLE_LINK134"/>
      <w:bookmarkStart w:id="95"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4"/>
      <w:bookmarkEnd w:id="95"/>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p>
    <w:p w14:paraId="5E494D07">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080166C4">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0A0D6067">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390C5D2E">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93CF68F">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29DD537">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263164E5">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2901B344">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430514BB">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1D9717E1">
      <w:pPr>
        <w:shd w:val="clear"/>
        <w:rPr>
          <w:rFonts w:ascii="宋体" w:hAnsi="宋体"/>
          <w:color w:val="auto"/>
          <w:szCs w:val="21"/>
          <w:highlight w:val="none"/>
        </w:rPr>
      </w:pPr>
    </w:p>
    <w:p w14:paraId="3590403F">
      <w:pPr>
        <w:shd w:val="clear"/>
        <w:rPr>
          <w:rFonts w:ascii="宋体" w:hAnsi="宋体"/>
          <w:color w:val="auto"/>
          <w:szCs w:val="21"/>
          <w:highlight w:val="none"/>
        </w:rPr>
      </w:pPr>
    </w:p>
    <w:p w14:paraId="3E82995B">
      <w:pPr>
        <w:shd w:val="clea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5D9119F5">
      <w:pPr>
        <w:shd w:val="clear"/>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2725BB87">
      <w:pPr>
        <w:shd w:val="clear"/>
        <w:spacing w:line="360" w:lineRule="auto"/>
        <w:rPr>
          <w:b/>
          <w:color w:val="auto"/>
          <w:sz w:val="28"/>
          <w:szCs w:val="28"/>
          <w:highlight w:val="none"/>
        </w:rPr>
      </w:pPr>
      <w:r>
        <w:rPr>
          <w:rFonts w:hint="eastAsia" w:ascii="宋体" w:hAnsi="宋体"/>
          <w:b/>
          <w:color w:val="auto"/>
          <w:sz w:val="24"/>
          <w:highlight w:val="none"/>
        </w:rPr>
        <w:t>附件3</w:t>
      </w:r>
    </w:p>
    <w:p w14:paraId="2EF1F0FE">
      <w:pPr>
        <w:shd w:val="clear"/>
        <w:spacing w:line="400" w:lineRule="exact"/>
        <w:ind w:firstLine="562" w:firstLineChars="200"/>
        <w:rPr>
          <w:b/>
          <w:color w:val="auto"/>
          <w:sz w:val="28"/>
          <w:szCs w:val="28"/>
          <w:highlight w:val="none"/>
        </w:rPr>
      </w:pPr>
    </w:p>
    <w:p w14:paraId="7B682A37">
      <w:pPr>
        <w:shd w:val="clear"/>
        <w:jc w:val="center"/>
        <w:rPr>
          <w:rFonts w:ascii="宋体"/>
          <w:b/>
          <w:color w:val="auto"/>
          <w:sz w:val="30"/>
          <w:szCs w:val="30"/>
          <w:highlight w:val="none"/>
        </w:rPr>
      </w:pPr>
      <w:r>
        <w:rPr>
          <w:rFonts w:hint="eastAsia" w:ascii="宋体"/>
          <w:b/>
          <w:color w:val="auto"/>
          <w:sz w:val="30"/>
          <w:szCs w:val="30"/>
          <w:highlight w:val="none"/>
        </w:rPr>
        <w:t>服务承诺书</w:t>
      </w:r>
    </w:p>
    <w:p w14:paraId="667F27BD">
      <w:pPr>
        <w:shd w:val="clear"/>
        <w:ind w:firstLine="480" w:firstLineChars="200"/>
        <w:rPr>
          <w:rFonts w:ascii="宋体"/>
          <w:color w:val="auto"/>
          <w:sz w:val="24"/>
          <w:highlight w:val="none"/>
        </w:rPr>
      </w:pPr>
    </w:p>
    <w:p w14:paraId="6EB9788A">
      <w:pPr>
        <w:shd w:val="clea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588C8BA2">
      <w:pPr>
        <w:shd w:val="clea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59418CE0">
      <w:pPr>
        <w:shd w:val="clea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0400FCA5">
      <w:pPr>
        <w:shd w:val="clear"/>
        <w:spacing w:line="600" w:lineRule="exact"/>
        <w:rPr>
          <w:rFonts w:ascii="宋体"/>
          <w:color w:val="auto"/>
          <w:sz w:val="24"/>
          <w:highlight w:val="none"/>
        </w:rPr>
      </w:pPr>
      <w:r>
        <w:rPr>
          <w:rFonts w:hint="eastAsia" w:ascii="宋体"/>
          <w:color w:val="auto"/>
          <w:sz w:val="24"/>
          <w:highlight w:val="none"/>
        </w:rPr>
        <w:t> </w:t>
      </w:r>
    </w:p>
    <w:p w14:paraId="0FD6EFD1">
      <w:pPr>
        <w:shd w:val="clea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1E9C35C5">
      <w:pPr>
        <w:shd w:val="clea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486951BC">
      <w:pPr>
        <w:shd w:val="clea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1869C128">
      <w:pPr>
        <w:pStyle w:val="35"/>
        <w:shd w:val="clear"/>
        <w:ind w:firstLine="400"/>
        <w:rPr>
          <w:color w:val="auto"/>
          <w:highlight w:val="none"/>
        </w:rPr>
      </w:pPr>
    </w:p>
    <w:bookmarkEnd w:id="92"/>
    <w:bookmarkEnd w:id="93"/>
    <w:p w14:paraId="167F3766">
      <w:pPr>
        <w:shd w:val="clea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789FAD68">
      <w:pPr>
        <w:shd w:val="clear"/>
        <w:jc w:val="center"/>
        <w:rPr>
          <w:rFonts w:ascii="宋体"/>
          <w:b/>
          <w:color w:val="auto"/>
          <w:sz w:val="44"/>
          <w:szCs w:val="44"/>
          <w:highlight w:val="none"/>
        </w:rPr>
      </w:pPr>
      <w:bookmarkStart w:id="96" w:name="_Toc449028953"/>
      <w:bookmarkStart w:id="97" w:name="_Toc387149626"/>
    </w:p>
    <w:p w14:paraId="786A638C">
      <w:pPr>
        <w:shd w:val="clear"/>
        <w:jc w:val="center"/>
        <w:rPr>
          <w:rFonts w:ascii="宋体"/>
          <w:b/>
          <w:color w:val="auto"/>
          <w:sz w:val="44"/>
          <w:szCs w:val="44"/>
          <w:highlight w:val="none"/>
        </w:rPr>
      </w:pPr>
      <w:r>
        <w:rPr>
          <w:rFonts w:hint="eastAsia" w:ascii="宋体"/>
          <w:b/>
          <w:color w:val="auto"/>
          <w:sz w:val="44"/>
          <w:szCs w:val="44"/>
          <w:highlight w:val="none"/>
        </w:rPr>
        <w:t>技术标</w:t>
      </w:r>
      <w:bookmarkEnd w:id="96"/>
      <w:bookmarkEnd w:id="97"/>
    </w:p>
    <w:p w14:paraId="321FBAF2">
      <w:pPr>
        <w:shd w:val="clear"/>
        <w:jc w:val="center"/>
        <w:rPr>
          <w:rFonts w:ascii="宋体"/>
          <w:color w:val="auto"/>
          <w:sz w:val="32"/>
          <w:szCs w:val="32"/>
          <w:highlight w:val="none"/>
        </w:rPr>
      </w:pPr>
      <w:r>
        <w:rPr>
          <w:rFonts w:hint="eastAsia" w:ascii="宋体"/>
          <w:color w:val="auto"/>
          <w:sz w:val="32"/>
          <w:szCs w:val="32"/>
          <w:highlight w:val="none"/>
        </w:rPr>
        <w:t>（投标文件二）</w:t>
      </w:r>
    </w:p>
    <w:p w14:paraId="26DEFF3B">
      <w:pPr>
        <w:shd w:val="clear"/>
        <w:jc w:val="center"/>
        <w:rPr>
          <w:rFonts w:eastAsia="黑体"/>
          <w:color w:val="auto"/>
          <w:sz w:val="44"/>
          <w:szCs w:val="44"/>
          <w:highlight w:val="none"/>
        </w:rPr>
      </w:pPr>
    </w:p>
    <w:p w14:paraId="3BDFAFB6">
      <w:pPr>
        <w:shd w:val="clea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AF3B866">
      <w:pPr>
        <w:shd w:val="clea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17175D11">
      <w:pPr>
        <w:shd w:val="clear"/>
        <w:rPr>
          <w:rFonts w:ascii="宋体"/>
          <w:color w:val="auto"/>
          <w:sz w:val="28"/>
          <w:szCs w:val="28"/>
          <w:highlight w:val="none"/>
        </w:rPr>
      </w:pPr>
    </w:p>
    <w:p w14:paraId="367101F7">
      <w:pPr>
        <w:shd w:val="clear"/>
        <w:rPr>
          <w:rFonts w:ascii="宋体"/>
          <w:color w:val="auto"/>
          <w:sz w:val="28"/>
          <w:szCs w:val="28"/>
          <w:highlight w:val="none"/>
        </w:rPr>
      </w:pPr>
    </w:p>
    <w:p w14:paraId="0CEB744C">
      <w:pPr>
        <w:shd w:val="clea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w:t>
      </w:r>
      <w:r>
        <w:rPr>
          <w:rFonts w:hint="eastAsia" w:ascii="宋体" w:hAnsi="宋体" w:cs="宋体"/>
          <w:b/>
          <w:bCs/>
          <w:color w:val="auto"/>
          <w:sz w:val="24"/>
          <w:highlight w:val="none"/>
          <w:lang w:val="en-US" w:eastAsia="zh-CN"/>
        </w:rPr>
        <w:t>对应</w:t>
      </w:r>
      <w:r>
        <w:rPr>
          <w:rFonts w:hint="eastAsia" w:ascii="宋体" w:hAnsi="宋体" w:cs="宋体"/>
          <w:b/>
          <w:bCs/>
          <w:color w:val="auto"/>
          <w:sz w:val="24"/>
          <w:highlight w:val="none"/>
        </w:rPr>
        <w:t>评分点作零分处理。】</w:t>
      </w:r>
    </w:p>
    <w:p w14:paraId="6A65964B">
      <w:pPr>
        <w:pStyle w:val="35"/>
        <w:shd w:val="clear"/>
        <w:ind w:firstLine="560"/>
        <w:rPr>
          <w:rFonts w:ascii="宋体"/>
          <w:color w:val="auto"/>
          <w:sz w:val="28"/>
          <w:szCs w:val="28"/>
          <w:highlight w:val="none"/>
        </w:rPr>
      </w:pPr>
      <w:r>
        <w:rPr>
          <w:rFonts w:hint="eastAsia" w:ascii="宋体"/>
          <w:color w:val="auto"/>
          <w:sz w:val="28"/>
          <w:szCs w:val="28"/>
          <w:highlight w:val="none"/>
        </w:rPr>
        <w:br w:type="page"/>
      </w:r>
    </w:p>
    <w:p w14:paraId="3ABA617A">
      <w:pPr>
        <w:shd w:val="clear"/>
        <w:rPr>
          <w:rFonts w:ascii="宋体"/>
          <w:color w:val="auto"/>
          <w:sz w:val="28"/>
          <w:szCs w:val="28"/>
          <w:highlight w:val="none"/>
        </w:rPr>
      </w:pPr>
    </w:p>
    <w:p w14:paraId="718DD351">
      <w:pPr>
        <w:pStyle w:val="35"/>
        <w:shd w:val="clear"/>
        <w:ind w:firstLine="400"/>
        <w:rPr>
          <w:color w:val="auto"/>
          <w:highlight w:val="none"/>
        </w:rPr>
      </w:pPr>
    </w:p>
    <w:p w14:paraId="296FA476">
      <w:pPr>
        <w:shd w:val="clear"/>
        <w:spacing w:line="400" w:lineRule="exact"/>
        <w:rPr>
          <w:b/>
          <w:color w:val="auto"/>
          <w:sz w:val="36"/>
          <w:szCs w:val="36"/>
          <w:highlight w:val="none"/>
        </w:rPr>
      </w:pPr>
    </w:p>
    <w:p w14:paraId="40D71DA9">
      <w:pPr>
        <w:shd w:val="clear"/>
        <w:spacing w:line="400" w:lineRule="exact"/>
        <w:jc w:val="center"/>
        <w:rPr>
          <w:rFonts w:hint="eastAsia"/>
          <w:b/>
          <w:color w:val="auto"/>
          <w:sz w:val="36"/>
          <w:szCs w:val="36"/>
          <w:highlight w:val="none"/>
        </w:rPr>
      </w:pPr>
      <w:r>
        <w:rPr>
          <w:rFonts w:hint="eastAsia"/>
          <w:b/>
          <w:color w:val="auto"/>
          <w:sz w:val="36"/>
          <w:szCs w:val="36"/>
          <w:highlight w:val="none"/>
        </w:rPr>
        <w:t>目   录</w:t>
      </w:r>
    </w:p>
    <w:p w14:paraId="06CAAB20">
      <w:pPr>
        <w:shd w:val="clear"/>
        <w:spacing w:line="400" w:lineRule="exact"/>
        <w:jc w:val="center"/>
        <w:rPr>
          <w:rFonts w:hint="eastAsia"/>
          <w:b/>
          <w:color w:val="auto"/>
          <w:sz w:val="36"/>
          <w:szCs w:val="36"/>
          <w:highlight w:val="none"/>
        </w:rPr>
      </w:pPr>
    </w:p>
    <w:p w14:paraId="1864FE9C">
      <w:pPr>
        <w:numPr>
          <w:ilvl w:val="0"/>
          <w:numId w:val="0"/>
        </w:numPr>
        <w:shd w:val="clear"/>
        <w:spacing w:line="440" w:lineRule="exact"/>
        <w:jc w:val="left"/>
        <w:rPr>
          <w:rFonts w:hint="eastAsia" w:ascii="宋体" w:hAnsi="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cs="宋体"/>
          <w:b/>
          <w:bCs/>
          <w:color w:val="auto"/>
          <w:szCs w:val="21"/>
          <w:highlight w:val="none"/>
          <w:lang w:val="en-US" w:eastAsia="zh-CN"/>
        </w:rPr>
        <w:t>路灯维护实施方案（格式自拟）；</w:t>
      </w:r>
    </w:p>
    <w:p w14:paraId="7F6553A2">
      <w:pPr>
        <w:widowControl w:val="0"/>
        <w:numPr>
          <w:ilvl w:val="0"/>
          <w:numId w:val="0"/>
        </w:numPr>
        <w:shd w:val="clear"/>
        <w:spacing w:line="440" w:lineRule="exact"/>
        <w:jc w:val="left"/>
        <w:rPr>
          <w:rFonts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（2）</w:t>
      </w:r>
      <w:r>
        <w:rPr>
          <w:rFonts w:ascii="宋体" w:hAnsi="宋体" w:cs="宋体"/>
          <w:b/>
          <w:bCs/>
          <w:color w:val="auto"/>
          <w:szCs w:val="21"/>
          <w:highlight w:val="none"/>
        </w:rPr>
        <w:t>交安设施维护实施方案</w:t>
      </w:r>
      <w:r>
        <w:rPr>
          <w:rFonts w:hint="eastAsia" w:ascii="宋体" w:hAnsi="宋体" w:cs="宋体"/>
          <w:b/>
          <w:bCs/>
          <w:color w:val="auto"/>
          <w:szCs w:val="21"/>
          <w:highlight w:val="none"/>
          <w:lang w:val="en-US" w:eastAsia="zh-CN"/>
        </w:rPr>
        <w:t>（格式自拟）；</w:t>
      </w:r>
    </w:p>
    <w:p w14:paraId="015F5BD0">
      <w:pPr>
        <w:widowControl w:val="0"/>
        <w:numPr>
          <w:ilvl w:val="0"/>
          <w:numId w:val="0"/>
        </w:numPr>
        <w:shd w:val="clear"/>
        <w:spacing w:line="440" w:lineRule="exact"/>
        <w:jc w:val="left"/>
        <w:rPr>
          <w:rFonts w:hint="eastAsia" w:ascii="宋体" w:hAnsi="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（3）</w:t>
      </w:r>
      <w:r>
        <w:rPr>
          <w:rFonts w:hint="eastAsia" w:ascii="宋体" w:hAnsi="宋体" w:cs="宋体"/>
          <w:b/>
          <w:bCs/>
          <w:color w:val="auto"/>
          <w:kern w:val="0"/>
          <w:szCs w:val="21"/>
          <w:highlight w:val="none"/>
        </w:rPr>
        <w:t>维护检查方案</w:t>
      </w:r>
      <w:r>
        <w:rPr>
          <w:rFonts w:hint="eastAsia" w:ascii="宋体" w:hAnsi="宋体" w:cs="宋体"/>
          <w:b/>
          <w:bCs/>
          <w:color w:val="auto"/>
          <w:szCs w:val="21"/>
          <w:highlight w:val="none"/>
          <w:lang w:val="en-US" w:eastAsia="zh-CN"/>
        </w:rPr>
        <w:t>（格式自拟）；</w:t>
      </w:r>
    </w:p>
    <w:p w14:paraId="00B5998F">
      <w:pPr>
        <w:widowControl w:val="0"/>
        <w:numPr>
          <w:ilvl w:val="0"/>
          <w:numId w:val="0"/>
        </w:numPr>
        <w:shd w:val="clear"/>
        <w:spacing w:line="440" w:lineRule="exact"/>
        <w:jc w:val="left"/>
        <w:rPr>
          <w:rFonts w:hint="eastAsia" w:ascii="宋体" w:hAnsi="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（4）</w:t>
      </w:r>
      <w:r>
        <w:rPr>
          <w:rFonts w:hint="eastAsia" w:ascii="宋体" w:hAnsi="宋体" w:cs="宋体"/>
          <w:b/>
          <w:bCs/>
          <w:color w:val="auto"/>
          <w:kern w:val="0"/>
          <w:szCs w:val="21"/>
          <w:highlight w:val="none"/>
        </w:rPr>
        <w:t>维护日志与记录</w:t>
      </w:r>
      <w:r>
        <w:rPr>
          <w:rFonts w:hint="eastAsia" w:ascii="宋体" w:hAnsi="宋体" w:cs="宋体"/>
          <w:b/>
          <w:bCs/>
          <w:color w:val="auto"/>
          <w:szCs w:val="21"/>
          <w:highlight w:val="none"/>
          <w:lang w:val="en-US" w:eastAsia="zh-CN"/>
        </w:rPr>
        <w:t>（格式自拟）；</w:t>
      </w:r>
    </w:p>
    <w:p w14:paraId="3CA3D2F2">
      <w:pPr>
        <w:widowControl w:val="0"/>
        <w:numPr>
          <w:ilvl w:val="0"/>
          <w:numId w:val="0"/>
        </w:numPr>
        <w:shd w:val="clear"/>
        <w:spacing w:line="44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（5）</w:t>
      </w:r>
      <w:r>
        <w:rPr>
          <w:rFonts w:hint="eastAsia" w:ascii="宋体" w:hAnsi="宋体" w:eastAsia="宋体" w:cs="宋体"/>
          <w:b/>
          <w:bCs/>
          <w:color w:val="auto"/>
          <w:kern w:val="0"/>
          <w:szCs w:val="21"/>
          <w:highlight w:val="none"/>
        </w:rPr>
        <w:t>特殊情况恢复方案</w:t>
      </w:r>
      <w:r>
        <w:rPr>
          <w:rFonts w:hint="eastAsia" w:ascii="宋体" w:hAnsi="宋体" w:cs="宋体"/>
          <w:b/>
          <w:bCs/>
          <w:color w:val="auto"/>
          <w:szCs w:val="21"/>
          <w:highlight w:val="none"/>
          <w:lang w:val="en-US" w:eastAsia="zh-CN"/>
        </w:rPr>
        <w:t>（格式自拟）；</w:t>
      </w:r>
    </w:p>
    <w:p w14:paraId="553046ED">
      <w:pPr>
        <w:widowControl w:val="0"/>
        <w:numPr>
          <w:ilvl w:val="0"/>
          <w:numId w:val="0"/>
        </w:numPr>
        <w:shd w:val="clear"/>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（6）</w:t>
      </w:r>
      <w:r>
        <w:rPr>
          <w:rFonts w:hint="eastAsia" w:ascii="宋体" w:hAnsi="宋体" w:eastAsia="宋体" w:cs="宋体"/>
          <w:b/>
          <w:bCs/>
          <w:color w:val="auto"/>
          <w:kern w:val="0"/>
          <w:szCs w:val="21"/>
          <w:highlight w:val="none"/>
          <w:lang w:val="en-US" w:eastAsia="zh-CN"/>
        </w:rPr>
        <w:t>项目进场交接计划与承诺</w:t>
      </w:r>
      <w:r>
        <w:rPr>
          <w:rFonts w:hint="eastAsia" w:ascii="宋体" w:hAnsi="宋体" w:cs="宋体"/>
          <w:b/>
          <w:bCs/>
          <w:color w:val="auto"/>
          <w:szCs w:val="21"/>
          <w:highlight w:val="none"/>
          <w:lang w:val="en-US" w:eastAsia="zh-CN"/>
        </w:rPr>
        <w:t>（格式自拟）；</w:t>
      </w:r>
    </w:p>
    <w:p w14:paraId="5987F773">
      <w:pPr>
        <w:widowControl w:val="0"/>
        <w:numPr>
          <w:ilvl w:val="0"/>
          <w:numId w:val="0"/>
        </w:numPr>
        <w:shd w:val="clear"/>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（7）</w:t>
      </w:r>
      <w:r>
        <w:rPr>
          <w:rFonts w:hint="eastAsia" w:ascii="宋体" w:hAnsi="宋体" w:eastAsia="宋体" w:cs="宋体"/>
          <w:b/>
          <w:bCs/>
          <w:color w:val="auto"/>
          <w:kern w:val="0"/>
          <w:szCs w:val="21"/>
          <w:highlight w:val="none"/>
          <w:lang w:val="en-US" w:eastAsia="zh-CN"/>
        </w:rPr>
        <w:t>安全文明作业方案</w:t>
      </w:r>
      <w:r>
        <w:rPr>
          <w:rFonts w:hint="eastAsia" w:ascii="宋体" w:hAnsi="宋体" w:cs="宋体"/>
          <w:b/>
          <w:bCs/>
          <w:color w:val="auto"/>
          <w:szCs w:val="21"/>
          <w:highlight w:val="none"/>
          <w:lang w:val="en-US" w:eastAsia="zh-CN"/>
        </w:rPr>
        <w:t>（格式自拟）；</w:t>
      </w:r>
    </w:p>
    <w:p w14:paraId="32D24D73">
      <w:pPr>
        <w:widowControl w:val="0"/>
        <w:numPr>
          <w:ilvl w:val="0"/>
          <w:numId w:val="0"/>
        </w:numPr>
        <w:shd w:val="clear"/>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（8）</w:t>
      </w:r>
      <w:r>
        <w:rPr>
          <w:rFonts w:hint="eastAsia" w:ascii="宋体" w:hAnsi="宋体" w:eastAsia="宋体" w:cs="宋体"/>
          <w:b/>
          <w:bCs/>
          <w:color w:val="auto"/>
          <w:kern w:val="0"/>
          <w:szCs w:val="21"/>
          <w:highlight w:val="none"/>
          <w:lang w:val="en-US" w:eastAsia="zh-CN"/>
        </w:rPr>
        <w:t>人员管理和培训方案</w:t>
      </w:r>
      <w:r>
        <w:rPr>
          <w:rFonts w:hint="eastAsia" w:ascii="宋体" w:hAnsi="宋体" w:cs="宋体"/>
          <w:b/>
          <w:bCs/>
          <w:color w:val="auto"/>
          <w:szCs w:val="21"/>
          <w:highlight w:val="none"/>
          <w:lang w:val="en-US" w:eastAsia="zh-CN"/>
        </w:rPr>
        <w:t>（格式自拟）；</w:t>
      </w:r>
    </w:p>
    <w:p w14:paraId="5F805C78">
      <w:pPr>
        <w:widowControl w:val="0"/>
        <w:numPr>
          <w:ilvl w:val="0"/>
          <w:numId w:val="0"/>
        </w:numPr>
        <w:shd w:val="clear"/>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（9）</w:t>
      </w:r>
      <w:r>
        <w:rPr>
          <w:rFonts w:hint="eastAsia" w:ascii="宋体" w:hAnsi="宋体" w:eastAsia="宋体" w:cs="宋体"/>
          <w:b/>
          <w:bCs/>
          <w:color w:val="auto"/>
          <w:kern w:val="0"/>
          <w:szCs w:val="21"/>
          <w:highlight w:val="none"/>
          <w:lang w:val="en-US" w:eastAsia="zh-CN"/>
        </w:rPr>
        <w:t>泵站养护实施方案</w:t>
      </w:r>
      <w:r>
        <w:rPr>
          <w:rFonts w:hint="eastAsia" w:ascii="宋体" w:hAnsi="宋体" w:cs="宋体"/>
          <w:b/>
          <w:bCs/>
          <w:color w:val="auto"/>
          <w:szCs w:val="21"/>
          <w:highlight w:val="none"/>
          <w:lang w:val="en-US" w:eastAsia="zh-CN"/>
        </w:rPr>
        <w:t>（格式自拟）；</w:t>
      </w:r>
    </w:p>
    <w:p w14:paraId="60ECA6C0">
      <w:pPr>
        <w:shd w:val="clear"/>
        <w:adjustRightInd w:val="0"/>
        <w:snapToGrid w:val="0"/>
        <w:spacing w:line="560" w:lineRule="exact"/>
        <w:rPr>
          <w:rFonts w:ascii="宋体" w:hAnsi="宋体"/>
          <w:b/>
          <w:bCs/>
          <w:color w:val="auto"/>
          <w:sz w:val="24"/>
          <w:highlight w:val="none"/>
        </w:rPr>
      </w:pPr>
    </w:p>
    <w:p w14:paraId="17489F54">
      <w:pPr>
        <w:shd w:val="clea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0D235BCF">
      <w:pPr>
        <w:pStyle w:val="15"/>
        <w:shd w:val="clear"/>
        <w:rPr>
          <w:color w:val="auto"/>
          <w:highlight w:val="none"/>
        </w:rPr>
      </w:pPr>
    </w:p>
    <w:p w14:paraId="56A1AE96">
      <w:pPr>
        <w:shd w:val="clear"/>
        <w:spacing w:line="400" w:lineRule="exact"/>
        <w:ind w:firstLine="562" w:firstLineChars="200"/>
        <w:rPr>
          <w:b/>
          <w:color w:val="auto"/>
          <w:sz w:val="28"/>
          <w:szCs w:val="28"/>
          <w:highlight w:val="none"/>
        </w:rPr>
      </w:pPr>
    </w:p>
    <w:p w14:paraId="4BD87A00">
      <w:pPr>
        <w:shd w:val="clear"/>
        <w:spacing w:line="400" w:lineRule="exact"/>
        <w:ind w:firstLine="562" w:firstLineChars="200"/>
        <w:rPr>
          <w:b/>
          <w:color w:val="auto"/>
          <w:sz w:val="28"/>
          <w:szCs w:val="28"/>
          <w:highlight w:val="none"/>
        </w:rPr>
      </w:pPr>
    </w:p>
    <w:p w14:paraId="0E8C2E9F">
      <w:pPr>
        <w:shd w:val="clear"/>
        <w:spacing w:line="400" w:lineRule="exact"/>
        <w:ind w:firstLine="562" w:firstLineChars="200"/>
        <w:rPr>
          <w:b/>
          <w:color w:val="auto"/>
          <w:sz w:val="28"/>
          <w:szCs w:val="28"/>
          <w:highlight w:val="none"/>
        </w:rPr>
      </w:pPr>
    </w:p>
    <w:p w14:paraId="2A8BCAA0">
      <w:pPr>
        <w:shd w:val="clear"/>
        <w:spacing w:line="480" w:lineRule="auto"/>
        <w:rPr>
          <w:b/>
          <w:color w:val="auto"/>
          <w:sz w:val="28"/>
          <w:szCs w:val="28"/>
          <w:highlight w:val="none"/>
        </w:rPr>
      </w:pPr>
      <w:r>
        <w:rPr>
          <w:rFonts w:hint="eastAsia"/>
          <w:b/>
          <w:color w:val="auto"/>
          <w:sz w:val="28"/>
          <w:szCs w:val="28"/>
          <w:highlight w:val="none"/>
        </w:rPr>
        <w:br w:type="page"/>
      </w:r>
    </w:p>
    <w:p w14:paraId="3935DF22">
      <w:pPr>
        <w:shd w:val="clea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6C49421">
      <w:pPr>
        <w:shd w:val="clear"/>
        <w:jc w:val="center"/>
        <w:rPr>
          <w:rFonts w:ascii="宋体"/>
          <w:color w:val="auto"/>
          <w:sz w:val="24"/>
          <w:highlight w:val="none"/>
        </w:rPr>
      </w:pPr>
      <w:r>
        <w:rPr>
          <w:rFonts w:hint="eastAsia" w:ascii="宋体" w:hAnsi="宋体"/>
          <w:b/>
          <w:color w:val="auto"/>
          <w:sz w:val="28"/>
          <w:szCs w:val="28"/>
          <w:highlight w:val="none"/>
        </w:rPr>
        <w:t>三、商务标格式文件</w:t>
      </w:r>
    </w:p>
    <w:p w14:paraId="591FED18">
      <w:pPr>
        <w:shd w:val="clear"/>
        <w:jc w:val="center"/>
        <w:rPr>
          <w:rFonts w:eastAsia="黑体"/>
          <w:color w:val="auto"/>
          <w:sz w:val="20"/>
          <w:highlight w:val="none"/>
        </w:rPr>
      </w:pPr>
    </w:p>
    <w:p w14:paraId="57F7E33F">
      <w:pPr>
        <w:shd w:val="clear"/>
        <w:rPr>
          <w:rFonts w:ascii="宋体"/>
          <w:color w:val="auto"/>
          <w:sz w:val="20"/>
          <w:highlight w:val="none"/>
        </w:rPr>
      </w:pPr>
    </w:p>
    <w:p w14:paraId="2678EE22">
      <w:pPr>
        <w:pStyle w:val="35"/>
        <w:shd w:val="clear"/>
        <w:ind w:firstLine="400"/>
        <w:rPr>
          <w:color w:val="auto"/>
          <w:highlight w:val="none"/>
        </w:rPr>
      </w:pPr>
    </w:p>
    <w:p w14:paraId="5882AD4B">
      <w:pPr>
        <w:shd w:val="clear"/>
        <w:jc w:val="center"/>
        <w:rPr>
          <w:rFonts w:ascii="宋体"/>
          <w:b/>
          <w:color w:val="auto"/>
          <w:sz w:val="44"/>
          <w:szCs w:val="44"/>
          <w:highlight w:val="none"/>
        </w:rPr>
      </w:pPr>
      <w:bookmarkStart w:id="98" w:name="_Toc449028954"/>
      <w:r>
        <w:rPr>
          <w:rFonts w:hint="eastAsia" w:ascii="宋体"/>
          <w:b/>
          <w:color w:val="auto"/>
          <w:sz w:val="44"/>
          <w:szCs w:val="44"/>
          <w:highlight w:val="none"/>
        </w:rPr>
        <w:t>商务标</w:t>
      </w:r>
      <w:bookmarkEnd w:id="98"/>
    </w:p>
    <w:p w14:paraId="684EFE7B">
      <w:pPr>
        <w:shd w:val="clea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1213EB3C">
      <w:pPr>
        <w:shd w:val="clear"/>
        <w:jc w:val="center"/>
        <w:rPr>
          <w:rFonts w:ascii="宋体"/>
          <w:color w:val="auto"/>
          <w:sz w:val="36"/>
          <w:szCs w:val="36"/>
          <w:highlight w:val="none"/>
        </w:rPr>
      </w:pPr>
    </w:p>
    <w:p w14:paraId="26E83962">
      <w:pPr>
        <w:shd w:val="clea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42F2E18">
      <w:pPr>
        <w:shd w:val="clea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396810C">
      <w:pPr>
        <w:shd w:val="clear"/>
        <w:rPr>
          <w:rFonts w:ascii="宋体"/>
          <w:color w:val="auto"/>
          <w:sz w:val="28"/>
          <w:szCs w:val="28"/>
          <w:highlight w:val="none"/>
        </w:rPr>
      </w:pPr>
    </w:p>
    <w:p w14:paraId="12E8E3E0">
      <w:pPr>
        <w:shd w:val="clear"/>
        <w:rPr>
          <w:rFonts w:ascii="宋体"/>
          <w:color w:val="auto"/>
          <w:sz w:val="28"/>
          <w:szCs w:val="28"/>
          <w:highlight w:val="none"/>
        </w:rPr>
      </w:pPr>
    </w:p>
    <w:p w14:paraId="75FFEFE2">
      <w:pPr>
        <w:shd w:val="clear"/>
        <w:rPr>
          <w:rFonts w:ascii="宋体"/>
          <w:color w:val="auto"/>
          <w:sz w:val="28"/>
          <w:szCs w:val="28"/>
          <w:highlight w:val="none"/>
        </w:rPr>
      </w:pPr>
    </w:p>
    <w:p w14:paraId="57C37052">
      <w:pPr>
        <w:shd w:val="clear"/>
        <w:rPr>
          <w:rFonts w:ascii="宋体"/>
          <w:color w:val="auto"/>
          <w:sz w:val="28"/>
          <w:szCs w:val="28"/>
          <w:highlight w:val="none"/>
        </w:rPr>
      </w:pPr>
    </w:p>
    <w:p w14:paraId="65143E18">
      <w:pPr>
        <w:shd w:val="clear"/>
        <w:rPr>
          <w:rFonts w:ascii="宋体"/>
          <w:color w:val="auto"/>
          <w:sz w:val="28"/>
          <w:szCs w:val="28"/>
          <w:highlight w:val="none"/>
        </w:rPr>
      </w:pPr>
    </w:p>
    <w:p w14:paraId="3BFD68F6">
      <w:pPr>
        <w:shd w:val="clear"/>
        <w:rPr>
          <w:rFonts w:ascii="宋体"/>
          <w:color w:val="auto"/>
          <w:sz w:val="28"/>
          <w:szCs w:val="28"/>
          <w:highlight w:val="none"/>
        </w:rPr>
      </w:pPr>
    </w:p>
    <w:p w14:paraId="5FD3A0D5">
      <w:pPr>
        <w:shd w:val="clear"/>
        <w:rPr>
          <w:rFonts w:ascii="宋体"/>
          <w:color w:val="auto"/>
          <w:sz w:val="28"/>
          <w:szCs w:val="28"/>
          <w:highlight w:val="none"/>
        </w:rPr>
      </w:pPr>
    </w:p>
    <w:p w14:paraId="2DC9B147">
      <w:pPr>
        <w:shd w:val="clea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C9A3FE9">
      <w:pPr>
        <w:shd w:val="clea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491F0BFF">
      <w:pPr>
        <w:shd w:val="clea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2DD041EE">
      <w:pPr>
        <w:shd w:val="clear"/>
        <w:spacing w:line="720" w:lineRule="auto"/>
        <w:jc w:val="center"/>
        <w:rPr>
          <w:rFonts w:ascii="宋体"/>
          <w:b/>
          <w:color w:val="auto"/>
          <w:sz w:val="36"/>
          <w:szCs w:val="36"/>
          <w:highlight w:val="none"/>
        </w:rPr>
      </w:pPr>
    </w:p>
    <w:p w14:paraId="178E0D49">
      <w:pPr>
        <w:shd w:val="clear"/>
        <w:spacing w:line="400" w:lineRule="exact"/>
        <w:ind w:firstLine="562" w:firstLineChars="200"/>
        <w:rPr>
          <w:b/>
          <w:color w:val="auto"/>
          <w:sz w:val="28"/>
          <w:szCs w:val="28"/>
          <w:highlight w:val="none"/>
        </w:rPr>
      </w:pPr>
    </w:p>
    <w:p w14:paraId="0593D1E6">
      <w:pPr>
        <w:shd w:val="clea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6D771665">
      <w:pPr>
        <w:shd w:val="clear"/>
        <w:spacing w:line="400" w:lineRule="exact"/>
        <w:ind w:firstLine="4130" w:firstLineChars="935"/>
        <w:rPr>
          <w:b/>
          <w:color w:val="auto"/>
          <w:sz w:val="44"/>
          <w:szCs w:val="44"/>
          <w:highlight w:val="none"/>
        </w:rPr>
      </w:pPr>
    </w:p>
    <w:p w14:paraId="247393D4">
      <w:pPr>
        <w:shd w:val="clea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19682603">
      <w:pPr>
        <w:shd w:val="clea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13694BE2">
      <w:pPr>
        <w:shd w:val="clear"/>
        <w:spacing w:line="440" w:lineRule="exact"/>
        <w:ind w:firstLine="424" w:firstLineChars="202"/>
        <w:jc w:val="left"/>
        <w:rPr>
          <w:rFonts w:ascii="宋体"/>
          <w:color w:val="auto"/>
          <w:szCs w:val="21"/>
          <w:highlight w:val="none"/>
        </w:rPr>
      </w:pPr>
      <w:r>
        <w:rPr>
          <w:rFonts w:hint="eastAsia" w:ascii="宋体"/>
          <w:color w:val="auto"/>
          <w:szCs w:val="21"/>
          <w:highlight w:val="none"/>
        </w:rPr>
        <w:t>（3）</w:t>
      </w:r>
      <w:r>
        <w:rPr>
          <w:rFonts w:hint="eastAsia" w:ascii="宋体" w:hAnsi="宋体"/>
          <w:color w:val="auto"/>
          <w:szCs w:val="21"/>
          <w:highlight w:val="none"/>
        </w:rPr>
        <w:t>全国建筑市场监管公共服务平台(四库一平台)企业注册人员网页截图；</w:t>
      </w:r>
      <w:r>
        <w:rPr>
          <w:rFonts w:hint="eastAsia" w:ascii="宋体"/>
          <w:color w:val="auto"/>
          <w:szCs w:val="21"/>
          <w:highlight w:val="none"/>
        </w:rPr>
        <w:t>；</w:t>
      </w:r>
    </w:p>
    <w:p w14:paraId="0ADAEC21">
      <w:pPr>
        <w:shd w:val="clear"/>
        <w:spacing w:line="440" w:lineRule="exact"/>
        <w:ind w:firstLine="424" w:firstLineChars="202"/>
        <w:jc w:val="left"/>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）投标人认为需要提供的其他材料。</w:t>
      </w:r>
    </w:p>
    <w:p w14:paraId="51EC1FEF">
      <w:pPr>
        <w:shd w:val="clear"/>
        <w:jc w:val="center"/>
        <w:rPr>
          <w:rFonts w:ascii="宋体"/>
          <w:b/>
          <w:color w:val="auto"/>
          <w:sz w:val="28"/>
          <w:szCs w:val="28"/>
          <w:highlight w:val="none"/>
        </w:rPr>
      </w:pPr>
    </w:p>
    <w:p w14:paraId="3E0ADEAF">
      <w:pPr>
        <w:shd w:val="clear"/>
        <w:snapToGrid w:val="0"/>
        <w:spacing w:line="460" w:lineRule="exact"/>
        <w:ind w:left="2940" w:leftChars="1400" w:firstLine="964" w:firstLineChars="300"/>
        <w:rPr>
          <w:rFonts w:ascii="宋体"/>
          <w:b/>
          <w:color w:val="auto"/>
          <w:sz w:val="32"/>
          <w:szCs w:val="32"/>
          <w:highlight w:val="none"/>
        </w:rPr>
      </w:pPr>
    </w:p>
    <w:p w14:paraId="29A4BACB">
      <w:pPr>
        <w:shd w:val="clear"/>
        <w:snapToGrid w:val="0"/>
        <w:spacing w:line="460" w:lineRule="exact"/>
        <w:ind w:left="2940" w:leftChars="1400" w:firstLine="964" w:firstLineChars="300"/>
        <w:rPr>
          <w:rFonts w:ascii="宋体"/>
          <w:b/>
          <w:color w:val="auto"/>
          <w:sz w:val="32"/>
          <w:szCs w:val="32"/>
          <w:highlight w:val="none"/>
        </w:rPr>
      </w:pPr>
    </w:p>
    <w:p w14:paraId="5608A55D">
      <w:pPr>
        <w:shd w:val="clear"/>
        <w:snapToGrid w:val="0"/>
        <w:spacing w:line="460" w:lineRule="exact"/>
        <w:ind w:left="2940" w:leftChars="1400" w:firstLine="964" w:firstLineChars="300"/>
        <w:rPr>
          <w:rFonts w:ascii="宋体"/>
          <w:b/>
          <w:color w:val="auto"/>
          <w:sz w:val="32"/>
          <w:szCs w:val="32"/>
          <w:highlight w:val="none"/>
        </w:rPr>
      </w:pPr>
    </w:p>
    <w:p w14:paraId="79E44AFE">
      <w:pPr>
        <w:shd w:val="clear"/>
        <w:snapToGrid w:val="0"/>
        <w:spacing w:line="460" w:lineRule="exact"/>
        <w:ind w:left="2940" w:leftChars="1400" w:firstLine="964" w:firstLineChars="300"/>
        <w:rPr>
          <w:rFonts w:ascii="宋体"/>
          <w:b/>
          <w:color w:val="auto"/>
          <w:sz w:val="32"/>
          <w:szCs w:val="32"/>
          <w:highlight w:val="none"/>
        </w:rPr>
      </w:pPr>
    </w:p>
    <w:p w14:paraId="55E53FA2">
      <w:pPr>
        <w:shd w:val="clear"/>
        <w:snapToGrid w:val="0"/>
        <w:spacing w:line="460" w:lineRule="exact"/>
        <w:ind w:left="2940" w:leftChars="1400" w:firstLine="964" w:firstLineChars="300"/>
        <w:rPr>
          <w:rFonts w:ascii="宋体"/>
          <w:b/>
          <w:color w:val="auto"/>
          <w:sz w:val="32"/>
          <w:szCs w:val="32"/>
          <w:highlight w:val="none"/>
        </w:rPr>
      </w:pPr>
    </w:p>
    <w:p w14:paraId="2D661747">
      <w:pPr>
        <w:shd w:val="clear"/>
        <w:snapToGrid w:val="0"/>
        <w:spacing w:line="460" w:lineRule="exact"/>
        <w:ind w:left="2940" w:leftChars="1400" w:firstLine="964" w:firstLineChars="300"/>
        <w:rPr>
          <w:rFonts w:ascii="宋体"/>
          <w:b/>
          <w:color w:val="auto"/>
          <w:sz w:val="32"/>
          <w:szCs w:val="32"/>
          <w:highlight w:val="none"/>
        </w:rPr>
      </w:pPr>
    </w:p>
    <w:p w14:paraId="3F1D5D27">
      <w:pPr>
        <w:shd w:val="clea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6E6DC666">
      <w:pPr>
        <w:shd w:val="clear"/>
        <w:spacing w:line="360" w:lineRule="exact"/>
        <w:ind w:firstLine="472" w:firstLineChars="147"/>
        <w:jc w:val="center"/>
        <w:rPr>
          <w:rFonts w:ascii="宋体"/>
          <w:b/>
          <w:color w:val="auto"/>
          <w:sz w:val="32"/>
          <w:szCs w:val="32"/>
          <w:highlight w:val="none"/>
        </w:rPr>
      </w:pPr>
    </w:p>
    <w:p w14:paraId="2265E0F5">
      <w:pPr>
        <w:shd w:val="clea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6B64D90A">
      <w:pPr>
        <w:shd w:val="clear"/>
        <w:spacing w:line="360" w:lineRule="exact"/>
        <w:ind w:firstLine="354" w:firstLineChars="147"/>
        <w:rPr>
          <w:rFonts w:ascii="宋体"/>
          <w:b/>
          <w:color w:val="auto"/>
          <w:sz w:val="24"/>
          <w:highlight w:val="none"/>
        </w:rPr>
      </w:pP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0C00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0EF4FFE9">
            <w:pPr>
              <w:shd w:val="clea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69D304A3">
            <w:pPr>
              <w:shd w:val="clear"/>
              <w:spacing w:line="700" w:lineRule="exact"/>
              <w:jc w:val="left"/>
              <w:rPr>
                <w:color w:val="auto"/>
                <w:sz w:val="24"/>
                <w:highlight w:val="none"/>
              </w:rPr>
            </w:pPr>
            <w:r>
              <w:rPr>
                <w:rFonts w:hint="eastAsia"/>
                <w:color w:val="auto"/>
                <w:sz w:val="24"/>
                <w:highlight w:val="none"/>
              </w:rPr>
              <w:t xml:space="preserve">         </w:t>
            </w:r>
          </w:p>
        </w:tc>
      </w:tr>
      <w:tr w14:paraId="6312A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7C04D232">
            <w:pPr>
              <w:shd w:val="clea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1FB14744">
            <w:pPr>
              <w:shd w:val="clear"/>
              <w:spacing w:line="700" w:lineRule="exact"/>
              <w:rPr>
                <w:rFonts w:ascii="宋体"/>
                <w:color w:val="auto"/>
                <w:sz w:val="24"/>
                <w:highlight w:val="none"/>
              </w:rPr>
            </w:pPr>
          </w:p>
        </w:tc>
      </w:tr>
      <w:tr w14:paraId="7878D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47628928">
            <w:pPr>
              <w:shd w:val="clea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463BC20D">
            <w:pPr>
              <w:pStyle w:val="20"/>
              <w:shd w:val="clear"/>
              <w:spacing w:line="700" w:lineRule="exact"/>
              <w:ind w:left="86" w:leftChars="41"/>
              <w:rPr>
                <w:rFonts w:ascii="宋体" w:eastAsia="宋体"/>
                <w:color w:val="auto"/>
                <w:sz w:val="24"/>
                <w:szCs w:val="24"/>
                <w:highlight w:val="none"/>
              </w:rPr>
            </w:pPr>
          </w:p>
        </w:tc>
      </w:tr>
      <w:tr w14:paraId="1C791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047967E9">
            <w:pPr>
              <w:shd w:val="clea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65996552">
            <w:pPr>
              <w:shd w:val="clear"/>
              <w:spacing w:line="360" w:lineRule="auto"/>
              <w:jc w:val="left"/>
              <w:rPr>
                <w:rFonts w:ascii="宋体" w:hAnsi="宋体"/>
                <w:color w:val="auto"/>
                <w:sz w:val="24"/>
                <w:highlight w:val="none"/>
              </w:rPr>
            </w:pPr>
            <w:r>
              <w:rPr>
                <w:rFonts w:hint="eastAsia" w:ascii="宋体" w:hAnsi="宋体"/>
                <w:color w:val="auto"/>
                <w:sz w:val="24"/>
                <w:highlight w:val="none"/>
              </w:rPr>
              <w:t>投标报价 ：（大写）：</w:t>
            </w:r>
            <w:r>
              <w:rPr>
                <w:rFonts w:hint="eastAsia" w:ascii="宋体" w:hAnsi="宋体"/>
                <w:color w:val="auto"/>
                <w:sz w:val="24"/>
                <w:highlight w:val="none"/>
                <w:lang w:val="en-US" w:eastAsia="zh-CN"/>
              </w:rPr>
              <w:t>百分之</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1F3C1E5">
            <w:pPr>
              <w:shd w:val="clea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w:t>
            </w:r>
            <w:r>
              <w:rPr>
                <w:rFonts w:hint="eastAsia" w:ascii="宋体" w:hAnsi="宋体"/>
                <w:color w:val="auto"/>
                <w:sz w:val="24"/>
                <w:highlight w:val="none"/>
              </w:rPr>
              <w:t>。</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42BEB455">
            <w:pPr>
              <w:shd w:val="clear"/>
              <w:spacing w:line="360" w:lineRule="auto"/>
              <w:rPr>
                <w:color w:val="auto"/>
                <w:sz w:val="24"/>
                <w:highlight w:val="none"/>
              </w:rPr>
            </w:pPr>
            <w:r>
              <w:rPr>
                <w:rFonts w:hint="eastAsia"/>
                <w:color w:val="auto"/>
                <w:sz w:val="24"/>
                <w:highlight w:val="none"/>
              </w:rPr>
              <w:t xml:space="preserve">合同履行期限：响应招标文件要求。 </w:t>
            </w:r>
          </w:p>
        </w:tc>
      </w:tr>
    </w:tbl>
    <w:p w14:paraId="25DED567">
      <w:pPr>
        <w:shd w:val="clear"/>
        <w:snapToGrid w:val="0"/>
        <w:spacing w:line="460" w:lineRule="exact"/>
        <w:ind w:left="2940" w:leftChars="1400" w:firstLine="723" w:firstLineChars="300"/>
        <w:rPr>
          <w:rFonts w:ascii="宋体"/>
          <w:b/>
          <w:color w:val="auto"/>
          <w:sz w:val="24"/>
          <w:highlight w:val="none"/>
        </w:rPr>
      </w:pPr>
    </w:p>
    <w:p w14:paraId="1CF2A232">
      <w:pPr>
        <w:shd w:val="clear"/>
        <w:rPr>
          <w:rFonts w:ascii="宋体"/>
          <w:color w:val="auto"/>
          <w:sz w:val="24"/>
          <w:highlight w:val="none"/>
        </w:rPr>
      </w:pPr>
      <w:r>
        <w:rPr>
          <w:rFonts w:hint="eastAsia" w:ascii="宋体"/>
          <w:color w:val="auto"/>
          <w:sz w:val="24"/>
          <w:highlight w:val="none"/>
        </w:rPr>
        <w:t>法定代表人（签章）：         投标人（盖单位章）：</w:t>
      </w:r>
    </w:p>
    <w:p w14:paraId="0A645260">
      <w:pPr>
        <w:shd w:val="clear"/>
        <w:snapToGrid w:val="0"/>
        <w:spacing w:beforeLines="100"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66360FD0">
      <w:pPr>
        <w:shd w:val="clea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5242FD0C">
      <w:pPr>
        <w:shd w:val="clea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7971AFAA">
      <w:pPr>
        <w:shd w:val="clear"/>
        <w:spacing w:line="440" w:lineRule="exact"/>
        <w:rPr>
          <w:rFonts w:ascii="宋体"/>
          <w:color w:val="auto"/>
          <w:sz w:val="24"/>
          <w:highlight w:val="none"/>
        </w:rPr>
      </w:pPr>
    </w:p>
    <w:p w14:paraId="2ABDF1C8">
      <w:pPr>
        <w:shd w:val="clea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2B1236FA">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006C1336">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val="en-US" w:eastAsia="zh-CN"/>
        </w:rPr>
        <w:t>百分之</w:t>
      </w:r>
      <w:r>
        <w:rPr>
          <w:rFonts w:hint="eastAsia" w:ascii="宋体" w:hAnsi="宋体" w:cs="宋体"/>
          <w:color w:val="auto"/>
          <w:sz w:val="24"/>
          <w:highlight w:val="none"/>
          <w:u w:val="single"/>
        </w:rPr>
        <w:t xml:space="preserve">          （小写）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rPr>
        <w:t>。</w:t>
      </w:r>
    </w:p>
    <w:p w14:paraId="5996518F">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12C416D8">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4、若我方中标，愿意为本项目提交的纸质投标文件一式三份，其中正本一份、副本二份。</w:t>
      </w:r>
    </w:p>
    <w:p w14:paraId="39DDD6F6">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4E0884C8">
      <w:pPr>
        <w:pStyle w:val="35"/>
        <w:shd w:val="clear"/>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6C8BFA62">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3069DCB7">
      <w:pPr>
        <w:shd w:val="clea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1A78D7F1">
      <w:pPr>
        <w:shd w:val="clea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4C297112">
      <w:pPr>
        <w:shd w:val="clea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5DDC4F29">
      <w:pPr>
        <w:shd w:val="clea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628BE12">
      <w:pPr>
        <w:shd w:val="clea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4869801F">
      <w:pPr>
        <w:shd w:val="clea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6235627A">
      <w:pPr>
        <w:shd w:val="clea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5E042D83">
      <w:pPr>
        <w:shd w:val="clear"/>
        <w:rPr>
          <w:rFonts w:ascii="宋体" w:hAnsi="宋体"/>
          <w:b/>
          <w:color w:val="auto"/>
          <w:sz w:val="30"/>
          <w:szCs w:val="30"/>
          <w:highlight w:val="none"/>
        </w:rPr>
      </w:pPr>
    </w:p>
    <w:p w14:paraId="165CB8F7">
      <w:pPr>
        <w:shd w:val="clear"/>
        <w:rPr>
          <w:rFonts w:ascii="宋体" w:hAnsi="宋体"/>
          <w:b/>
          <w:color w:val="auto"/>
          <w:sz w:val="30"/>
          <w:szCs w:val="30"/>
          <w:highlight w:val="none"/>
        </w:rPr>
      </w:pPr>
    </w:p>
    <w:p w14:paraId="1811AFA6">
      <w:pPr>
        <w:shd w:val="clear"/>
        <w:rPr>
          <w:rFonts w:ascii="宋体" w:hAnsi="宋体"/>
          <w:b/>
          <w:color w:val="auto"/>
          <w:sz w:val="30"/>
          <w:szCs w:val="30"/>
          <w:highlight w:val="none"/>
        </w:rPr>
      </w:pPr>
    </w:p>
    <w:p w14:paraId="43E2A404">
      <w:pPr>
        <w:shd w:val="clear"/>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627F809C">
      <w:pPr>
        <w:shd w:val="clear"/>
        <w:spacing w:line="380" w:lineRule="exact"/>
        <w:ind w:firstLine="568" w:firstLineChars="202"/>
        <w:rPr>
          <w:rFonts w:hint="eastAsia" w:ascii="宋体"/>
          <w:color w:val="auto"/>
          <w:szCs w:val="21"/>
          <w:highlight w:val="none"/>
        </w:rPr>
      </w:pPr>
      <w:r>
        <w:rPr>
          <w:rFonts w:hint="eastAsia" w:ascii="宋体" w:hAnsi="宋体" w:eastAsia="宋体" w:cs="宋体"/>
          <w:b/>
          <w:bCs/>
          <w:color w:val="auto"/>
          <w:sz w:val="28"/>
          <w:szCs w:val="28"/>
          <w:highlight w:val="none"/>
        </w:rPr>
        <w:t>全国建筑市场监管公共服务平台(四库一平台)企业注册人员网页截图；</w:t>
      </w:r>
    </w:p>
    <w:p w14:paraId="63A9BAB5">
      <w:pPr>
        <w:shd w:val="clear"/>
        <w:spacing w:line="380" w:lineRule="exact"/>
        <w:ind w:firstLine="424" w:firstLineChars="202"/>
        <w:rPr>
          <w:rFonts w:hint="eastAsia" w:ascii="宋体"/>
          <w:color w:val="auto"/>
          <w:szCs w:val="21"/>
          <w:highlight w:val="none"/>
        </w:rPr>
      </w:pPr>
    </w:p>
    <w:p w14:paraId="083A51A8">
      <w:pPr>
        <w:shd w:val="clear"/>
        <w:spacing w:line="380" w:lineRule="exact"/>
        <w:ind w:firstLine="424" w:firstLineChars="202"/>
        <w:rPr>
          <w:rFonts w:hint="eastAsia" w:ascii="宋体"/>
          <w:color w:val="auto"/>
          <w:szCs w:val="21"/>
          <w:highlight w:val="none"/>
        </w:rPr>
      </w:pPr>
    </w:p>
    <w:p w14:paraId="21304FE2">
      <w:pPr>
        <w:shd w:val="clear"/>
        <w:spacing w:line="380" w:lineRule="exact"/>
        <w:ind w:firstLine="424" w:firstLineChars="202"/>
        <w:rPr>
          <w:rFonts w:hint="eastAsia" w:ascii="宋体"/>
          <w:color w:val="auto"/>
          <w:szCs w:val="21"/>
          <w:highlight w:val="none"/>
        </w:rPr>
      </w:pPr>
    </w:p>
    <w:p w14:paraId="305A1C63">
      <w:pPr>
        <w:shd w:val="clear"/>
        <w:spacing w:line="380" w:lineRule="exact"/>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11506C2A">
      <w:pPr>
        <w:shd w:val="clear"/>
        <w:spacing w:line="38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投标人认为需要提供的其他材料（如有）。</w:t>
      </w:r>
    </w:p>
    <w:p w14:paraId="7B86369D">
      <w:pPr>
        <w:shd w:val="clear"/>
        <w:spacing w:line="380" w:lineRule="exact"/>
        <w:ind w:firstLine="568" w:firstLineChars="202"/>
        <w:rPr>
          <w:rFonts w:hint="eastAsia" w:ascii="宋体" w:hAnsi="宋体" w:eastAsia="宋体" w:cs="宋体"/>
          <w:b/>
          <w:bCs/>
          <w:color w:val="auto"/>
          <w:sz w:val="28"/>
          <w:szCs w:val="28"/>
          <w:highlight w:val="none"/>
          <w:lang w:eastAsia="zh-CN"/>
        </w:rPr>
      </w:pPr>
    </w:p>
    <w:p w14:paraId="3015812F">
      <w:pPr>
        <w:shd w:val="clear"/>
        <w:outlineLvl w:val="0"/>
        <w:rPr>
          <w:rFonts w:ascii="宋体" w:hAnsi="宋体" w:cs="宋体"/>
          <w:color w:val="auto"/>
          <w:sz w:val="28"/>
          <w:szCs w:val="28"/>
          <w:highlight w:val="none"/>
        </w:rPr>
      </w:pPr>
      <w:r>
        <w:rPr>
          <w:rFonts w:hint="eastAsia"/>
          <w:color w:val="auto"/>
          <w:highlight w:val="none"/>
        </w:rPr>
        <w:br w:type="page"/>
      </w:r>
      <w:bookmarkStart w:id="99" w:name="_Toc11016"/>
      <w:r>
        <w:rPr>
          <w:rFonts w:hint="eastAsia" w:ascii="宋体" w:hAnsi="宋体" w:cs="宋体"/>
          <w:b/>
          <w:color w:val="auto"/>
          <w:sz w:val="28"/>
          <w:szCs w:val="28"/>
          <w:highlight w:val="none"/>
        </w:rPr>
        <w:t>附件1</w:t>
      </w:r>
      <w:bookmarkEnd w:id="99"/>
    </w:p>
    <w:p w14:paraId="4E7D1521">
      <w:pPr>
        <w:shd w:val="clea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关于联合惩戒失信行为 加强信用查询管理的通知</w:t>
      </w:r>
    </w:p>
    <w:p w14:paraId="7EEE57B8">
      <w:pPr>
        <w:shd w:val="clea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一、失信行为联合惩戒的范围和查询渠道</w:t>
      </w:r>
    </w:p>
    <w:p w14:paraId="7C168750">
      <w:pPr>
        <w:widowControl/>
        <w:shd w:val="clear"/>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在我市公共资源交易活动中对存在下列失信行为的投标人、法定代表人及其项目经理（建造师）实施联合惩戒，禁止参与我市公共资源交易活动。</w:t>
      </w:r>
    </w:p>
    <w:p w14:paraId="59047D82">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（一）工程建设项目</w:t>
      </w:r>
    </w:p>
    <w:p w14:paraId="3786C4C7">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1、“信用中国”网站（www.creditchina.gov.cn）查询投标人、法定代表人及其项目经理(建造师)以下失信行为：</w:t>
      </w:r>
    </w:p>
    <w:p w14:paraId="26D3A1B5">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①被列入“失信被执行人”的;</w:t>
      </w:r>
    </w:p>
    <w:p w14:paraId="4C05F676">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②被列入“重大税收违法失信主体”的；</w:t>
      </w:r>
    </w:p>
    <w:p w14:paraId="1992E306">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③被列入“拖欠农民工工资失信联合惩戒对象名单”的；</w:t>
      </w:r>
    </w:p>
    <w:p w14:paraId="67FAB5A2">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④被列入 “严重失信主体名单”的；</w:t>
      </w:r>
    </w:p>
    <w:p w14:paraId="4AF5CD05">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⑤在“信用中国”网站上披露的仍在公示期的严重失信行为(具体行为类别及判定依据见附件2)的。</w:t>
      </w:r>
    </w:p>
    <w:p w14:paraId="4CC8C1DA">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2、国家企业信用信息公示系统网站（www.gsxt.gov.cn）查询投标人以下失信行为：</w:t>
      </w:r>
    </w:p>
    <w:p w14:paraId="5E02A86C">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①被列入“经营异常名录”或者“严重违法失信名单”的。</w:t>
      </w:r>
    </w:p>
    <w:p w14:paraId="2F7D79C6">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3、由投标人、法定代表人及其项目经理(建造师)进行承诺，不进行现场网上信用查询的失信行为：</w:t>
      </w:r>
    </w:p>
    <w:p w14:paraId="0715BCD4">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①前三年有行贿犯罪行为的单位和个人；</w:t>
      </w:r>
    </w:p>
    <w:p w14:paraId="789614B4">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②被滁州市县两级公管部门取消在一定期限内的投标资格且在取消期限内的；</w:t>
      </w:r>
    </w:p>
    <w:p w14:paraId="6B067738">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③被滁州市县两级各行业主管部门取消在一定期限内的投标资格且在取消期限内的；</w:t>
      </w:r>
    </w:p>
    <w:p w14:paraId="5A74D985">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④因拖欠农民工工资被县级及以上有关行政主管部门限制投标资格且在限制期限内的；</w:t>
      </w:r>
    </w:p>
    <w:p w14:paraId="694A9559">
      <w:pPr>
        <w:widowControl/>
        <w:shd w:val="clear"/>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379AC0B">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（二）政府采购项目</w:t>
      </w:r>
    </w:p>
    <w:p w14:paraId="70A6D309">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1、“信用中国”网站（www.creditchina.gov.cn）查询供应商、法定代表人及其项目负责人以下失信行为：</w:t>
      </w:r>
    </w:p>
    <w:p w14:paraId="32A21B59">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①被列入“失信被执行人”的;</w:t>
      </w:r>
    </w:p>
    <w:p w14:paraId="55FD0892">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②被列入“重大税收违法失信主体”的；</w:t>
      </w:r>
    </w:p>
    <w:p w14:paraId="43FDF8B0">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③被列入 “严重失信主体名单”的；</w:t>
      </w:r>
    </w:p>
    <w:p w14:paraId="610173F8">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④在“信用中国”网站上披露的仍在公示期的严重失信行为(具体行为类别及判定依据见附件2)的。</w:t>
      </w:r>
    </w:p>
    <w:p w14:paraId="1FD4B8C2">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rPr>
        <w:t>www.gsxt.gov.cn）</w:t>
      </w:r>
      <w:r>
        <w:rPr>
          <w:rFonts w:hint="eastAsia" w:ascii="宋体" w:hAnsi="宋体" w:cs="宋体"/>
          <w:bCs/>
          <w:color w:val="auto"/>
          <w:kern w:val="0"/>
          <w:sz w:val="24"/>
          <w:highlight w:val="none"/>
        </w:rPr>
        <w:fldChar w:fldCharType="end"/>
      </w:r>
      <w:r>
        <w:rPr>
          <w:rFonts w:hint="eastAsia" w:ascii="宋体" w:hAnsi="宋体" w:cs="宋体"/>
          <w:bCs/>
          <w:color w:val="auto"/>
          <w:kern w:val="0"/>
          <w:sz w:val="24"/>
          <w:highlight w:val="none"/>
        </w:rPr>
        <w:t>查询供应商以下失信行为：</w:t>
      </w:r>
    </w:p>
    <w:p w14:paraId="14EF7E0D">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w:t>
      </w:r>
      <w:bookmarkStart w:id="100" w:name="OLE_LINK101"/>
      <w:bookmarkStart w:id="101" w:name="OLE_LINK102"/>
      <w:bookmarkStart w:id="102" w:name="OLE_LINK100"/>
      <w:r>
        <w:rPr>
          <w:rFonts w:hint="eastAsia" w:ascii="宋体" w:hAnsi="宋体" w:cs="宋体"/>
          <w:bCs/>
          <w:color w:val="auto"/>
          <w:kern w:val="0"/>
          <w:sz w:val="24"/>
          <w:highlight w:val="none"/>
        </w:rPr>
        <w:t>被列入“经营异常名录”或者“严重违法失信名单”的</w:t>
      </w:r>
      <w:bookmarkEnd w:id="100"/>
      <w:bookmarkEnd w:id="101"/>
      <w:bookmarkEnd w:id="102"/>
      <w:r>
        <w:rPr>
          <w:rFonts w:hint="eastAsia" w:ascii="宋体" w:hAnsi="宋体" w:cs="宋体"/>
          <w:bCs/>
          <w:color w:val="auto"/>
          <w:kern w:val="0"/>
          <w:sz w:val="24"/>
          <w:highlight w:val="none"/>
        </w:rPr>
        <w:t>。</w:t>
      </w:r>
    </w:p>
    <w:p w14:paraId="5E1D3ED0">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3、中国政府采购网站（</w:t>
      </w:r>
      <w:bookmarkStart w:id="103" w:name="OLE_LINK96"/>
      <w:bookmarkStart w:id="104" w:name="OLE_LINK95"/>
      <w:r>
        <w:rPr>
          <w:rFonts w:hint="eastAsia" w:ascii="宋体" w:hAnsi="宋体" w:cs="宋体"/>
          <w:bCs/>
          <w:color w:val="auto"/>
          <w:kern w:val="0"/>
          <w:sz w:val="24"/>
          <w:highlight w:val="none"/>
        </w:rPr>
        <w:fldChar w:fldCharType="begin"/>
      </w:r>
      <w:r>
        <w:rPr>
          <w:rFonts w:hint="eastAsia" w:ascii="宋体" w:hAnsi="宋体" w:cs="宋体"/>
          <w:bCs/>
          <w:color w:val="auto"/>
          <w:kern w:val="0"/>
          <w:sz w:val="24"/>
          <w:highlight w:val="none"/>
        </w:rPr>
        <w:instrText xml:space="preserve"> HYPERLINK "http://www.ccgp.gov.cn" </w:instrText>
      </w:r>
      <w:r>
        <w:rPr>
          <w:rFonts w:hint="eastAsia" w:ascii="宋体" w:hAnsi="宋体" w:cs="宋体"/>
          <w:bCs/>
          <w:color w:val="auto"/>
          <w:kern w:val="0"/>
          <w:sz w:val="24"/>
          <w:highlight w:val="none"/>
        </w:rPr>
        <w:fldChar w:fldCharType="separate"/>
      </w:r>
      <w:r>
        <w:rPr>
          <w:rFonts w:hint="eastAsia" w:ascii="宋体" w:hAnsi="宋体" w:cs="宋体"/>
          <w:bCs/>
          <w:color w:val="auto"/>
          <w:kern w:val="0"/>
          <w:sz w:val="24"/>
          <w:highlight w:val="none"/>
        </w:rPr>
        <w:t>www.ccgp.gov.cn</w:t>
      </w:r>
      <w:r>
        <w:rPr>
          <w:rFonts w:hint="eastAsia" w:ascii="宋体" w:hAnsi="宋体" w:cs="宋体"/>
          <w:bCs/>
          <w:color w:val="auto"/>
          <w:kern w:val="0"/>
          <w:sz w:val="24"/>
          <w:highlight w:val="none"/>
        </w:rPr>
        <w:fldChar w:fldCharType="end"/>
      </w:r>
      <w:bookmarkEnd w:id="103"/>
      <w:bookmarkEnd w:id="104"/>
      <w:r>
        <w:rPr>
          <w:rFonts w:hint="eastAsia" w:ascii="宋体" w:hAnsi="宋体" w:cs="宋体"/>
          <w:bCs/>
          <w:color w:val="auto"/>
          <w:kern w:val="0"/>
          <w:sz w:val="24"/>
          <w:highlight w:val="none"/>
        </w:rPr>
        <w:t>）查询以下失信行为：</w:t>
      </w:r>
    </w:p>
    <w:p w14:paraId="1BC0C3E0">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w:t>
      </w:r>
      <w:bookmarkStart w:id="105" w:name="OLE_LINK106"/>
      <w:bookmarkStart w:id="106" w:name="OLE_LINK105"/>
      <w:bookmarkStart w:id="107" w:name="OLE_LINK104"/>
      <w:r>
        <w:rPr>
          <w:rFonts w:hint="eastAsia" w:ascii="宋体" w:hAnsi="宋体" w:cs="宋体"/>
          <w:bCs/>
          <w:color w:val="auto"/>
          <w:kern w:val="0"/>
          <w:sz w:val="24"/>
          <w:highlight w:val="none"/>
        </w:rPr>
        <w:t>被列入“政府采购严重违法失信行为信息记录”的</w:t>
      </w:r>
      <w:bookmarkEnd w:id="105"/>
      <w:bookmarkEnd w:id="106"/>
      <w:bookmarkEnd w:id="107"/>
      <w:r>
        <w:rPr>
          <w:rFonts w:hint="eastAsia" w:ascii="宋体" w:hAnsi="宋体" w:cs="宋体"/>
          <w:bCs/>
          <w:color w:val="auto"/>
          <w:kern w:val="0"/>
          <w:sz w:val="24"/>
          <w:highlight w:val="none"/>
        </w:rPr>
        <w:t>。</w:t>
      </w:r>
    </w:p>
    <w:p w14:paraId="4E91DA71">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4、由竞争主体进行承诺，不进行现场网上信用查询的失信行为：</w:t>
      </w:r>
    </w:p>
    <w:p w14:paraId="23BA924C">
      <w:pPr>
        <w:widowControl/>
        <w:shd w:val="clear"/>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①前三年有行贿犯罪行为的单位和个人。</w:t>
      </w:r>
    </w:p>
    <w:p w14:paraId="32470B1A">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二、在开评标活动中的查询程序</w:t>
      </w:r>
    </w:p>
    <w:p w14:paraId="4BE351B3">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53062400">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2BFFA2">
      <w:pPr>
        <w:widowControl/>
        <w:shd w:val="clear"/>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3、项目单位及其委托的代理机构应当做好信用查询结果截图和记录留存。</w:t>
      </w:r>
    </w:p>
    <w:p w14:paraId="35ED741D">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三、相关要求</w:t>
      </w:r>
    </w:p>
    <w:p w14:paraId="796E5B46">
      <w:pPr>
        <w:widowControl/>
        <w:shd w:val="clear"/>
        <w:wordWrap w:val="0"/>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BCB18D8">
      <w:pPr>
        <w:widowControl/>
        <w:shd w:val="clear"/>
        <w:wordWrap w:val="0"/>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4F318C3">
      <w:pPr>
        <w:widowControl/>
        <w:shd w:val="clear"/>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1104835">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2、“信用中国”查询的严重失信行为判定依据为各行业主管部门下发的联合惩戒文件中规定的行为（按附件2执行）。</w:t>
      </w:r>
    </w:p>
    <w:p w14:paraId="727FCBBD">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3、资格预审的项目以递交资格预审申请文件截止时间查询为准；资格后审的项目以递交投标文件截止时间查询为准。</w:t>
      </w:r>
    </w:p>
    <w:p w14:paraId="43119D20">
      <w:pPr>
        <w:shd w:val="clear"/>
        <w:spacing w:line="440" w:lineRule="exact"/>
        <w:rPr>
          <w:rFonts w:ascii="宋体" w:hAnsi="宋体" w:cs="宋体"/>
          <w:b/>
          <w:color w:val="auto"/>
          <w:sz w:val="24"/>
          <w:highlight w:val="none"/>
        </w:rPr>
      </w:pPr>
      <w:r>
        <w:rPr>
          <w:rFonts w:hint="eastAsia" w:ascii="宋体" w:hAnsi="宋体" w:cs="宋体"/>
          <w:b/>
          <w:color w:val="auto"/>
          <w:sz w:val="24"/>
          <w:highlight w:val="none"/>
        </w:rPr>
        <w:t xml:space="preserve"> </w:t>
      </w:r>
    </w:p>
    <w:p w14:paraId="17744FF6">
      <w:pPr>
        <w:pStyle w:val="31"/>
        <w:shd w:val="clear"/>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rPr>
        <w:t xml:space="preserve"> </w:t>
      </w:r>
    </w:p>
    <w:p w14:paraId="46D61C38">
      <w:pPr>
        <w:shd w:val="clear"/>
        <w:spacing w:line="440" w:lineRule="exac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附件2</w:t>
      </w:r>
    </w:p>
    <w:p w14:paraId="0BB6DF3E">
      <w:pPr>
        <w:shd w:val="clea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“信用中国”查询的严重失信行为类别及判定依据</w:t>
      </w:r>
    </w:p>
    <w:p w14:paraId="52481EA0">
      <w:pPr>
        <w:shd w:val="clea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 xml:space="preserve"> </w:t>
      </w:r>
    </w:p>
    <w:p w14:paraId="40ED2B8C">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“信用中国”查询的严重失信行为判定依据为各行业主管部门下发的联合惩戒文件中规定的行为。下面将部分类别的严重失信行为列举如下：</w:t>
      </w:r>
    </w:p>
    <w:p w14:paraId="3535E805">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一、安全生产领域严重失信行为：</w:t>
      </w:r>
    </w:p>
    <w:p w14:paraId="33B0451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（一）下列发生生产安全事故的生产经营单位及其有关人员应当列入严重失信主体名单：</w:t>
      </w:r>
    </w:p>
    <w:p w14:paraId="0C2DBD6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1、发生特别重大、重大生产安全事故的生产经营单位及其主要负责人，以及经调查认定对该事故发生负有责任，应当列入名单的其他单位和人员；</w:t>
      </w:r>
    </w:p>
    <w:p w14:paraId="58C81B4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2、12个月内累计发生2起以上较大生产安全事故的生产经营单位及其主要负责人；</w:t>
      </w:r>
    </w:p>
    <w:p w14:paraId="7DCB473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3、发生生产安全事故，情节特别严重、影响特别恶劣，依照《中华人民共和国安全生产法》第一百一十四条的规定被处以罚款数额2倍以上5倍以下罚款的生产经营单位及其主要负责人；</w:t>
      </w:r>
    </w:p>
    <w:p w14:paraId="09EAA602">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4、瞒报、谎报生产安全事故的生产经营单位及其有关责任人员；</w:t>
      </w:r>
    </w:p>
    <w:p w14:paraId="5E09FDF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5、发生生产安全事故后，不立即组织抢救或者在事故调查处理期间擅离职守或者逃匿的生产经营单位主要负责人。</w:t>
      </w:r>
    </w:p>
    <w:p w14:paraId="39C452E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（二）下列未发生生产安全事故，但因安全生产违法行为，受到行政处罚的生产经营单位或者机构及其有关人员，应当列入严重失信主体名单：</w:t>
      </w:r>
    </w:p>
    <w:p w14:paraId="5F5228A4">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1、未依法取得安全生产相关许可或者许可被暂扣、吊销期间从事相关生产经营活动的生产经营单位及其主要负责人；</w:t>
      </w:r>
    </w:p>
    <w:p w14:paraId="0D933C0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2、承担安全评价、认证、检测、检验职责的机构及其直接责任人员租借资质、挂靠、出具虚假报告或者证书的；</w:t>
      </w:r>
    </w:p>
    <w:p w14:paraId="4D05B7E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3、在应急管理部门作出行政处罚后，有执行能力拒不执行或者逃避执行的生产经营单位及其主要负责人；</w:t>
      </w:r>
    </w:p>
    <w:p w14:paraId="092F9BC1">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4、其他违反安全生产法律法规受到行政处罚，且性质恶劣、情节严重的。</w:t>
      </w:r>
    </w:p>
    <w:p w14:paraId="06FACC9E">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依据：《安全生产严重失信主体名单管理办法》（2023年8月8日应急管理部令第11号）</w:t>
      </w:r>
    </w:p>
    <w:p w14:paraId="016A467A">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3DE900EA">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二、环境保护领域严重失信行为：</w:t>
      </w:r>
    </w:p>
    <w:p w14:paraId="23528F3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（一）因为环境违法构成环境犯罪的；</w:t>
      </w:r>
    </w:p>
    <w:p w14:paraId="7AB7CAFD">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（二）建设项目环境影响评价文件未按规定通过审批，擅自开工建设的；</w:t>
      </w:r>
    </w:p>
    <w:p w14:paraId="44220E99">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（三）建设项目环保设施未建成、环保措施未落实、未通过竣工环保验收或者验收不合格，主体工程正式投入生产或者使用的；</w:t>
      </w:r>
    </w:p>
    <w:p w14:paraId="1CF0C30F">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（四）建设项目性质、规模、地点、采用的生产工艺或者防治污染、防止生态破坏的措施发生重大变动，未重新报批环境影响评价文件，擅自投入生产或者使用的；</w:t>
      </w:r>
    </w:p>
    <w:p w14:paraId="770D64EE">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（五）主要污染物排放总量超过控制指标的；</w:t>
      </w:r>
    </w:p>
    <w:p w14:paraId="308CE2D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（六）私设暗管或者利用渗井、渗坑、裂隙、溶洞等排放、倾倒、处置水污染物，或者通过私设旁路排放大气污染物的；</w:t>
      </w:r>
    </w:p>
    <w:p w14:paraId="4B80330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（七）非法排放、倾倒、处置危险废物，或者向无经营许可证或者超出经营许可范围的单位或个人提供或者委托其收集、贮存、利用、处置危险废物的；</w:t>
      </w:r>
    </w:p>
    <w:p w14:paraId="4635972F">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（八）环境违法行为造成集中式生活饮用水水源取水中断的；</w:t>
      </w:r>
    </w:p>
    <w:p w14:paraId="49F595A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（九）环境违法行为对生活饮用水水源保护区、自然保护区、国家重点生态功能区、风景名胜区、居住功能区、基本农田保护区等环境敏感区造成重大不利影响的；</w:t>
      </w:r>
    </w:p>
    <w:p w14:paraId="76DB589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（十）违法从事自然资源开发、交通基础设施建设，以及其他开发建设活动，造成严重生态破坏的；</w:t>
      </w:r>
    </w:p>
    <w:p w14:paraId="2EB5A2E2">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（十一）发生较大及以上突发环境事件的；</w:t>
      </w:r>
    </w:p>
    <w:p w14:paraId="47593F9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（十二）被环保部门挂牌督办，整改逾期未完成的；</w:t>
      </w:r>
    </w:p>
    <w:p w14:paraId="0DCDF6C2">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（十三）以暴力、威胁等方式拒绝、阻挠环保部门工作人员现场检查的；</w:t>
      </w:r>
    </w:p>
    <w:p w14:paraId="1A11358C">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（十四）违反重污染天气应急预案有关规定，对重污染天气响应不力的。</w:t>
      </w:r>
    </w:p>
    <w:p w14:paraId="3F45172B">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依据：《关于对环境保护领域失信生产经营单位及其有关人员开展联合惩戒的合作备忘录》、《企业环境信用评价办法（试行）》（环发〔2013〕150号）</w:t>
      </w:r>
    </w:p>
    <w:p w14:paraId="258F40E0">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778DE661">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三、公共资源交易领域严重失信行为</w:t>
      </w:r>
    </w:p>
    <w:p w14:paraId="423E9ED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（一）违反法律规定，必须进行招标的项目而不招标的，将必须进行招标的项目化整为零或者以其他任何方式规避招标的； </w:t>
      </w:r>
    </w:p>
    <w:p w14:paraId="1BEAE93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（二）招标代理机构违反法律规定，泄露应当保密的与招标投标活动有关的情况和资料的，或者与招标人、投标人串通损害 国家利益、社会公共利益或者他人合法权益的；</w:t>
      </w:r>
    </w:p>
    <w:p w14:paraId="404BB974">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（三）招标人以不合理的条件限制或者排斥潜在投标人的，对潜在投标人实行歧视待遇的，强制要求投标人组成联合体共同 投标的，或者限制投标人之间竞争的；</w:t>
      </w:r>
    </w:p>
    <w:p w14:paraId="0B33394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（四）依法必须进行招标的项目的招标人向他人透露已获取招标文件的潜在投标人的名称、数量或者可能影响公平竞争的有 关招标投标的其他情况的，或者泄露标底的；</w:t>
      </w:r>
    </w:p>
    <w:p w14:paraId="5AB87CA0">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（五）投标人相互串通投标或者与招标人串通投标的，投标人以向招标人或者评标委员会成员行贿的手段谋取中标的； </w:t>
      </w:r>
    </w:p>
    <w:p w14:paraId="2949F57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（六）投标人以他人名义投标或者以其他方式弄虚作假，骗取中标的；</w:t>
      </w:r>
    </w:p>
    <w:p w14:paraId="530586C8">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（七）依法必须进行招标的项目，招标人违反法律规定，与投标人就投标价格、投标方案等实质性内容进行谈判的；</w:t>
      </w:r>
    </w:p>
    <w:p w14:paraId="720B24D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6097243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（九）招标人在评标委员会依法推荐的中标候选人以外确定中标人的，依法必须进行招标的项目在所有投标被评标委员会否 决后自行确定中标人的； </w:t>
      </w:r>
    </w:p>
    <w:p w14:paraId="54C8CD0E">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（十）中标人将中标项目转让给他人的，将中标项目肢解后分别转让给他人的，违反法律规定将中标项目的部分主体、关键 性工作分包给他人的，或者分包人再次分包的； </w:t>
      </w:r>
    </w:p>
    <w:p w14:paraId="3E1A689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（十一）招标人与中标人不按照招标文件和中标人的投标文件订立合同的，或者招标人、中标人订立背离合同实质性内容的 协议的； </w:t>
      </w:r>
    </w:p>
    <w:p w14:paraId="2414E210">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（十二）中标人不按照与招标人订立的合同履行义务，情节严重的； </w:t>
      </w:r>
    </w:p>
    <w:p w14:paraId="3DE535D5">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D74DC9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0681E8">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（十五）采购人对应当实行集中采购的政府采购项目，不委托集中采购机构实行集中采购的； </w:t>
      </w:r>
    </w:p>
    <w:p w14:paraId="3E2BDFB1">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（十六）采购人、采购代理机构违反法律规定隐匿、销毁应当保存的采购文件或者伪造、变造采购文件的； </w:t>
      </w:r>
    </w:p>
    <w:p w14:paraId="1536AB4E">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A64054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（十八）疫苗生产企业向县级疾病预防控制机构以外的单位或者个人销售第二类疫苗的； </w:t>
      </w:r>
    </w:p>
    <w:p w14:paraId="265104A0">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（十九）存在其他违反公共资源交易法律法规行为的。</w:t>
      </w:r>
    </w:p>
    <w:p w14:paraId="20A6220E">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依据：《关于对公共资源交易领域严重失信主体开展联合惩戒的备忘录》（发改法规〔2018〕457号）</w:t>
      </w:r>
    </w:p>
    <w:p w14:paraId="419DF3AE">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1FF9A6B2">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四、社会保险领域严重失信行为</w:t>
      </w:r>
    </w:p>
    <w:p w14:paraId="75AFB69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（一）用人单位未按相关规定参加社会保险且拒不整改的； </w:t>
      </w:r>
    </w:p>
    <w:p w14:paraId="01B6E520">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（二）用人单位未如实申报社会保险缴费基数且拒不整改的； </w:t>
      </w:r>
    </w:p>
    <w:p w14:paraId="6AF1B460">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（三）应缴纳社会保险费却拒不缴纳的； </w:t>
      </w:r>
    </w:p>
    <w:p w14:paraId="0176CC6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（四）隐匿、转移、侵占、挪用社会保险费款、基金或者违规投资运营的；</w:t>
      </w:r>
    </w:p>
    <w:p w14:paraId="79418D7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（五）以欺诈、伪造证明材料或者其他手段参加、申报社会保险和骗取社会保险基金支出或社会保险待遇的； </w:t>
      </w:r>
    </w:p>
    <w:p w14:paraId="6EB3878D">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（六）非法获取、出售或变相交易社会保险个人权益数据的； </w:t>
      </w:r>
    </w:p>
    <w:p w14:paraId="433924A1">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（七）社会保险服务机构违反服务协议或相关规定的； </w:t>
      </w:r>
    </w:p>
    <w:p w14:paraId="7FF7BE0D">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6160F652">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（九）其他违反法律法规规定的。</w:t>
      </w:r>
    </w:p>
    <w:p w14:paraId="0CC9F6E1">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依据：《关于对社会保险领域严重失信企业及其有关人员实施联合惩戒的合作备忘录》（发改财金〔2018〕1704号）</w:t>
      </w:r>
    </w:p>
    <w:p w14:paraId="7E2ECB73">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13035B53">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五、建筑市场领域严重失信行为</w:t>
      </w:r>
    </w:p>
    <w:p w14:paraId="3B6D029D">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（一）利用虚假材料、以欺骗手段取得企业资质的；</w:t>
      </w:r>
    </w:p>
    <w:p w14:paraId="7368B7F4">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（二）发生转包、出借资质，受到行政处罚的；</w:t>
      </w:r>
    </w:p>
    <w:p w14:paraId="56280808">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（三）发生重大及以上工程质量安全事故，或1年内累计发生2次及以上较大工程质量安全事故，或发生性质恶劣、危害性严重、社会影响大的较大工程质量安全事故，受到行政处罚的；</w:t>
      </w:r>
    </w:p>
    <w:p w14:paraId="30D9DE8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（四）经法院判决或仲裁机构裁决，认定为拖欠工程款,且拒不履行生效法律文书确定的义务的。</w:t>
      </w:r>
    </w:p>
    <w:p w14:paraId="57514980">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各级住房城乡建设主管部门应当参照建筑市场主体“黑名单”，对被人力资源社会保障行政部门列入拖欠农民工工资“黑名单”的建筑市场各方主体加强监管。</w:t>
      </w:r>
    </w:p>
    <w:p w14:paraId="750A5ED0">
      <w:pPr>
        <w:widowControl/>
        <w:shd w:val="clear"/>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rPr>
        <w:t>依据：《建筑市场信用管理暂行办法》（建市〔2017〕241号）</w:t>
      </w:r>
    </w:p>
    <w:p w14:paraId="65A48EC9">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35538504">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六、政府采购严重失信行为</w:t>
      </w:r>
    </w:p>
    <w:p w14:paraId="78AE29B9">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供应商、采购代理机构在三年内受到财政部门作出下列情形之一的行政处罚，列入政府采购严重违法失信行为记录名单。</w:t>
      </w:r>
    </w:p>
    <w:p w14:paraId="6FB95EE9">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（一）三万元以上罚款；</w:t>
      </w:r>
    </w:p>
    <w:p w14:paraId="4912F102">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（二）在一至三年内禁止参加政府采购活动（处罚期限届满的除外）；</w:t>
      </w:r>
    </w:p>
    <w:p w14:paraId="184586C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（三）在一至三年内禁止代理政府采购业务（处罚期限届满的除外）；</w:t>
      </w:r>
    </w:p>
    <w:p w14:paraId="1A203A08">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（四）撤销政府采购代理机构资格（仅针对《政府采购法》第78条修改前作出的处罚决定）。</w:t>
      </w:r>
    </w:p>
    <w:p w14:paraId="230CE622">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依据：《关于报送政府采购严重违法失信行为信息记录的通知》（财办库〔2014〕526号）</w:t>
      </w:r>
    </w:p>
    <w:p w14:paraId="4E5729D7">
      <w:pPr>
        <w:widowControl/>
        <w:shd w:val="clear"/>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rPr>
        <w:t xml:space="preserve"> </w:t>
      </w:r>
    </w:p>
    <w:p w14:paraId="5A75B52A">
      <w:pPr>
        <w:widowControl/>
        <w:shd w:val="clear"/>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rPr>
        <w:t>。</w:t>
      </w:r>
    </w:p>
    <w:p w14:paraId="0F5755ED">
      <w:pPr>
        <w:pStyle w:val="3"/>
        <w:shd w:val="clear"/>
        <w:rPr>
          <w:rFonts w:ascii="宋体"/>
          <w:b w:val="0"/>
          <w:color w:val="auto"/>
          <w:szCs w:val="32"/>
          <w:highlight w:val="none"/>
        </w:rPr>
      </w:pPr>
      <w:bookmarkStart w:id="108" w:name="_Toc449028957"/>
      <w:r>
        <w:rPr>
          <w:rFonts w:ascii="宋体"/>
          <w:b w:val="0"/>
          <w:color w:val="auto"/>
          <w:szCs w:val="32"/>
          <w:highlight w:val="none"/>
        </w:rPr>
        <w:br w:type="page"/>
      </w:r>
      <w:bookmarkStart w:id="109" w:name="_Toc58430333"/>
      <w:bookmarkStart w:id="110" w:name="_Toc25631"/>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08"/>
      <w:bookmarkEnd w:id="109"/>
      <w:bookmarkEnd w:id="110"/>
    </w:p>
    <w:p w14:paraId="0E98DD9E">
      <w:pPr>
        <w:shd w:val="clear"/>
        <w:spacing w:line="440" w:lineRule="exact"/>
        <w:rPr>
          <w:rFonts w:ascii="宋体"/>
          <w:color w:val="auto"/>
          <w:sz w:val="24"/>
          <w:highlight w:val="none"/>
          <w:u w:val="single"/>
        </w:rPr>
      </w:pPr>
    </w:p>
    <w:bookmarkEnd w:id="0"/>
    <w:tbl>
      <w:tblPr>
        <w:tblStyle w:val="36"/>
        <w:tblW w:w="0" w:type="auto"/>
        <w:jc w:val="center"/>
        <w:tblLayout w:type="fixed"/>
        <w:tblCellMar>
          <w:top w:w="0" w:type="dxa"/>
          <w:left w:w="108" w:type="dxa"/>
          <w:bottom w:w="0" w:type="dxa"/>
          <w:right w:w="108" w:type="dxa"/>
        </w:tblCellMar>
      </w:tblPr>
      <w:tblGrid>
        <w:gridCol w:w="9460"/>
      </w:tblGrid>
      <w:tr w14:paraId="60950CED">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0F2AD7A3">
            <w:pPr>
              <w:shd w:val="clear"/>
              <w:spacing w:line="440" w:lineRule="exact"/>
              <w:ind w:firstLine="560" w:firstLineChars="200"/>
              <w:rPr>
                <w:rFonts w:ascii="宋体" w:cs="宋体"/>
                <w:color w:val="auto"/>
                <w:sz w:val="28"/>
                <w:szCs w:val="28"/>
                <w:highlight w:val="none"/>
              </w:rPr>
            </w:pPr>
          </w:p>
          <w:p w14:paraId="50D25ADE">
            <w:pPr>
              <w:shd w:val="clear"/>
              <w:spacing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val="en-US" w:eastAsia="zh-CN"/>
              </w:rPr>
              <w:t>中新苏滁高新区2025-2028年度道路照明等设施维护服务项目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6506FE6B">
            <w:pPr>
              <w:shd w:val="clea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招标单位：滁州市苏滁市政公用发展有限公司</w:t>
            </w:r>
          </w:p>
          <w:p w14:paraId="5C77EA09">
            <w:pPr>
              <w:shd w:val="clea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李传旭</w:t>
            </w:r>
          </w:p>
          <w:p w14:paraId="62E711A2">
            <w:pPr>
              <w:shd w:val="clea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联系电话：0550-2201367</w:t>
            </w:r>
          </w:p>
          <w:p w14:paraId="146F6F4B">
            <w:pPr>
              <w:shd w:val="clear"/>
              <w:spacing w:line="540" w:lineRule="exact"/>
              <w:ind w:firstLine="7140" w:firstLineChars="2550"/>
              <w:rPr>
                <w:rFonts w:ascii="宋体" w:cs="宋体"/>
                <w:color w:val="auto"/>
                <w:sz w:val="28"/>
                <w:szCs w:val="28"/>
                <w:highlight w:val="none"/>
              </w:rPr>
            </w:pPr>
          </w:p>
          <w:p w14:paraId="5F895AA1">
            <w:pPr>
              <w:shd w:val="clear"/>
              <w:spacing w:line="54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4D72797C">
            <w:pPr>
              <w:shd w:val="clear"/>
              <w:spacing w:line="540" w:lineRule="exact"/>
              <w:jc w:val="right"/>
              <w:rPr>
                <w:rFonts w:ascii="宋体" w:cs="宋体"/>
                <w:color w:val="auto"/>
                <w:sz w:val="28"/>
                <w:szCs w:val="28"/>
                <w:highlight w:val="none"/>
              </w:rPr>
            </w:pPr>
            <w:r>
              <w:rPr>
                <w:rFonts w:hint="eastAsia" w:ascii="宋体" w:cs="宋体"/>
                <w:color w:val="auto"/>
                <w:sz w:val="28"/>
                <w:szCs w:val="28"/>
                <w:highlight w:val="none"/>
              </w:rPr>
              <w:t>2025年</w:t>
            </w:r>
            <w:r>
              <w:rPr>
                <w:rFonts w:hint="eastAsia" w:ascii="宋体" w:cs="宋体"/>
                <w:color w:val="auto"/>
                <w:sz w:val="28"/>
                <w:szCs w:val="28"/>
                <w:highlight w:val="none"/>
                <w:lang w:val="en-US" w:eastAsia="zh-CN"/>
              </w:rPr>
              <w:t>10</w:t>
            </w:r>
            <w:r>
              <w:rPr>
                <w:rFonts w:hint="eastAsia" w:ascii="宋体" w:cs="宋体"/>
                <w:color w:val="auto"/>
                <w:sz w:val="28"/>
                <w:szCs w:val="28"/>
                <w:highlight w:val="none"/>
              </w:rPr>
              <w:t>月</w:t>
            </w:r>
          </w:p>
        </w:tc>
      </w:tr>
      <w:tr w14:paraId="07E8ABDE">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237B8E9E">
            <w:pPr>
              <w:shd w:val="clear"/>
              <w:spacing w:line="440" w:lineRule="exact"/>
              <w:rPr>
                <w:rFonts w:ascii="宋体" w:cs="宋体"/>
                <w:color w:val="auto"/>
                <w:sz w:val="28"/>
                <w:szCs w:val="28"/>
                <w:highlight w:val="none"/>
              </w:rPr>
            </w:pPr>
          </w:p>
          <w:p w14:paraId="0C68BBF1">
            <w:pPr>
              <w:shd w:val="clea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056CA4B2">
            <w:pPr>
              <w:shd w:val="clea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val="en-US" w:eastAsia="zh-CN"/>
              </w:rPr>
              <w:t>关勤勤</w:t>
            </w:r>
          </w:p>
          <w:p w14:paraId="446A1FAB">
            <w:pPr>
              <w:shd w:val="clear"/>
              <w:spacing w:line="52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电  话：0550-3519590、</w:t>
            </w:r>
            <w:r>
              <w:rPr>
                <w:rFonts w:hint="eastAsia" w:ascii="宋体" w:cs="宋体"/>
                <w:color w:val="auto"/>
                <w:sz w:val="28"/>
                <w:szCs w:val="28"/>
                <w:highlight w:val="none"/>
                <w:lang w:val="en-US" w:eastAsia="zh-CN"/>
              </w:rPr>
              <w:t>18909605753</w:t>
            </w:r>
          </w:p>
          <w:p w14:paraId="4C985C29">
            <w:pPr>
              <w:shd w:val="clear"/>
              <w:spacing w:line="520" w:lineRule="exact"/>
              <w:ind w:firstLine="6300" w:firstLineChars="2250"/>
              <w:rPr>
                <w:rFonts w:ascii="宋体" w:cs="宋体"/>
                <w:color w:val="auto"/>
                <w:sz w:val="28"/>
                <w:szCs w:val="28"/>
                <w:highlight w:val="none"/>
              </w:rPr>
            </w:pPr>
          </w:p>
          <w:p w14:paraId="40122368">
            <w:pPr>
              <w:pStyle w:val="35"/>
              <w:shd w:val="clear"/>
              <w:rPr>
                <w:color w:val="auto"/>
                <w:kern w:val="2"/>
                <w:sz w:val="21"/>
                <w:szCs w:val="24"/>
                <w:highlight w:val="none"/>
              </w:rPr>
            </w:pPr>
          </w:p>
          <w:p w14:paraId="28BFEEE4">
            <w:pPr>
              <w:shd w:val="clear"/>
              <w:spacing w:line="520" w:lineRule="exact"/>
              <w:ind w:firstLine="6580" w:firstLineChars="2350"/>
              <w:rPr>
                <w:rFonts w:ascii="宋体" w:cs="宋体"/>
                <w:color w:val="auto"/>
                <w:sz w:val="28"/>
                <w:szCs w:val="28"/>
                <w:highlight w:val="none"/>
              </w:rPr>
            </w:pPr>
          </w:p>
          <w:p w14:paraId="759C71E3">
            <w:pPr>
              <w:shd w:val="clear"/>
              <w:spacing w:line="52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2713D75B">
            <w:pPr>
              <w:shd w:val="clear"/>
              <w:spacing w:line="540" w:lineRule="exact"/>
              <w:jc w:val="right"/>
              <w:rPr>
                <w:rFonts w:ascii="宋体" w:cs="宋体"/>
                <w:color w:val="auto"/>
                <w:sz w:val="28"/>
                <w:szCs w:val="28"/>
                <w:highlight w:val="none"/>
              </w:rPr>
            </w:pPr>
            <w:r>
              <w:rPr>
                <w:rFonts w:hint="eastAsia" w:ascii="宋体" w:cs="宋体"/>
                <w:color w:val="auto"/>
                <w:sz w:val="28"/>
                <w:szCs w:val="28"/>
                <w:highlight w:val="none"/>
              </w:rPr>
              <w:t>2025年</w:t>
            </w:r>
            <w:r>
              <w:rPr>
                <w:rFonts w:hint="eastAsia" w:ascii="宋体" w:cs="宋体"/>
                <w:color w:val="auto"/>
                <w:sz w:val="28"/>
                <w:szCs w:val="28"/>
                <w:highlight w:val="none"/>
                <w:lang w:val="en-US" w:eastAsia="zh-CN"/>
              </w:rPr>
              <w:t>10</w:t>
            </w:r>
            <w:r>
              <w:rPr>
                <w:rFonts w:hint="eastAsia" w:ascii="宋体" w:cs="宋体"/>
                <w:color w:val="auto"/>
                <w:sz w:val="28"/>
                <w:szCs w:val="28"/>
                <w:highlight w:val="none"/>
              </w:rPr>
              <w:t>月</w:t>
            </w:r>
          </w:p>
        </w:tc>
      </w:tr>
    </w:tbl>
    <w:p w14:paraId="0BE82A75">
      <w:pPr>
        <w:shd w:val="clea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0000000000000000000"/>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20B05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507BB">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7165">
    <w:pPr>
      <w:pStyle w:val="23"/>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20A7A2">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20A7A2">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36D38">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6D74">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B7E2E"/>
    <w:multiLevelType w:val="singleLevel"/>
    <w:tmpl w:val="D66B7E2E"/>
    <w:lvl w:ilvl="0" w:tentative="0">
      <w:start w:val="1"/>
      <w:numFmt w:val="decimal"/>
      <w:suff w:val="nothing"/>
      <w:lvlText w:val="%1、"/>
      <w:lvlJc w:val="left"/>
    </w:lvl>
  </w:abstractNum>
  <w:abstractNum w:abstractNumId="1">
    <w:nsid w:val="00000005"/>
    <w:multiLevelType w:val="multilevel"/>
    <w:tmpl w:val="00000005"/>
    <w:lvl w:ilvl="0" w:tentative="0">
      <w:start w:val="1"/>
      <w:numFmt w:val="chineseCountingThousand"/>
      <w:pStyle w:val="102"/>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decimal"/>
      <w:pStyle w:val="9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10"/>
    <w:multiLevelType w:val="multilevel"/>
    <w:tmpl w:val="00000010"/>
    <w:lvl w:ilvl="0" w:tentative="0">
      <w:start w:val="1"/>
      <w:numFmt w:val="decimal"/>
      <w:pStyle w:val="11"/>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7">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EB7576"/>
    <w:multiLevelType w:val="singleLevel"/>
    <w:tmpl w:val="00EB7576"/>
    <w:lvl w:ilvl="0" w:tentative="0">
      <w:start w:val="10"/>
      <w:numFmt w:val="decimal"/>
      <w:suff w:val="nothing"/>
      <w:lvlText w:val="（%1）"/>
      <w:lvlJc w:val="left"/>
    </w:lvl>
  </w:abstractNum>
  <w:abstractNum w:abstractNumId="9">
    <w:nsid w:val="78460BCF"/>
    <w:multiLevelType w:val="singleLevel"/>
    <w:tmpl w:val="78460BCF"/>
    <w:lvl w:ilvl="0" w:tentative="0">
      <w:start w:val="4"/>
      <w:numFmt w:val="chineseCounting"/>
      <w:suff w:val="space"/>
      <w:lvlText w:val="第%1章"/>
      <w:lvlJc w:val="left"/>
      <w:rPr>
        <w:rFonts w:hint="eastAsia"/>
      </w:r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6"/>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77F31"/>
    <w:rsid w:val="0069368B"/>
    <w:rsid w:val="0074554D"/>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C5855"/>
    <w:rsid w:val="00AF40A6"/>
    <w:rsid w:val="00AF43B5"/>
    <w:rsid w:val="00B41BDC"/>
    <w:rsid w:val="00B45701"/>
    <w:rsid w:val="00B502D3"/>
    <w:rsid w:val="00B627A9"/>
    <w:rsid w:val="00B77363"/>
    <w:rsid w:val="00B84EF4"/>
    <w:rsid w:val="00B8500A"/>
    <w:rsid w:val="00BF0751"/>
    <w:rsid w:val="00C069E8"/>
    <w:rsid w:val="00C24AE6"/>
    <w:rsid w:val="00C2723E"/>
    <w:rsid w:val="00C57688"/>
    <w:rsid w:val="00C9047B"/>
    <w:rsid w:val="00CD391E"/>
    <w:rsid w:val="00CD4DF4"/>
    <w:rsid w:val="00CF1FFF"/>
    <w:rsid w:val="00D24FF0"/>
    <w:rsid w:val="00D25ACB"/>
    <w:rsid w:val="00D46C3D"/>
    <w:rsid w:val="00D50329"/>
    <w:rsid w:val="00D651BA"/>
    <w:rsid w:val="00DD6A62"/>
    <w:rsid w:val="00DD75A2"/>
    <w:rsid w:val="00E4156B"/>
    <w:rsid w:val="00E6284A"/>
    <w:rsid w:val="00E700A9"/>
    <w:rsid w:val="00E70847"/>
    <w:rsid w:val="00E87AA3"/>
    <w:rsid w:val="00F13E63"/>
    <w:rsid w:val="00F21540"/>
    <w:rsid w:val="00F768E1"/>
    <w:rsid w:val="00FC3E1B"/>
    <w:rsid w:val="00FF16F3"/>
    <w:rsid w:val="016947F9"/>
    <w:rsid w:val="016E2F6B"/>
    <w:rsid w:val="01826A17"/>
    <w:rsid w:val="01CB7DA6"/>
    <w:rsid w:val="01D9415D"/>
    <w:rsid w:val="01DA5E9C"/>
    <w:rsid w:val="01DB6127"/>
    <w:rsid w:val="01DE01EE"/>
    <w:rsid w:val="0219028B"/>
    <w:rsid w:val="022E6257"/>
    <w:rsid w:val="023850C1"/>
    <w:rsid w:val="02477318"/>
    <w:rsid w:val="0255285E"/>
    <w:rsid w:val="026B1259"/>
    <w:rsid w:val="02827B99"/>
    <w:rsid w:val="029F2E1F"/>
    <w:rsid w:val="02BC3AEB"/>
    <w:rsid w:val="02D079EE"/>
    <w:rsid w:val="02E1227E"/>
    <w:rsid w:val="02E54D69"/>
    <w:rsid w:val="02F254D6"/>
    <w:rsid w:val="02F53218"/>
    <w:rsid w:val="030355FF"/>
    <w:rsid w:val="0341645D"/>
    <w:rsid w:val="035241C7"/>
    <w:rsid w:val="037E320E"/>
    <w:rsid w:val="038A570F"/>
    <w:rsid w:val="039C407F"/>
    <w:rsid w:val="039E11BA"/>
    <w:rsid w:val="03A2514E"/>
    <w:rsid w:val="03B409DD"/>
    <w:rsid w:val="03C03826"/>
    <w:rsid w:val="03C30C20"/>
    <w:rsid w:val="03D1158F"/>
    <w:rsid w:val="03D96696"/>
    <w:rsid w:val="03DB41BC"/>
    <w:rsid w:val="03EF7C67"/>
    <w:rsid w:val="03FE7EAB"/>
    <w:rsid w:val="041C543C"/>
    <w:rsid w:val="04221DEB"/>
    <w:rsid w:val="04435676"/>
    <w:rsid w:val="044E498E"/>
    <w:rsid w:val="04651CD8"/>
    <w:rsid w:val="046A5576"/>
    <w:rsid w:val="04754611"/>
    <w:rsid w:val="048760F2"/>
    <w:rsid w:val="04A942BA"/>
    <w:rsid w:val="04AB3862"/>
    <w:rsid w:val="04BF3332"/>
    <w:rsid w:val="04ED2C18"/>
    <w:rsid w:val="04F01EE9"/>
    <w:rsid w:val="04F76DD4"/>
    <w:rsid w:val="05085485"/>
    <w:rsid w:val="050B6D23"/>
    <w:rsid w:val="053242B0"/>
    <w:rsid w:val="05373674"/>
    <w:rsid w:val="053E4A03"/>
    <w:rsid w:val="05455577"/>
    <w:rsid w:val="05465FAD"/>
    <w:rsid w:val="054B0F4A"/>
    <w:rsid w:val="058F1702"/>
    <w:rsid w:val="05A351AD"/>
    <w:rsid w:val="05DE3CE5"/>
    <w:rsid w:val="05E82BC0"/>
    <w:rsid w:val="05F477B7"/>
    <w:rsid w:val="061816F7"/>
    <w:rsid w:val="062278D0"/>
    <w:rsid w:val="06370ACC"/>
    <w:rsid w:val="06624721"/>
    <w:rsid w:val="06632AA3"/>
    <w:rsid w:val="067A13EB"/>
    <w:rsid w:val="06836B5F"/>
    <w:rsid w:val="06A55ADF"/>
    <w:rsid w:val="06A64F55"/>
    <w:rsid w:val="06C453DB"/>
    <w:rsid w:val="06D82C35"/>
    <w:rsid w:val="06DA075B"/>
    <w:rsid w:val="06F224DF"/>
    <w:rsid w:val="06F9554A"/>
    <w:rsid w:val="070659F4"/>
    <w:rsid w:val="0721282E"/>
    <w:rsid w:val="07371FAF"/>
    <w:rsid w:val="075239E7"/>
    <w:rsid w:val="07750484"/>
    <w:rsid w:val="07794418"/>
    <w:rsid w:val="0788465B"/>
    <w:rsid w:val="07950B26"/>
    <w:rsid w:val="07AD2313"/>
    <w:rsid w:val="07B611C8"/>
    <w:rsid w:val="07B76CEE"/>
    <w:rsid w:val="07E0529D"/>
    <w:rsid w:val="07ED2710"/>
    <w:rsid w:val="07F613C5"/>
    <w:rsid w:val="08140B8B"/>
    <w:rsid w:val="08143A40"/>
    <w:rsid w:val="081E6D6D"/>
    <w:rsid w:val="082779ED"/>
    <w:rsid w:val="08293B60"/>
    <w:rsid w:val="082C4FE6"/>
    <w:rsid w:val="08362309"/>
    <w:rsid w:val="08395955"/>
    <w:rsid w:val="084A1910"/>
    <w:rsid w:val="084F5934"/>
    <w:rsid w:val="085D1644"/>
    <w:rsid w:val="08607386"/>
    <w:rsid w:val="08713341"/>
    <w:rsid w:val="0873089C"/>
    <w:rsid w:val="088A4403"/>
    <w:rsid w:val="088A5A8D"/>
    <w:rsid w:val="08A13C26"/>
    <w:rsid w:val="08BF40AC"/>
    <w:rsid w:val="08C07429"/>
    <w:rsid w:val="08D35DAA"/>
    <w:rsid w:val="08D51B22"/>
    <w:rsid w:val="08E27D9B"/>
    <w:rsid w:val="08E92ED7"/>
    <w:rsid w:val="08EE00FD"/>
    <w:rsid w:val="08FA50E4"/>
    <w:rsid w:val="092B6141"/>
    <w:rsid w:val="0935241C"/>
    <w:rsid w:val="09524F20"/>
    <w:rsid w:val="097035F9"/>
    <w:rsid w:val="099217C1"/>
    <w:rsid w:val="09963123"/>
    <w:rsid w:val="09981838"/>
    <w:rsid w:val="09B5283E"/>
    <w:rsid w:val="09C166B7"/>
    <w:rsid w:val="09C851E3"/>
    <w:rsid w:val="09CB469C"/>
    <w:rsid w:val="09CF3948"/>
    <w:rsid w:val="09D678FF"/>
    <w:rsid w:val="09E71B0D"/>
    <w:rsid w:val="09EF44EC"/>
    <w:rsid w:val="09F14739"/>
    <w:rsid w:val="0A03621B"/>
    <w:rsid w:val="0A2D3F49"/>
    <w:rsid w:val="0A4708C9"/>
    <w:rsid w:val="0A8712AB"/>
    <w:rsid w:val="0AA04DDE"/>
    <w:rsid w:val="0AB12DCE"/>
    <w:rsid w:val="0AB45767"/>
    <w:rsid w:val="0AC43BFC"/>
    <w:rsid w:val="0AD16319"/>
    <w:rsid w:val="0AD96F7B"/>
    <w:rsid w:val="0AEC4F01"/>
    <w:rsid w:val="0AF3628F"/>
    <w:rsid w:val="0B343101"/>
    <w:rsid w:val="0B4B60CB"/>
    <w:rsid w:val="0B627EDA"/>
    <w:rsid w:val="0B704808"/>
    <w:rsid w:val="0B982B0E"/>
    <w:rsid w:val="0BA94BA0"/>
    <w:rsid w:val="0BAB31B1"/>
    <w:rsid w:val="0BAF62FB"/>
    <w:rsid w:val="0BC66C7D"/>
    <w:rsid w:val="0BED3778"/>
    <w:rsid w:val="0C232BA4"/>
    <w:rsid w:val="0C2A577B"/>
    <w:rsid w:val="0C2D26E3"/>
    <w:rsid w:val="0C373ADB"/>
    <w:rsid w:val="0C37733F"/>
    <w:rsid w:val="0C3856AB"/>
    <w:rsid w:val="0C3C5A14"/>
    <w:rsid w:val="0C4274CE"/>
    <w:rsid w:val="0C6952DD"/>
    <w:rsid w:val="0CAD06C0"/>
    <w:rsid w:val="0CC53C5B"/>
    <w:rsid w:val="0CDB7B95"/>
    <w:rsid w:val="0CE95B9C"/>
    <w:rsid w:val="0CEA5470"/>
    <w:rsid w:val="0D077DD0"/>
    <w:rsid w:val="0D2B61B4"/>
    <w:rsid w:val="0D3E4B53"/>
    <w:rsid w:val="0D467F7C"/>
    <w:rsid w:val="0D6B65B1"/>
    <w:rsid w:val="0D8544BC"/>
    <w:rsid w:val="0DA20C83"/>
    <w:rsid w:val="0DA707B9"/>
    <w:rsid w:val="0DE01542"/>
    <w:rsid w:val="0DF2282E"/>
    <w:rsid w:val="0DFD3DA4"/>
    <w:rsid w:val="0E24538F"/>
    <w:rsid w:val="0E46735F"/>
    <w:rsid w:val="0E4969BD"/>
    <w:rsid w:val="0E5928AD"/>
    <w:rsid w:val="0E5B4877"/>
    <w:rsid w:val="0E707BF7"/>
    <w:rsid w:val="0E7D0D45"/>
    <w:rsid w:val="0E8611C8"/>
    <w:rsid w:val="0E975183"/>
    <w:rsid w:val="0EAD1661"/>
    <w:rsid w:val="0EBE21D3"/>
    <w:rsid w:val="0EBF7B36"/>
    <w:rsid w:val="0EC51CF1"/>
    <w:rsid w:val="0ECC307F"/>
    <w:rsid w:val="0F0C791F"/>
    <w:rsid w:val="0F1A6FD6"/>
    <w:rsid w:val="0F4E7F38"/>
    <w:rsid w:val="0F891446"/>
    <w:rsid w:val="0F9A13CF"/>
    <w:rsid w:val="0F9B000F"/>
    <w:rsid w:val="0F9D2C6D"/>
    <w:rsid w:val="0FB747DD"/>
    <w:rsid w:val="0FC91CB4"/>
    <w:rsid w:val="0FD10D03"/>
    <w:rsid w:val="0FD710A5"/>
    <w:rsid w:val="0FD77F2D"/>
    <w:rsid w:val="0FD83CA6"/>
    <w:rsid w:val="10131364"/>
    <w:rsid w:val="101822F4"/>
    <w:rsid w:val="10262C63"/>
    <w:rsid w:val="105B218F"/>
    <w:rsid w:val="10616837"/>
    <w:rsid w:val="107E794C"/>
    <w:rsid w:val="10857989"/>
    <w:rsid w:val="10AC25CA"/>
    <w:rsid w:val="10B4201D"/>
    <w:rsid w:val="10CA7A92"/>
    <w:rsid w:val="10EF574B"/>
    <w:rsid w:val="10F845FF"/>
    <w:rsid w:val="110C1E59"/>
    <w:rsid w:val="110D0173"/>
    <w:rsid w:val="11125CD9"/>
    <w:rsid w:val="111D5E14"/>
    <w:rsid w:val="112951FE"/>
    <w:rsid w:val="11317B11"/>
    <w:rsid w:val="113F7E2B"/>
    <w:rsid w:val="116E6670"/>
    <w:rsid w:val="117A3C75"/>
    <w:rsid w:val="11826A7D"/>
    <w:rsid w:val="118616F9"/>
    <w:rsid w:val="11904838"/>
    <w:rsid w:val="11A6405B"/>
    <w:rsid w:val="11B83956"/>
    <w:rsid w:val="11C40985"/>
    <w:rsid w:val="11CC786A"/>
    <w:rsid w:val="11E93F48"/>
    <w:rsid w:val="11EC68FB"/>
    <w:rsid w:val="11F03528"/>
    <w:rsid w:val="12046FD4"/>
    <w:rsid w:val="121420F8"/>
    <w:rsid w:val="12214445"/>
    <w:rsid w:val="12273D08"/>
    <w:rsid w:val="12324FEA"/>
    <w:rsid w:val="123D2FB3"/>
    <w:rsid w:val="124538DB"/>
    <w:rsid w:val="125067AE"/>
    <w:rsid w:val="12637655"/>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C06B9F"/>
    <w:rsid w:val="13CD2CC1"/>
    <w:rsid w:val="140B464A"/>
    <w:rsid w:val="140C4736"/>
    <w:rsid w:val="140D6614"/>
    <w:rsid w:val="14172FEE"/>
    <w:rsid w:val="14364B2C"/>
    <w:rsid w:val="1438503B"/>
    <w:rsid w:val="144933C4"/>
    <w:rsid w:val="145F3F52"/>
    <w:rsid w:val="14694230"/>
    <w:rsid w:val="14720C0D"/>
    <w:rsid w:val="147D0BDA"/>
    <w:rsid w:val="14860A3B"/>
    <w:rsid w:val="14972381"/>
    <w:rsid w:val="14AA2FD3"/>
    <w:rsid w:val="14B06F9F"/>
    <w:rsid w:val="14B52807"/>
    <w:rsid w:val="14B62AB7"/>
    <w:rsid w:val="14BA1BCC"/>
    <w:rsid w:val="14C724CE"/>
    <w:rsid w:val="14CA5427"/>
    <w:rsid w:val="14DA6A78"/>
    <w:rsid w:val="14DD669C"/>
    <w:rsid w:val="14DE1D5E"/>
    <w:rsid w:val="14E07884"/>
    <w:rsid w:val="14E16407"/>
    <w:rsid w:val="14EA0703"/>
    <w:rsid w:val="150572EB"/>
    <w:rsid w:val="150A448F"/>
    <w:rsid w:val="150C68CB"/>
    <w:rsid w:val="152229F1"/>
    <w:rsid w:val="154461CC"/>
    <w:rsid w:val="15597637"/>
    <w:rsid w:val="15804BC3"/>
    <w:rsid w:val="15BD23EA"/>
    <w:rsid w:val="15C9430D"/>
    <w:rsid w:val="15D373E9"/>
    <w:rsid w:val="15E213DA"/>
    <w:rsid w:val="15E52C78"/>
    <w:rsid w:val="16210154"/>
    <w:rsid w:val="1633342F"/>
    <w:rsid w:val="164E6A70"/>
    <w:rsid w:val="16683008"/>
    <w:rsid w:val="168E3310"/>
    <w:rsid w:val="16A36DBB"/>
    <w:rsid w:val="16A50D85"/>
    <w:rsid w:val="16B81E85"/>
    <w:rsid w:val="16CF7F44"/>
    <w:rsid w:val="16F94C2D"/>
    <w:rsid w:val="16FE3FF2"/>
    <w:rsid w:val="171323AA"/>
    <w:rsid w:val="173B5246"/>
    <w:rsid w:val="17B63456"/>
    <w:rsid w:val="17F2764F"/>
    <w:rsid w:val="1833416F"/>
    <w:rsid w:val="18524B4C"/>
    <w:rsid w:val="185C36C6"/>
    <w:rsid w:val="18737F6A"/>
    <w:rsid w:val="187D1E98"/>
    <w:rsid w:val="187D53EA"/>
    <w:rsid w:val="18A817AE"/>
    <w:rsid w:val="18B21538"/>
    <w:rsid w:val="18BB7749"/>
    <w:rsid w:val="18C44192"/>
    <w:rsid w:val="18D9512F"/>
    <w:rsid w:val="18ED431E"/>
    <w:rsid w:val="18F558C8"/>
    <w:rsid w:val="18F877F3"/>
    <w:rsid w:val="1901601B"/>
    <w:rsid w:val="19070275"/>
    <w:rsid w:val="19106B6F"/>
    <w:rsid w:val="19235F91"/>
    <w:rsid w:val="193C7053"/>
    <w:rsid w:val="193F7C64"/>
    <w:rsid w:val="196C36C2"/>
    <w:rsid w:val="196D1903"/>
    <w:rsid w:val="19724162"/>
    <w:rsid w:val="198F1879"/>
    <w:rsid w:val="19B47531"/>
    <w:rsid w:val="19C214C4"/>
    <w:rsid w:val="19F70AC5"/>
    <w:rsid w:val="19F85670"/>
    <w:rsid w:val="19F94F44"/>
    <w:rsid w:val="1A1324AA"/>
    <w:rsid w:val="1A2B77F4"/>
    <w:rsid w:val="1A2F16BB"/>
    <w:rsid w:val="1A501008"/>
    <w:rsid w:val="1A766595"/>
    <w:rsid w:val="1A8C59F8"/>
    <w:rsid w:val="1AA57FC0"/>
    <w:rsid w:val="1AAC1FB7"/>
    <w:rsid w:val="1AAE61FB"/>
    <w:rsid w:val="1AB01AA7"/>
    <w:rsid w:val="1AB23324"/>
    <w:rsid w:val="1ADF554D"/>
    <w:rsid w:val="1AED13C7"/>
    <w:rsid w:val="1B1069E9"/>
    <w:rsid w:val="1B193AF0"/>
    <w:rsid w:val="1B2D30F7"/>
    <w:rsid w:val="1B7747F3"/>
    <w:rsid w:val="1B79254B"/>
    <w:rsid w:val="1B972C67"/>
    <w:rsid w:val="1BA55384"/>
    <w:rsid w:val="1BD712B5"/>
    <w:rsid w:val="1BDD4B1E"/>
    <w:rsid w:val="1BE76F28"/>
    <w:rsid w:val="1C177904"/>
    <w:rsid w:val="1C284B16"/>
    <w:rsid w:val="1C5A26D3"/>
    <w:rsid w:val="1C5D0DA4"/>
    <w:rsid w:val="1C5F6917"/>
    <w:rsid w:val="1C6F5742"/>
    <w:rsid w:val="1C76287C"/>
    <w:rsid w:val="1C872925"/>
    <w:rsid w:val="1C9E0082"/>
    <w:rsid w:val="1CA613B3"/>
    <w:rsid w:val="1CAA693B"/>
    <w:rsid w:val="1CB14442"/>
    <w:rsid w:val="1CC66428"/>
    <w:rsid w:val="1CC80B99"/>
    <w:rsid w:val="1CCB0E1A"/>
    <w:rsid w:val="1D0113C9"/>
    <w:rsid w:val="1D0A2DA7"/>
    <w:rsid w:val="1D1140B4"/>
    <w:rsid w:val="1D2B18B9"/>
    <w:rsid w:val="1D3E783E"/>
    <w:rsid w:val="1D630F86"/>
    <w:rsid w:val="1D7019C1"/>
    <w:rsid w:val="1D752B34"/>
    <w:rsid w:val="1D7E5E8C"/>
    <w:rsid w:val="1D836591"/>
    <w:rsid w:val="1DB55626"/>
    <w:rsid w:val="1DB7314C"/>
    <w:rsid w:val="1DC15D79"/>
    <w:rsid w:val="1DC53ABB"/>
    <w:rsid w:val="1DC85AE6"/>
    <w:rsid w:val="1DDB503E"/>
    <w:rsid w:val="1DE84D03"/>
    <w:rsid w:val="1DE85A9D"/>
    <w:rsid w:val="1DF13B3B"/>
    <w:rsid w:val="1E0E2B0B"/>
    <w:rsid w:val="1E1660C5"/>
    <w:rsid w:val="1E205195"/>
    <w:rsid w:val="1E276322"/>
    <w:rsid w:val="1E5170FD"/>
    <w:rsid w:val="1E5F2F8D"/>
    <w:rsid w:val="1E650DFA"/>
    <w:rsid w:val="1E982F7E"/>
    <w:rsid w:val="1EAC45D3"/>
    <w:rsid w:val="1EC71AB5"/>
    <w:rsid w:val="1ECF4FD3"/>
    <w:rsid w:val="1ED0096A"/>
    <w:rsid w:val="1ED7455A"/>
    <w:rsid w:val="1EDB6610"/>
    <w:rsid w:val="1EF34658"/>
    <w:rsid w:val="1F02489B"/>
    <w:rsid w:val="1F095D51"/>
    <w:rsid w:val="1F0E1553"/>
    <w:rsid w:val="1F132604"/>
    <w:rsid w:val="1F242A63"/>
    <w:rsid w:val="1F2627EB"/>
    <w:rsid w:val="1F294332"/>
    <w:rsid w:val="1F2A62AD"/>
    <w:rsid w:val="1F3233D2"/>
    <w:rsid w:val="1F4804CC"/>
    <w:rsid w:val="1FB61E22"/>
    <w:rsid w:val="1FEB1DE0"/>
    <w:rsid w:val="1FEF6DB8"/>
    <w:rsid w:val="1FF64400"/>
    <w:rsid w:val="200D799B"/>
    <w:rsid w:val="201E4F4F"/>
    <w:rsid w:val="2024414B"/>
    <w:rsid w:val="20256A93"/>
    <w:rsid w:val="20384A18"/>
    <w:rsid w:val="20390790"/>
    <w:rsid w:val="203F5E7C"/>
    <w:rsid w:val="204A474C"/>
    <w:rsid w:val="205055EF"/>
    <w:rsid w:val="20583FFA"/>
    <w:rsid w:val="206C46C2"/>
    <w:rsid w:val="20976AB4"/>
    <w:rsid w:val="20A81514"/>
    <w:rsid w:val="20AB6760"/>
    <w:rsid w:val="20B16579"/>
    <w:rsid w:val="20C95670"/>
    <w:rsid w:val="20D358CD"/>
    <w:rsid w:val="20D65FDF"/>
    <w:rsid w:val="20E85D1A"/>
    <w:rsid w:val="210055F8"/>
    <w:rsid w:val="21052421"/>
    <w:rsid w:val="211508B6"/>
    <w:rsid w:val="2126121F"/>
    <w:rsid w:val="216B1A91"/>
    <w:rsid w:val="217B0F40"/>
    <w:rsid w:val="218A192D"/>
    <w:rsid w:val="21A972E1"/>
    <w:rsid w:val="21BF0821"/>
    <w:rsid w:val="21DE60F4"/>
    <w:rsid w:val="21F816C1"/>
    <w:rsid w:val="221C5C74"/>
    <w:rsid w:val="222B0959"/>
    <w:rsid w:val="222F1E4B"/>
    <w:rsid w:val="2240564F"/>
    <w:rsid w:val="224F6049"/>
    <w:rsid w:val="22575E31"/>
    <w:rsid w:val="22816594"/>
    <w:rsid w:val="22A00653"/>
    <w:rsid w:val="22A52EFA"/>
    <w:rsid w:val="22A567AC"/>
    <w:rsid w:val="22A77054"/>
    <w:rsid w:val="22AA3280"/>
    <w:rsid w:val="22BD2FB3"/>
    <w:rsid w:val="22C04851"/>
    <w:rsid w:val="22CB1F7F"/>
    <w:rsid w:val="22CC31F6"/>
    <w:rsid w:val="22D43C96"/>
    <w:rsid w:val="22DB5B2F"/>
    <w:rsid w:val="22EC6903"/>
    <w:rsid w:val="22FB3ADB"/>
    <w:rsid w:val="23076924"/>
    <w:rsid w:val="2318468D"/>
    <w:rsid w:val="23214B81"/>
    <w:rsid w:val="23250B58"/>
    <w:rsid w:val="23287A3B"/>
    <w:rsid w:val="234C2589"/>
    <w:rsid w:val="234E0C74"/>
    <w:rsid w:val="235D595F"/>
    <w:rsid w:val="2366667A"/>
    <w:rsid w:val="236773C3"/>
    <w:rsid w:val="236B1B92"/>
    <w:rsid w:val="23725A46"/>
    <w:rsid w:val="239F4DAE"/>
    <w:rsid w:val="23A75A11"/>
    <w:rsid w:val="23D46034"/>
    <w:rsid w:val="23DD1433"/>
    <w:rsid w:val="23ED1676"/>
    <w:rsid w:val="23EF1892"/>
    <w:rsid w:val="23F37F14"/>
    <w:rsid w:val="23F956E8"/>
    <w:rsid w:val="23FA0237"/>
    <w:rsid w:val="24015121"/>
    <w:rsid w:val="24264B88"/>
    <w:rsid w:val="24305A06"/>
    <w:rsid w:val="2447702E"/>
    <w:rsid w:val="24765B0F"/>
    <w:rsid w:val="247C0C4C"/>
    <w:rsid w:val="247C50B5"/>
    <w:rsid w:val="248F4E23"/>
    <w:rsid w:val="249B0281"/>
    <w:rsid w:val="24A55645"/>
    <w:rsid w:val="24C22B02"/>
    <w:rsid w:val="24D570AE"/>
    <w:rsid w:val="24D6035C"/>
    <w:rsid w:val="24E01EF1"/>
    <w:rsid w:val="24E2777A"/>
    <w:rsid w:val="24F51DFC"/>
    <w:rsid w:val="250C30B2"/>
    <w:rsid w:val="25423C43"/>
    <w:rsid w:val="256B13EC"/>
    <w:rsid w:val="25924268"/>
    <w:rsid w:val="25E67FEE"/>
    <w:rsid w:val="25F3318F"/>
    <w:rsid w:val="260D33F7"/>
    <w:rsid w:val="2629095F"/>
    <w:rsid w:val="26355556"/>
    <w:rsid w:val="263B7010"/>
    <w:rsid w:val="263C7979"/>
    <w:rsid w:val="264B2FCC"/>
    <w:rsid w:val="264E5249"/>
    <w:rsid w:val="2650413E"/>
    <w:rsid w:val="265359DC"/>
    <w:rsid w:val="26551754"/>
    <w:rsid w:val="26712A32"/>
    <w:rsid w:val="26834513"/>
    <w:rsid w:val="26A10E3D"/>
    <w:rsid w:val="26AC3A6A"/>
    <w:rsid w:val="26B96187"/>
    <w:rsid w:val="26BE763B"/>
    <w:rsid w:val="26E730BC"/>
    <w:rsid w:val="270135A4"/>
    <w:rsid w:val="27090EBD"/>
    <w:rsid w:val="271635D9"/>
    <w:rsid w:val="2751016E"/>
    <w:rsid w:val="279F3713"/>
    <w:rsid w:val="27B84691"/>
    <w:rsid w:val="27BD1CA7"/>
    <w:rsid w:val="27C923FA"/>
    <w:rsid w:val="27CA464D"/>
    <w:rsid w:val="27CB7F20"/>
    <w:rsid w:val="27E91720"/>
    <w:rsid w:val="27F136A9"/>
    <w:rsid w:val="27F21934"/>
    <w:rsid w:val="27F6382B"/>
    <w:rsid w:val="27FD20A3"/>
    <w:rsid w:val="280F14ED"/>
    <w:rsid w:val="280F3776"/>
    <w:rsid w:val="281C4C20"/>
    <w:rsid w:val="28527CD1"/>
    <w:rsid w:val="287C7ABF"/>
    <w:rsid w:val="28844573"/>
    <w:rsid w:val="28AA3FD9"/>
    <w:rsid w:val="28C52BC1"/>
    <w:rsid w:val="28D472A8"/>
    <w:rsid w:val="28E9787B"/>
    <w:rsid w:val="28F205C1"/>
    <w:rsid w:val="29441132"/>
    <w:rsid w:val="29890753"/>
    <w:rsid w:val="298962E5"/>
    <w:rsid w:val="29934A6D"/>
    <w:rsid w:val="29B50E88"/>
    <w:rsid w:val="29B72649"/>
    <w:rsid w:val="29BC1AE3"/>
    <w:rsid w:val="29CD1E2A"/>
    <w:rsid w:val="29CF7F37"/>
    <w:rsid w:val="2A0C29B8"/>
    <w:rsid w:val="2A0E5104"/>
    <w:rsid w:val="2A131C98"/>
    <w:rsid w:val="2A1F09F7"/>
    <w:rsid w:val="2A570E85"/>
    <w:rsid w:val="2A830F86"/>
    <w:rsid w:val="2A8745B6"/>
    <w:rsid w:val="2A922F77"/>
    <w:rsid w:val="2A9860B3"/>
    <w:rsid w:val="2A9A1E2C"/>
    <w:rsid w:val="2A9F5694"/>
    <w:rsid w:val="2AA23A25"/>
    <w:rsid w:val="2AAA6513"/>
    <w:rsid w:val="2AD15C14"/>
    <w:rsid w:val="2AE71AF4"/>
    <w:rsid w:val="2B045837"/>
    <w:rsid w:val="2B07429B"/>
    <w:rsid w:val="2B0D0850"/>
    <w:rsid w:val="2B154372"/>
    <w:rsid w:val="2B230073"/>
    <w:rsid w:val="2B520958"/>
    <w:rsid w:val="2B634913"/>
    <w:rsid w:val="2B85488A"/>
    <w:rsid w:val="2BA07916"/>
    <w:rsid w:val="2BEC2B5B"/>
    <w:rsid w:val="2BFF63EA"/>
    <w:rsid w:val="2C002162"/>
    <w:rsid w:val="2C063C1D"/>
    <w:rsid w:val="2C246995"/>
    <w:rsid w:val="2C3562B0"/>
    <w:rsid w:val="2C385DA0"/>
    <w:rsid w:val="2C4944EB"/>
    <w:rsid w:val="2C4B162F"/>
    <w:rsid w:val="2C5D1363"/>
    <w:rsid w:val="2C5F50DB"/>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7C1CBC"/>
    <w:rsid w:val="2D8017AD"/>
    <w:rsid w:val="2D8868B3"/>
    <w:rsid w:val="2DAC4350"/>
    <w:rsid w:val="2E0F1AF1"/>
    <w:rsid w:val="2E1755ED"/>
    <w:rsid w:val="2E3A7BAD"/>
    <w:rsid w:val="2E56250D"/>
    <w:rsid w:val="2E623354"/>
    <w:rsid w:val="2E6A4E27"/>
    <w:rsid w:val="2E7806D6"/>
    <w:rsid w:val="2E876B6B"/>
    <w:rsid w:val="2E9B12B3"/>
    <w:rsid w:val="2ED33B5E"/>
    <w:rsid w:val="2EDA313F"/>
    <w:rsid w:val="2EE53D89"/>
    <w:rsid w:val="2EEC10D1"/>
    <w:rsid w:val="2EFA733D"/>
    <w:rsid w:val="2F030EDA"/>
    <w:rsid w:val="2F0412C1"/>
    <w:rsid w:val="2F171C9D"/>
    <w:rsid w:val="2F202F46"/>
    <w:rsid w:val="2F2E6FE6"/>
    <w:rsid w:val="2F43007A"/>
    <w:rsid w:val="2F47268D"/>
    <w:rsid w:val="2F484F80"/>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C85944"/>
    <w:rsid w:val="30D95A3C"/>
    <w:rsid w:val="30E12562"/>
    <w:rsid w:val="30E84AF7"/>
    <w:rsid w:val="31103BE8"/>
    <w:rsid w:val="31490108"/>
    <w:rsid w:val="315736D8"/>
    <w:rsid w:val="3166515D"/>
    <w:rsid w:val="31684A32"/>
    <w:rsid w:val="317403C7"/>
    <w:rsid w:val="3179559F"/>
    <w:rsid w:val="317E6003"/>
    <w:rsid w:val="319B6BB5"/>
    <w:rsid w:val="31A1154D"/>
    <w:rsid w:val="31A17F44"/>
    <w:rsid w:val="31AD053C"/>
    <w:rsid w:val="31CB6D6E"/>
    <w:rsid w:val="31D64091"/>
    <w:rsid w:val="31DE2F46"/>
    <w:rsid w:val="31E340B8"/>
    <w:rsid w:val="32056724"/>
    <w:rsid w:val="320B1E88"/>
    <w:rsid w:val="3220530C"/>
    <w:rsid w:val="325B29A2"/>
    <w:rsid w:val="3268280F"/>
    <w:rsid w:val="32690A61"/>
    <w:rsid w:val="326D226F"/>
    <w:rsid w:val="32755BEE"/>
    <w:rsid w:val="32774ADB"/>
    <w:rsid w:val="32785148"/>
    <w:rsid w:val="327B2543"/>
    <w:rsid w:val="327E342C"/>
    <w:rsid w:val="328533C1"/>
    <w:rsid w:val="3296503C"/>
    <w:rsid w:val="32A4546A"/>
    <w:rsid w:val="32B31CDC"/>
    <w:rsid w:val="32ED1980"/>
    <w:rsid w:val="32F1304C"/>
    <w:rsid w:val="32F50547"/>
    <w:rsid w:val="33094881"/>
    <w:rsid w:val="333F3794"/>
    <w:rsid w:val="335A57BD"/>
    <w:rsid w:val="339E5D33"/>
    <w:rsid w:val="33E03C55"/>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D7661"/>
    <w:rsid w:val="34B01E1E"/>
    <w:rsid w:val="34E16FD5"/>
    <w:rsid w:val="34E94961"/>
    <w:rsid w:val="34EA39B0"/>
    <w:rsid w:val="35171719"/>
    <w:rsid w:val="352E7D40"/>
    <w:rsid w:val="354B26A0"/>
    <w:rsid w:val="355F614C"/>
    <w:rsid w:val="357243F8"/>
    <w:rsid w:val="35853917"/>
    <w:rsid w:val="35906305"/>
    <w:rsid w:val="359C73A0"/>
    <w:rsid w:val="35A10512"/>
    <w:rsid w:val="35A26038"/>
    <w:rsid w:val="35AA3A3A"/>
    <w:rsid w:val="35AA4722"/>
    <w:rsid w:val="35CF507F"/>
    <w:rsid w:val="360B340E"/>
    <w:rsid w:val="362D5CD2"/>
    <w:rsid w:val="365E28A7"/>
    <w:rsid w:val="366B14C0"/>
    <w:rsid w:val="369342FF"/>
    <w:rsid w:val="369D456C"/>
    <w:rsid w:val="36A8455A"/>
    <w:rsid w:val="36AE738B"/>
    <w:rsid w:val="36C95F72"/>
    <w:rsid w:val="36DF3C16"/>
    <w:rsid w:val="36E27034"/>
    <w:rsid w:val="36ED1FA3"/>
    <w:rsid w:val="36F36DEE"/>
    <w:rsid w:val="36F6663C"/>
    <w:rsid w:val="370E607B"/>
    <w:rsid w:val="372E4027"/>
    <w:rsid w:val="373F79B1"/>
    <w:rsid w:val="37537F32"/>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2C0A3B"/>
    <w:rsid w:val="39400042"/>
    <w:rsid w:val="39490357"/>
    <w:rsid w:val="397877DC"/>
    <w:rsid w:val="3980288F"/>
    <w:rsid w:val="3999678C"/>
    <w:rsid w:val="39A6259B"/>
    <w:rsid w:val="39D377DB"/>
    <w:rsid w:val="3A223DCB"/>
    <w:rsid w:val="3A3462BA"/>
    <w:rsid w:val="3A58475F"/>
    <w:rsid w:val="3A5E7E93"/>
    <w:rsid w:val="3A6E6C87"/>
    <w:rsid w:val="3AB46F3A"/>
    <w:rsid w:val="3AD13648"/>
    <w:rsid w:val="3AE0388B"/>
    <w:rsid w:val="3B1C0596"/>
    <w:rsid w:val="3B2319C9"/>
    <w:rsid w:val="3B5B1163"/>
    <w:rsid w:val="3B84063D"/>
    <w:rsid w:val="3B8701AA"/>
    <w:rsid w:val="3B8875E3"/>
    <w:rsid w:val="3B955700"/>
    <w:rsid w:val="3BC27434"/>
    <w:rsid w:val="3BC95C98"/>
    <w:rsid w:val="3BCB453B"/>
    <w:rsid w:val="3BD75940"/>
    <w:rsid w:val="3BDD7DCA"/>
    <w:rsid w:val="3BF42260"/>
    <w:rsid w:val="3C265C15"/>
    <w:rsid w:val="3C284C49"/>
    <w:rsid w:val="3C522566"/>
    <w:rsid w:val="3C541BC5"/>
    <w:rsid w:val="3C65673D"/>
    <w:rsid w:val="3C722C08"/>
    <w:rsid w:val="3C7C5F7D"/>
    <w:rsid w:val="3C9506A5"/>
    <w:rsid w:val="3C9C7C85"/>
    <w:rsid w:val="3C9E3DCB"/>
    <w:rsid w:val="3CA31014"/>
    <w:rsid w:val="3CB123E6"/>
    <w:rsid w:val="3CDB6174"/>
    <w:rsid w:val="3D050477"/>
    <w:rsid w:val="3D14341C"/>
    <w:rsid w:val="3D3D4FC4"/>
    <w:rsid w:val="3D404852"/>
    <w:rsid w:val="3D477BF1"/>
    <w:rsid w:val="3D4A76E1"/>
    <w:rsid w:val="3D5D5666"/>
    <w:rsid w:val="3D611ECB"/>
    <w:rsid w:val="3DB668C6"/>
    <w:rsid w:val="3DEB4A20"/>
    <w:rsid w:val="3DF062BF"/>
    <w:rsid w:val="3E0618F6"/>
    <w:rsid w:val="3E0869AC"/>
    <w:rsid w:val="3E246184"/>
    <w:rsid w:val="3E2C6DE7"/>
    <w:rsid w:val="3E3068D7"/>
    <w:rsid w:val="3E32264F"/>
    <w:rsid w:val="3E3E1A04"/>
    <w:rsid w:val="3E53454B"/>
    <w:rsid w:val="3E6F204E"/>
    <w:rsid w:val="3E815973"/>
    <w:rsid w:val="3E88151A"/>
    <w:rsid w:val="3E894239"/>
    <w:rsid w:val="3E8D3D29"/>
    <w:rsid w:val="3E9450B8"/>
    <w:rsid w:val="3EC62D97"/>
    <w:rsid w:val="3F0D6C18"/>
    <w:rsid w:val="3F1735F3"/>
    <w:rsid w:val="3F364D39"/>
    <w:rsid w:val="3F505A98"/>
    <w:rsid w:val="3F6207BA"/>
    <w:rsid w:val="3F7B1DD4"/>
    <w:rsid w:val="3F810615"/>
    <w:rsid w:val="3F843560"/>
    <w:rsid w:val="3F8C5D8F"/>
    <w:rsid w:val="3F8E7D59"/>
    <w:rsid w:val="3F984C13"/>
    <w:rsid w:val="3FA72BC9"/>
    <w:rsid w:val="3FBD063E"/>
    <w:rsid w:val="3FC90D91"/>
    <w:rsid w:val="3FCF3ECE"/>
    <w:rsid w:val="3FD919BA"/>
    <w:rsid w:val="3FDC2B4A"/>
    <w:rsid w:val="3FFD010D"/>
    <w:rsid w:val="400A40D9"/>
    <w:rsid w:val="401A783F"/>
    <w:rsid w:val="401F452F"/>
    <w:rsid w:val="40330901"/>
    <w:rsid w:val="40515724"/>
    <w:rsid w:val="405F16F6"/>
    <w:rsid w:val="408B38B3"/>
    <w:rsid w:val="40B27A77"/>
    <w:rsid w:val="40D338F0"/>
    <w:rsid w:val="40D40AAB"/>
    <w:rsid w:val="40D77011"/>
    <w:rsid w:val="40E90FBF"/>
    <w:rsid w:val="40F40090"/>
    <w:rsid w:val="40FB76BC"/>
    <w:rsid w:val="41036525"/>
    <w:rsid w:val="41072D28"/>
    <w:rsid w:val="41173D7E"/>
    <w:rsid w:val="411E335F"/>
    <w:rsid w:val="412344D1"/>
    <w:rsid w:val="4125450E"/>
    <w:rsid w:val="412973EA"/>
    <w:rsid w:val="417F4A52"/>
    <w:rsid w:val="41AA69A0"/>
    <w:rsid w:val="41B45A71"/>
    <w:rsid w:val="41F71B81"/>
    <w:rsid w:val="42010DBE"/>
    <w:rsid w:val="42044303"/>
    <w:rsid w:val="42075BA1"/>
    <w:rsid w:val="42424E2B"/>
    <w:rsid w:val="426B25D4"/>
    <w:rsid w:val="4278084D"/>
    <w:rsid w:val="428611BC"/>
    <w:rsid w:val="42927B60"/>
    <w:rsid w:val="42BD2703"/>
    <w:rsid w:val="42C27D1A"/>
    <w:rsid w:val="42E04834"/>
    <w:rsid w:val="43140A2D"/>
    <w:rsid w:val="43301127"/>
    <w:rsid w:val="43364990"/>
    <w:rsid w:val="434150E2"/>
    <w:rsid w:val="4355293C"/>
    <w:rsid w:val="4359067E"/>
    <w:rsid w:val="436117D4"/>
    <w:rsid w:val="437049F2"/>
    <w:rsid w:val="43842246"/>
    <w:rsid w:val="43A7763B"/>
    <w:rsid w:val="43B92ECB"/>
    <w:rsid w:val="43BE0166"/>
    <w:rsid w:val="440E3217"/>
    <w:rsid w:val="440F0504"/>
    <w:rsid w:val="4421185F"/>
    <w:rsid w:val="4437557C"/>
    <w:rsid w:val="444C2BC0"/>
    <w:rsid w:val="444F71A2"/>
    <w:rsid w:val="445361E5"/>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7C68A6"/>
    <w:rsid w:val="45952817"/>
    <w:rsid w:val="45A863B8"/>
    <w:rsid w:val="45BB6D3C"/>
    <w:rsid w:val="45F91CA4"/>
    <w:rsid w:val="46011342"/>
    <w:rsid w:val="46017508"/>
    <w:rsid w:val="460A2104"/>
    <w:rsid w:val="460F14C8"/>
    <w:rsid w:val="46130FB8"/>
    <w:rsid w:val="46132D66"/>
    <w:rsid w:val="46342CDD"/>
    <w:rsid w:val="46431B1A"/>
    <w:rsid w:val="464E1FF0"/>
    <w:rsid w:val="466366B9"/>
    <w:rsid w:val="46955E71"/>
    <w:rsid w:val="469C7200"/>
    <w:rsid w:val="46C10A14"/>
    <w:rsid w:val="46D67F86"/>
    <w:rsid w:val="46F448C2"/>
    <w:rsid w:val="47060D7D"/>
    <w:rsid w:val="473F67A2"/>
    <w:rsid w:val="474536E0"/>
    <w:rsid w:val="47463365"/>
    <w:rsid w:val="47596E9F"/>
    <w:rsid w:val="476B55F6"/>
    <w:rsid w:val="47777325"/>
    <w:rsid w:val="477E4B57"/>
    <w:rsid w:val="47863A0C"/>
    <w:rsid w:val="47925F0D"/>
    <w:rsid w:val="47A876DF"/>
    <w:rsid w:val="47AA76FA"/>
    <w:rsid w:val="47B370C9"/>
    <w:rsid w:val="48001EFA"/>
    <w:rsid w:val="48027536"/>
    <w:rsid w:val="48042FA6"/>
    <w:rsid w:val="481C57BF"/>
    <w:rsid w:val="48240342"/>
    <w:rsid w:val="48343468"/>
    <w:rsid w:val="485578E8"/>
    <w:rsid w:val="48680CE3"/>
    <w:rsid w:val="487516C9"/>
    <w:rsid w:val="48A147B6"/>
    <w:rsid w:val="48A73C3A"/>
    <w:rsid w:val="48D367DD"/>
    <w:rsid w:val="48E82D4D"/>
    <w:rsid w:val="48F007F6"/>
    <w:rsid w:val="48F14EB5"/>
    <w:rsid w:val="491D5CAA"/>
    <w:rsid w:val="49537DE0"/>
    <w:rsid w:val="495518E8"/>
    <w:rsid w:val="49584F34"/>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8B3EC0"/>
    <w:rsid w:val="4AAC4A05"/>
    <w:rsid w:val="4AB112AD"/>
    <w:rsid w:val="4AB918F6"/>
    <w:rsid w:val="4AD14F9E"/>
    <w:rsid w:val="4AEB42B2"/>
    <w:rsid w:val="4AF403AA"/>
    <w:rsid w:val="4AFD616C"/>
    <w:rsid w:val="4B0B04B0"/>
    <w:rsid w:val="4B3E2640"/>
    <w:rsid w:val="4B447AD4"/>
    <w:rsid w:val="4B7050AD"/>
    <w:rsid w:val="4B717B63"/>
    <w:rsid w:val="4BA30828"/>
    <w:rsid w:val="4BA93D64"/>
    <w:rsid w:val="4BBE0554"/>
    <w:rsid w:val="4BBF20A9"/>
    <w:rsid w:val="4BCB40E3"/>
    <w:rsid w:val="4BD20FCE"/>
    <w:rsid w:val="4BD74836"/>
    <w:rsid w:val="4BED5E07"/>
    <w:rsid w:val="4BF70A34"/>
    <w:rsid w:val="4BFD1393"/>
    <w:rsid w:val="4C150E22"/>
    <w:rsid w:val="4C194E4E"/>
    <w:rsid w:val="4C1C26CD"/>
    <w:rsid w:val="4C2555A1"/>
    <w:rsid w:val="4C2C2DD4"/>
    <w:rsid w:val="4C3F1BAE"/>
    <w:rsid w:val="4C5C4D3B"/>
    <w:rsid w:val="4C5D5CA7"/>
    <w:rsid w:val="4C76404F"/>
    <w:rsid w:val="4C8147A2"/>
    <w:rsid w:val="4CB26A62"/>
    <w:rsid w:val="4CCA7AE1"/>
    <w:rsid w:val="4CE216E4"/>
    <w:rsid w:val="4CEE0366"/>
    <w:rsid w:val="4CF569B5"/>
    <w:rsid w:val="4CFB4947"/>
    <w:rsid w:val="4D04165B"/>
    <w:rsid w:val="4D11448E"/>
    <w:rsid w:val="4D267823"/>
    <w:rsid w:val="4D275D07"/>
    <w:rsid w:val="4D3A507C"/>
    <w:rsid w:val="4D5325E2"/>
    <w:rsid w:val="4D6848C0"/>
    <w:rsid w:val="4D8602C2"/>
    <w:rsid w:val="4D9E5143"/>
    <w:rsid w:val="4D9F75D5"/>
    <w:rsid w:val="4DAE03C1"/>
    <w:rsid w:val="4DC97603"/>
    <w:rsid w:val="4DE163BF"/>
    <w:rsid w:val="4DF72F6D"/>
    <w:rsid w:val="4DFE10C7"/>
    <w:rsid w:val="4E086F29"/>
    <w:rsid w:val="4E140B6A"/>
    <w:rsid w:val="4E1B739A"/>
    <w:rsid w:val="4E233D62"/>
    <w:rsid w:val="4E2875CB"/>
    <w:rsid w:val="4E407F3C"/>
    <w:rsid w:val="4E41243B"/>
    <w:rsid w:val="4E676345"/>
    <w:rsid w:val="4E6C17FA"/>
    <w:rsid w:val="4E8B5D8F"/>
    <w:rsid w:val="4E943545"/>
    <w:rsid w:val="4EB86BA1"/>
    <w:rsid w:val="4ECC43FA"/>
    <w:rsid w:val="4EE94FAC"/>
    <w:rsid w:val="4F0B3CA6"/>
    <w:rsid w:val="4F107345"/>
    <w:rsid w:val="4F1847B3"/>
    <w:rsid w:val="4F2314B3"/>
    <w:rsid w:val="4F3B50DC"/>
    <w:rsid w:val="4F5D5052"/>
    <w:rsid w:val="4F691C49"/>
    <w:rsid w:val="4F813436"/>
    <w:rsid w:val="4FB619EF"/>
    <w:rsid w:val="4FBD1F95"/>
    <w:rsid w:val="4FC861DA"/>
    <w:rsid w:val="4FFB544B"/>
    <w:rsid w:val="500A342C"/>
    <w:rsid w:val="500D6A78"/>
    <w:rsid w:val="500F69BB"/>
    <w:rsid w:val="50406E4E"/>
    <w:rsid w:val="505B77CA"/>
    <w:rsid w:val="50970A38"/>
    <w:rsid w:val="509B22D6"/>
    <w:rsid w:val="50A126B7"/>
    <w:rsid w:val="50A82C45"/>
    <w:rsid w:val="50AE094F"/>
    <w:rsid w:val="50DB294E"/>
    <w:rsid w:val="50DC3D6E"/>
    <w:rsid w:val="510936E3"/>
    <w:rsid w:val="510A2FB8"/>
    <w:rsid w:val="51145BE4"/>
    <w:rsid w:val="511856D5"/>
    <w:rsid w:val="51321C80"/>
    <w:rsid w:val="515661FD"/>
    <w:rsid w:val="516A3A56"/>
    <w:rsid w:val="517255BD"/>
    <w:rsid w:val="517B5C63"/>
    <w:rsid w:val="518C4D4D"/>
    <w:rsid w:val="51937451"/>
    <w:rsid w:val="51A46F68"/>
    <w:rsid w:val="51B13335"/>
    <w:rsid w:val="51D75590"/>
    <w:rsid w:val="521D3CB5"/>
    <w:rsid w:val="523302EC"/>
    <w:rsid w:val="52426781"/>
    <w:rsid w:val="52454FAD"/>
    <w:rsid w:val="524B15B3"/>
    <w:rsid w:val="528374C6"/>
    <w:rsid w:val="528B1ED6"/>
    <w:rsid w:val="529C2335"/>
    <w:rsid w:val="52A70D2C"/>
    <w:rsid w:val="52BE405A"/>
    <w:rsid w:val="52E361B6"/>
    <w:rsid w:val="531210C9"/>
    <w:rsid w:val="532742F5"/>
    <w:rsid w:val="53607807"/>
    <w:rsid w:val="538434F5"/>
    <w:rsid w:val="538A03E0"/>
    <w:rsid w:val="539835FD"/>
    <w:rsid w:val="53A2397B"/>
    <w:rsid w:val="53B92A73"/>
    <w:rsid w:val="53BB67EB"/>
    <w:rsid w:val="53C71634"/>
    <w:rsid w:val="53D224B3"/>
    <w:rsid w:val="53EB1FF8"/>
    <w:rsid w:val="53EC2E48"/>
    <w:rsid w:val="53F45760"/>
    <w:rsid w:val="5406215C"/>
    <w:rsid w:val="546B6463"/>
    <w:rsid w:val="546E73A6"/>
    <w:rsid w:val="547C41CC"/>
    <w:rsid w:val="5488491F"/>
    <w:rsid w:val="54A379AB"/>
    <w:rsid w:val="54B27BEE"/>
    <w:rsid w:val="54BD0C40"/>
    <w:rsid w:val="54D659D2"/>
    <w:rsid w:val="54F75F49"/>
    <w:rsid w:val="54FC355F"/>
    <w:rsid w:val="55284354"/>
    <w:rsid w:val="55432F3C"/>
    <w:rsid w:val="554A42CB"/>
    <w:rsid w:val="5560589C"/>
    <w:rsid w:val="556C4241"/>
    <w:rsid w:val="5579695E"/>
    <w:rsid w:val="558C043F"/>
    <w:rsid w:val="559807C9"/>
    <w:rsid w:val="55A133E3"/>
    <w:rsid w:val="55B87486"/>
    <w:rsid w:val="55C404FA"/>
    <w:rsid w:val="55C45E2B"/>
    <w:rsid w:val="55CC345F"/>
    <w:rsid w:val="55EE2EA8"/>
    <w:rsid w:val="55F04E72"/>
    <w:rsid w:val="56203207"/>
    <w:rsid w:val="562A2C28"/>
    <w:rsid w:val="562C2ED7"/>
    <w:rsid w:val="564D4072"/>
    <w:rsid w:val="56610227"/>
    <w:rsid w:val="567B54EE"/>
    <w:rsid w:val="567C4958"/>
    <w:rsid w:val="56846C29"/>
    <w:rsid w:val="5689497F"/>
    <w:rsid w:val="56917593"/>
    <w:rsid w:val="56A703F5"/>
    <w:rsid w:val="56C97471"/>
    <w:rsid w:val="56D64EB7"/>
    <w:rsid w:val="56E314E0"/>
    <w:rsid w:val="57282705"/>
    <w:rsid w:val="574C75A3"/>
    <w:rsid w:val="574D2F08"/>
    <w:rsid w:val="5774562F"/>
    <w:rsid w:val="57754BF2"/>
    <w:rsid w:val="57BD6FD6"/>
    <w:rsid w:val="57CA16F3"/>
    <w:rsid w:val="57CA3880"/>
    <w:rsid w:val="57E417E0"/>
    <w:rsid w:val="57EE53E1"/>
    <w:rsid w:val="57F32A52"/>
    <w:rsid w:val="57FE50EE"/>
    <w:rsid w:val="58073B8C"/>
    <w:rsid w:val="580E7831"/>
    <w:rsid w:val="58256929"/>
    <w:rsid w:val="583F3E8F"/>
    <w:rsid w:val="58A40196"/>
    <w:rsid w:val="58BF0B2C"/>
    <w:rsid w:val="58D67320"/>
    <w:rsid w:val="58F534B4"/>
    <w:rsid w:val="593432C8"/>
    <w:rsid w:val="593E026C"/>
    <w:rsid w:val="593E5EF4"/>
    <w:rsid w:val="593F3A1A"/>
    <w:rsid w:val="594D6137"/>
    <w:rsid w:val="5989503C"/>
    <w:rsid w:val="59977C6E"/>
    <w:rsid w:val="599B50F5"/>
    <w:rsid w:val="59A25D4A"/>
    <w:rsid w:val="59AA17DC"/>
    <w:rsid w:val="59B14918"/>
    <w:rsid w:val="59B15C2B"/>
    <w:rsid w:val="59B25F2D"/>
    <w:rsid w:val="59D86349"/>
    <w:rsid w:val="59DD0C04"/>
    <w:rsid w:val="59EC76FE"/>
    <w:rsid w:val="5A034978"/>
    <w:rsid w:val="5A040EEC"/>
    <w:rsid w:val="5A16280E"/>
    <w:rsid w:val="5A1B5A10"/>
    <w:rsid w:val="5A266807"/>
    <w:rsid w:val="5A2C21F1"/>
    <w:rsid w:val="5A6977D7"/>
    <w:rsid w:val="5A6E45B7"/>
    <w:rsid w:val="5A963B0E"/>
    <w:rsid w:val="5AA955EF"/>
    <w:rsid w:val="5ACC2E57"/>
    <w:rsid w:val="5AEB3E5A"/>
    <w:rsid w:val="5B044F1C"/>
    <w:rsid w:val="5B070568"/>
    <w:rsid w:val="5B1C2265"/>
    <w:rsid w:val="5B2E3D47"/>
    <w:rsid w:val="5B33135D"/>
    <w:rsid w:val="5B435A44"/>
    <w:rsid w:val="5B4672E2"/>
    <w:rsid w:val="5B4A6DD2"/>
    <w:rsid w:val="5B572513"/>
    <w:rsid w:val="5B5B46DE"/>
    <w:rsid w:val="5B773CF2"/>
    <w:rsid w:val="5B953DC6"/>
    <w:rsid w:val="5B9B5880"/>
    <w:rsid w:val="5BB7600F"/>
    <w:rsid w:val="5BCD355F"/>
    <w:rsid w:val="5BF037E6"/>
    <w:rsid w:val="5BFD3E45"/>
    <w:rsid w:val="5C0F2714"/>
    <w:rsid w:val="5C2A09B2"/>
    <w:rsid w:val="5C3A263A"/>
    <w:rsid w:val="5C531CB7"/>
    <w:rsid w:val="5C814A76"/>
    <w:rsid w:val="5CAE513F"/>
    <w:rsid w:val="5CAF25EE"/>
    <w:rsid w:val="5CAF7F16"/>
    <w:rsid w:val="5CBE74EA"/>
    <w:rsid w:val="5CC56713"/>
    <w:rsid w:val="5CC71DD8"/>
    <w:rsid w:val="5CCE3A33"/>
    <w:rsid w:val="5CD66444"/>
    <w:rsid w:val="5CF82EF2"/>
    <w:rsid w:val="5CF9414D"/>
    <w:rsid w:val="5CF9552F"/>
    <w:rsid w:val="5D0631CD"/>
    <w:rsid w:val="5D070A87"/>
    <w:rsid w:val="5D0B433F"/>
    <w:rsid w:val="5D17501F"/>
    <w:rsid w:val="5D213B63"/>
    <w:rsid w:val="5D2E44D2"/>
    <w:rsid w:val="5D3C6BEF"/>
    <w:rsid w:val="5D431D2B"/>
    <w:rsid w:val="5D4569AE"/>
    <w:rsid w:val="5D5E0913"/>
    <w:rsid w:val="5D6F2B20"/>
    <w:rsid w:val="5D7C6FEB"/>
    <w:rsid w:val="5D883BE2"/>
    <w:rsid w:val="5D9B5E1F"/>
    <w:rsid w:val="5DA36C6E"/>
    <w:rsid w:val="5DAF116F"/>
    <w:rsid w:val="5DB426F2"/>
    <w:rsid w:val="5DF11787"/>
    <w:rsid w:val="5E0771FD"/>
    <w:rsid w:val="5E2733FB"/>
    <w:rsid w:val="5E647215"/>
    <w:rsid w:val="5E6F6B70"/>
    <w:rsid w:val="5E7128C8"/>
    <w:rsid w:val="5E785A05"/>
    <w:rsid w:val="5E7E5BC7"/>
    <w:rsid w:val="5EA467FA"/>
    <w:rsid w:val="5EAC5CC5"/>
    <w:rsid w:val="5EBB3B43"/>
    <w:rsid w:val="5EC24ED2"/>
    <w:rsid w:val="5ECF669A"/>
    <w:rsid w:val="5EF64B7B"/>
    <w:rsid w:val="5F131BD1"/>
    <w:rsid w:val="5F1C68EB"/>
    <w:rsid w:val="5F223BC2"/>
    <w:rsid w:val="5F304531"/>
    <w:rsid w:val="5F3A658F"/>
    <w:rsid w:val="5F4B6DF9"/>
    <w:rsid w:val="5F5244A8"/>
    <w:rsid w:val="5F5E109E"/>
    <w:rsid w:val="5F675CE8"/>
    <w:rsid w:val="5F6D7533"/>
    <w:rsid w:val="5F904FD0"/>
    <w:rsid w:val="5F9E101E"/>
    <w:rsid w:val="5FD80582"/>
    <w:rsid w:val="5FE377F5"/>
    <w:rsid w:val="60150DC2"/>
    <w:rsid w:val="60326087"/>
    <w:rsid w:val="603E7754"/>
    <w:rsid w:val="604D407A"/>
    <w:rsid w:val="605E0C2A"/>
    <w:rsid w:val="6061582C"/>
    <w:rsid w:val="60787F3E"/>
    <w:rsid w:val="609113EE"/>
    <w:rsid w:val="60940AF0"/>
    <w:rsid w:val="609D64AA"/>
    <w:rsid w:val="60A27B32"/>
    <w:rsid w:val="60BE5D83"/>
    <w:rsid w:val="60DD3A26"/>
    <w:rsid w:val="60E51508"/>
    <w:rsid w:val="60E6759D"/>
    <w:rsid w:val="60F82E2D"/>
    <w:rsid w:val="60FC0223"/>
    <w:rsid w:val="614A3DAA"/>
    <w:rsid w:val="6155027F"/>
    <w:rsid w:val="616821E1"/>
    <w:rsid w:val="61730B8F"/>
    <w:rsid w:val="618463A2"/>
    <w:rsid w:val="618741B1"/>
    <w:rsid w:val="61B2747F"/>
    <w:rsid w:val="61B90451"/>
    <w:rsid w:val="61DE0274"/>
    <w:rsid w:val="61E73B15"/>
    <w:rsid w:val="61EA259B"/>
    <w:rsid w:val="61EB473F"/>
    <w:rsid w:val="622540F5"/>
    <w:rsid w:val="623B7475"/>
    <w:rsid w:val="62405FC3"/>
    <w:rsid w:val="62482F7C"/>
    <w:rsid w:val="62677DAD"/>
    <w:rsid w:val="6281113E"/>
    <w:rsid w:val="62854B94"/>
    <w:rsid w:val="62935219"/>
    <w:rsid w:val="62CD6AEC"/>
    <w:rsid w:val="62D81569"/>
    <w:rsid w:val="62D94595"/>
    <w:rsid w:val="63103C43"/>
    <w:rsid w:val="631E6C0A"/>
    <w:rsid w:val="633B34A5"/>
    <w:rsid w:val="6347009B"/>
    <w:rsid w:val="63566066"/>
    <w:rsid w:val="63901A42"/>
    <w:rsid w:val="63C45248"/>
    <w:rsid w:val="63C60FC0"/>
    <w:rsid w:val="63CB65D6"/>
    <w:rsid w:val="63D41366"/>
    <w:rsid w:val="640E2967"/>
    <w:rsid w:val="64153CF6"/>
    <w:rsid w:val="6419594B"/>
    <w:rsid w:val="64264155"/>
    <w:rsid w:val="644C769A"/>
    <w:rsid w:val="64520AA6"/>
    <w:rsid w:val="64664551"/>
    <w:rsid w:val="647153D0"/>
    <w:rsid w:val="64805613"/>
    <w:rsid w:val="6486074F"/>
    <w:rsid w:val="64BB2AEF"/>
    <w:rsid w:val="64CB26DD"/>
    <w:rsid w:val="650171EE"/>
    <w:rsid w:val="65055B18"/>
    <w:rsid w:val="65433804"/>
    <w:rsid w:val="65556AA0"/>
    <w:rsid w:val="65684D07"/>
    <w:rsid w:val="657D2B9C"/>
    <w:rsid w:val="6593581A"/>
    <w:rsid w:val="65956E9C"/>
    <w:rsid w:val="65A215B9"/>
    <w:rsid w:val="65BD63F3"/>
    <w:rsid w:val="65D406EA"/>
    <w:rsid w:val="66542B2C"/>
    <w:rsid w:val="665723A3"/>
    <w:rsid w:val="667B400E"/>
    <w:rsid w:val="66911D59"/>
    <w:rsid w:val="66B261DF"/>
    <w:rsid w:val="66E005EB"/>
    <w:rsid w:val="66E53E53"/>
    <w:rsid w:val="66E55C01"/>
    <w:rsid w:val="66EA7812"/>
    <w:rsid w:val="6704527C"/>
    <w:rsid w:val="6710264E"/>
    <w:rsid w:val="673F1F3F"/>
    <w:rsid w:val="673F79B4"/>
    <w:rsid w:val="67442824"/>
    <w:rsid w:val="674A1F08"/>
    <w:rsid w:val="67795693"/>
    <w:rsid w:val="677A0A3F"/>
    <w:rsid w:val="67987117"/>
    <w:rsid w:val="67A43BE0"/>
    <w:rsid w:val="67AB6E4B"/>
    <w:rsid w:val="67B37F71"/>
    <w:rsid w:val="67CE6C86"/>
    <w:rsid w:val="67D31319"/>
    <w:rsid w:val="67D72D6F"/>
    <w:rsid w:val="67DC5114"/>
    <w:rsid w:val="67DC6D5A"/>
    <w:rsid w:val="67E206D5"/>
    <w:rsid w:val="683E4D48"/>
    <w:rsid w:val="685A261F"/>
    <w:rsid w:val="6865349E"/>
    <w:rsid w:val="68655F18"/>
    <w:rsid w:val="68701E42"/>
    <w:rsid w:val="68AD6BF3"/>
    <w:rsid w:val="68B00491"/>
    <w:rsid w:val="68C14BF3"/>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E07D2"/>
    <w:rsid w:val="69AB0D0D"/>
    <w:rsid w:val="69B27B43"/>
    <w:rsid w:val="69BE0005"/>
    <w:rsid w:val="69DF2DDC"/>
    <w:rsid w:val="69EA352F"/>
    <w:rsid w:val="69EB2192"/>
    <w:rsid w:val="6A3C0286"/>
    <w:rsid w:val="6A570136"/>
    <w:rsid w:val="6A695DCD"/>
    <w:rsid w:val="6A731776"/>
    <w:rsid w:val="6A753740"/>
    <w:rsid w:val="6A7A6FA8"/>
    <w:rsid w:val="6A7E2C0A"/>
    <w:rsid w:val="6A802F8E"/>
    <w:rsid w:val="6AAD4C88"/>
    <w:rsid w:val="6ABA55F7"/>
    <w:rsid w:val="6AC10733"/>
    <w:rsid w:val="6ACD7255"/>
    <w:rsid w:val="6AD2649C"/>
    <w:rsid w:val="6AE17565"/>
    <w:rsid w:val="6AFE3735"/>
    <w:rsid w:val="6B2111D2"/>
    <w:rsid w:val="6B361E7E"/>
    <w:rsid w:val="6B3C7DBA"/>
    <w:rsid w:val="6B3D4EC2"/>
    <w:rsid w:val="6B43383E"/>
    <w:rsid w:val="6B6F63E1"/>
    <w:rsid w:val="6B8071BE"/>
    <w:rsid w:val="6BAA605B"/>
    <w:rsid w:val="6BB16221"/>
    <w:rsid w:val="6BE40B7D"/>
    <w:rsid w:val="6BE45953"/>
    <w:rsid w:val="6BE94F3A"/>
    <w:rsid w:val="6BF40694"/>
    <w:rsid w:val="6C061F17"/>
    <w:rsid w:val="6C0E5BFA"/>
    <w:rsid w:val="6C150D37"/>
    <w:rsid w:val="6C2F1E55"/>
    <w:rsid w:val="6C376EFF"/>
    <w:rsid w:val="6C661592"/>
    <w:rsid w:val="6C741E4F"/>
    <w:rsid w:val="6C787517"/>
    <w:rsid w:val="6C914D27"/>
    <w:rsid w:val="6C931E58"/>
    <w:rsid w:val="6CAA6CFE"/>
    <w:rsid w:val="6CC369E5"/>
    <w:rsid w:val="6CD7419C"/>
    <w:rsid w:val="6CDC7AA6"/>
    <w:rsid w:val="6D013FEB"/>
    <w:rsid w:val="6D1930EC"/>
    <w:rsid w:val="6D2F407A"/>
    <w:rsid w:val="6DA71186"/>
    <w:rsid w:val="6DB30918"/>
    <w:rsid w:val="6DB620A5"/>
    <w:rsid w:val="6DC42A14"/>
    <w:rsid w:val="6DCF4F15"/>
    <w:rsid w:val="6DD036A3"/>
    <w:rsid w:val="6DE81D0F"/>
    <w:rsid w:val="6DE85FD7"/>
    <w:rsid w:val="6DF76B0A"/>
    <w:rsid w:val="6E054DB3"/>
    <w:rsid w:val="6E0D5EB7"/>
    <w:rsid w:val="6E1A0994"/>
    <w:rsid w:val="6E7004A6"/>
    <w:rsid w:val="6E9E14B7"/>
    <w:rsid w:val="6EBD3E7A"/>
    <w:rsid w:val="6EBD700A"/>
    <w:rsid w:val="6EC72090"/>
    <w:rsid w:val="6ED53771"/>
    <w:rsid w:val="6EFD2502"/>
    <w:rsid w:val="6F062BB9"/>
    <w:rsid w:val="6F082DD5"/>
    <w:rsid w:val="6F1352D6"/>
    <w:rsid w:val="6F5E1724"/>
    <w:rsid w:val="6F6618A9"/>
    <w:rsid w:val="6F71097A"/>
    <w:rsid w:val="6F743FC6"/>
    <w:rsid w:val="6F783707"/>
    <w:rsid w:val="6F7D7049"/>
    <w:rsid w:val="6F963F3C"/>
    <w:rsid w:val="6FE1043B"/>
    <w:rsid w:val="6FF670D1"/>
    <w:rsid w:val="700B760E"/>
    <w:rsid w:val="700D7F77"/>
    <w:rsid w:val="703B4AE4"/>
    <w:rsid w:val="705160B5"/>
    <w:rsid w:val="706E310B"/>
    <w:rsid w:val="70794B97"/>
    <w:rsid w:val="70860455"/>
    <w:rsid w:val="70860D62"/>
    <w:rsid w:val="70891C83"/>
    <w:rsid w:val="708C17E3"/>
    <w:rsid w:val="70981F36"/>
    <w:rsid w:val="70CD6084"/>
    <w:rsid w:val="70D016D0"/>
    <w:rsid w:val="70F35BF8"/>
    <w:rsid w:val="71160F53"/>
    <w:rsid w:val="711A0B9D"/>
    <w:rsid w:val="713C4FB8"/>
    <w:rsid w:val="71491244"/>
    <w:rsid w:val="714B51FB"/>
    <w:rsid w:val="71582A07"/>
    <w:rsid w:val="717943B6"/>
    <w:rsid w:val="71916F49"/>
    <w:rsid w:val="71A33B87"/>
    <w:rsid w:val="71AB63BC"/>
    <w:rsid w:val="71AE4713"/>
    <w:rsid w:val="71B27028"/>
    <w:rsid w:val="71D25565"/>
    <w:rsid w:val="71D945B4"/>
    <w:rsid w:val="71F11C1F"/>
    <w:rsid w:val="723314F1"/>
    <w:rsid w:val="724A62A9"/>
    <w:rsid w:val="72646574"/>
    <w:rsid w:val="727F33AE"/>
    <w:rsid w:val="72802C82"/>
    <w:rsid w:val="72A8433C"/>
    <w:rsid w:val="72AA7CFF"/>
    <w:rsid w:val="72BD1CA1"/>
    <w:rsid w:val="72C07522"/>
    <w:rsid w:val="72D468CD"/>
    <w:rsid w:val="73156124"/>
    <w:rsid w:val="731A30D6"/>
    <w:rsid w:val="7320374B"/>
    <w:rsid w:val="73426189"/>
    <w:rsid w:val="734C0DB6"/>
    <w:rsid w:val="73584999"/>
    <w:rsid w:val="735A3B0C"/>
    <w:rsid w:val="7361796E"/>
    <w:rsid w:val="737427E7"/>
    <w:rsid w:val="737C78ED"/>
    <w:rsid w:val="739369E5"/>
    <w:rsid w:val="739B4217"/>
    <w:rsid w:val="73AD5CF9"/>
    <w:rsid w:val="73D94D40"/>
    <w:rsid w:val="740D2C3B"/>
    <w:rsid w:val="742E508B"/>
    <w:rsid w:val="744877CF"/>
    <w:rsid w:val="74692D8A"/>
    <w:rsid w:val="74716D26"/>
    <w:rsid w:val="74933140"/>
    <w:rsid w:val="74AB66DC"/>
    <w:rsid w:val="74B81FE2"/>
    <w:rsid w:val="74B86703"/>
    <w:rsid w:val="74BD1F6B"/>
    <w:rsid w:val="74CE23CA"/>
    <w:rsid w:val="74E813D5"/>
    <w:rsid w:val="74FF4332"/>
    <w:rsid w:val="750E0AAE"/>
    <w:rsid w:val="751C1388"/>
    <w:rsid w:val="75581C94"/>
    <w:rsid w:val="755F3023"/>
    <w:rsid w:val="75874327"/>
    <w:rsid w:val="75995FB8"/>
    <w:rsid w:val="75A1188D"/>
    <w:rsid w:val="75B50E95"/>
    <w:rsid w:val="75CA0DE4"/>
    <w:rsid w:val="75CD4430"/>
    <w:rsid w:val="75D25EEA"/>
    <w:rsid w:val="75F75951"/>
    <w:rsid w:val="75FC4D15"/>
    <w:rsid w:val="75FE0A8D"/>
    <w:rsid w:val="76097029"/>
    <w:rsid w:val="76133C04"/>
    <w:rsid w:val="76292962"/>
    <w:rsid w:val="764A4CEF"/>
    <w:rsid w:val="766C1E9B"/>
    <w:rsid w:val="76880357"/>
    <w:rsid w:val="769D2054"/>
    <w:rsid w:val="76AA4771"/>
    <w:rsid w:val="76CC0B8C"/>
    <w:rsid w:val="76E13170"/>
    <w:rsid w:val="76E311A3"/>
    <w:rsid w:val="77120CFE"/>
    <w:rsid w:val="772938E8"/>
    <w:rsid w:val="7734344E"/>
    <w:rsid w:val="774424D0"/>
    <w:rsid w:val="77813724"/>
    <w:rsid w:val="77972F48"/>
    <w:rsid w:val="77980A6E"/>
    <w:rsid w:val="7798554B"/>
    <w:rsid w:val="77A2369A"/>
    <w:rsid w:val="77B561D9"/>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C4C30"/>
    <w:rsid w:val="7874661E"/>
    <w:rsid w:val="78827754"/>
    <w:rsid w:val="78B91B03"/>
    <w:rsid w:val="78BE2756"/>
    <w:rsid w:val="78C42320"/>
    <w:rsid w:val="78D12489"/>
    <w:rsid w:val="78EA354B"/>
    <w:rsid w:val="79711576"/>
    <w:rsid w:val="7973634F"/>
    <w:rsid w:val="797F0066"/>
    <w:rsid w:val="79862855"/>
    <w:rsid w:val="79AB7B9C"/>
    <w:rsid w:val="79C36276"/>
    <w:rsid w:val="79D33BD7"/>
    <w:rsid w:val="79E56BF4"/>
    <w:rsid w:val="79E65AC0"/>
    <w:rsid w:val="7A0712A8"/>
    <w:rsid w:val="7A1A5F3C"/>
    <w:rsid w:val="7A293BFF"/>
    <w:rsid w:val="7A2E3F8E"/>
    <w:rsid w:val="7A340F22"/>
    <w:rsid w:val="7A440A39"/>
    <w:rsid w:val="7A486B67"/>
    <w:rsid w:val="7A5C5D83"/>
    <w:rsid w:val="7A63380E"/>
    <w:rsid w:val="7A7C01D3"/>
    <w:rsid w:val="7A7E002C"/>
    <w:rsid w:val="7A8734B8"/>
    <w:rsid w:val="7A8A6D94"/>
    <w:rsid w:val="7A911ED0"/>
    <w:rsid w:val="7AB64546"/>
    <w:rsid w:val="7AC04563"/>
    <w:rsid w:val="7ACB4729"/>
    <w:rsid w:val="7AE220D3"/>
    <w:rsid w:val="7AE70BAE"/>
    <w:rsid w:val="7AEA7832"/>
    <w:rsid w:val="7AEC455F"/>
    <w:rsid w:val="7B05466C"/>
    <w:rsid w:val="7B0703E4"/>
    <w:rsid w:val="7B197943"/>
    <w:rsid w:val="7B4D1357"/>
    <w:rsid w:val="7B641393"/>
    <w:rsid w:val="7B6E2F9B"/>
    <w:rsid w:val="7B89704B"/>
    <w:rsid w:val="7B98702C"/>
    <w:rsid w:val="7BC71922"/>
    <w:rsid w:val="7BC77B74"/>
    <w:rsid w:val="7BD04C7A"/>
    <w:rsid w:val="7BD57CCF"/>
    <w:rsid w:val="7C022E76"/>
    <w:rsid w:val="7C055D6D"/>
    <w:rsid w:val="7C213B75"/>
    <w:rsid w:val="7C305719"/>
    <w:rsid w:val="7C3163FF"/>
    <w:rsid w:val="7C896BD7"/>
    <w:rsid w:val="7C8B6DF3"/>
    <w:rsid w:val="7C8D6749"/>
    <w:rsid w:val="7CA61385"/>
    <w:rsid w:val="7CB718F6"/>
    <w:rsid w:val="7CCC0C02"/>
    <w:rsid w:val="7CE24C65"/>
    <w:rsid w:val="7CE64C01"/>
    <w:rsid w:val="7CFB7AD5"/>
    <w:rsid w:val="7D07647A"/>
    <w:rsid w:val="7D0E5A5A"/>
    <w:rsid w:val="7D123C1F"/>
    <w:rsid w:val="7D1467DB"/>
    <w:rsid w:val="7D2C7C8E"/>
    <w:rsid w:val="7D625DA6"/>
    <w:rsid w:val="7D871368"/>
    <w:rsid w:val="7D8B70AB"/>
    <w:rsid w:val="7D931348"/>
    <w:rsid w:val="7DC12ACC"/>
    <w:rsid w:val="7DD32800"/>
    <w:rsid w:val="7DF14781"/>
    <w:rsid w:val="7DFA2E1C"/>
    <w:rsid w:val="7E0D3978"/>
    <w:rsid w:val="7E3A287F"/>
    <w:rsid w:val="7E3F7E95"/>
    <w:rsid w:val="7E6873EC"/>
    <w:rsid w:val="7E9E4BBC"/>
    <w:rsid w:val="7EB10D93"/>
    <w:rsid w:val="7EB459DD"/>
    <w:rsid w:val="7ECD724F"/>
    <w:rsid w:val="7EE22D5E"/>
    <w:rsid w:val="7EF02C27"/>
    <w:rsid w:val="7EF91AB2"/>
    <w:rsid w:val="7EFB3E85"/>
    <w:rsid w:val="7F016EF9"/>
    <w:rsid w:val="7F030EC3"/>
    <w:rsid w:val="7F0E20E8"/>
    <w:rsid w:val="7F177E9D"/>
    <w:rsid w:val="7F2729DE"/>
    <w:rsid w:val="7F390D88"/>
    <w:rsid w:val="7F6A2CF0"/>
    <w:rsid w:val="7F841BB1"/>
    <w:rsid w:val="7F8C2C66"/>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8" w:lineRule="auto"/>
      <w:jc w:val="center"/>
      <w:outlineLvl w:val="0"/>
    </w:pPr>
    <w:rPr>
      <w:b/>
      <w:bCs/>
      <w:kern w:val="44"/>
      <w:sz w:val="32"/>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6">
    <w:name w:val="heading 4"/>
    <w:basedOn w:val="1"/>
    <w:next w:val="1"/>
    <w:link w:val="57"/>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7">
    <w:name w:val="heading 5"/>
    <w:basedOn w:val="1"/>
    <w:next w:val="1"/>
    <w:link w:val="58"/>
    <w:qFormat/>
    <w:uiPriority w:val="0"/>
    <w:pPr>
      <w:keepNext/>
      <w:keepLines/>
      <w:spacing w:before="280" w:after="290" w:line="376" w:lineRule="auto"/>
      <w:outlineLvl w:val="4"/>
    </w:pPr>
    <w:rPr>
      <w:b/>
      <w:bCs/>
      <w:sz w:val="28"/>
      <w:szCs w:val="28"/>
    </w:rPr>
  </w:style>
  <w:style w:type="paragraph" w:styleId="8">
    <w:name w:val="heading 6"/>
    <w:basedOn w:val="1"/>
    <w:next w:val="1"/>
    <w:link w:val="59"/>
    <w:qFormat/>
    <w:uiPriority w:val="0"/>
    <w:pPr>
      <w:keepNext/>
      <w:keepLines/>
      <w:spacing w:before="240" w:after="64" w:line="320" w:lineRule="auto"/>
      <w:outlineLvl w:val="5"/>
    </w:pPr>
    <w:rPr>
      <w:rFonts w:ascii="Cambria" w:hAnsi="Cambria"/>
      <w:b/>
      <w:bCs/>
      <w:sz w:val="24"/>
    </w:rPr>
  </w:style>
  <w:style w:type="paragraph" w:styleId="9">
    <w:name w:val="heading 7"/>
    <w:basedOn w:val="1"/>
    <w:next w:val="1"/>
    <w:link w:val="60"/>
    <w:qFormat/>
    <w:uiPriority w:val="0"/>
    <w:pPr>
      <w:keepNext/>
      <w:keepLines/>
      <w:spacing w:before="240" w:after="64" w:line="320" w:lineRule="auto"/>
      <w:outlineLvl w:val="6"/>
    </w:pPr>
    <w:rPr>
      <w:b/>
      <w:bCs/>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qFormat/>
    <w:uiPriority w:val="0"/>
    <w:pPr>
      <w:widowControl w:val="0"/>
      <w:spacing w:before="120" w:line="360" w:lineRule="auto"/>
      <w:ind w:left="420" w:firstLine="527"/>
      <w:jc w:val="both"/>
    </w:pPr>
    <w:rPr>
      <w:rFonts w:ascii="宋体" w:hAnsi="宋体"/>
      <w:kern w:val="2"/>
    </w:rPr>
  </w:style>
  <w:style w:type="paragraph" w:styleId="10">
    <w:name w:val="toc 7"/>
    <w:basedOn w:val="1"/>
    <w:next w:val="1"/>
    <w:qFormat/>
    <w:uiPriority w:val="39"/>
    <w:pPr>
      <w:ind w:left="1260"/>
      <w:jc w:val="left"/>
    </w:pPr>
    <w:rPr>
      <w:sz w:val="18"/>
      <w:szCs w:val="18"/>
    </w:rPr>
  </w:style>
  <w:style w:type="paragraph" w:styleId="11">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2">
    <w:name w:val="Normal Indent"/>
    <w:basedOn w:val="1"/>
    <w:qFormat/>
    <w:uiPriority w:val="0"/>
    <w:pPr>
      <w:adjustRightInd w:val="0"/>
      <w:spacing w:line="360" w:lineRule="atLeast"/>
      <w:ind w:firstLine="482"/>
      <w:textAlignment w:val="baseline"/>
    </w:pPr>
    <w:rPr>
      <w:kern w:val="0"/>
      <w:sz w:val="24"/>
      <w:szCs w:val="20"/>
    </w:rPr>
  </w:style>
  <w:style w:type="paragraph" w:styleId="13">
    <w:name w:val="Document Map"/>
    <w:basedOn w:val="1"/>
    <w:next w:val="1"/>
    <w:qFormat/>
    <w:uiPriority w:val="0"/>
    <w:pPr>
      <w:widowControl/>
      <w:shd w:val="clear" w:color="000000" w:fill="000080"/>
      <w:spacing w:line="357" w:lineRule="atLeast"/>
    </w:pPr>
    <w:rPr>
      <w:color w:val="000000"/>
    </w:rPr>
  </w:style>
  <w:style w:type="paragraph" w:styleId="14">
    <w:name w:val="annotation text"/>
    <w:basedOn w:val="1"/>
    <w:link w:val="61"/>
    <w:qFormat/>
    <w:uiPriority w:val="0"/>
    <w:pPr>
      <w:jc w:val="left"/>
    </w:pPr>
  </w:style>
  <w:style w:type="paragraph" w:styleId="15">
    <w:name w:val="Body Text"/>
    <w:basedOn w:val="1"/>
    <w:qFormat/>
    <w:uiPriority w:val="0"/>
    <w:pPr>
      <w:spacing w:after="120"/>
    </w:pPr>
  </w:style>
  <w:style w:type="paragraph" w:styleId="16">
    <w:name w:val="Body Text Indent"/>
    <w:basedOn w:val="1"/>
    <w:next w:val="17"/>
    <w:link w:val="54"/>
    <w:qFormat/>
    <w:uiPriority w:val="0"/>
    <w:pPr>
      <w:spacing w:after="120"/>
      <w:ind w:left="200" w:leftChars="200"/>
    </w:pPr>
  </w:style>
  <w:style w:type="paragraph" w:styleId="17">
    <w:name w:val="envelope return"/>
    <w:basedOn w:val="1"/>
    <w:next w:val="10"/>
    <w:qFormat/>
    <w:uiPriority w:val="0"/>
    <w:pPr>
      <w:snapToGrid w:val="0"/>
    </w:pPr>
    <w:rPr>
      <w:rFonts w:ascii="Arial" w:hAnsi="Arial"/>
    </w:rPr>
  </w:style>
  <w:style w:type="paragraph" w:styleId="18">
    <w:name w:val="toc 3"/>
    <w:basedOn w:val="1"/>
    <w:next w:val="1"/>
    <w:qFormat/>
    <w:uiPriority w:val="0"/>
    <w:pPr>
      <w:tabs>
        <w:tab w:val="right" w:leader="dot" w:pos="9288"/>
      </w:tabs>
      <w:ind w:left="400" w:leftChars="400"/>
    </w:pPr>
    <w:rPr>
      <w:rFonts w:ascii="宋体"/>
    </w:rPr>
  </w:style>
  <w:style w:type="paragraph" w:styleId="19">
    <w:name w:val="Plain Text"/>
    <w:basedOn w:val="1"/>
    <w:link w:val="62"/>
    <w:qFormat/>
    <w:uiPriority w:val="0"/>
    <w:rPr>
      <w:rFonts w:ascii="宋体"/>
      <w:color w:val="000000"/>
      <w:szCs w:val="20"/>
      <w:u w:color="000000"/>
    </w:rPr>
  </w:style>
  <w:style w:type="paragraph" w:styleId="20">
    <w:name w:val="Date"/>
    <w:basedOn w:val="1"/>
    <w:next w:val="1"/>
    <w:link w:val="63"/>
    <w:qFormat/>
    <w:uiPriority w:val="0"/>
    <w:rPr>
      <w:rFonts w:ascii="Arial" w:hAnsi="Arial" w:eastAsia="仿宋_GB2312"/>
      <w:color w:val="000000"/>
      <w:sz w:val="32"/>
      <w:szCs w:val="20"/>
      <w:u w:color="000000"/>
    </w:rPr>
  </w:style>
  <w:style w:type="paragraph" w:styleId="21">
    <w:name w:val="Body Text Indent 2"/>
    <w:basedOn w:val="1"/>
    <w:link w:val="64"/>
    <w:qFormat/>
    <w:uiPriority w:val="0"/>
    <w:pPr>
      <w:spacing w:after="120" w:line="480" w:lineRule="auto"/>
      <w:ind w:left="420" w:leftChars="200"/>
    </w:pPr>
  </w:style>
  <w:style w:type="paragraph" w:styleId="22">
    <w:name w:val="Balloon Text"/>
    <w:basedOn w:val="1"/>
    <w:link w:val="65"/>
    <w:qFormat/>
    <w:uiPriority w:val="0"/>
    <w:rPr>
      <w:sz w:val="18"/>
      <w:szCs w:val="18"/>
    </w:rPr>
  </w:style>
  <w:style w:type="paragraph" w:styleId="23">
    <w:name w:val="footer"/>
    <w:basedOn w:val="1"/>
    <w:link w:val="66"/>
    <w:qFormat/>
    <w:uiPriority w:val="0"/>
    <w:pPr>
      <w:tabs>
        <w:tab w:val="center" w:pos="4153"/>
        <w:tab w:val="right" w:pos="8306"/>
      </w:tabs>
      <w:snapToGrid w:val="0"/>
      <w:jc w:val="left"/>
    </w:pPr>
    <w:rPr>
      <w:sz w:val="18"/>
      <w:szCs w:val="18"/>
    </w:rPr>
  </w:style>
  <w:style w:type="paragraph" w:styleId="24">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7">
    <w:name w:val="List"/>
    <w:basedOn w:val="1"/>
    <w:qFormat/>
    <w:uiPriority w:val="0"/>
    <w:pPr>
      <w:ind w:left="420" w:hanging="420"/>
    </w:pPr>
    <w:rPr>
      <w:rFonts w:ascii="Arial" w:hAnsi="Arial" w:eastAsia="楷体_GB2312"/>
      <w:sz w:val="28"/>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0"/>
    <w:pPr>
      <w:ind w:left="20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4"/>
    <w:next w:val="14"/>
    <w:link w:val="68"/>
    <w:qFormat/>
    <w:uiPriority w:val="0"/>
    <w:rPr>
      <w:b/>
      <w:bCs/>
    </w:rPr>
  </w:style>
  <w:style w:type="paragraph" w:styleId="34">
    <w:name w:val="Body Text First Indent"/>
    <w:basedOn w:val="15"/>
    <w:qFormat/>
    <w:uiPriority w:val="0"/>
    <w:pPr>
      <w:ind w:firstLine="420" w:firstLineChars="100"/>
    </w:pPr>
  </w:style>
  <w:style w:type="paragraph" w:styleId="35">
    <w:name w:val="Body Text First Indent 2"/>
    <w:basedOn w:val="16"/>
    <w:next w:val="27"/>
    <w:link w:val="55"/>
    <w:qFormat/>
    <w:uiPriority w:val="0"/>
    <w:pPr>
      <w:ind w:left="420" w:firstLine="420" w:firstLineChars="200"/>
    </w:pPr>
    <w:rPr>
      <w:kern w:val="0"/>
      <w:sz w:val="20"/>
      <w:szCs w:val="20"/>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imes New Roman" w:hAnsi="Times New Roman" w:eastAsia="宋体" w:cs="Times New Roman"/>
      <w:b/>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333333"/>
      <w:u w:val="none"/>
    </w:rPr>
  </w:style>
  <w:style w:type="character" w:styleId="42">
    <w:name w:val="Emphasis"/>
    <w:qFormat/>
    <w:uiPriority w:val="0"/>
    <w:rPr>
      <w:rFonts w:ascii="Times New Roman" w:hAnsi="Times New Roman" w:eastAsia="宋体" w:cs="Times New Roman"/>
      <w:i/>
      <w:iCs/>
    </w:rPr>
  </w:style>
  <w:style w:type="character" w:styleId="43">
    <w:name w:val="HTML Definition"/>
    <w:qFormat/>
    <w:uiPriority w:val="0"/>
    <w:rPr>
      <w:rFonts w:ascii="Times New Roman" w:hAnsi="Times New Roman" w:eastAsia="宋体" w:cs="Times New Roman"/>
    </w:rPr>
  </w:style>
  <w:style w:type="character" w:styleId="44">
    <w:name w:val="HTML Typewriter"/>
    <w:qFormat/>
    <w:uiPriority w:val="0"/>
    <w:rPr>
      <w:rFonts w:hint="default" w:ascii="monospace" w:hAnsi="monospace" w:eastAsia="monospace" w:cs="monospace"/>
      <w:sz w:val="20"/>
    </w:rPr>
  </w:style>
  <w:style w:type="character" w:styleId="45">
    <w:name w:val="HTML Acronym"/>
    <w:qFormat/>
    <w:uiPriority w:val="0"/>
    <w:rPr>
      <w:rFonts w:ascii="Times New Roman" w:hAnsi="Times New Roman" w:eastAsia="宋体" w:cs="Times New Roman"/>
    </w:rPr>
  </w:style>
  <w:style w:type="character" w:styleId="46">
    <w:name w:val="HTML Variable"/>
    <w:qFormat/>
    <w:uiPriority w:val="0"/>
    <w:rPr>
      <w:rFonts w:ascii="Times New Roman" w:hAnsi="Times New Roman" w:eastAsia="宋体" w:cs="Times New Roman"/>
    </w:rPr>
  </w:style>
  <w:style w:type="character" w:styleId="47">
    <w:name w:val="Hyperlink"/>
    <w:qFormat/>
    <w:uiPriority w:val="0"/>
    <w:rPr>
      <w:rFonts w:ascii="Times New Roman" w:hAnsi="Times New Roman" w:eastAsia="宋体" w:cs="Times New Roman"/>
      <w:color w:val="333333"/>
      <w:u w:val="none"/>
    </w:rPr>
  </w:style>
  <w:style w:type="character" w:styleId="48">
    <w:name w:val="HTML Code"/>
    <w:qFormat/>
    <w:uiPriority w:val="0"/>
    <w:rPr>
      <w:rFonts w:hint="default" w:ascii="monospace" w:hAnsi="monospace" w:eastAsia="monospace" w:cs="monospace"/>
      <w:sz w:val="20"/>
    </w:rPr>
  </w:style>
  <w:style w:type="character" w:styleId="49">
    <w:name w:val="annotation reference"/>
    <w:qFormat/>
    <w:uiPriority w:val="0"/>
    <w:rPr>
      <w:rFonts w:ascii="Times New Roman" w:hAnsi="Times New Roman" w:eastAsia="宋体" w:cs="Times New Roman"/>
      <w:sz w:val="21"/>
      <w:szCs w:val="21"/>
    </w:rPr>
  </w:style>
  <w:style w:type="character" w:styleId="50">
    <w:name w:val="HTML Cite"/>
    <w:qFormat/>
    <w:uiPriority w:val="0"/>
    <w:rPr>
      <w:rFonts w:ascii="Times New Roman" w:hAnsi="Times New Roman" w:eastAsia="宋体" w:cs="Times New Roman"/>
    </w:rPr>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ascii="monospace" w:hAnsi="monospace" w:eastAsia="monospace" w:cs="monospace"/>
    </w:rPr>
  </w:style>
  <w:style w:type="paragraph" w:customStyle="1" w:styleId="5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正文文本缩进 Char"/>
    <w:link w:val="16"/>
    <w:qFormat/>
    <w:uiPriority w:val="0"/>
    <w:rPr>
      <w:rFonts w:ascii="Times New Roman" w:hAnsi="Times New Roman" w:eastAsia="宋体" w:cs="Times New Roman"/>
      <w:kern w:val="2"/>
      <w:sz w:val="21"/>
      <w:szCs w:val="24"/>
    </w:rPr>
  </w:style>
  <w:style w:type="character" w:customStyle="1" w:styleId="55">
    <w:name w:val="正文首行缩进 2 Char"/>
    <w:link w:val="35"/>
    <w:qFormat/>
    <w:uiPriority w:val="0"/>
    <w:rPr>
      <w:rFonts w:ascii="Times New Roman" w:hAnsi="Times New Roman" w:eastAsia="宋体" w:cs="Times New Roman"/>
    </w:rPr>
  </w:style>
  <w:style w:type="character" w:customStyle="1" w:styleId="56">
    <w:name w:val="标题 1 Char"/>
    <w:link w:val="3"/>
    <w:qFormat/>
    <w:uiPriority w:val="0"/>
    <w:rPr>
      <w:rFonts w:ascii="Times New Roman" w:hAnsi="Times New Roman" w:eastAsia="宋体" w:cs="Times New Roman"/>
      <w:b/>
      <w:bCs/>
      <w:kern w:val="44"/>
      <w:sz w:val="32"/>
      <w:szCs w:val="44"/>
    </w:rPr>
  </w:style>
  <w:style w:type="character" w:customStyle="1" w:styleId="57">
    <w:name w:val="标题 4 Char"/>
    <w:link w:val="6"/>
    <w:qFormat/>
    <w:uiPriority w:val="0"/>
    <w:rPr>
      <w:rFonts w:ascii="Arial" w:hAnsi="Arial" w:eastAsia="黑体" w:cs="Times New Roman"/>
      <w:b/>
      <w:bCs/>
      <w:color w:val="000000"/>
      <w:sz w:val="28"/>
      <w:szCs w:val="28"/>
      <w:u w:val="none" w:color="000000"/>
      <w:lang w:val="en-US" w:eastAsia="zh-CN" w:bidi="ar-SA"/>
    </w:rPr>
  </w:style>
  <w:style w:type="character" w:customStyle="1" w:styleId="58">
    <w:name w:val="标题 5 Char"/>
    <w:link w:val="7"/>
    <w:qFormat/>
    <w:uiPriority w:val="0"/>
    <w:rPr>
      <w:rFonts w:ascii="Times New Roman" w:hAnsi="Times New Roman" w:eastAsia="宋体" w:cs="Times New Roman"/>
      <w:b/>
      <w:bCs/>
      <w:kern w:val="2"/>
      <w:sz w:val="28"/>
      <w:szCs w:val="28"/>
    </w:rPr>
  </w:style>
  <w:style w:type="character" w:customStyle="1" w:styleId="59">
    <w:name w:val="标题 6 Char"/>
    <w:link w:val="8"/>
    <w:qFormat/>
    <w:uiPriority w:val="0"/>
    <w:rPr>
      <w:rFonts w:ascii="Cambria" w:hAnsi="Cambria" w:eastAsia="宋体" w:cs="Times New Roman"/>
      <w:b/>
      <w:bCs/>
      <w:kern w:val="2"/>
      <w:sz w:val="24"/>
      <w:szCs w:val="24"/>
    </w:rPr>
  </w:style>
  <w:style w:type="character" w:customStyle="1" w:styleId="60">
    <w:name w:val="标题 7 Char"/>
    <w:link w:val="9"/>
    <w:qFormat/>
    <w:uiPriority w:val="0"/>
    <w:rPr>
      <w:rFonts w:ascii="Times New Roman" w:hAnsi="Times New Roman" w:eastAsia="宋体" w:cs="Times New Roman"/>
      <w:b/>
      <w:bCs/>
      <w:kern w:val="2"/>
      <w:sz w:val="24"/>
      <w:szCs w:val="24"/>
    </w:rPr>
  </w:style>
  <w:style w:type="character" w:customStyle="1" w:styleId="61">
    <w:name w:val="批注文字 Char"/>
    <w:link w:val="14"/>
    <w:qFormat/>
    <w:uiPriority w:val="0"/>
    <w:rPr>
      <w:rFonts w:ascii="Times New Roman" w:hAnsi="Times New Roman" w:eastAsia="宋体" w:cs="Times New Roman"/>
      <w:kern w:val="2"/>
      <w:sz w:val="21"/>
      <w:szCs w:val="24"/>
    </w:rPr>
  </w:style>
  <w:style w:type="character" w:customStyle="1" w:styleId="62">
    <w:name w:val="纯文本 Char"/>
    <w:link w:val="19"/>
    <w:qFormat/>
    <w:uiPriority w:val="0"/>
    <w:rPr>
      <w:rFonts w:ascii="宋体" w:hAnsi="Times New Roman" w:eastAsia="宋体" w:cs="Times New Roman"/>
      <w:color w:val="000000"/>
      <w:kern w:val="2"/>
      <w:sz w:val="21"/>
      <w:u w:val="none" w:color="000000"/>
      <w:lang w:val="en-US" w:eastAsia="zh-CN" w:bidi="ar-SA"/>
    </w:rPr>
  </w:style>
  <w:style w:type="character" w:customStyle="1" w:styleId="63">
    <w:name w:val="日期 Char"/>
    <w:link w:val="20"/>
    <w:qFormat/>
    <w:uiPriority w:val="0"/>
    <w:rPr>
      <w:rFonts w:ascii="Arial" w:hAnsi="Arial" w:eastAsia="仿宋_GB2312" w:cs="Times New Roman"/>
      <w:color w:val="000000"/>
      <w:kern w:val="2"/>
      <w:sz w:val="32"/>
      <w:u w:val="none" w:color="000000"/>
    </w:rPr>
  </w:style>
  <w:style w:type="character" w:customStyle="1" w:styleId="64">
    <w:name w:val="正文文本缩进 2 Char"/>
    <w:link w:val="21"/>
    <w:qFormat/>
    <w:uiPriority w:val="0"/>
    <w:rPr>
      <w:rFonts w:ascii="Times New Roman" w:hAnsi="Times New Roman" w:eastAsia="宋体" w:cs="Times New Roman"/>
      <w:kern w:val="2"/>
      <w:sz w:val="21"/>
      <w:szCs w:val="24"/>
    </w:rPr>
  </w:style>
  <w:style w:type="character" w:customStyle="1" w:styleId="65">
    <w:name w:val="批注框文本 Char"/>
    <w:link w:val="22"/>
    <w:qFormat/>
    <w:uiPriority w:val="0"/>
    <w:rPr>
      <w:rFonts w:ascii="Times New Roman" w:hAnsi="Times New Roman" w:eastAsia="宋体" w:cs="Times New Roman"/>
      <w:kern w:val="2"/>
      <w:sz w:val="18"/>
      <w:szCs w:val="18"/>
    </w:rPr>
  </w:style>
  <w:style w:type="character" w:customStyle="1" w:styleId="66">
    <w:name w:val="页脚 Char"/>
    <w:link w:val="23"/>
    <w:qFormat/>
    <w:uiPriority w:val="0"/>
    <w:rPr>
      <w:rFonts w:ascii="Times New Roman" w:hAnsi="Times New Roman" w:eastAsia="宋体" w:cs="Times New Roman"/>
      <w:kern w:val="2"/>
      <w:sz w:val="18"/>
      <w:szCs w:val="18"/>
    </w:rPr>
  </w:style>
  <w:style w:type="character" w:customStyle="1" w:styleId="67">
    <w:name w:val="页眉 Char"/>
    <w:link w:val="24"/>
    <w:qFormat/>
    <w:uiPriority w:val="0"/>
    <w:rPr>
      <w:rFonts w:ascii="Times New Roman" w:hAnsi="Times New Roman" w:eastAsia="宋体" w:cs="Times New Roman"/>
      <w:kern w:val="2"/>
      <w:sz w:val="18"/>
      <w:szCs w:val="18"/>
    </w:rPr>
  </w:style>
  <w:style w:type="character" w:customStyle="1" w:styleId="68">
    <w:name w:val="批注主题 Char"/>
    <w:link w:val="33"/>
    <w:qFormat/>
    <w:uiPriority w:val="0"/>
    <w:rPr>
      <w:rFonts w:ascii="Times New Roman" w:hAnsi="Times New Roman" w:eastAsia="宋体" w:cs="Times New Roman"/>
      <w:b/>
      <w:bCs/>
      <w:kern w:val="2"/>
      <w:sz w:val="21"/>
      <w:szCs w:val="24"/>
    </w:rPr>
  </w:style>
  <w:style w:type="character" w:customStyle="1" w:styleId="69">
    <w:name w:val="图表 Char Char"/>
    <w:link w:val="70"/>
    <w:qFormat/>
    <w:uiPriority w:val="0"/>
    <w:rPr>
      <w:rFonts w:ascii="Times New Roman" w:hAnsi="Times New Roman" w:eastAsia="宋体" w:cs="Times New Roman"/>
      <w:kern w:val="2"/>
      <w:sz w:val="21"/>
      <w:szCs w:val="21"/>
    </w:rPr>
  </w:style>
  <w:style w:type="paragraph" w:customStyle="1" w:styleId="70">
    <w:name w:val="图表"/>
    <w:basedOn w:val="1"/>
    <w:next w:val="1"/>
    <w:link w:val="69"/>
    <w:qFormat/>
    <w:uiPriority w:val="0"/>
    <w:pPr>
      <w:jc w:val="center"/>
    </w:pPr>
    <w:rPr>
      <w:szCs w:val="21"/>
    </w:rPr>
  </w:style>
  <w:style w:type="character" w:customStyle="1" w:styleId="71">
    <w:name w:val="【正文】 Char Char"/>
    <w:link w:val="72"/>
    <w:qFormat/>
    <w:uiPriority w:val="0"/>
    <w:rPr>
      <w:rFonts w:ascii="Times New Roman" w:hAnsi="Times New Roman" w:eastAsia="宋体" w:cs="DokChampa"/>
      <w:kern w:val="2"/>
      <w:sz w:val="24"/>
      <w:szCs w:val="22"/>
    </w:rPr>
  </w:style>
  <w:style w:type="paragraph" w:customStyle="1" w:styleId="72">
    <w:name w:val="【正文】"/>
    <w:basedOn w:val="1"/>
    <w:link w:val="71"/>
    <w:qFormat/>
    <w:uiPriority w:val="0"/>
    <w:pPr>
      <w:spacing w:line="360" w:lineRule="auto"/>
      <w:ind w:firstLine="480" w:firstLineChars="200"/>
    </w:pPr>
    <w:rPr>
      <w:sz w:val="24"/>
      <w:szCs w:val="22"/>
    </w:rPr>
  </w:style>
  <w:style w:type="character" w:customStyle="1" w:styleId="73">
    <w:name w:val="selected"/>
    <w:qFormat/>
    <w:uiPriority w:val="0"/>
    <w:rPr>
      <w:rFonts w:ascii="Times New Roman" w:hAnsi="Times New Roman" w:eastAsia="宋体" w:cs="Times New Roman"/>
      <w:shd w:val="clear" w:color="auto" w:fill="B00006"/>
    </w:rPr>
  </w:style>
  <w:style w:type="character" w:customStyle="1" w:styleId="74">
    <w:name w:val="font21"/>
    <w:basedOn w:val="38"/>
    <w:qFormat/>
    <w:uiPriority w:val="0"/>
    <w:rPr>
      <w:rFonts w:hint="eastAsia" w:ascii="宋体" w:hAnsi="宋体" w:eastAsia="宋体" w:cs="宋体"/>
      <w:color w:val="000000"/>
      <w:sz w:val="18"/>
      <w:szCs w:val="18"/>
      <w:u w:val="none"/>
    </w:rPr>
  </w:style>
  <w:style w:type="character" w:customStyle="1" w:styleId="75">
    <w:name w:val="bds_nopic"/>
    <w:qFormat/>
    <w:uiPriority w:val="0"/>
    <w:rPr>
      <w:rFonts w:ascii="Times New Roman" w:hAnsi="Times New Roman" w:eastAsia="宋体" w:cs="Times New Roman"/>
    </w:rPr>
  </w:style>
  <w:style w:type="character" w:customStyle="1" w:styleId="76">
    <w:name w:val="NormalCharacter"/>
    <w:qFormat/>
    <w:uiPriority w:val="0"/>
    <w:rPr>
      <w:rFonts w:ascii="Times New Roman" w:hAnsi="Times New Roman" w:eastAsia="宋体" w:cs="Times New Roman"/>
      <w:kern w:val="2"/>
      <w:sz w:val="21"/>
      <w:szCs w:val="24"/>
      <w:lang w:val="en-US" w:eastAsia="zh-CN" w:bidi="ar-SA"/>
    </w:rPr>
  </w:style>
  <w:style w:type="character" w:customStyle="1" w:styleId="77">
    <w:name w:val="gpa"/>
    <w:qFormat/>
    <w:uiPriority w:val="0"/>
    <w:rPr>
      <w:rFonts w:ascii="Arial" w:hAnsi="Arial" w:eastAsia="宋体" w:cs="Arial"/>
      <w:sz w:val="15"/>
      <w:szCs w:val="15"/>
    </w:rPr>
  </w:style>
  <w:style w:type="character" w:customStyle="1" w:styleId="78">
    <w:name w:val="正文首行缩进 2 Char1"/>
    <w:qFormat/>
    <w:uiPriority w:val="0"/>
    <w:rPr>
      <w:rFonts w:ascii="Times New Roman" w:hAnsi="Times New Roman" w:eastAsia="宋体" w:cs="Times New Roman"/>
    </w:rPr>
  </w:style>
  <w:style w:type="character" w:customStyle="1" w:styleId="79">
    <w:name w:val="列出段落 Char"/>
    <w:link w:val="80"/>
    <w:qFormat/>
    <w:uiPriority w:val="0"/>
    <w:rPr>
      <w:rFonts w:ascii="Calibri" w:hAnsi="Calibri" w:eastAsia="宋体" w:cs="Times New Roman"/>
      <w:kern w:val="2"/>
      <w:sz w:val="21"/>
      <w:szCs w:val="22"/>
      <w:lang w:val="en-US" w:eastAsia="zh-CN" w:bidi="ar-SA"/>
    </w:rPr>
  </w:style>
  <w:style w:type="paragraph" w:customStyle="1" w:styleId="80">
    <w:name w:val="List Paragraph1"/>
    <w:basedOn w:val="1"/>
    <w:link w:val="79"/>
    <w:qFormat/>
    <w:uiPriority w:val="0"/>
    <w:pPr>
      <w:spacing w:line="312" w:lineRule="auto"/>
      <w:ind w:firstLine="420" w:firstLineChars="200"/>
    </w:pPr>
    <w:rPr>
      <w:rFonts w:ascii="Calibri" w:hAnsi="Calibri"/>
      <w:szCs w:val="22"/>
    </w:rPr>
  </w:style>
  <w:style w:type="character" w:customStyle="1" w:styleId="81">
    <w:name w:val="bds_nopic2"/>
    <w:qFormat/>
    <w:uiPriority w:val="0"/>
    <w:rPr>
      <w:rFonts w:ascii="Times New Roman" w:hAnsi="Times New Roman" w:eastAsia="宋体" w:cs="Times New Roman"/>
    </w:rPr>
  </w:style>
  <w:style w:type="character" w:customStyle="1" w:styleId="82">
    <w:name w:val="font61"/>
    <w:qFormat/>
    <w:uiPriority w:val="0"/>
    <w:rPr>
      <w:rFonts w:hint="default" w:ascii="MS Sans Serif" w:hAnsi="MS Sans Serif" w:eastAsia="MS Sans Serif" w:cs="MS Sans Serif"/>
      <w:color w:val="000000"/>
      <w:sz w:val="18"/>
      <w:szCs w:val="18"/>
      <w:u w:val="none"/>
    </w:rPr>
  </w:style>
  <w:style w:type="character" w:customStyle="1" w:styleId="83">
    <w:name w:val="bds_more1"/>
    <w:qFormat/>
    <w:uiPriority w:val="0"/>
    <w:rPr>
      <w:rFonts w:ascii="Times New Roman" w:hAnsi="Times New Roman" w:eastAsia="宋体" w:cs="Times New Roman"/>
    </w:rPr>
  </w:style>
  <w:style w:type="character" w:customStyle="1" w:styleId="84">
    <w:name w:val="font71"/>
    <w:qFormat/>
    <w:uiPriority w:val="0"/>
    <w:rPr>
      <w:rFonts w:hint="default" w:ascii="MS Sans Serif" w:hAnsi="MS Sans Serif" w:eastAsia="MS Sans Serif" w:cs="MS Sans Serif"/>
      <w:color w:val="000000"/>
      <w:sz w:val="18"/>
      <w:szCs w:val="18"/>
      <w:u w:val="none"/>
    </w:rPr>
  </w:style>
  <w:style w:type="character" w:customStyle="1" w:styleId="85">
    <w:name w:val="first-child"/>
    <w:qFormat/>
    <w:uiPriority w:val="0"/>
    <w:rPr>
      <w:rFonts w:ascii="Times New Roman" w:hAnsi="Times New Roman" w:eastAsia="宋体" w:cs="Times New Roman"/>
    </w:rPr>
  </w:style>
  <w:style w:type="character" w:customStyle="1" w:styleId="86">
    <w:name w:val="bds_nopic1"/>
    <w:qFormat/>
    <w:uiPriority w:val="0"/>
    <w:rPr>
      <w:rFonts w:ascii="Times New Roman" w:hAnsi="Times New Roman" w:eastAsia="宋体" w:cs="Times New Roman"/>
    </w:rPr>
  </w:style>
  <w:style w:type="character" w:customStyle="1" w:styleId="87">
    <w:name w:val="layui-this"/>
    <w:qFormat/>
    <w:uiPriority w:val="0"/>
    <w:rPr>
      <w:rFonts w:ascii="Times New Roman" w:hAnsi="Times New Roman" w:eastAsia="宋体" w:cs="Times New Roman"/>
      <w:bdr w:val="single" w:color="EEEEEE" w:sz="6" w:space="0"/>
      <w:shd w:val="clear" w:color="auto" w:fill="FFFFFF"/>
    </w:rPr>
  </w:style>
  <w:style w:type="character" w:customStyle="1" w:styleId="88">
    <w:name w:val="font81"/>
    <w:qFormat/>
    <w:uiPriority w:val="0"/>
    <w:rPr>
      <w:rFonts w:ascii="Arial Unicode MS" w:hAnsi="Arial Unicode MS" w:eastAsia="Arial Unicode MS" w:cs="Arial Unicode MS"/>
      <w:color w:val="000000"/>
      <w:sz w:val="18"/>
      <w:szCs w:val="18"/>
      <w:u w:val="none"/>
    </w:rPr>
  </w:style>
  <w:style w:type="character" w:customStyle="1" w:styleId="89">
    <w:name w:val="apple-converted-space"/>
    <w:qFormat/>
    <w:uiPriority w:val="0"/>
    <w:rPr>
      <w:rFonts w:ascii="Times New Roman" w:hAnsi="Times New Roman" w:eastAsia="宋体" w:cs="Times New Roman"/>
    </w:rPr>
  </w:style>
  <w:style w:type="character" w:customStyle="1" w:styleId="90">
    <w:name w:val="displayarti"/>
    <w:qFormat/>
    <w:uiPriority w:val="0"/>
    <w:rPr>
      <w:rFonts w:ascii="Times New Roman" w:hAnsi="Times New Roman" w:eastAsia="宋体" w:cs="Times New Roman"/>
      <w:color w:val="FFFFFF"/>
      <w:shd w:val="clear" w:color="auto" w:fill="A00000"/>
    </w:rPr>
  </w:style>
  <w:style w:type="character" w:customStyle="1" w:styleId="91">
    <w:name w:val="font131"/>
    <w:qFormat/>
    <w:uiPriority w:val="0"/>
    <w:rPr>
      <w:rFonts w:hint="eastAsia" w:ascii="宋体" w:hAnsi="宋体" w:eastAsia="宋体" w:cs="宋体"/>
      <w:b/>
      <w:bCs/>
      <w:color w:val="000000"/>
      <w:sz w:val="20"/>
      <w:szCs w:val="20"/>
      <w:u w:val="none"/>
    </w:rPr>
  </w:style>
  <w:style w:type="character" w:customStyle="1" w:styleId="92">
    <w:name w:val="bds_more2"/>
    <w:qFormat/>
    <w:uiPriority w:val="0"/>
    <w:rPr>
      <w:rFonts w:ascii="Times New Roman" w:hAnsi="Times New Roman" w:eastAsia="宋体" w:cs="Times New Roman"/>
    </w:rPr>
  </w:style>
  <w:style w:type="character" w:customStyle="1" w:styleId="93">
    <w:name w:val="bds_more"/>
    <w:qFormat/>
    <w:uiPriority w:val="0"/>
    <w:rPr>
      <w:rFonts w:hint="eastAsia" w:ascii="宋体" w:hAnsi="宋体" w:eastAsia="宋体" w:cs="宋体"/>
    </w:rPr>
  </w:style>
  <w:style w:type="paragraph" w:customStyle="1" w:styleId="94">
    <w:name w:val="Char Char Char Char"/>
    <w:basedOn w:val="1"/>
    <w:qFormat/>
    <w:uiPriority w:val="0"/>
    <w:rPr>
      <w:rFonts w:ascii="Tahoma" w:hAnsi="Tahoma"/>
      <w:sz w:val="24"/>
      <w:szCs w:val="20"/>
    </w:rPr>
  </w:style>
  <w:style w:type="paragraph" w:customStyle="1" w:styleId="95">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6">
    <w:name w:val="Table Paragraph"/>
    <w:basedOn w:val="1"/>
    <w:qFormat/>
    <w:uiPriority w:val="0"/>
    <w:rPr>
      <w:rFonts w:ascii="宋体" w:hAnsi="宋体" w:cs="宋体"/>
      <w:lang w:val="zh-CN" w:bidi="zh-CN"/>
    </w:rPr>
  </w:style>
  <w:style w:type="paragraph" w:customStyle="1" w:styleId="97">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8">
    <w:name w:val="正文 New"/>
    <w:next w:val="99"/>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9">
    <w:name w:val="正文缩进1"/>
    <w:basedOn w:val="1"/>
    <w:next w:val="13"/>
    <w:qFormat/>
    <w:uiPriority w:val="0"/>
    <w:pPr>
      <w:spacing w:line="360" w:lineRule="atLeast"/>
      <w:ind w:firstLine="482"/>
    </w:pPr>
    <w:rPr>
      <w:sz w:val="24"/>
    </w:rPr>
  </w:style>
  <w:style w:type="paragraph" w:customStyle="1" w:styleId="100">
    <w:name w:val="Char Char Char Char Char Char Char1 Char"/>
    <w:basedOn w:val="1"/>
    <w:qFormat/>
    <w:uiPriority w:val="0"/>
    <w:rPr>
      <w:rFonts w:ascii="Tahoma" w:hAnsi="Tahoma"/>
      <w:sz w:val="24"/>
      <w:szCs w:val="20"/>
    </w:rPr>
  </w:style>
  <w:style w:type="paragraph" w:customStyle="1" w:styleId="101">
    <w:name w:val="Char"/>
    <w:basedOn w:val="1"/>
    <w:qFormat/>
    <w:uiPriority w:val="0"/>
  </w:style>
  <w:style w:type="paragraph" w:customStyle="1" w:styleId="102">
    <w:name w:val="（无样式）"/>
    <w:basedOn w:val="1"/>
    <w:qFormat/>
    <w:uiPriority w:val="0"/>
    <w:pPr>
      <w:widowControl/>
      <w:numPr>
        <w:ilvl w:val="0"/>
        <w:numId w:val="6"/>
      </w:numPr>
      <w:spacing w:line="360" w:lineRule="auto"/>
      <w:ind w:firstLine="0"/>
    </w:pPr>
    <w:rPr>
      <w:sz w:val="24"/>
      <w:szCs w:val="20"/>
    </w:rPr>
  </w:style>
  <w:style w:type="paragraph" w:customStyle="1" w:styleId="10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5">
    <w:name w:val="_Style 102"/>
    <w:qFormat/>
    <w:uiPriority w:val="0"/>
    <w:rPr>
      <w:rFonts w:ascii="Times New Roman" w:hAnsi="Times New Roman" w:eastAsia="宋体" w:cs="Times New Roman"/>
      <w:kern w:val="2"/>
      <w:sz w:val="21"/>
      <w:szCs w:val="24"/>
      <w:lang w:val="en-US" w:eastAsia="zh-CN" w:bidi="ar-SA"/>
    </w:rPr>
  </w:style>
  <w:style w:type="paragraph" w:customStyle="1" w:styleId="106">
    <w:name w:val="Char1"/>
    <w:basedOn w:val="1"/>
    <w:next w:val="1"/>
    <w:qFormat/>
    <w:uiPriority w:val="0"/>
    <w:pPr>
      <w:widowControl/>
      <w:spacing w:line="360" w:lineRule="auto"/>
      <w:jc w:val="left"/>
    </w:pPr>
    <w:rPr>
      <w:kern w:val="0"/>
      <w:szCs w:val="20"/>
      <w:lang w:eastAsia="en-US"/>
    </w:rPr>
  </w:style>
  <w:style w:type="paragraph" w:customStyle="1" w:styleId="107">
    <w:name w:val="_Style 2"/>
    <w:basedOn w:val="1"/>
    <w:qFormat/>
    <w:uiPriority w:val="0"/>
  </w:style>
  <w:style w:type="paragraph" w:customStyle="1" w:styleId="108">
    <w:name w:val="列出段落2"/>
    <w:basedOn w:val="1"/>
    <w:qFormat/>
    <w:uiPriority w:val="0"/>
    <w:pPr>
      <w:ind w:firstLine="420" w:firstLineChars="200"/>
    </w:pPr>
    <w:rPr>
      <w:rFonts w:ascii="Calibri" w:hAnsi="Calibri"/>
      <w:szCs w:val="22"/>
    </w:rPr>
  </w:style>
  <w:style w:type="paragraph" w:customStyle="1" w:styleId="109">
    <w:name w:val="*正文"/>
    <w:basedOn w:val="1"/>
    <w:qFormat/>
    <w:uiPriority w:val="0"/>
    <w:pPr>
      <w:widowControl/>
      <w:snapToGrid w:val="0"/>
      <w:ind w:firstLine="560"/>
      <w:jc w:val="left"/>
    </w:pPr>
    <w:rPr>
      <w:rFonts w:ascii="仿宋_GB2312"/>
      <w:color w:val="191919"/>
      <w:sz w:val="28"/>
      <w:szCs w:val="28"/>
    </w:rPr>
  </w:style>
  <w:style w:type="paragraph" w:customStyle="1" w:styleId="110">
    <w:name w:val="列出段落1"/>
    <w:basedOn w:val="1"/>
    <w:qFormat/>
    <w:uiPriority w:val="0"/>
    <w:pPr>
      <w:ind w:firstLine="420" w:firstLineChars="200"/>
    </w:pPr>
  </w:style>
  <w:style w:type="paragraph" w:customStyle="1" w:styleId="111">
    <w:name w:val="HtmlNormal"/>
    <w:basedOn w:val="1"/>
    <w:qFormat/>
    <w:uiPriority w:val="0"/>
    <w:pPr>
      <w:widowControl/>
      <w:spacing w:before="100" w:beforeAutospacing="1" w:after="100" w:afterAutospacing="1"/>
      <w:jc w:val="left"/>
    </w:pPr>
    <w:rPr>
      <w:rFonts w:ascii="宋体" w:hAnsi="宋体"/>
      <w:kern w:val="0"/>
      <w:sz w:val="24"/>
    </w:rPr>
  </w:style>
  <w:style w:type="paragraph" w:styleId="112">
    <w:name w:val="List Paragraph"/>
    <w:basedOn w:val="1"/>
    <w:qFormat/>
    <w:uiPriority w:val="0"/>
    <w:pPr>
      <w:spacing w:line="360" w:lineRule="auto"/>
      <w:ind w:firstLine="420" w:firstLineChars="200"/>
    </w:pPr>
    <w:rPr>
      <w:rFonts w:ascii="宋体" w:hAnsi="宋体" w:cs="宋体"/>
      <w:sz w:val="24"/>
    </w:rPr>
  </w:style>
  <w:style w:type="paragraph" w:customStyle="1" w:styleId="113">
    <w:name w:val="列出段落11"/>
    <w:basedOn w:val="1"/>
    <w:qFormat/>
    <w:uiPriority w:val="0"/>
    <w:pPr>
      <w:spacing w:after="120" w:line="360" w:lineRule="auto"/>
      <w:ind w:firstLine="420" w:firstLineChars="200"/>
    </w:pPr>
    <w:rPr>
      <w:rFonts w:ascii="Calibri" w:hAnsi="Calibri"/>
      <w:szCs w:val="22"/>
    </w:rPr>
  </w:style>
  <w:style w:type="paragraph" w:customStyle="1" w:styleId="114">
    <w:name w:val="_Style 4"/>
    <w:basedOn w:val="1"/>
    <w:qFormat/>
    <w:uiPriority w:val="0"/>
    <w:pPr>
      <w:adjustRightInd w:val="0"/>
      <w:ind w:firstLine="420" w:firstLineChars="200"/>
      <w:jc w:val="left"/>
      <w:textAlignment w:val="baseline"/>
    </w:pPr>
    <w:rPr>
      <w:kern w:val="0"/>
      <w:szCs w:val="20"/>
    </w:rPr>
  </w:style>
  <w:style w:type="paragraph" w:customStyle="1" w:styleId="115">
    <w:name w:val="List Paragraph2"/>
    <w:basedOn w:val="1"/>
    <w:qFormat/>
    <w:uiPriority w:val="0"/>
    <w:pPr>
      <w:spacing w:line="360" w:lineRule="auto"/>
      <w:ind w:firstLine="420"/>
    </w:pPr>
    <w:rPr>
      <w:color w:val="000000"/>
      <w:sz w:val="24"/>
      <w:szCs w:val="21"/>
    </w:rPr>
  </w:style>
  <w:style w:type="paragraph" w:customStyle="1" w:styleId="116">
    <w:name w:val="正文文字 8"/>
    <w:basedOn w:val="1"/>
    <w:next w:val="1"/>
    <w:qFormat/>
    <w:uiPriority w:val="0"/>
    <w:pPr>
      <w:ind w:left="240"/>
    </w:pPr>
    <w:rPr>
      <w:sz w:val="16"/>
    </w:rPr>
  </w:style>
  <w:style w:type="paragraph" w:customStyle="1" w:styleId="117">
    <w:name w:val="样式1"/>
    <w:basedOn w:val="1"/>
    <w:qFormat/>
    <w:uiPriority w:val="0"/>
    <w:pPr>
      <w:spacing w:line="360" w:lineRule="auto"/>
      <w:jc w:val="center"/>
    </w:pPr>
    <w:rPr>
      <w:b/>
      <w:sz w:val="30"/>
      <w:szCs w:val="30"/>
    </w:rPr>
  </w:style>
  <w:style w:type="paragraph" w:customStyle="1" w:styleId="118">
    <w:name w:val="列表2"/>
    <w:basedOn w:val="1"/>
    <w:next w:val="1"/>
    <w:qFormat/>
    <w:uiPriority w:val="0"/>
    <w:pPr>
      <w:numPr>
        <w:ilvl w:val="0"/>
        <w:numId w:val="7"/>
      </w:numPr>
      <w:spacing w:line="200" w:lineRule="atLeast"/>
    </w:pPr>
    <w:rPr>
      <w:rFonts w:eastAsia="仿宋"/>
      <w:sz w:val="28"/>
    </w:rPr>
  </w:style>
  <w:style w:type="paragraph" w:customStyle="1" w:styleId="119">
    <w:name w:val="标题3-副本"/>
    <w:basedOn w:val="26"/>
    <w:qFormat/>
    <w:uiPriority w:val="0"/>
    <w:pPr>
      <w:numPr>
        <w:ilvl w:val="0"/>
        <w:numId w:val="0"/>
      </w:numPr>
      <w:ind w:left="840"/>
    </w:pPr>
    <w:rPr>
      <w:rFonts w:ascii="Times New Roman" w:hAnsi="Times New Roman"/>
    </w:rPr>
  </w:style>
  <w:style w:type="paragraph" w:customStyle="1" w:styleId="120">
    <w:name w:val="_Style 117"/>
    <w:basedOn w:val="1"/>
    <w:next w:val="1"/>
    <w:qFormat/>
    <w:uiPriority w:val="0"/>
    <w:pPr>
      <w:pBdr>
        <w:bottom w:val="single" w:color="auto" w:sz="6" w:space="1"/>
      </w:pBdr>
      <w:jc w:val="center"/>
    </w:pPr>
    <w:rPr>
      <w:rFonts w:ascii="Arial"/>
      <w:vanish/>
      <w:sz w:val="16"/>
    </w:rPr>
  </w:style>
  <w:style w:type="paragraph" w:customStyle="1" w:styleId="121">
    <w:name w:val="_Style 118"/>
    <w:basedOn w:val="1"/>
    <w:next w:val="1"/>
    <w:qFormat/>
    <w:uiPriority w:val="0"/>
    <w:pPr>
      <w:pBdr>
        <w:top w:val="single" w:color="auto" w:sz="6" w:space="1"/>
      </w:pBdr>
      <w:jc w:val="center"/>
    </w:pPr>
    <w:rPr>
      <w:rFonts w:ascii="Arial"/>
      <w:vanish/>
      <w:sz w:val="16"/>
    </w:rPr>
  </w:style>
  <w:style w:type="paragraph" w:customStyle="1" w:styleId="122">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3">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4">
    <w:name w:val="font11"/>
    <w:qFormat/>
    <w:uiPriority w:val="0"/>
    <w:rPr>
      <w:rFonts w:hint="eastAsia" w:ascii="宋体" w:hAnsi="宋体" w:eastAsia="宋体" w:cs="宋体"/>
      <w:color w:val="000000"/>
      <w:sz w:val="16"/>
      <w:szCs w:val="16"/>
      <w:u w:val="none"/>
    </w:rPr>
  </w:style>
  <w:style w:type="character" w:customStyle="1" w:styleId="125">
    <w:name w:val="font31"/>
    <w:basedOn w:val="38"/>
    <w:qFormat/>
    <w:uiPriority w:val="0"/>
    <w:rPr>
      <w:rFonts w:ascii="宋体" w:hAnsi="宋体" w:eastAsia="宋体" w:cs="宋体"/>
      <w:color w:val="000000"/>
      <w:sz w:val="16"/>
      <w:szCs w:val="16"/>
      <w:u w:val="none"/>
    </w:rPr>
  </w:style>
  <w:style w:type="character" w:customStyle="1" w:styleId="126">
    <w:name w:val="font41"/>
    <w:basedOn w:val="38"/>
    <w:qFormat/>
    <w:uiPriority w:val="0"/>
    <w:rPr>
      <w:rFonts w:hint="eastAsia" w:ascii="宋体" w:hAnsi="宋体" w:eastAsia="宋体" w:cs="宋体"/>
      <w:color w:val="000000"/>
      <w:sz w:val="21"/>
      <w:szCs w:val="21"/>
      <w:u w:val="none"/>
    </w:rPr>
  </w:style>
  <w:style w:type="character" w:customStyle="1" w:styleId="127">
    <w:name w:val="hover"/>
    <w:basedOn w:val="38"/>
    <w:qFormat/>
    <w:uiPriority w:val="0"/>
  </w:style>
  <w:style w:type="character" w:customStyle="1" w:styleId="128">
    <w:name w:val="hover1"/>
    <w:basedOn w:val="38"/>
    <w:qFormat/>
    <w:uiPriority w:val="0"/>
    <w:rPr>
      <w:color w:val="2590EB"/>
    </w:rPr>
  </w:style>
  <w:style w:type="character" w:customStyle="1" w:styleId="129">
    <w:name w:val="hover2"/>
    <w:basedOn w:val="38"/>
    <w:qFormat/>
    <w:uiPriority w:val="0"/>
    <w:rPr>
      <w:color w:val="2590EB"/>
    </w:rPr>
  </w:style>
  <w:style w:type="character" w:customStyle="1" w:styleId="130">
    <w:name w:val="hover3"/>
    <w:basedOn w:val="38"/>
    <w:qFormat/>
    <w:uiPriority w:val="0"/>
    <w:rPr>
      <w:color w:val="2590EB"/>
      <w:shd w:val="clear" w:color="auto" w:fill="E9F4FD"/>
    </w:rPr>
  </w:style>
  <w:style w:type="table" w:customStyle="1" w:styleId="131">
    <w:name w:val="Table Normal"/>
    <w:semiHidden/>
    <w:unhideWhenUsed/>
    <w:qFormat/>
    <w:uiPriority w:val="0"/>
    <w:tblPr>
      <w:tblCellMar>
        <w:top w:w="0" w:type="dxa"/>
        <w:left w:w="0" w:type="dxa"/>
        <w:bottom w:w="0" w:type="dxa"/>
        <w:right w:w="0" w:type="dxa"/>
      </w:tblCellMar>
    </w:tblPr>
  </w:style>
  <w:style w:type="paragraph" w:customStyle="1" w:styleId="132">
    <w:name w:val="Table Text"/>
    <w:basedOn w:val="1"/>
    <w:semiHidden/>
    <w:qFormat/>
    <w:uiPriority w:val="0"/>
    <w:rPr>
      <w:rFonts w:ascii="宋体" w:hAnsi="宋体" w:eastAsia="宋体" w:cs="宋体"/>
      <w:sz w:val="20"/>
      <w:szCs w:val="20"/>
      <w:lang w:val="en-US" w:eastAsia="en-US" w:bidi="ar-SA"/>
    </w:rPr>
  </w:style>
  <w:style w:type="character" w:customStyle="1" w:styleId="133">
    <w:name w:val="fontstyle01"/>
    <w:basedOn w:val="38"/>
    <w:qFormat/>
    <w:uiPriority w:val="0"/>
    <w:rPr>
      <w:rFonts w:ascii="宋体" w:hAnsi="宋体" w:eastAsia="宋体" w:cs="宋体"/>
      <w:color w:val="000000"/>
      <w:sz w:val="32"/>
      <w:szCs w:val="32"/>
    </w:rPr>
  </w:style>
  <w:style w:type="character" w:customStyle="1" w:styleId="134">
    <w:name w:val="fontstyle21"/>
    <w:basedOn w:val="38"/>
    <w:qFormat/>
    <w:uiPriority w:val="0"/>
    <w:rPr>
      <w:rFonts w:ascii="TimesNewRomanPSMT" w:hAnsi="TimesNewRomanPSMT" w:eastAsia="TimesNewRomanPSMT" w:cs="TimesNewRomanPSMT"/>
      <w:color w:val="000000"/>
      <w:sz w:val="18"/>
      <w:szCs w:val="18"/>
    </w:rPr>
  </w:style>
  <w:style w:type="character" w:customStyle="1" w:styleId="135">
    <w:name w:val="font01"/>
    <w:basedOn w:val="38"/>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92</Pages>
  <Words>54564</Words>
  <Characters>57524</Characters>
  <Lines>334</Lines>
  <Paragraphs>94</Paragraphs>
  <TotalTime>5</TotalTime>
  <ScaleCrop>false</ScaleCrop>
  <LinksUpToDate>false</LinksUpToDate>
  <CharactersWithSpaces>59946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2025-08-21T01:45:00Z</dcterms:created>
  <dc:creator>陈倩倩</dc:creator>
  <cp:lastModifiedBy>代理</cp:lastModifiedBy>
  <cp:lastPrinted>2025-10-17T01:27:00Z</cp:lastPrinted>
  <dcterms:modified xsi:type="dcterms:W3CDTF">2025-10-21T07:37:13Z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3FE993FF79D84971A0DFEC14488751C5_13</vt:lpwstr>
  </property>
  <property fmtid="{D5CDD505-2E9C-101B-9397-08002B2CF9AE}" pid="4" name="KSOTemplateDocerSaveRecord">
    <vt:lpwstr>eyJoZGlkIjoiOTc5MDNjMmIyODczM2YwMGZkZTNjYWY1NjIxZTY5YjciLCJ1c2VySWQiOiI1MDM3MjkwOTMifQ==</vt:lpwstr>
  </property>
</Properties>
</file>