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376FF">
      <w:pPr>
        <w:pStyle w:val="34"/>
        <w:shd w:val="clear"/>
        <w:kinsoku/>
        <w:overflowPunct/>
        <w:bidi w:val="0"/>
        <w:ind w:left="0" w:leftChars="0" w:right="0" w:rightChars="0" w:firstLineChars="0"/>
        <w:jc w:val="center"/>
        <w:rPr>
          <w:rFonts w:ascii="新宋体" w:hAnsi="新宋体" w:eastAsia="新宋体"/>
          <w:b/>
          <w:color w:val="auto"/>
          <w:sz w:val="44"/>
          <w:szCs w:val="44"/>
          <w:highlight w:val="none"/>
        </w:rPr>
      </w:pPr>
      <w:bookmarkStart w:id="0" w:name="OLE_LINK1"/>
    </w:p>
    <w:p w14:paraId="6E67217A">
      <w:pPr>
        <w:pStyle w:val="34"/>
        <w:kinsoku/>
        <w:overflowPunct/>
        <w:bidi w:val="0"/>
        <w:ind w:left="0" w:leftChars="0" w:right="0" w:rightChars="0" w:firstLine="0" w:firstLineChars="0"/>
        <w:jc w:val="center"/>
        <w:rPr>
          <w:rFonts w:hint="eastAsia" w:ascii="Times New Roman" w:hAnsi="Times New Roman" w:eastAsia="宋体" w:cs="宋体"/>
          <w:b/>
          <w:bCs w:val="0"/>
          <w:color w:val="auto"/>
          <w:kern w:val="0"/>
          <w:sz w:val="52"/>
          <w:szCs w:val="32"/>
          <w:highlight w:val="none"/>
          <w:u w:color="000000"/>
          <w:lang w:val="en-US" w:eastAsia="zh-CN" w:bidi="ar"/>
        </w:rPr>
      </w:pPr>
      <w:r>
        <w:rPr>
          <w:rFonts w:hint="eastAsia" w:ascii="Times New Roman" w:hAnsi="Times New Roman" w:eastAsia="宋体" w:cs="宋体"/>
          <w:b/>
          <w:bCs w:val="0"/>
          <w:color w:val="auto"/>
          <w:kern w:val="0"/>
          <w:sz w:val="52"/>
          <w:szCs w:val="32"/>
          <w:highlight w:val="none"/>
          <w:u w:color="000000"/>
          <w:lang w:val="en-US" w:eastAsia="zh-CN" w:bidi="ar"/>
        </w:rPr>
        <w:t>滁州工投新能源开发有限公司</w:t>
      </w:r>
    </w:p>
    <w:p w14:paraId="4D8F0599">
      <w:pPr>
        <w:keepNext w:val="0"/>
        <w:keepLines w:val="0"/>
        <w:pageBreakBefore w:val="0"/>
        <w:widowControl w:val="0"/>
        <w:shd w:val="clear"/>
        <w:kinsoku/>
        <w:wordWrap/>
        <w:overflowPunct/>
        <w:topLinePunct w:val="0"/>
        <w:autoSpaceDE/>
        <w:autoSpaceDN/>
        <w:bidi w:val="0"/>
        <w:adjustRightInd/>
        <w:snapToGrid/>
        <w:spacing w:beforeLines="50" w:afterLines="50"/>
        <w:ind w:left="0" w:leftChars="0" w:right="0" w:rightChars="0"/>
        <w:jc w:val="center"/>
        <w:textAlignment w:val="auto"/>
        <w:rPr>
          <w:rFonts w:hint="eastAsia" w:ascii="Times New Roman" w:hAnsi="Times New Roman" w:eastAsia="宋体" w:cs="宋体"/>
          <w:b/>
          <w:bCs w:val="0"/>
          <w:color w:val="auto"/>
          <w:kern w:val="0"/>
          <w:sz w:val="52"/>
          <w:szCs w:val="32"/>
          <w:highlight w:val="none"/>
          <w:u w:color="000000"/>
          <w:lang w:val="en-US" w:eastAsia="zh-CN" w:bidi="ar"/>
        </w:rPr>
      </w:pPr>
      <w:r>
        <w:rPr>
          <w:rFonts w:hint="eastAsia" w:ascii="Times New Roman" w:hAnsi="Times New Roman" w:eastAsia="宋体" w:cs="宋体"/>
          <w:b/>
          <w:bCs w:val="0"/>
          <w:color w:val="auto"/>
          <w:kern w:val="0"/>
          <w:sz w:val="52"/>
          <w:szCs w:val="32"/>
          <w:highlight w:val="none"/>
          <w:u w:color="000000"/>
          <w:lang w:val="en-US" w:eastAsia="zh-CN" w:bidi="ar"/>
        </w:rPr>
        <w:t>2026年在营光伏电站及汽车充电站高压设备巡检维护项目</w:t>
      </w:r>
      <w:r>
        <w:rPr>
          <w:rFonts w:hint="eastAsia" w:cs="宋体"/>
          <w:b/>
          <w:bCs w:val="0"/>
          <w:color w:val="auto"/>
          <w:kern w:val="0"/>
          <w:sz w:val="52"/>
          <w:szCs w:val="32"/>
          <w:highlight w:val="none"/>
          <w:u w:color="000000"/>
          <w:lang w:val="en-US" w:eastAsia="zh-CN" w:bidi="ar"/>
        </w:rPr>
        <w:t>（三次）</w:t>
      </w:r>
    </w:p>
    <w:p w14:paraId="6DC6117C">
      <w:pPr>
        <w:shd w:val="clear"/>
        <w:kinsoku/>
        <w:overflowPunct/>
        <w:bidi w:val="0"/>
        <w:spacing w:beforeLines="50" w:afterLines="50"/>
        <w:ind w:left="0" w:leftChars="0" w:right="0" w:rightChars="0"/>
        <w:jc w:val="center"/>
        <w:rPr>
          <w:rFonts w:hint="eastAsia" w:ascii="Times New Roman" w:hAnsi="Times New Roman" w:eastAsia="宋体" w:cs="宋体"/>
          <w:b/>
          <w:bCs w:val="0"/>
          <w:color w:val="auto"/>
          <w:kern w:val="0"/>
          <w:sz w:val="52"/>
          <w:szCs w:val="32"/>
          <w:highlight w:val="none"/>
          <w:u w:color="000000"/>
          <w:lang w:val="en-US" w:eastAsia="zh-CN" w:bidi="ar"/>
        </w:rPr>
      </w:pPr>
    </w:p>
    <w:p w14:paraId="315F6B84">
      <w:pPr>
        <w:shd w:val="clear"/>
        <w:kinsoku/>
        <w:overflowPunct/>
        <w:bidi w:val="0"/>
        <w:spacing w:beforeLines="50" w:afterLines="50"/>
        <w:ind w:left="0" w:leftChars="0" w:right="0" w:rightChars="0"/>
        <w:jc w:val="center"/>
        <w:rPr>
          <w:rFonts w:ascii="宋体" w:hAnsi="宋体"/>
          <w:color w:val="auto"/>
          <w:sz w:val="40"/>
          <w:szCs w:val="36"/>
          <w:highlight w:val="none"/>
        </w:rPr>
      </w:pPr>
      <w:r>
        <w:rPr>
          <w:rFonts w:hint="eastAsia" w:ascii="宋体" w:hAnsi="宋体"/>
          <w:color w:val="auto"/>
          <w:sz w:val="40"/>
          <w:szCs w:val="36"/>
          <w:highlight w:val="none"/>
        </w:rPr>
        <w:t>（电子招标投标）</w:t>
      </w:r>
    </w:p>
    <w:p w14:paraId="33DA7D52">
      <w:pPr>
        <w:pStyle w:val="34"/>
        <w:shd w:val="clear"/>
        <w:kinsoku/>
        <w:overflowPunct/>
        <w:bidi w:val="0"/>
        <w:ind w:left="0" w:leftChars="0" w:right="0" w:rightChars="0" w:firstLine="2880" w:firstLineChars="1200"/>
        <w:rPr>
          <w:rFonts w:hint="eastAsia"/>
          <w:color w:val="auto"/>
          <w:sz w:val="24"/>
          <w:highlight w:val="none"/>
        </w:rPr>
      </w:pPr>
    </w:p>
    <w:p w14:paraId="75890613">
      <w:pPr>
        <w:keepNext w:val="0"/>
        <w:keepLines w:val="0"/>
        <w:widowControl/>
        <w:suppressLineNumbers w:val="0"/>
        <w:kinsoku/>
        <w:overflowPunct/>
        <w:bidi w:val="0"/>
        <w:ind w:left="0" w:leftChars="0" w:right="0" w:rightChars="0"/>
        <w:jc w:val="center"/>
        <w:rPr>
          <w:color w:val="auto"/>
          <w:sz w:val="19"/>
          <w:szCs w:val="19"/>
          <w:highlight w:val="none"/>
        </w:rPr>
      </w:pPr>
      <w:r>
        <w:rPr>
          <w:rFonts w:hint="eastAsia"/>
          <w:color w:val="auto"/>
          <w:sz w:val="24"/>
          <w:highlight w:val="none"/>
        </w:rPr>
        <w:t>项目编号：</w:t>
      </w:r>
      <w:r>
        <w:rPr>
          <w:rFonts w:hint="eastAsia"/>
          <w:color w:val="auto"/>
          <w:sz w:val="24"/>
          <w:highlight w:val="none"/>
          <w:lang w:val="en-US" w:eastAsia="zh-CN"/>
        </w:rPr>
        <w:t xml:space="preserve">czsjqt202602-013 </w:t>
      </w:r>
    </w:p>
    <w:p w14:paraId="3C55DCDA">
      <w:pPr>
        <w:pStyle w:val="34"/>
        <w:shd w:val="clear"/>
        <w:kinsoku/>
        <w:overflowPunct/>
        <w:bidi w:val="0"/>
        <w:ind w:left="0" w:leftChars="0" w:right="0" w:rightChars="0" w:firstLine="2880" w:firstLineChars="1200"/>
        <w:rPr>
          <w:rFonts w:hint="eastAsia" w:eastAsia="宋体"/>
          <w:color w:val="auto"/>
          <w:sz w:val="24"/>
          <w:highlight w:val="none"/>
          <w:lang w:val="en-US" w:eastAsia="zh-CN"/>
        </w:rPr>
      </w:pPr>
    </w:p>
    <w:p w14:paraId="372577E1">
      <w:pPr>
        <w:pStyle w:val="53"/>
        <w:shd w:val="clear"/>
        <w:kinsoku/>
        <w:overflowPunct/>
        <w:bidi w:val="0"/>
        <w:ind w:left="0" w:leftChars="0" w:right="0" w:rightChars="0" w:firstLine="0" w:firstLineChars="0"/>
        <w:rPr>
          <w:color w:val="auto"/>
          <w:highlight w:val="none"/>
        </w:rPr>
      </w:pPr>
    </w:p>
    <w:p w14:paraId="2B5CF53C">
      <w:pPr>
        <w:pStyle w:val="53"/>
        <w:shd w:val="clear"/>
        <w:kinsoku/>
        <w:overflowPunct/>
        <w:bidi w:val="0"/>
        <w:ind w:left="0" w:leftChars="0" w:right="0" w:rightChars="0" w:firstLine="480"/>
        <w:rPr>
          <w:color w:val="auto"/>
          <w:highlight w:val="none"/>
        </w:rPr>
      </w:pPr>
    </w:p>
    <w:p w14:paraId="6D05D7C0">
      <w:pPr>
        <w:shd w:val="clear"/>
        <w:kinsoku/>
        <w:overflowPunct/>
        <w:bidi w:val="0"/>
        <w:ind w:left="0" w:leftChars="0" w:right="0" w:rightChars="0"/>
        <w:rPr>
          <w:rFonts w:ascii="宋体"/>
          <w:bCs/>
          <w:color w:val="auto"/>
          <w:szCs w:val="21"/>
          <w:highlight w:val="none"/>
        </w:rPr>
      </w:pPr>
    </w:p>
    <w:p w14:paraId="1FD4C39A">
      <w:pPr>
        <w:shd w:val="clear"/>
        <w:kinsoku/>
        <w:overflowPunct/>
        <w:bidi w:val="0"/>
        <w:spacing w:line="312" w:lineRule="auto"/>
        <w:ind w:left="0" w:leftChars="0" w:right="0" w:rightChars="0"/>
        <w:jc w:val="center"/>
        <w:rPr>
          <w:rFonts w:ascii="宋体" w:hAnsi="宋体"/>
          <w:b/>
          <w:color w:val="auto"/>
          <w:sz w:val="84"/>
          <w:szCs w:val="84"/>
          <w:highlight w:val="none"/>
        </w:rPr>
      </w:pPr>
      <w:r>
        <w:rPr>
          <w:rFonts w:hint="eastAsia" w:ascii="宋体" w:hAnsi="宋体"/>
          <w:b/>
          <w:color w:val="auto"/>
          <w:sz w:val="84"/>
          <w:szCs w:val="84"/>
          <w:highlight w:val="none"/>
        </w:rPr>
        <w:t>招 标 文 件</w:t>
      </w:r>
    </w:p>
    <w:p w14:paraId="4E48725F">
      <w:pPr>
        <w:shd w:val="clear"/>
        <w:kinsoku/>
        <w:overflowPunct/>
        <w:bidi w:val="0"/>
        <w:ind w:left="0" w:leftChars="0" w:right="0" w:rightChars="0"/>
        <w:rPr>
          <w:rFonts w:ascii="宋体"/>
          <w:bCs/>
          <w:color w:val="auto"/>
          <w:szCs w:val="21"/>
          <w:highlight w:val="none"/>
        </w:rPr>
      </w:pPr>
    </w:p>
    <w:p w14:paraId="07ED4BD4">
      <w:pPr>
        <w:shd w:val="clear"/>
        <w:kinsoku/>
        <w:overflowPunct/>
        <w:bidi w:val="0"/>
        <w:spacing w:beforeLines="100" w:afterLines="100" w:line="360" w:lineRule="auto"/>
        <w:ind w:left="0" w:leftChars="0" w:right="0" w:rightChars="0"/>
        <w:jc w:val="left"/>
        <w:rPr>
          <w:rFonts w:ascii="宋体"/>
          <w:b/>
          <w:color w:val="auto"/>
          <w:sz w:val="32"/>
          <w:szCs w:val="32"/>
          <w:highlight w:val="none"/>
        </w:rPr>
      </w:pPr>
    </w:p>
    <w:p w14:paraId="108093F6">
      <w:pPr>
        <w:pStyle w:val="34"/>
        <w:shd w:val="clear"/>
        <w:kinsoku/>
        <w:overflowPunct/>
        <w:bidi w:val="0"/>
        <w:ind w:left="0" w:leftChars="0" w:right="0" w:rightChars="0" w:firstLine="400"/>
        <w:rPr>
          <w:color w:val="auto"/>
          <w:highlight w:val="none"/>
        </w:rPr>
      </w:pPr>
    </w:p>
    <w:p w14:paraId="1FA060BB">
      <w:pPr>
        <w:shd w:val="clear"/>
        <w:kinsoku/>
        <w:overflowPunct/>
        <w:bidi w:val="0"/>
        <w:spacing w:beforeLines="100" w:afterLines="100" w:line="480" w:lineRule="auto"/>
        <w:ind w:left="0" w:leftChars="0" w:right="0" w:rightChars="0" w:firstLine="964" w:firstLineChars="300"/>
        <w:jc w:val="left"/>
        <w:rPr>
          <w:rFonts w:ascii="宋体"/>
          <w:b/>
          <w:color w:val="auto"/>
          <w:sz w:val="32"/>
          <w:szCs w:val="32"/>
          <w:highlight w:val="none"/>
        </w:rPr>
      </w:pPr>
      <w:r>
        <w:rPr>
          <w:rFonts w:hint="eastAsia" w:ascii="宋体"/>
          <w:b/>
          <w:color w:val="auto"/>
          <w:sz w:val="32"/>
          <w:szCs w:val="32"/>
          <w:highlight w:val="none"/>
        </w:rPr>
        <w:t>招标人：</w:t>
      </w:r>
      <w:r>
        <w:rPr>
          <w:rFonts w:hint="eastAsia" w:ascii="宋体"/>
          <w:b/>
          <w:color w:val="auto"/>
          <w:sz w:val="32"/>
          <w:szCs w:val="32"/>
          <w:highlight w:val="none"/>
          <w:u w:val="single"/>
        </w:rPr>
        <w:t xml:space="preserve"> </w:t>
      </w:r>
      <w:r>
        <w:rPr>
          <w:rFonts w:hint="eastAsia" w:ascii="宋体"/>
          <w:b/>
          <w:color w:val="auto"/>
          <w:sz w:val="32"/>
          <w:szCs w:val="32"/>
          <w:highlight w:val="none"/>
          <w:u w:val="single"/>
          <w:lang w:eastAsia="zh-CN"/>
        </w:rPr>
        <w:t>滁州工投新能源开发有限公司</w:t>
      </w:r>
      <w:r>
        <w:rPr>
          <w:rFonts w:hint="eastAsia" w:ascii="宋体"/>
          <w:b/>
          <w:color w:val="auto"/>
          <w:sz w:val="32"/>
          <w:szCs w:val="32"/>
          <w:highlight w:val="none"/>
          <w:u w:val="single"/>
        </w:rPr>
        <w:t xml:space="preserve">  </w:t>
      </w:r>
      <w:r>
        <w:rPr>
          <w:rFonts w:hint="eastAsia" w:ascii="宋体"/>
          <w:b/>
          <w:color w:val="auto"/>
          <w:sz w:val="32"/>
          <w:szCs w:val="32"/>
          <w:highlight w:val="none"/>
        </w:rPr>
        <w:t>（盖单位章）</w:t>
      </w:r>
    </w:p>
    <w:p w14:paraId="6294276F">
      <w:pPr>
        <w:shd w:val="clear"/>
        <w:kinsoku/>
        <w:overflowPunct/>
        <w:bidi w:val="0"/>
        <w:spacing w:beforeLines="100" w:afterLines="100" w:line="480" w:lineRule="auto"/>
        <w:ind w:left="0" w:leftChars="0" w:right="0" w:rightChars="0" w:firstLine="964" w:firstLineChars="300"/>
        <w:rPr>
          <w:rFonts w:ascii="宋体"/>
          <w:b/>
          <w:color w:val="auto"/>
          <w:sz w:val="32"/>
          <w:szCs w:val="32"/>
          <w:highlight w:val="none"/>
          <w:u w:val="single"/>
        </w:rPr>
      </w:pPr>
      <w:r>
        <w:rPr>
          <w:rFonts w:hint="eastAsia" w:ascii="宋体"/>
          <w:b/>
          <w:color w:val="auto"/>
          <w:sz w:val="32"/>
          <w:szCs w:val="32"/>
          <w:highlight w:val="none"/>
        </w:rPr>
        <w:t>代理机构：</w:t>
      </w:r>
      <w:r>
        <w:rPr>
          <w:rFonts w:hint="eastAsia" w:ascii="宋体"/>
          <w:b/>
          <w:color w:val="auto"/>
          <w:sz w:val="32"/>
          <w:szCs w:val="32"/>
          <w:highlight w:val="none"/>
          <w:u w:val="single"/>
        </w:rPr>
        <w:t>滁州市城投工程咨询管理有限公司</w:t>
      </w:r>
      <w:r>
        <w:rPr>
          <w:rFonts w:hint="eastAsia" w:ascii="宋体"/>
          <w:b/>
          <w:color w:val="auto"/>
          <w:sz w:val="32"/>
          <w:szCs w:val="32"/>
          <w:highlight w:val="none"/>
        </w:rPr>
        <w:t>（盖单位章）</w:t>
      </w:r>
    </w:p>
    <w:p w14:paraId="12CA1085">
      <w:pPr>
        <w:shd w:val="clear"/>
        <w:kinsoku/>
        <w:overflowPunct/>
        <w:bidi w:val="0"/>
        <w:spacing w:beforeLines="100" w:afterLines="100" w:line="480" w:lineRule="auto"/>
        <w:ind w:left="0" w:leftChars="0" w:right="0" w:rightChars="0"/>
        <w:jc w:val="center"/>
        <w:rPr>
          <w:rFonts w:ascii="宋体"/>
          <w:b/>
          <w:color w:val="auto"/>
          <w:sz w:val="32"/>
          <w:szCs w:val="32"/>
          <w:highlight w:val="none"/>
        </w:rPr>
      </w:pPr>
      <w:r>
        <w:rPr>
          <w:rFonts w:hint="eastAsia" w:ascii="宋体"/>
          <w:b/>
          <w:color w:val="auto"/>
          <w:sz w:val="32"/>
          <w:szCs w:val="32"/>
          <w:highlight w:val="none"/>
          <w:u w:val="single"/>
        </w:rPr>
        <w:t>202</w:t>
      </w:r>
      <w:r>
        <w:rPr>
          <w:rFonts w:hint="eastAsia" w:ascii="宋体"/>
          <w:b/>
          <w:color w:val="auto"/>
          <w:sz w:val="32"/>
          <w:szCs w:val="32"/>
          <w:highlight w:val="none"/>
          <w:u w:val="single"/>
          <w:lang w:val="en-US" w:eastAsia="zh-CN"/>
        </w:rPr>
        <w:t>6</w:t>
      </w:r>
      <w:r>
        <w:rPr>
          <w:rFonts w:hint="eastAsia" w:ascii="宋体"/>
          <w:b/>
          <w:color w:val="auto"/>
          <w:sz w:val="32"/>
          <w:szCs w:val="32"/>
          <w:highlight w:val="none"/>
        </w:rPr>
        <w:t>年</w:t>
      </w:r>
      <w:r>
        <w:rPr>
          <w:rFonts w:hint="eastAsia" w:ascii="宋体"/>
          <w:b/>
          <w:color w:val="auto"/>
          <w:sz w:val="32"/>
          <w:szCs w:val="32"/>
          <w:highlight w:val="none"/>
          <w:u w:val="single"/>
          <w:lang w:val="en-US" w:eastAsia="zh-CN"/>
        </w:rPr>
        <w:t>2</w:t>
      </w:r>
      <w:r>
        <w:rPr>
          <w:rFonts w:hint="eastAsia" w:ascii="宋体"/>
          <w:b/>
          <w:color w:val="auto"/>
          <w:sz w:val="32"/>
          <w:szCs w:val="32"/>
          <w:highlight w:val="none"/>
        </w:rPr>
        <w:t>月</w:t>
      </w:r>
    </w:p>
    <w:p w14:paraId="2A2EED38">
      <w:pPr>
        <w:shd w:val="clear"/>
        <w:kinsoku/>
        <w:overflowPunct/>
        <w:bidi w:val="0"/>
        <w:spacing w:line="360" w:lineRule="exact"/>
        <w:ind w:left="0" w:leftChars="0" w:right="0" w:rightChars="0"/>
        <w:rPr>
          <w:b/>
          <w:color w:val="auto"/>
          <w:sz w:val="36"/>
          <w:highlight w:val="none"/>
        </w:rPr>
      </w:pPr>
    </w:p>
    <w:p w14:paraId="77CA18D1">
      <w:pPr>
        <w:pStyle w:val="15"/>
        <w:shd w:val="clear"/>
        <w:kinsoku/>
        <w:overflowPunct/>
        <w:bidi w:val="0"/>
        <w:ind w:left="0" w:leftChars="0" w:right="0" w:rightChars="0"/>
        <w:rPr>
          <w:color w:val="auto"/>
          <w:highlight w:val="none"/>
        </w:rPr>
      </w:pPr>
    </w:p>
    <w:p w14:paraId="655B4BBA">
      <w:pPr>
        <w:pStyle w:val="16"/>
        <w:shd w:val="clear"/>
        <w:kinsoku/>
        <w:overflowPunct/>
        <w:bidi w:val="0"/>
        <w:ind w:left="0" w:leftChars="0" w:right="0" w:rightChars="0"/>
        <w:rPr>
          <w:color w:val="auto"/>
          <w:highlight w:val="none"/>
        </w:rPr>
      </w:pPr>
    </w:p>
    <w:p w14:paraId="2DF295C6">
      <w:pPr>
        <w:shd w:val="clear"/>
        <w:kinsoku/>
        <w:overflowPunct/>
        <w:bidi w:val="0"/>
        <w:spacing w:line="360" w:lineRule="exact"/>
        <w:ind w:left="0" w:leftChars="0" w:right="0" w:rightChars="0"/>
        <w:jc w:val="center"/>
        <w:rPr>
          <w:b/>
          <w:color w:val="auto"/>
          <w:sz w:val="36"/>
          <w:highlight w:val="none"/>
        </w:rPr>
      </w:pPr>
    </w:p>
    <w:p w14:paraId="229C7F9D">
      <w:pPr>
        <w:shd w:val="clear"/>
        <w:kinsoku/>
        <w:overflowPunct/>
        <w:bidi w:val="0"/>
        <w:spacing w:line="360" w:lineRule="auto"/>
        <w:ind w:left="0" w:leftChars="0" w:right="0" w:rightChars="0"/>
        <w:jc w:val="center"/>
        <w:rPr>
          <w:b/>
          <w:color w:val="auto"/>
          <w:sz w:val="44"/>
          <w:szCs w:val="32"/>
          <w:highlight w:val="none"/>
        </w:rPr>
      </w:pPr>
      <w:r>
        <w:rPr>
          <w:rFonts w:hint="eastAsia"/>
          <w:b/>
          <w:color w:val="auto"/>
          <w:sz w:val="44"/>
          <w:szCs w:val="32"/>
          <w:highlight w:val="none"/>
        </w:rPr>
        <w:t>目  录</w:t>
      </w:r>
    </w:p>
    <w:p w14:paraId="5C3DB808">
      <w:pPr>
        <w:shd w:val="clear"/>
        <w:kinsoku/>
        <w:overflowPunct/>
        <w:bidi w:val="0"/>
        <w:spacing w:line="720" w:lineRule="auto"/>
        <w:ind w:left="0" w:leftChars="0" w:right="0" w:rightChars="0"/>
        <w:jc w:val="center"/>
        <w:rPr>
          <w:b/>
          <w:color w:val="auto"/>
          <w:sz w:val="36"/>
          <w:highlight w:val="none"/>
        </w:rPr>
      </w:pPr>
    </w:p>
    <w:p w14:paraId="33C19873">
      <w:pPr>
        <w:pStyle w:val="24"/>
        <w:shd w:val="clear"/>
        <w:tabs>
          <w:tab w:val="right" w:leader="dot" w:pos="9072"/>
        </w:tabs>
        <w:kinsoku/>
        <w:overflowPunct/>
        <w:bidi w:val="0"/>
        <w:spacing w:line="700" w:lineRule="exact"/>
        <w:ind w:left="0" w:leftChars="0" w:right="0" w:rightChars="0"/>
        <w:rPr>
          <w:rFonts w:ascii="宋体" w:hAnsi="宋体" w:cs="宋体"/>
          <w:color w:val="auto"/>
          <w:sz w:val="30"/>
          <w:szCs w:val="30"/>
          <w:highlight w:val="none"/>
        </w:rPr>
      </w:pP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TOC \o "1-3" \h \z \u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TOC \o "1-3" \h \z \u </w:instrText>
      </w:r>
      <w:r>
        <w:rPr>
          <w:rFonts w:hint="eastAsia" w:ascii="宋体" w:hAnsi="宋体" w:cs="宋体"/>
          <w:color w:val="auto"/>
          <w:sz w:val="30"/>
          <w:szCs w:val="30"/>
          <w:highlight w:val="none"/>
        </w:rPr>
        <w:fldChar w:fldCharType="separate"/>
      </w:r>
      <w:r>
        <w:rPr>
          <w:color w:val="auto"/>
          <w:highlight w:val="none"/>
        </w:rPr>
        <w:fldChar w:fldCharType="begin"/>
      </w:r>
      <w:r>
        <w:rPr>
          <w:color w:val="auto"/>
          <w:highlight w:val="none"/>
        </w:rPr>
        <w:instrText xml:space="preserve"> HYPERLINK \l "_Toc17328" </w:instrText>
      </w:r>
      <w:r>
        <w:rPr>
          <w:color w:val="auto"/>
          <w:highlight w:val="none"/>
        </w:rPr>
        <w:fldChar w:fldCharType="separate"/>
      </w:r>
      <w:r>
        <w:rPr>
          <w:rFonts w:hint="eastAsia" w:ascii="宋体" w:hAnsi="宋体" w:cs="宋体"/>
          <w:bCs/>
          <w:color w:val="auto"/>
          <w:sz w:val="30"/>
          <w:szCs w:val="30"/>
          <w:highlight w:val="none"/>
        </w:rPr>
        <w:t>第一章 招标公告</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3</w:t>
      </w:r>
      <w:r>
        <w:rPr>
          <w:rFonts w:hint="eastAsia" w:ascii="宋体" w:hAnsi="宋体" w:cs="宋体"/>
          <w:color w:val="auto"/>
          <w:sz w:val="30"/>
          <w:szCs w:val="30"/>
          <w:highlight w:val="none"/>
        </w:rPr>
        <w:fldChar w:fldCharType="end"/>
      </w:r>
    </w:p>
    <w:p w14:paraId="1B01F8D3">
      <w:pPr>
        <w:pStyle w:val="24"/>
        <w:shd w:val="clear"/>
        <w:tabs>
          <w:tab w:val="right" w:leader="dot" w:pos="9072"/>
        </w:tabs>
        <w:kinsoku/>
        <w:overflowPunct/>
        <w:bidi w:val="0"/>
        <w:spacing w:line="700" w:lineRule="exact"/>
        <w:ind w:left="0" w:leftChars="0" w:right="0" w:rightChars="0"/>
        <w:rPr>
          <w:rFonts w:hint="eastAsia" w:ascii="宋体" w:hAnsi="宋体" w:eastAsia="宋体" w:cs="宋体"/>
          <w:color w:val="auto"/>
          <w:sz w:val="30"/>
          <w:szCs w:val="30"/>
          <w:highlight w:val="none"/>
          <w:lang w:val="en-US" w:eastAsia="zh-CN"/>
        </w:rPr>
      </w:pPr>
      <w:r>
        <w:rPr>
          <w:color w:val="auto"/>
          <w:highlight w:val="none"/>
        </w:rPr>
        <w:fldChar w:fldCharType="begin"/>
      </w:r>
      <w:r>
        <w:rPr>
          <w:color w:val="auto"/>
          <w:highlight w:val="none"/>
        </w:rPr>
        <w:instrText xml:space="preserve"> HYPERLINK \l "_Toc20364" </w:instrText>
      </w:r>
      <w:r>
        <w:rPr>
          <w:color w:val="auto"/>
          <w:highlight w:val="none"/>
        </w:rPr>
        <w:fldChar w:fldCharType="separate"/>
      </w:r>
      <w:r>
        <w:rPr>
          <w:rFonts w:hint="eastAsia" w:ascii="宋体" w:hAnsi="宋体" w:cs="宋体"/>
          <w:color w:val="auto"/>
          <w:sz w:val="30"/>
          <w:szCs w:val="30"/>
          <w:highlight w:val="none"/>
        </w:rPr>
        <w:t>第二章 投标人须知</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1</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0</w:t>
      </w:r>
    </w:p>
    <w:p w14:paraId="4DC99D53">
      <w:pPr>
        <w:pStyle w:val="24"/>
        <w:shd w:val="clear"/>
        <w:tabs>
          <w:tab w:val="right" w:leader="dot" w:pos="9072"/>
        </w:tabs>
        <w:kinsoku/>
        <w:overflowPunct/>
        <w:bidi w:val="0"/>
        <w:spacing w:line="700" w:lineRule="exact"/>
        <w:ind w:left="0" w:leftChars="0" w:right="0" w:rightChars="0"/>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"_Toc28871" </w:instrText>
      </w:r>
      <w:r>
        <w:rPr>
          <w:color w:val="auto"/>
          <w:highlight w:val="none"/>
        </w:rPr>
        <w:fldChar w:fldCharType="separate"/>
      </w:r>
      <w:r>
        <w:rPr>
          <w:rFonts w:hint="eastAsia" w:ascii="宋体" w:hAnsi="宋体" w:cs="宋体"/>
          <w:color w:val="auto"/>
          <w:sz w:val="30"/>
          <w:szCs w:val="30"/>
          <w:highlight w:val="none"/>
        </w:rPr>
        <w:t>第三章 评标办法（综合评分法）</w:t>
      </w:r>
      <w:r>
        <w:rPr>
          <w:rFonts w:hint="eastAsia" w:ascii="宋体" w:hAnsi="宋体" w:cs="宋体"/>
          <w:color w:val="auto"/>
          <w:sz w:val="30"/>
          <w:szCs w:val="30"/>
          <w:highlight w:val="none"/>
        </w:rPr>
        <w:tab/>
      </w:r>
      <w:r>
        <w:rPr>
          <w:rFonts w:hint="eastAsia" w:ascii="宋体" w:hAnsi="宋体" w:cs="宋体"/>
          <w:color w:val="auto"/>
          <w:sz w:val="30"/>
          <w:szCs w:val="30"/>
          <w:highlight w:val="none"/>
        </w:rPr>
        <w:t>2</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9</w:t>
      </w:r>
    </w:p>
    <w:p w14:paraId="5D608B0B">
      <w:pPr>
        <w:pStyle w:val="24"/>
        <w:shd w:val="clear"/>
        <w:tabs>
          <w:tab w:val="right" w:leader="dot" w:pos="9072"/>
        </w:tabs>
        <w:kinsoku/>
        <w:overflowPunct/>
        <w:bidi w:val="0"/>
        <w:spacing w:line="700" w:lineRule="exact"/>
        <w:ind w:left="0" w:leftChars="0" w:right="0" w:rightChars="0"/>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"_Toc28444" </w:instrText>
      </w:r>
      <w:r>
        <w:rPr>
          <w:color w:val="auto"/>
          <w:highlight w:val="none"/>
        </w:rPr>
        <w:fldChar w:fldCharType="separate"/>
      </w:r>
      <w:r>
        <w:rPr>
          <w:rFonts w:hint="eastAsia" w:ascii="宋体" w:hAnsi="宋体" w:cs="宋体"/>
          <w:color w:val="auto"/>
          <w:sz w:val="30"/>
          <w:szCs w:val="30"/>
          <w:highlight w:val="none"/>
        </w:rPr>
        <w:t xml:space="preserve">第四章 </w:t>
      </w:r>
      <w:r>
        <w:rPr>
          <w:rFonts w:hint="eastAsia" w:ascii="宋体" w:hAnsi="宋体" w:cs="宋体"/>
          <w:color w:val="auto"/>
          <w:sz w:val="30"/>
          <w:szCs w:val="30"/>
          <w:highlight w:val="none"/>
          <w:lang w:val="en-US" w:eastAsia="zh-CN"/>
        </w:rPr>
        <w:t>服务</w:t>
      </w:r>
      <w:r>
        <w:rPr>
          <w:rFonts w:hint="eastAsia" w:ascii="宋体" w:hAnsi="宋体" w:cs="宋体"/>
          <w:color w:val="auto"/>
          <w:sz w:val="30"/>
          <w:szCs w:val="30"/>
          <w:highlight w:val="none"/>
        </w:rPr>
        <w:t>内容及</w:t>
      </w:r>
      <w:r>
        <w:rPr>
          <w:rFonts w:hint="eastAsia" w:ascii="宋体" w:hAnsi="宋体" w:cs="宋体"/>
          <w:color w:val="auto"/>
          <w:sz w:val="30"/>
          <w:szCs w:val="30"/>
          <w:highlight w:val="none"/>
          <w:lang w:val="en-US" w:eastAsia="zh-CN"/>
        </w:rPr>
        <w:t>技术</w:t>
      </w:r>
      <w:r>
        <w:rPr>
          <w:rFonts w:hint="eastAsia" w:ascii="宋体" w:hAnsi="宋体" w:cs="宋体"/>
          <w:color w:val="auto"/>
          <w:sz w:val="30"/>
          <w:szCs w:val="30"/>
          <w:highlight w:val="none"/>
        </w:rPr>
        <w:t>要求</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3</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8</w:t>
      </w:r>
    </w:p>
    <w:p w14:paraId="15427706">
      <w:pPr>
        <w:pStyle w:val="24"/>
        <w:shd w:val="clear"/>
        <w:tabs>
          <w:tab w:val="right" w:leader="dot" w:pos="9072"/>
        </w:tabs>
        <w:kinsoku/>
        <w:overflowPunct/>
        <w:bidi w:val="0"/>
        <w:spacing w:line="700" w:lineRule="exact"/>
        <w:ind w:left="0" w:leftChars="0" w:right="0" w:rightChars="0"/>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"_Toc22340" </w:instrText>
      </w:r>
      <w:r>
        <w:rPr>
          <w:color w:val="auto"/>
          <w:highlight w:val="none"/>
        </w:rPr>
        <w:fldChar w:fldCharType="separate"/>
      </w:r>
      <w:r>
        <w:rPr>
          <w:rFonts w:hint="eastAsia" w:ascii="宋体" w:hAnsi="宋体" w:cs="宋体"/>
          <w:color w:val="auto"/>
          <w:sz w:val="30"/>
          <w:szCs w:val="30"/>
          <w:highlight w:val="none"/>
        </w:rPr>
        <w:t>第五章 合同条款及格式</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4</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6</w:t>
      </w:r>
    </w:p>
    <w:p w14:paraId="56B14298">
      <w:pPr>
        <w:pStyle w:val="24"/>
        <w:shd w:val="clear"/>
        <w:tabs>
          <w:tab w:val="right" w:leader="dot" w:pos="9072"/>
        </w:tabs>
        <w:kinsoku/>
        <w:overflowPunct/>
        <w:bidi w:val="0"/>
        <w:spacing w:line="700" w:lineRule="exact"/>
        <w:ind w:left="0" w:leftChars="0" w:right="0" w:rightChars="0"/>
        <w:rPr>
          <w:rFonts w:hint="default" w:ascii="宋体" w:hAnsi="宋体" w:eastAsia="宋体" w:cs="宋体"/>
          <w:color w:val="auto"/>
          <w:sz w:val="30"/>
          <w:szCs w:val="30"/>
          <w:highlight w:val="none"/>
          <w:lang w:val="en-US" w:eastAsia="zh-CN"/>
        </w:rPr>
      </w:pPr>
      <w:r>
        <w:rPr>
          <w:color w:val="auto"/>
          <w:highlight w:val="none"/>
        </w:rPr>
        <w:fldChar w:fldCharType="begin"/>
      </w:r>
      <w:r>
        <w:rPr>
          <w:color w:val="auto"/>
          <w:highlight w:val="none"/>
        </w:rPr>
        <w:instrText xml:space="preserve"> HYPERLINK \l "_Toc8628" </w:instrText>
      </w:r>
      <w:r>
        <w:rPr>
          <w:color w:val="auto"/>
          <w:highlight w:val="none"/>
        </w:rPr>
        <w:fldChar w:fldCharType="separate"/>
      </w:r>
      <w:r>
        <w:rPr>
          <w:rFonts w:hint="eastAsia" w:ascii="宋体" w:hAnsi="宋体" w:cs="宋体"/>
          <w:color w:val="auto"/>
          <w:sz w:val="30"/>
          <w:szCs w:val="30"/>
          <w:highlight w:val="none"/>
        </w:rPr>
        <w:t>第六章 投标文件格式</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56</w:t>
      </w:r>
    </w:p>
    <w:p w14:paraId="275C0797">
      <w:pPr>
        <w:pStyle w:val="24"/>
        <w:shd w:val="clear"/>
        <w:tabs>
          <w:tab w:val="right" w:leader="dot" w:pos="9072"/>
        </w:tabs>
        <w:kinsoku/>
        <w:overflowPunct/>
        <w:bidi w:val="0"/>
        <w:spacing w:line="700" w:lineRule="exact"/>
        <w:ind w:left="0" w:leftChars="0" w:right="0" w:rightChars="0"/>
        <w:rPr>
          <w:rFonts w:hint="default" w:ascii="宋体" w:hAnsi="宋体" w:eastAsia="宋体" w:cs="宋体"/>
          <w:color w:val="auto"/>
          <w:sz w:val="30"/>
          <w:szCs w:val="30"/>
          <w:highlight w:val="none"/>
          <w:lang w:val="en-US" w:eastAsia="zh-CN"/>
        </w:rPr>
      </w:pPr>
      <w:r>
        <w:rPr>
          <w:rFonts w:hint="eastAsia" w:ascii="宋体" w:hAnsi="宋体" w:cs="宋体"/>
          <w:color w:val="auto"/>
          <w:sz w:val="30"/>
          <w:szCs w:val="30"/>
          <w:highlight w:val="none"/>
        </w:rPr>
        <w:t xml:space="preserve">第七章 </w:t>
      </w:r>
      <w:r>
        <w:rPr>
          <w:color w:val="auto"/>
          <w:highlight w:val="none"/>
        </w:rPr>
        <w:fldChar w:fldCharType="begin"/>
      </w:r>
      <w:r>
        <w:rPr>
          <w:color w:val="auto"/>
          <w:highlight w:val="none"/>
        </w:rPr>
        <w:instrText xml:space="preserve"> HYPERLINK \l "_Toc25631" </w:instrText>
      </w:r>
      <w:r>
        <w:rPr>
          <w:color w:val="auto"/>
          <w:highlight w:val="none"/>
        </w:rPr>
        <w:fldChar w:fldCharType="separate"/>
      </w:r>
      <w:r>
        <w:rPr>
          <w:rFonts w:hint="eastAsia" w:ascii="宋体" w:hAnsi="宋体" w:cs="宋体"/>
          <w:color w:val="auto"/>
          <w:sz w:val="30"/>
          <w:szCs w:val="30"/>
          <w:highlight w:val="none"/>
        </w:rPr>
        <w:t>招标人、招标代理机构对本招标文件的确认</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76</w:t>
      </w:r>
    </w:p>
    <w:p w14:paraId="6A4E628F">
      <w:pPr>
        <w:pStyle w:val="24"/>
        <w:shd w:val="clear"/>
        <w:tabs>
          <w:tab w:val="right" w:leader="dot" w:pos="9072"/>
        </w:tabs>
        <w:kinsoku/>
        <w:overflowPunct/>
        <w:bidi w:val="0"/>
        <w:spacing w:line="700" w:lineRule="exact"/>
        <w:ind w:left="0" w:leftChars="0" w:right="0" w:rightChars="0"/>
        <w:rPr>
          <w:rFonts w:hint="default" w:ascii="宋体" w:hAnsi="宋体" w:eastAsia="宋体" w:cs="宋体"/>
          <w:color w:val="auto"/>
          <w:sz w:val="30"/>
          <w:szCs w:val="30"/>
          <w:highlight w:val="none"/>
          <w:lang w:val="en-US" w:eastAsia="zh-CN"/>
        </w:rPr>
      </w:pPr>
      <w:r>
        <w:rPr>
          <w:rFonts w:hint="eastAsia" w:ascii="宋体" w:hAnsi="宋体" w:cs="宋体"/>
          <w:color w:val="auto"/>
          <w:sz w:val="30"/>
          <w:szCs w:val="30"/>
          <w:highlight w:val="none"/>
        </w:rPr>
        <w:fldChar w:fldCharType="end"/>
      </w:r>
    </w:p>
    <w:p w14:paraId="6129C931">
      <w:pPr>
        <w:pStyle w:val="24"/>
        <w:shd w:val="clear"/>
        <w:tabs>
          <w:tab w:val="right" w:leader="dot" w:pos="8296"/>
        </w:tabs>
        <w:kinsoku/>
        <w:overflowPunct/>
        <w:bidi w:val="0"/>
        <w:adjustRightInd w:val="0"/>
        <w:snapToGrid w:val="0"/>
        <w:spacing w:line="700" w:lineRule="exact"/>
        <w:ind w:left="150" w:leftChars="0" w:right="0" w:rightChars="0" w:hanging="150" w:hangingChars="50"/>
        <w:jc w:val="center"/>
        <w:rPr>
          <w:rFonts w:ascii="宋体" w:hAnsi="宋体" w:cs="宋体"/>
          <w:b/>
          <w:bCs/>
          <w:color w:val="auto"/>
          <w:sz w:val="30"/>
          <w:szCs w:val="30"/>
          <w:highlight w:val="none"/>
        </w:rPr>
        <w:sectPr>
          <w:headerReference r:id="rId3" w:type="default"/>
          <w:footerReference r:id="rId4" w:type="default"/>
          <w:pgSz w:w="11906" w:h="16838"/>
          <w:pgMar w:top="1440" w:right="1247" w:bottom="1417" w:left="1247" w:header="851" w:footer="992" w:gutter="0"/>
          <w:pgNumType w:start="1"/>
          <w:cols w:space="0" w:num="1"/>
          <w:rtlGutter w:val="0"/>
          <w:docGrid w:type="lines" w:linePitch="312" w:charSpace="0"/>
        </w:sectPr>
      </w:pPr>
      <w:r>
        <w:rPr>
          <w:rFonts w:hint="eastAsia" w:ascii="宋体" w:hAnsi="宋体" w:cs="宋体"/>
          <w:color w:val="auto"/>
          <w:sz w:val="30"/>
          <w:szCs w:val="30"/>
          <w:highlight w:val="none"/>
        </w:rPr>
        <w:fldChar w:fldCharType="end"/>
      </w:r>
    </w:p>
    <w:p w14:paraId="5876E520">
      <w:pPr>
        <w:pStyle w:val="2"/>
        <w:shd w:val="clear"/>
        <w:tabs>
          <w:tab w:val="left" w:pos="0"/>
          <w:tab w:val="left" w:pos="3165"/>
          <w:tab w:val="center" w:pos="4153"/>
        </w:tabs>
        <w:kinsoku/>
        <w:overflowPunct/>
        <w:autoSpaceDE w:val="0"/>
        <w:autoSpaceDN w:val="0"/>
        <w:bidi w:val="0"/>
        <w:adjustRightInd w:val="0"/>
        <w:spacing w:before="0" w:after="0" w:line="240" w:lineRule="auto"/>
        <w:ind w:left="0" w:leftChars="0" w:right="0" w:rightChars="0"/>
        <w:rPr>
          <w:rFonts w:ascii="黑体" w:hAnsi="黑体" w:cs="宋体"/>
          <w:b w:val="0"/>
          <w:color w:val="auto"/>
          <w:sz w:val="28"/>
          <w:szCs w:val="28"/>
          <w:highlight w:val="none"/>
        </w:rPr>
      </w:pPr>
      <w:bookmarkStart w:id="1" w:name="_Toc17328"/>
      <w:r>
        <w:rPr>
          <w:rFonts w:hint="eastAsia" w:ascii="华文中宋" w:hAnsi="华文中宋" w:eastAsia="华文中宋"/>
          <w:color w:val="auto"/>
          <w:highlight w:val="none"/>
        </w:rPr>
        <w:t xml:space="preserve">第一章 </w:t>
      </w:r>
      <w:bookmarkEnd w:id="1"/>
      <w:r>
        <w:rPr>
          <w:rFonts w:hint="eastAsia" w:ascii="华文中宋" w:hAnsi="华文中宋" w:eastAsia="华文中宋"/>
          <w:color w:val="auto"/>
          <w:highlight w:val="none"/>
        </w:rPr>
        <w:t>招标公告</w:t>
      </w:r>
      <w:bookmarkStart w:id="2" w:name="_Toc35393790"/>
      <w:bookmarkStart w:id="3" w:name="_Toc28359002"/>
      <w:bookmarkStart w:id="4" w:name="_Toc35393621"/>
      <w:bookmarkStart w:id="5" w:name="_Toc28359079"/>
      <w:bookmarkStart w:id="6" w:name="_Hlk24379207"/>
    </w:p>
    <w:p w14:paraId="2332E797">
      <w:pPr>
        <w:keepNext/>
        <w:keepLines/>
        <w:shd w:val="clear"/>
        <w:kinsoku/>
        <w:overflowPunct/>
        <w:bidi w:val="0"/>
        <w:ind w:left="0" w:leftChars="0" w:right="0" w:rightChars="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p>
    <w:p w14:paraId="5A1CC76B">
      <w:pPr>
        <w:keepNext/>
        <w:keepLines/>
        <w:pageBreakBefore w:val="0"/>
        <w:widowControl w:val="0"/>
        <w:shd w:val="clear"/>
        <w:kinsoku/>
        <w:wordWrap w:val="0"/>
        <w:overflowPunct/>
        <w:topLinePunct w:val="0"/>
        <w:autoSpaceDE/>
        <w:autoSpaceDN/>
        <w:bidi w:val="0"/>
        <w:adjustRightInd/>
        <w:snapToGrid/>
        <w:spacing w:line="480" w:lineRule="exact"/>
        <w:ind w:left="0" w:leftChars="0" w:right="0" w:rightChars="0" w:firstLine="560" w:firstLineChars="200"/>
        <w:textAlignment w:val="auto"/>
        <w:rPr>
          <w:rFonts w:ascii="黑体" w:hAnsi="黑体" w:cs="宋体"/>
          <w:color w:val="auto"/>
          <w:sz w:val="28"/>
          <w:szCs w:val="28"/>
          <w:highlight w:val="none"/>
        </w:rPr>
      </w:pPr>
      <w:r>
        <w:rPr>
          <w:rFonts w:hint="eastAsia" w:ascii="仿宋" w:hAnsi="仿宋" w:eastAsia="仿宋" w:cs="仿宋"/>
          <w:color w:val="auto"/>
          <w:sz w:val="28"/>
          <w:szCs w:val="28"/>
          <w:highlight w:val="none"/>
          <w:u w:val="single"/>
          <w:lang w:val="en-US" w:eastAsia="zh-CN"/>
        </w:rPr>
        <w:t>滁州工投新能源开发有限公司2026年在营光伏电站及汽车充电站高压设备巡检维护项目（三次）</w:t>
      </w:r>
      <w:r>
        <w:rPr>
          <w:rFonts w:hint="eastAsia" w:ascii="仿宋" w:hAnsi="仿宋" w:eastAsia="仿宋" w:cs="仿宋"/>
          <w:color w:val="auto"/>
          <w:sz w:val="28"/>
          <w:szCs w:val="28"/>
          <w:highlight w:val="none"/>
        </w:rPr>
        <w:t>招标项目的潜在投标人应在</w:t>
      </w:r>
      <w:r>
        <w:rPr>
          <w:rFonts w:hint="eastAsia" w:ascii="仿宋" w:hAnsi="仿宋" w:eastAsia="仿宋" w:cs="仿宋"/>
          <w:color w:val="auto"/>
          <w:sz w:val="28"/>
          <w:szCs w:val="28"/>
          <w:highlight w:val="none"/>
          <w:u w:val="single"/>
        </w:rPr>
        <w:t>滁州市公共资源交易中心网（http：//ggzy.chuzhou.gov.cn/）</w:t>
      </w:r>
      <w:r>
        <w:rPr>
          <w:rFonts w:hint="eastAsia" w:ascii="仿宋" w:hAnsi="仿宋" w:eastAsia="仿宋" w:cs="仿宋"/>
          <w:color w:val="auto"/>
          <w:sz w:val="28"/>
          <w:szCs w:val="28"/>
          <w:highlight w:val="none"/>
        </w:rPr>
        <w:t>获取招标文件，并于</w:t>
      </w: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3</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19</w:t>
      </w:r>
      <w:r>
        <w:rPr>
          <w:rFonts w:hint="eastAsia" w:ascii="仿宋" w:hAnsi="仿宋" w:eastAsia="仿宋" w:cs="仿宋"/>
          <w:color w:val="auto"/>
          <w:sz w:val="28"/>
          <w:szCs w:val="28"/>
          <w:highlight w:val="none"/>
          <w:u w:val="single"/>
        </w:rPr>
        <w:t>日08点</w:t>
      </w:r>
      <w:r>
        <w:rPr>
          <w:rFonts w:hint="eastAsia" w:ascii="仿宋" w:hAnsi="仿宋" w:eastAsia="仿宋" w:cs="仿宋"/>
          <w:color w:val="auto"/>
          <w:sz w:val="28"/>
          <w:szCs w:val="28"/>
          <w:highlight w:val="none"/>
          <w:u w:val="single"/>
          <w:lang w:val="en-US" w:eastAsia="zh-CN"/>
        </w:rPr>
        <w:t>3</w:t>
      </w:r>
      <w:r>
        <w:rPr>
          <w:rFonts w:hint="eastAsia" w:ascii="仿宋" w:hAnsi="仿宋" w:eastAsia="仿宋" w:cs="仿宋"/>
          <w:color w:val="auto"/>
          <w:sz w:val="28"/>
          <w:szCs w:val="28"/>
          <w:highlight w:val="none"/>
          <w:u w:val="single"/>
        </w:rPr>
        <w:t>0分</w:t>
      </w:r>
      <w:r>
        <w:rPr>
          <w:rFonts w:hint="eastAsia" w:ascii="仿宋" w:hAnsi="仿宋" w:eastAsia="仿宋" w:cs="仿宋"/>
          <w:color w:val="auto"/>
          <w:sz w:val="28"/>
          <w:szCs w:val="28"/>
          <w:highlight w:val="none"/>
        </w:rPr>
        <w:t>（北京时间）前递交投标文件。</w:t>
      </w:r>
    </w:p>
    <w:p w14:paraId="53AE222F">
      <w:pPr>
        <w:keepNext/>
        <w:keepLines/>
        <w:pageBreakBefore w:val="0"/>
        <w:widowControl w:val="0"/>
        <w:shd w:val="clear"/>
        <w:kinsoku/>
        <w:wordWrap/>
        <w:overflowPunct/>
        <w:topLinePunct w:val="0"/>
        <w:autoSpaceDE/>
        <w:autoSpaceDN/>
        <w:bidi w:val="0"/>
        <w:adjustRightInd/>
        <w:snapToGrid/>
        <w:spacing w:before="140" w:after="140"/>
        <w:ind w:left="0" w:leftChars="0" w:right="0" w:rightChars="0"/>
        <w:textAlignment w:val="auto"/>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bookmarkEnd w:id="2"/>
      <w:bookmarkEnd w:id="3"/>
      <w:bookmarkEnd w:id="4"/>
      <w:bookmarkEnd w:id="5"/>
    </w:p>
    <w:p w14:paraId="3BE5EB0F">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项目编号：</w:t>
      </w:r>
      <w:r>
        <w:rPr>
          <w:rFonts w:hint="eastAsia" w:ascii="仿宋" w:hAnsi="仿宋" w:eastAsia="仿宋"/>
          <w:color w:val="auto"/>
          <w:sz w:val="28"/>
          <w:szCs w:val="28"/>
          <w:highlight w:val="none"/>
          <w:lang w:val="en-US" w:eastAsia="zh-CN"/>
        </w:rPr>
        <w:t xml:space="preserve">czsjqt202602-013  </w:t>
      </w:r>
    </w:p>
    <w:p w14:paraId="6371C7F9">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项目名称：</w:t>
      </w:r>
      <w:bookmarkEnd w:id="6"/>
      <w:r>
        <w:rPr>
          <w:rFonts w:hint="eastAsia" w:ascii="仿宋" w:hAnsi="仿宋" w:eastAsia="仿宋"/>
          <w:color w:val="auto"/>
          <w:sz w:val="28"/>
          <w:szCs w:val="28"/>
          <w:highlight w:val="none"/>
          <w:lang w:val="en-US" w:eastAsia="zh-CN"/>
        </w:rPr>
        <w:t>滁州工投新能源开发有限公司2026年在营光伏电站及汽车充电站高压设备巡检维护项目（三次）</w:t>
      </w:r>
    </w:p>
    <w:p w14:paraId="2953D389">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val="en-US" w:eastAsia="zh-CN"/>
        </w:rPr>
        <w:t>450000</w:t>
      </w:r>
      <w:r>
        <w:rPr>
          <w:rFonts w:hint="eastAsia" w:ascii="仿宋" w:hAnsi="仿宋" w:eastAsia="仿宋"/>
          <w:color w:val="auto"/>
          <w:sz w:val="28"/>
          <w:szCs w:val="28"/>
          <w:highlight w:val="none"/>
        </w:rPr>
        <w:t>元</w:t>
      </w:r>
    </w:p>
    <w:p w14:paraId="33E9E683">
      <w:pPr>
        <w:keepNext w:val="0"/>
        <w:keepLines w:val="0"/>
        <w:pageBreakBefore w:val="0"/>
        <w:widowControl/>
        <w:shd w:val="clear"/>
        <w:kinsoku/>
        <w:wordWrap/>
        <w:overflowPunct/>
        <w:topLinePunct w:val="0"/>
        <w:autoSpaceDE w:val="0"/>
        <w:autoSpaceDN/>
        <w:bidi w:val="0"/>
        <w:adjustRightInd/>
        <w:snapToGrid/>
        <w:spacing w:line="480" w:lineRule="exact"/>
        <w:ind w:left="0" w:leftChars="0" w:right="0" w:rightChars="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最高限价：</w:t>
      </w:r>
      <w:r>
        <w:rPr>
          <w:rFonts w:hint="eastAsia" w:ascii="仿宋" w:hAnsi="仿宋" w:eastAsia="仿宋"/>
          <w:color w:val="auto"/>
          <w:sz w:val="28"/>
          <w:szCs w:val="28"/>
          <w:highlight w:val="none"/>
          <w:lang w:val="en-US" w:eastAsia="zh-CN"/>
        </w:rPr>
        <w:t>本项目单价最高限价16元/千伏安/年（含税）。投标人报价高于最高限价的，其投标文件按无效标处理</w:t>
      </w:r>
      <w:r>
        <w:rPr>
          <w:rFonts w:hint="eastAsia" w:ascii="仿宋" w:hAnsi="仿宋" w:eastAsia="仿宋" w:cs="Times New Roman"/>
          <w:color w:val="auto"/>
          <w:sz w:val="28"/>
          <w:szCs w:val="28"/>
          <w:highlight w:val="none"/>
          <w:lang w:val="en-US" w:eastAsia="zh-CN"/>
        </w:rPr>
        <w:t>。</w:t>
      </w:r>
    </w:p>
    <w:p w14:paraId="76EA6357">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hint="default" w:ascii="仿宋" w:hAnsi="仿宋" w:eastAsia="仿宋"/>
          <w:color w:val="auto"/>
          <w:sz w:val="28"/>
          <w:szCs w:val="28"/>
          <w:highlight w:val="none"/>
          <w:lang w:val="en-US"/>
        </w:rPr>
      </w:pPr>
      <w:r>
        <w:rPr>
          <w:rFonts w:hint="eastAsia" w:ascii="仿宋" w:hAnsi="仿宋" w:eastAsia="仿宋"/>
          <w:color w:val="auto"/>
          <w:sz w:val="28"/>
          <w:szCs w:val="28"/>
          <w:highlight w:val="none"/>
        </w:rPr>
        <w:t>采购需求：</w:t>
      </w:r>
      <w:r>
        <w:rPr>
          <w:rFonts w:hint="eastAsia" w:ascii="仿宋" w:hAnsi="仿宋" w:eastAsia="仿宋"/>
          <w:color w:val="auto"/>
          <w:sz w:val="28"/>
          <w:szCs w:val="28"/>
          <w:highlight w:val="none"/>
          <w:lang w:val="en-US" w:eastAsia="zh-CN"/>
        </w:rPr>
        <w:t>详见《服务内容及技术要求》和合同条款内容。</w:t>
      </w:r>
    </w:p>
    <w:p w14:paraId="7F98AD90">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合同履行期限：本项目服务期</w:t>
      </w: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年。</w:t>
      </w:r>
    </w:p>
    <w:p w14:paraId="02544AE2">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本项目不接受联合体投标。</w:t>
      </w:r>
    </w:p>
    <w:p w14:paraId="361DF603">
      <w:pPr>
        <w:keepNext/>
        <w:keepLines/>
        <w:pageBreakBefore w:val="0"/>
        <w:widowControl w:val="0"/>
        <w:shd w:val="clear"/>
        <w:kinsoku/>
        <w:wordWrap/>
        <w:overflowPunct/>
        <w:topLinePunct w:val="0"/>
        <w:autoSpaceDE/>
        <w:autoSpaceDN/>
        <w:bidi w:val="0"/>
        <w:adjustRightInd/>
        <w:snapToGrid/>
        <w:spacing w:before="140" w:after="140"/>
        <w:ind w:left="0" w:leftChars="0" w:right="0" w:rightChars="0"/>
        <w:textAlignment w:val="auto"/>
        <w:rPr>
          <w:rFonts w:hint="eastAsia" w:ascii="黑体" w:hAnsi="黑体" w:eastAsia="黑体" w:cs="黑体"/>
          <w:color w:val="auto"/>
          <w:sz w:val="28"/>
          <w:szCs w:val="28"/>
          <w:highlight w:val="none"/>
        </w:rPr>
      </w:pPr>
      <w:bookmarkStart w:id="7" w:name="_Toc28359080"/>
      <w:bookmarkStart w:id="8" w:name="_Toc35393791"/>
      <w:bookmarkStart w:id="9" w:name="_Toc35393622"/>
      <w:bookmarkStart w:id="10" w:name="_Toc28359003"/>
      <w:r>
        <w:rPr>
          <w:rFonts w:hint="eastAsia" w:ascii="黑体" w:hAnsi="黑体" w:eastAsia="黑体" w:cs="黑体"/>
          <w:color w:val="auto"/>
          <w:sz w:val="28"/>
          <w:szCs w:val="28"/>
          <w:highlight w:val="none"/>
        </w:rPr>
        <w:t>二、申请人的资格要求</w:t>
      </w:r>
      <w:bookmarkEnd w:id="7"/>
      <w:bookmarkEnd w:id="8"/>
      <w:bookmarkEnd w:id="9"/>
      <w:bookmarkEnd w:id="10"/>
    </w:p>
    <w:p w14:paraId="32B28D22">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ascii="仿宋" w:hAnsi="仿宋" w:eastAsia="仿宋" w:cs="Times New Roman"/>
          <w:color w:val="auto"/>
          <w:sz w:val="28"/>
          <w:szCs w:val="28"/>
          <w:highlight w:val="none"/>
          <w:lang w:val="en-US" w:eastAsia="zh-CN"/>
        </w:rPr>
      </w:pPr>
      <w:bookmarkStart w:id="11" w:name="_Toc28359004"/>
      <w:bookmarkStart w:id="12" w:name="_Toc35393792"/>
      <w:bookmarkStart w:id="13" w:name="_Toc28359081"/>
      <w:bookmarkStart w:id="14" w:name="_Toc35393623"/>
      <w:r>
        <w:rPr>
          <w:rFonts w:hint="eastAsia" w:ascii="仿宋" w:hAnsi="仿宋" w:eastAsia="仿宋" w:cs="Times New Roman"/>
          <w:color w:val="auto"/>
          <w:sz w:val="28"/>
          <w:szCs w:val="28"/>
          <w:highlight w:val="none"/>
        </w:rPr>
        <w:t>1.企业资格要求：</w:t>
      </w:r>
      <w:r>
        <w:rPr>
          <w:rFonts w:hint="eastAsia" w:ascii="仿宋" w:hAnsi="仿宋" w:eastAsia="仿宋" w:cs="Times New Roman"/>
          <w:color w:val="auto"/>
          <w:sz w:val="28"/>
          <w:szCs w:val="28"/>
          <w:highlight w:val="none"/>
          <w:lang w:val="en-US" w:eastAsia="zh-CN"/>
        </w:rPr>
        <w:t>投标人须具有有效的《承装（修、试）电力设施许可证》，且承装类、承修类、承试类许可等级均须达到三级及以上（按照现行有效的《承装（修、试）电力设施许可证》等级标准认定），同时具有有效的安全生产许可证。</w:t>
      </w:r>
    </w:p>
    <w:p w14:paraId="0D6BCEC8">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对于持有尚未换发新证、且仍在有效期内的旧版《承装（修、试）电力设施许可证》的投标人，承装类、承修类、承试类许可等级均须达到五级及以上。</w:t>
      </w:r>
    </w:p>
    <w:p w14:paraId="605E0908">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2.</w:t>
      </w:r>
      <w:r>
        <w:rPr>
          <w:rFonts w:hint="eastAsia" w:ascii="仿宋" w:hAnsi="仿宋" w:eastAsia="仿宋" w:cs="Times New Roman"/>
          <w:color w:val="auto"/>
          <w:sz w:val="28"/>
          <w:szCs w:val="28"/>
          <w:highlight w:val="none"/>
        </w:rPr>
        <w:t>信誉要求：投标人不得存在以下情形：</w:t>
      </w:r>
    </w:p>
    <w:p w14:paraId="00BE49A7">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①被列入“信用中国”网站“失信被执行人”的;</w:t>
      </w:r>
    </w:p>
    <w:p w14:paraId="2EB255ED">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②被列入“信用中国”网站“重大税收违法失信主体”的；</w:t>
      </w:r>
    </w:p>
    <w:p w14:paraId="6889939D">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③被列入“信用中国”网站“拖欠农民工工资失信联合惩戒对象名单”的；</w:t>
      </w:r>
    </w:p>
    <w:p w14:paraId="523217A0">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④被列入“信用中国”网站“严重失信主体名单”的；</w:t>
      </w:r>
    </w:p>
    <w:p w14:paraId="3934B169">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⑤在“信用中国”网站上披露的仍在公示期的严重失信行为(具体行为类别及判定依据见附件2)的。</w:t>
      </w:r>
    </w:p>
    <w:p w14:paraId="0AA59C07">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⑥被列入</w:t>
      </w:r>
      <w:bookmarkStart w:id="15" w:name="OLE_LINK4"/>
      <w:r>
        <w:rPr>
          <w:rFonts w:hint="eastAsia" w:ascii="仿宋" w:hAnsi="仿宋" w:eastAsia="仿宋" w:cs="Times New Roman"/>
          <w:color w:val="auto"/>
          <w:sz w:val="28"/>
          <w:szCs w:val="28"/>
          <w:highlight w:val="none"/>
        </w:rPr>
        <w:t>国家企业信用信息公示系统网站</w:t>
      </w:r>
      <w:bookmarkEnd w:id="15"/>
      <w:r>
        <w:rPr>
          <w:rFonts w:hint="eastAsia" w:ascii="仿宋" w:hAnsi="仿宋" w:eastAsia="仿宋" w:cs="Times New Roman"/>
          <w:color w:val="auto"/>
          <w:sz w:val="28"/>
          <w:szCs w:val="28"/>
          <w:highlight w:val="none"/>
        </w:rPr>
        <w:t>“经营异常名录”或者“严重违法失信名单”的。</w:t>
      </w:r>
    </w:p>
    <w:p w14:paraId="1CA513B4">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⑦前三年有行贿犯罪行为的单位和个人；</w:t>
      </w:r>
    </w:p>
    <w:p w14:paraId="627FA6F5">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⑧被滁州市县两级公管部门及各行业主管部门取消在一定期限内的投标资格且在取消期限内的；</w:t>
      </w:r>
    </w:p>
    <w:p w14:paraId="35D33130">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⑨因拖欠农民工工资被县级及以上有关行政主管部门限制投标资格且在限制期限内的；</w:t>
      </w:r>
    </w:p>
    <w:p w14:paraId="4B9B7B07">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409A0208">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3</w:t>
      </w:r>
      <w:r>
        <w:rPr>
          <w:rFonts w:hint="eastAsia" w:ascii="仿宋" w:hAnsi="仿宋" w:eastAsia="仿宋" w:cs="Times New Roman"/>
          <w:color w:val="auto"/>
          <w:sz w:val="28"/>
          <w:szCs w:val="28"/>
          <w:highlight w:val="none"/>
        </w:rPr>
        <w:t>.投标人所属分公司、办事处等分支机构存在第</w:t>
      </w:r>
      <w:r>
        <w:rPr>
          <w:rFonts w:hint="eastAsia" w:ascii="仿宋" w:hAnsi="仿宋" w:eastAsia="仿宋" w:cs="Times New Roman"/>
          <w:color w:val="auto"/>
          <w:sz w:val="28"/>
          <w:szCs w:val="28"/>
          <w:highlight w:val="none"/>
          <w:lang w:val="en-US" w:eastAsia="zh-CN"/>
        </w:rPr>
        <w:t>3</w:t>
      </w:r>
      <w:r>
        <w:rPr>
          <w:rFonts w:hint="eastAsia" w:ascii="仿宋" w:hAnsi="仿宋" w:eastAsia="仿宋" w:cs="Times New Roman"/>
          <w:color w:val="auto"/>
          <w:sz w:val="28"/>
          <w:szCs w:val="28"/>
          <w:highlight w:val="none"/>
        </w:rPr>
        <w:t>款信誉要求①-⑩项情形之一的，接受投标人参加本项目。</w:t>
      </w:r>
    </w:p>
    <w:p w14:paraId="23F22C79">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备注：第</w:t>
      </w:r>
      <w:r>
        <w:rPr>
          <w:rFonts w:hint="eastAsia" w:ascii="仿宋" w:hAnsi="仿宋" w:eastAsia="仿宋" w:cs="Times New Roman"/>
          <w:color w:val="auto"/>
          <w:sz w:val="28"/>
          <w:szCs w:val="28"/>
          <w:highlight w:val="none"/>
          <w:lang w:val="en-US" w:eastAsia="zh-CN"/>
        </w:rPr>
        <w:t>2、3</w:t>
      </w:r>
      <w:r>
        <w:rPr>
          <w:rFonts w:hint="eastAsia" w:ascii="仿宋" w:hAnsi="仿宋" w:eastAsia="仿宋" w:cs="Times New Roman"/>
          <w:color w:val="auto"/>
          <w:sz w:val="28"/>
          <w:szCs w:val="28"/>
          <w:highlight w:val="none"/>
        </w:rPr>
        <w:t>条按照“关于联合惩戒失信行为加强信用查询管理的通知”查询或承诺。</w:t>
      </w:r>
    </w:p>
    <w:p w14:paraId="4422279A">
      <w:pPr>
        <w:keepNext/>
        <w:keepLines/>
        <w:pageBreakBefore w:val="0"/>
        <w:widowControl w:val="0"/>
        <w:shd w:val="clear"/>
        <w:kinsoku/>
        <w:wordWrap/>
        <w:overflowPunct/>
        <w:topLinePunct w:val="0"/>
        <w:autoSpaceDE/>
        <w:autoSpaceDN/>
        <w:bidi w:val="0"/>
        <w:adjustRightInd/>
        <w:snapToGrid/>
        <w:spacing w:before="140" w:after="140"/>
        <w:ind w:left="0" w:leftChars="0" w:right="0" w:rightChars="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三、获取招标文件</w:t>
      </w:r>
      <w:bookmarkEnd w:id="11"/>
      <w:bookmarkEnd w:id="12"/>
      <w:bookmarkEnd w:id="13"/>
      <w:bookmarkEnd w:id="14"/>
    </w:p>
    <w:p w14:paraId="6C8E9DF9">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39"/>
        <w:textAlignment w:val="auto"/>
        <w:rPr>
          <w:rFonts w:ascii="仿宋" w:hAnsi="仿宋" w:eastAsia="仿宋" w:cs="宋体"/>
          <w:iCs/>
          <w:color w:val="auto"/>
          <w:sz w:val="28"/>
          <w:szCs w:val="28"/>
          <w:highlight w:val="none"/>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single"/>
        </w:rPr>
        <w:t>202</w:t>
      </w:r>
      <w:r>
        <w:rPr>
          <w:rFonts w:hint="eastAsia" w:ascii="仿宋" w:hAnsi="仿宋" w:eastAsia="仿宋" w:cs="宋体"/>
          <w:color w:val="auto"/>
          <w:sz w:val="28"/>
          <w:szCs w:val="28"/>
          <w:highlight w:val="none"/>
          <w:u w:val="single"/>
          <w:lang w:val="en-US" w:eastAsia="zh-CN"/>
        </w:rPr>
        <w:t>6</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2</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26</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rPr>
        <w:t xml:space="preserve"> 202</w:t>
      </w:r>
      <w:r>
        <w:rPr>
          <w:rFonts w:hint="eastAsia" w:ascii="仿宋" w:hAnsi="仿宋" w:eastAsia="仿宋" w:cs="宋体"/>
          <w:color w:val="auto"/>
          <w:sz w:val="28"/>
          <w:szCs w:val="28"/>
          <w:highlight w:val="none"/>
          <w:u w:val="single"/>
          <w:lang w:val="en-US" w:eastAsia="zh-CN"/>
        </w:rPr>
        <w:t>6</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3</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19</w:t>
      </w:r>
      <w:r>
        <w:rPr>
          <w:rFonts w:hint="eastAsia" w:ascii="仿宋" w:hAnsi="仿宋" w:eastAsia="仿宋" w:cs="宋体"/>
          <w:color w:val="auto"/>
          <w:sz w:val="28"/>
          <w:szCs w:val="28"/>
          <w:highlight w:val="none"/>
          <w:u w:val="single"/>
        </w:rPr>
        <w:t>日</w:t>
      </w:r>
      <w:r>
        <w:rPr>
          <w:rFonts w:hint="eastAsia" w:ascii="仿宋" w:hAnsi="仿宋" w:eastAsia="仿宋" w:cs="宋体"/>
          <w:iCs/>
          <w:color w:val="auto"/>
          <w:sz w:val="28"/>
          <w:szCs w:val="28"/>
          <w:highlight w:val="none"/>
          <w:u w:val="single"/>
        </w:rPr>
        <w:t>（提供期限自本公告发布之日起不得少于5个工作日）</w:t>
      </w:r>
    </w:p>
    <w:p w14:paraId="6A79304D">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39"/>
        <w:textAlignment w:val="auto"/>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地点：滁州市公共资源交易中心网</w:t>
      </w:r>
    </w:p>
    <w:p w14:paraId="04C6EDF2">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39"/>
        <w:textAlignment w:val="auto"/>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方式：网上下载</w:t>
      </w:r>
    </w:p>
    <w:p w14:paraId="2B4DF744">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39"/>
        <w:textAlignment w:val="auto"/>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售价：0元</w:t>
      </w:r>
    </w:p>
    <w:p w14:paraId="6F25F740">
      <w:pPr>
        <w:keepNext/>
        <w:keepLines/>
        <w:pageBreakBefore w:val="0"/>
        <w:widowControl w:val="0"/>
        <w:shd w:val="clear"/>
        <w:kinsoku/>
        <w:wordWrap/>
        <w:overflowPunct/>
        <w:topLinePunct w:val="0"/>
        <w:autoSpaceDE/>
        <w:autoSpaceDN/>
        <w:bidi w:val="0"/>
        <w:adjustRightInd/>
        <w:snapToGrid/>
        <w:spacing w:before="140" w:after="140"/>
        <w:ind w:left="0" w:leftChars="0" w:right="0" w:rightChars="0"/>
        <w:textAlignment w:val="auto"/>
        <w:rPr>
          <w:rFonts w:hint="eastAsia" w:ascii="黑体" w:hAnsi="黑体" w:eastAsia="黑体" w:cs="黑体"/>
          <w:color w:val="auto"/>
          <w:sz w:val="28"/>
          <w:szCs w:val="28"/>
          <w:highlight w:val="none"/>
        </w:rPr>
      </w:pPr>
      <w:bookmarkStart w:id="16" w:name="_Toc28359005"/>
      <w:bookmarkStart w:id="17" w:name="_Toc28359082"/>
      <w:bookmarkStart w:id="18" w:name="_Toc35393624"/>
      <w:bookmarkStart w:id="19" w:name="_Toc35393793"/>
      <w:r>
        <w:rPr>
          <w:rFonts w:hint="eastAsia" w:ascii="黑体" w:hAnsi="黑体" w:eastAsia="黑体" w:cs="黑体"/>
          <w:color w:val="auto"/>
          <w:sz w:val="28"/>
          <w:szCs w:val="28"/>
          <w:highlight w:val="none"/>
        </w:rPr>
        <w:t>四、提交投标文件</w:t>
      </w:r>
      <w:bookmarkEnd w:id="16"/>
      <w:bookmarkEnd w:id="17"/>
      <w:r>
        <w:rPr>
          <w:rFonts w:hint="eastAsia" w:ascii="黑体" w:hAnsi="黑体" w:eastAsia="黑体" w:cs="黑体"/>
          <w:color w:val="auto"/>
          <w:sz w:val="28"/>
          <w:szCs w:val="28"/>
          <w:highlight w:val="none"/>
        </w:rPr>
        <w:t>截止时间、开标时间和地点</w:t>
      </w:r>
      <w:bookmarkEnd w:id="18"/>
      <w:bookmarkEnd w:id="19"/>
    </w:p>
    <w:p w14:paraId="5784BE87">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ascii="仿宋" w:hAnsi="仿宋" w:eastAsia="仿宋"/>
          <w:bCs/>
          <w:iCs/>
          <w:color w:val="auto"/>
          <w:sz w:val="28"/>
          <w:szCs w:val="28"/>
          <w:highlight w:val="none"/>
        </w:rPr>
      </w:pPr>
      <w:r>
        <w:rPr>
          <w:rFonts w:hint="eastAsia" w:ascii="仿宋" w:hAnsi="仿宋" w:eastAsia="仿宋"/>
          <w:bCs/>
          <w:color w:val="auto"/>
          <w:sz w:val="28"/>
          <w:szCs w:val="28"/>
          <w:highlight w:val="none"/>
          <w:u w:val="single"/>
        </w:rPr>
        <w:t>202</w:t>
      </w:r>
      <w:r>
        <w:rPr>
          <w:rFonts w:hint="eastAsia" w:ascii="仿宋" w:hAnsi="仿宋" w:eastAsia="仿宋"/>
          <w:bCs/>
          <w:color w:val="auto"/>
          <w:sz w:val="28"/>
          <w:szCs w:val="28"/>
          <w:highlight w:val="none"/>
          <w:u w:val="single"/>
          <w:lang w:val="en-US" w:eastAsia="zh-CN"/>
        </w:rPr>
        <w:t>6</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3</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19</w:t>
      </w:r>
      <w:r>
        <w:rPr>
          <w:rFonts w:hint="eastAsia" w:ascii="仿宋" w:hAnsi="仿宋" w:eastAsia="仿宋"/>
          <w:bCs/>
          <w:color w:val="auto"/>
          <w:sz w:val="28"/>
          <w:szCs w:val="28"/>
          <w:highlight w:val="none"/>
          <w:u w:val="single"/>
        </w:rPr>
        <w:t>日8点</w:t>
      </w:r>
      <w:r>
        <w:rPr>
          <w:rFonts w:hint="eastAsia" w:ascii="仿宋" w:hAnsi="仿宋" w:eastAsia="仿宋"/>
          <w:bCs/>
          <w:color w:val="auto"/>
          <w:sz w:val="28"/>
          <w:szCs w:val="28"/>
          <w:highlight w:val="none"/>
          <w:u w:val="single"/>
          <w:lang w:val="en-US" w:eastAsia="zh-CN"/>
        </w:rPr>
        <w:t>3</w:t>
      </w:r>
      <w:r>
        <w:rPr>
          <w:rFonts w:hint="eastAsia" w:ascii="仿宋" w:hAnsi="仿宋" w:eastAsia="仿宋"/>
          <w:bCs/>
          <w:color w:val="auto"/>
          <w:sz w:val="28"/>
          <w:szCs w:val="28"/>
          <w:highlight w:val="none"/>
          <w:u w:val="single"/>
        </w:rPr>
        <w:t>0分</w:t>
      </w:r>
      <w:r>
        <w:rPr>
          <w:rFonts w:hint="eastAsia" w:ascii="仿宋" w:hAnsi="仿宋" w:eastAsia="仿宋"/>
          <w:bCs/>
          <w:color w:val="auto"/>
          <w:sz w:val="28"/>
          <w:szCs w:val="28"/>
          <w:highlight w:val="none"/>
        </w:rPr>
        <w:t>（北京时间）</w:t>
      </w:r>
      <w:r>
        <w:rPr>
          <w:rFonts w:hint="eastAsia" w:ascii="仿宋" w:hAnsi="仿宋" w:eastAsia="仿宋" w:cs="宋体"/>
          <w:iCs/>
          <w:color w:val="auto"/>
          <w:sz w:val="28"/>
          <w:szCs w:val="28"/>
          <w:highlight w:val="none"/>
          <w:u w:val="single"/>
        </w:rPr>
        <w:t>（自招标文件开始发出之日起至投标人提交投标文件截止之日止，不得少于20日）</w:t>
      </w:r>
    </w:p>
    <w:p w14:paraId="632AFC75">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地点：网上开标（滁州市公共资源交易中心网）</w:t>
      </w:r>
    </w:p>
    <w:p w14:paraId="4DD9741C">
      <w:pPr>
        <w:keepNext/>
        <w:keepLines/>
        <w:pageBreakBefore w:val="0"/>
        <w:widowControl w:val="0"/>
        <w:shd w:val="clear"/>
        <w:kinsoku/>
        <w:wordWrap/>
        <w:overflowPunct/>
        <w:topLinePunct w:val="0"/>
        <w:autoSpaceDE/>
        <w:autoSpaceDN/>
        <w:bidi w:val="0"/>
        <w:adjustRightInd/>
        <w:snapToGrid/>
        <w:spacing w:before="140" w:after="140"/>
        <w:ind w:left="0" w:leftChars="0" w:right="0" w:rightChars="0"/>
        <w:textAlignment w:val="auto"/>
        <w:rPr>
          <w:rFonts w:hint="eastAsia" w:ascii="黑体" w:hAnsi="黑体" w:eastAsia="黑体" w:cs="黑体"/>
          <w:color w:val="auto"/>
          <w:sz w:val="28"/>
          <w:szCs w:val="28"/>
          <w:highlight w:val="none"/>
        </w:rPr>
      </w:pPr>
      <w:bookmarkStart w:id="20" w:name="_Toc28359084"/>
      <w:bookmarkStart w:id="21" w:name="_Toc28359007"/>
      <w:bookmarkStart w:id="22" w:name="_Toc35393625"/>
      <w:bookmarkStart w:id="23" w:name="_Toc35393794"/>
      <w:r>
        <w:rPr>
          <w:rFonts w:hint="eastAsia" w:ascii="黑体" w:hAnsi="黑体" w:eastAsia="黑体" w:cs="黑体"/>
          <w:color w:val="auto"/>
          <w:sz w:val="28"/>
          <w:szCs w:val="28"/>
          <w:highlight w:val="none"/>
        </w:rPr>
        <w:t>五、公告期限</w:t>
      </w:r>
      <w:bookmarkEnd w:id="20"/>
      <w:bookmarkEnd w:id="21"/>
      <w:bookmarkEnd w:id="22"/>
      <w:bookmarkEnd w:id="23"/>
    </w:p>
    <w:p w14:paraId="6BA8851E">
      <w:pPr>
        <w:shd w:val="clear"/>
        <w:kinsoku/>
        <w:overflowPunct/>
        <w:bidi w:val="0"/>
        <w:ind w:left="0" w:leftChars="0" w:right="0" w:rightChars="0"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自本公告发布之日起5个工作日。</w:t>
      </w:r>
    </w:p>
    <w:p w14:paraId="6FB82246">
      <w:pPr>
        <w:keepNext/>
        <w:keepLines/>
        <w:pageBreakBefore w:val="0"/>
        <w:widowControl w:val="0"/>
        <w:shd w:val="clear"/>
        <w:kinsoku/>
        <w:wordWrap/>
        <w:overflowPunct/>
        <w:topLinePunct w:val="0"/>
        <w:autoSpaceDE/>
        <w:autoSpaceDN/>
        <w:bidi w:val="0"/>
        <w:adjustRightInd/>
        <w:snapToGrid/>
        <w:spacing w:before="140" w:after="140"/>
        <w:ind w:left="0" w:leftChars="0" w:right="0" w:rightChars="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六、投标保证金金额及缴纳账户</w:t>
      </w:r>
    </w:p>
    <w:p w14:paraId="54B8B7A2">
      <w:pPr>
        <w:pStyle w:val="120"/>
        <w:shd w:val="clear"/>
        <w:kinsoku/>
        <w:overflowPunct/>
        <w:bidi w:val="0"/>
        <w:ind w:left="0" w:leftChars="0" w:right="0" w:rightChars="0"/>
        <w:rPr>
          <w:color w:val="auto"/>
          <w:highlight w:val="none"/>
        </w:rPr>
      </w:pPr>
      <w:bookmarkStart w:id="24" w:name="_Toc35393795"/>
      <w:bookmarkStart w:id="25" w:name="_Toc35393626"/>
      <w:r>
        <w:rPr>
          <w:color w:val="auto"/>
          <w:highlight w:val="none"/>
        </w:rPr>
        <w:t>窗体顶端</w:t>
      </w:r>
    </w:p>
    <w:p w14:paraId="7DF5F79D">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1、</w:t>
      </w:r>
      <w:r>
        <w:rPr>
          <w:rFonts w:hint="eastAsia" w:ascii="仿宋" w:hAnsi="仿宋" w:eastAsia="仿宋" w:cs="Times New Roman"/>
          <w:color w:val="auto"/>
          <w:sz w:val="28"/>
          <w:szCs w:val="28"/>
          <w:highlight w:val="none"/>
        </w:rPr>
        <w:t>投标保证金收取</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rPr>
        <w:t>投标保证金的金额</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0.9</w:t>
      </w:r>
      <w:r>
        <w:rPr>
          <w:rFonts w:hint="eastAsia" w:ascii="仿宋" w:hAnsi="仿宋" w:eastAsia="仿宋" w:cs="Times New Roman"/>
          <w:color w:val="auto"/>
          <w:sz w:val="28"/>
          <w:szCs w:val="28"/>
          <w:highlight w:val="none"/>
        </w:rPr>
        <w:t>万元，</w:t>
      </w:r>
      <w:r>
        <w:rPr>
          <w:rFonts w:hint="eastAsia" w:ascii="仿宋" w:hAnsi="仿宋" w:eastAsia="仿宋" w:cs="Times New Roman"/>
          <w:color w:val="auto"/>
          <w:sz w:val="28"/>
          <w:szCs w:val="28"/>
          <w:highlight w:val="none"/>
          <w:lang w:val="en-US" w:eastAsia="zh-CN"/>
        </w:rPr>
        <w:t>要求</w:t>
      </w:r>
      <w:r>
        <w:rPr>
          <w:rFonts w:hint="eastAsia" w:ascii="仿宋" w:hAnsi="仿宋" w:eastAsia="仿宋" w:cs="Times New Roman"/>
          <w:color w:val="auto"/>
          <w:sz w:val="28"/>
          <w:szCs w:val="28"/>
          <w:highlight w:val="none"/>
        </w:rPr>
        <w:t>投标人提交投标保证金。</w:t>
      </w:r>
    </w:p>
    <w:p w14:paraId="463C3B4C">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2、</w:t>
      </w:r>
      <w:r>
        <w:rPr>
          <w:rFonts w:hint="eastAsia" w:ascii="仿宋" w:hAnsi="仿宋" w:eastAsia="仿宋" w:cs="Times New Roman"/>
          <w:color w:val="auto"/>
          <w:sz w:val="28"/>
          <w:szCs w:val="28"/>
          <w:highlight w:val="none"/>
        </w:rPr>
        <w:t>投标保证金形式：</w:t>
      </w:r>
      <w:bookmarkStart w:id="26" w:name="OLE_LINK62"/>
      <w:bookmarkStart w:id="27" w:name="OLE_LINK69"/>
      <w:bookmarkStart w:id="28" w:name="OLE_LINK71"/>
      <w:bookmarkStart w:id="29" w:name="OLE_LINK66"/>
      <w:bookmarkStart w:id="30" w:name="OLE_LINK61"/>
      <w:r>
        <w:rPr>
          <w:rFonts w:hint="eastAsia" w:ascii="仿宋" w:hAnsi="仿宋" w:eastAsia="仿宋" w:cs="Times New Roman"/>
          <w:color w:val="auto"/>
          <w:sz w:val="28"/>
          <w:szCs w:val="28"/>
          <w:highlight w:val="none"/>
        </w:rPr>
        <w:t>支持现金（银行转账、银行电汇等）、非现金形式（支票、银行汇票、本票等）、电子保函、纸质银行保函。</w:t>
      </w:r>
      <w:bookmarkEnd w:id="26"/>
      <w:bookmarkEnd w:id="27"/>
      <w:bookmarkEnd w:id="28"/>
      <w:bookmarkEnd w:id="29"/>
      <w:bookmarkEnd w:id="30"/>
    </w:p>
    <w:p w14:paraId="3ED20059">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3、</w:t>
      </w:r>
      <w:r>
        <w:rPr>
          <w:rFonts w:hint="eastAsia" w:ascii="仿宋" w:hAnsi="仿宋" w:eastAsia="仿宋" w:cs="Times New Roman"/>
          <w:color w:val="auto"/>
          <w:sz w:val="28"/>
          <w:szCs w:val="28"/>
          <w:highlight w:val="none"/>
        </w:rPr>
        <w:t>接收投标保证金的账户信息：</w:t>
      </w:r>
    </w:p>
    <w:p w14:paraId="36D5B422">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1)采用现金形式的，投标保证金应当从投标人基本存款账户转出，投标保证金的到账截止时间为投标截止时间。投标保证金转出账户与投标人投标文件提供的基本存款账户不一致的，视为未按照招标文件规定提交投标保证金。提交投标保证金的开户银行及账号如下（选择任何一家银行提交即可）：</w:t>
      </w:r>
    </w:p>
    <w:p w14:paraId="3D7BE35E">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①户名：滁州市公共资源交易中心</w:t>
      </w:r>
    </w:p>
    <w:p w14:paraId="77009F83">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开户行：中国银行滁州分行</w:t>
      </w:r>
    </w:p>
    <w:p w14:paraId="3915A5FA">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账号：</w:t>
      </w:r>
      <w:r>
        <w:rPr>
          <w:rFonts w:hint="eastAsia" w:ascii="仿宋" w:hAnsi="仿宋" w:eastAsia="仿宋" w:cs="Times New Roman"/>
          <w:color w:val="auto"/>
          <w:sz w:val="28"/>
          <w:szCs w:val="28"/>
          <w:highlight w:val="none"/>
          <w:lang w:val="en-US" w:eastAsia="zh-CN"/>
        </w:rPr>
        <w:t>188749190291</w:t>
      </w:r>
    </w:p>
    <w:p w14:paraId="78897DB2">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②户名：滁州市公共资源交易中心</w:t>
      </w:r>
    </w:p>
    <w:p w14:paraId="4828D4A8">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开户行：中国建设银行股份有限公司滁州南谯支行</w:t>
      </w:r>
    </w:p>
    <w:p w14:paraId="5C417E59">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rPr>
        <w:t>账号：</w:t>
      </w:r>
      <w:r>
        <w:rPr>
          <w:rFonts w:hint="eastAsia" w:ascii="仿宋" w:hAnsi="仿宋" w:eastAsia="仿宋" w:cs="Times New Roman"/>
          <w:color w:val="auto"/>
          <w:sz w:val="28"/>
          <w:szCs w:val="28"/>
          <w:highlight w:val="none"/>
          <w:lang w:val="en-US" w:eastAsia="zh-CN"/>
        </w:rPr>
        <w:t>6232811720000036686</w:t>
      </w:r>
    </w:p>
    <w:p w14:paraId="49C434AA">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③户名：滁州市公共资源交易中心</w:t>
      </w:r>
    </w:p>
    <w:p w14:paraId="25407DD2">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开户行：中国农业银行滁州中都支行</w:t>
      </w:r>
    </w:p>
    <w:p w14:paraId="58405AAA">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rPr>
        <w:t>账号：</w:t>
      </w:r>
      <w:r>
        <w:rPr>
          <w:rFonts w:hint="eastAsia" w:ascii="仿宋" w:hAnsi="仿宋" w:eastAsia="仿宋" w:cs="Times New Roman"/>
          <w:color w:val="auto"/>
          <w:sz w:val="28"/>
          <w:szCs w:val="28"/>
          <w:highlight w:val="none"/>
          <w:lang w:val="en-US" w:eastAsia="zh-CN"/>
        </w:rPr>
        <w:t xml:space="preserve">123340010400044210000000198 </w:t>
      </w:r>
    </w:p>
    <w:p w14:paraId="4BF57376">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采用现金形式缴纳保证金时须在交易附言中注明：“</w:t>
      </w:r>
      <w:r>
        <w:rPr>
          <w:rFonts w:hint="eastAsia" w:ascii="仿宋" w:hAnsi="仿宋" w:eastAsia="仿宋" w:cs="Times New Roman"/>
          <w:color w:val="auto"/>
          <w:sz w:val="28"/>
          <w:szCs w:val="28"/>
          <w:highlight w:val="none"/>
          <w:lang w:val="en-US" w:eastAsia="zh-CN"/>
        </w:rPr>
        <w:t>czsjqt202602-013</w:t>
      </w:r>
      <w:r>
        <w:rPr>
          <w:rFonts w:hint="eastAsia" w:ascii="仿宋" w:hAnsi="仿宋" w:eastAsia="仿宋" w:cs="Times New Roman"/>
          <w:color w:val="auto"/>
          <w:sz w:val="28"/>
          <w:szCs w:val="28"/>
          <w:highlight w:val="none"/>
        </w:rPr>
        <w:t>项目投标保证金”。</w:t>
      </w:r>
    </w:p>
    <w:p w14:paraId="05CB566E">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2）采用支票、银行汇票、本票等非现金形式提交投标保证金时，投标人应在付款人开户行申请书附言处注明“</w:t>
      </w:r>
      <w:r>
        <w:rPr>
          <w:rFonts w:hint="eastAsia" w:ascii="仿宋" w:hAnsi="仿宋" w:eastAsia="仿宋" w:cs="Times New Roman"/>
          <w:color w:val="auto"/>
          <w:sz w:val="28"/>
          <w:szCs w:val="28"/>
          <w:highlight w:val="none"/>
          <w:lang w:val="en-US" w:eastAsia="zh-CN"/>
        </w:rPr>
        <w:t>czsjqt202602-013</w:t>
      </w:r>
      <w:r>
        <w:rPr>
          <w:rFonts w:hint="eastAsia" w:ascii="仿宋" w:hAnsi="仿宋" w:eastAsia="仿宋" w:cs="Times New Roman"/>
          <w:color w:val="auto"/>
          <w:sz w:val="28"/>
          <w:szCs w:val="28"/>
          <w:highlight w:val="none"/>
        </w:rPr>
        <w:t>项目投标保证金”字样，应确保收款人开户行进账单完整反映交易附言内容，由此导致无法识别投标保证金对应的投标项目，其后果由投标人负责。</w:t>
      </w:r>
    </w:p>
    <w:p w14:paraId="6491D718">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3)采用电子保函形式具体要求如下：</w:t>
      </w:r>
    </w:p>
    <w:p w14:paraId="6442C2B8">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①电子保函提交要求：</w:t>
      </w:r>
    </w:p>
    <w:p w14:paraId="0282A81D">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a.投标人须在投标文件提交截止时间前提供与滁州市公共资源交易中心金融服务平台对接的电子保函，否则视为投标保证金未按规定要求缴纳。</w:t>
      </w:r>
    </w:p>
    <w:p w14:paraId="63CCF187">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b.电子保函生效时间须为所投项目规定的保证金到账截止时间之前，电子保函的有效期截止时间不得短于招标文件约定的投标有效期截止时间，否则视为投标保证金未按规定要求缴纳。</w:t>
      </w:r>
    </w:p>
    <w:p w14:paraId="711FC0BF">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c.投标有效期内未能确定中标结果，需要延长投标有效期，投标人同意延长投标有效期的，须相应延长电子保函的有效期。</w:t>
      </w:r>
    </w:p>
    <w:p w14:paraId="0DF1D6FD">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d.</w:t>
      </w:r>
      <w:bookmarkStart w:id="31" w:name="OLE_LINK52"/>
      <w:bookmarkStart w:id="32" w:name="OLE_LINK53"/>
      <w:r>
        <w:rPr>
          <w:rFonts w:hint="eastAsia" w:ascii="仿宋" w:hAnsi="仿宋" w:eastAsia="仿宋" w:cs="Times New Roman"/>
          <w:color w:val="auto"/>
          <w:sz w:val="28"/>
          <w:szCs w:val="28"/>
          <w:highlight w:val="none"/>
        </w:rPr>
        <w:t>投标人存在投标保证金不予退还的情形，采用电子保函形式的将予以追缴。</w:t>
      </w:r>
    </w:p>
    <w:bookmarkEnd w:id="31"/>
    <w:bookmarkEnd w:id="32"/>
    <w:p w14:paraId="55F54B17">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4)采用纸质</w:t>
      </w:r>
      <w:r>
        <w:rPr>
          <w:rFonts w:hint="eastAsia" w:ascii="仿宋" w:hAnsi="仿宋" w:eastAsia="仿宋" w:cs="Times New Roman"/>
          <w:color w:val="auto"/>
          <w:sz w:val="28"/>
          <w:szCs w:val="28"/>
          <w:highlight w:val="none"/>
          <w:lang w:eastAsia="zh-CN"/>
        </w:rPr>
        <w:t>银行</w:t>
      </w:r>
      <w:r>
        <w:rPr>
          <w:rFonts w:hint="eastAsia" w:ascii="仿宋" w:hAnsi="仿宋" w:eastAsia="仿宋" w:cs="Times New Roman"/>
          <w:color w:val="auto"/>
          <w:sz w:val="28"/>
          <w:szCs w:val="28"/>
          <w:highlight w:val="none"/>
        </w:rPr>
        <w:t>保函形式具体要求如下：</w:t>
      </w:r>
    </w:p>
    <w:p w14:paraId="1E98296B">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①应为投标人基本账户开户银行出具的不可撤销、不可转让的见索即付独立保函,所需费用由投标人承担。</w:t>
      </w:r>
    </w:p>
    <w:p w14:paraId="11EE0129">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rPr>
        <w:t>②投标人在投标文件中必须提供基本存款账户证明（如基本存款账户开户许可证或基本存款账户信息），同时将纸质保函扫描件提供在投标文件中</w:t>
      </w:r>
      <w:r>
        <w:rPr>
          <w:rFonts w:hint="eastAsia" w:ascii="仿宋" w:hAnsi="仿宋" w:eastAsia="仿宋" w:cs="Times New Roman"/>
          <w:color w:val="auto"/>
          <w:sz w:val="28"/>
          <w:szCs w:val="28"/>
          <w:highlight w:val="none"/>
          <w:lang w:eastAsia="zh-CN"/>
        </w:rPr>
        <w:t>。</w:t>
      </w:r>
    </w:p>
    <w:p w14:paraId="46B109F8">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③投标人在投标文件中必须提供明确有效的查询途径（ 网址链接及查询方式），否则该纸质银行保函无效。</w:t>
      </w:r>
    </w:p>
    <w:p w14:paraId="1ADBE5C3">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④中标候选人须在中标候选人公示期间将其开具至本招标项目的保函原件提交招标人（或招标代理机构），且原件须与投标文件中提供的扫描件一致，如存在未按照规定提交或提交内容不一致的，招标人有权取消其中标候选人资格；发现弄虚作假的，招标人（或招标代理机构）应报公共资源交易监管部门依法处理。</w:t>
      </w:r>
    </w:p>
    <w:p w14:paraId="5B75C94F">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4.</w:t>
      </w:r>
      <w:r>
        <w:rPr>
          <w:rFonts w:hint="eastAsia" w:ascii="仿宋" w:hAnsi="仿宋" w:eastAsia="仿宋" w:cs="Times New Roman"/>
          <w:color w:val="auto"/>
          <w:sz w:val="28"/>
          <w:szCs w:val="28"/>
          <w:highlight w:val="none"/>
        </w:rPr>
        <w:t>保证金电子保函业务应急处置措施。由于自然灾害、事故灾难、突发公共网络安全事件或者系统原因，以及保证金电子保函系统使用过程中出现的以下情况：</w:t>
      </w:r>
    </w:p>
    <w:p w14:paraId="57EFFDF8">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（1）开标时，系统获取明文保函文件异常，无法正常获取保函文件；</w:t>
      </w:r>
    </w:p>
    <w:p w14:paraId="182690F4">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（2）保证金电子保函系统的软件或数据库出现错误，不能进行正常操作；</w:t>
      </w:r>
    </w:p>
    <w:p w14:paraId="41ABEB11">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（3）保证金电子保函系统服务器发生故障等情况，无法访问或无法使用电子保函；</w:t>
      </w:r>
    </w:p>
    <w:p w14:paraId="4AEC572E">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（4）保证金电子保函系统服务器受到病毒或其他外来的攻击；</w:t>
      </w:r>
    </w:p>
    <w:p w14:paraId="39CF6035">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（5）其他影响电子保函出具的异常情形。</w:t>
      </w:r>
    </w:p>
    <w:p w14:paraId="48795F26">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由于上述原因导致投标人无法正常参加开评标的，招标人或招标代理机构应及时报告公共资源交易服务平台核实问题原因。投标人确实已购买电子保函，经监管部门同意后，投标人可以继续参加开评标。</w:t>
      </w:r>
    </w:p>
    <w:p w14:paraId="4FCB0DC9">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5.</w:t>
      </w:r>
      <w:r>
        <w:rPr>
          <w:rFonts w:hint="eastAsia" w:ascii="仿宋" w:hAnsi="仿宋" w:eastAsia="仿宋" w:cs="Times New Roman"/>
          <w:color w:val="auto"/>
          <w:sz w:val="28"/>
          <w:szCs w:val="28"/>
          <w:highlight w:val="none"/>
        </w:rPr>
        <w:t>本次招标失败，再次进行招标的，投标人须按照新的账户重新缴纳投标保证金。</w:t>
      </w:r>
    </w:p>
    <w:p w14:paraId="7EB7293D">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6.</w:t>
      </w:r>
      <w:r>
        <w:rPr>
          <w:rFonts w:hint="eastAsia" w:ascii="仿宋" w:hAnsi="仿宋" w:eastAsia="仿宋" w:cs="Times New Roman"/>
          <w:color w:val="auto"/>
          <w:sz w:val="28"/>
          <w:szCs w:val="28"/>
          <w:highlight w:val="none"/>
        </w:rPr>
        <w:t>投标人为联合体投标的，由牵头人基本账户转出投标保证金或由牵头人办理保函。</w:t>
      </w:r>
    </w:p>
    <w:p w14:paraId="531CD573">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7</w:t>
      </w:r>
      <w:r>
        <w:rPr>
          <w:rFonts w:hint="eastAsia" w:ascii="仿宋" w:hAnsi="仿宋" w:eastAsia="仿宋" w:cs="Times New Roman"/>
          <w:color w:val="auto"/>
          <w:sz w:val="28"/>
          <w:szCs w:val="28"/>
          <w:highlight w:val="none"/>
        </w:rPr>
        <w:t>.是否适用免缴投标保证金政策</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不适用</w:t>
      </w:r>
      <w:r>
        <w:rPr>
          <w:rFonts w:hint="eastAsia" w:ascii="仿宋" w:hAnsi="仿宋" w:eastAsia="仿宋" w:cs="Times New Roman"/>
          <w:color w:val="auto"/>
          <w:sz w:val="28"/>
          <w:szCs w:val="28"/>
          <w:highlight w:val="none"/>
        </w:rPr>
        <w:t>。</w:t>
      </w:r>
    </w:p>
    <w:p w14:paraId="15400DFF">
      <w:pPr>
        <w:pStyle w:val="121"/>
        <w:shd w:val="clear"/>
        <w:kinsoku/>
        <w:overflowPunct/>
        <w:bidi w:val="0"/>
        <w:ind w:left="0" w:leftChars="0" w:right="0" w:rightChars="0"/>
        <w:rPr>
          <w:color w:val="auto"/>
          <w:highlight w:val="none"/>
        </w:rPr>
      </w:pPr>
      <w:r>
        <w:rPr>
          <w:rFonts w:hint="eastAsia" w:ascii="仿宋" w:hAnsi="仿宋" w:eastAsia="仿宋"/>
          <w:color w:val="auto"/>
          <w:sz w:val="28"/>
          <w:szCs w:val="28"/>
          <w:highlight w:val="none"/>
        </w:rPr>
        <w:t>本项目不缴纳投标保证金条款仅针对在投标过程中未违反本招标文件第二章“投标人须知”中第23.4项约定的投标人。如在投标过程中投标人存在本招标文件第二章“投标人须知”中第23.4项约定情形，则无条件按招标人要求的金额、时间、账号缴纳投标保证金。</w:t>
      </w:r>
      <w:r>
        <w:rPr>
          <w:color w:val="auto"/>
          <w:highlight w:val="none"/>
        </w:rPr>
        <w:t>窗体底端</w:t>
      </w:r>
    </w:p>
    <w:p w14:paraId="168C7881">
      <w:pPr>
        <w:keepNext/>
        <w:keepLines/>
        <w:pageBreakBefore w:val="0"/>
        <w:widowControl w:val="0"/>
        <w:shd w:val="clear"/>
        <w:kinsoku/>
        <w:wordWrap/>
        <w:overflowPunct/>
        <w:topLinePunct w:val="0"/>
        <w:autoSpaceDE/>
        <w:autoSpaceDN/>
        <w:bidi w:val="0"/>
        <w:adjustRightInd/>
        <w:snapToGrid/>
        <w:spacing w:before="140" w:after="140"/>
        <w:ind w:left="0" w:leftChars="0" w:right="0" w:rightChars="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七、其他补充事宜</w:t>
      </w:r>
      <w:bookmarkEnd w:id="24"/>
      <w:bookmarkEnd w:id="25"/>
    </w:p>
    <w:p w14:paraId="2B32E867">
      <w:pPr>
        <w:keepNext w:val="0"/>
        <w:keepLines w:val="0"/>
        <w:pageBreakBefore w:val="0"/>
        <w:widowControl w:val="0"/>
        <w:shd w:val="clear"/>
        <w:kinsoku/>
        <w:wordWrap w:val="0"/>
        <w:overflowPunct/>
        <w:topLinePunct w:val="0"/>
        <w:autoSpaceDE/>
        <w:autoSpaceDN/>
        <w:bidi w:val="0"/>
        <w:adjustRightInd/>
        <w:snapToGrid/>
        <w:spacing w:line="480" w:lineRule="exact"/>
        <w:ind w:left="0" w:leftChars="0" w:right="0" w:rightChars="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安徽省公共资源交易市场主体库使用相关问题（系统登录、信息登记、录入及提交、数字证书关联等）：010-86483801转5-2</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2）CA数字证书有关问题：安徽CA客服400-615-8899、0550-3019013（工作日）,CFCA客服025-66085508、0550-3801669（工作日）；（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07041962">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2.请投标人登录滁州市公共资源交易中心网站查看参加本项目的程序（具体操作步骤和程序请参见服务指南&gt;交易须知&gt;投标人填写投标信息、下载文件及网上提问操作手册）。</w:t>
      </w:r>
    </w:p>
    <w:p w14:paraId="5AFEC897">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3.本项目采用不见面开标(远程解密)方式，开标时投标人无须至开标现场进行解密，开标采取远程解密方式解密投标文件，投标人远程解密方式：投标人在开标时间前使用CA数字证书登录滁州市“不见面开标系统</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解密时间要求为：从本项目解密程序开始时计时，至完成投标文件解密时间，不得超过60分钟，否则投标文件将被拒绝。</w:t>
      </w:r>
    </w:p>
    <w:p w14:paraId="502E06D1">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4.投标文件格式、内容和制作要求以招标文件为准，投标文件制作工具中提供的相关格式及内容仅供参考，投标企业可根据招标文件要求自行调整。</w:t>
      </w:r>
    </w:p>
    <w:p w14:paraId="4FFA0A97">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5.投标人提出异议的截止时间及方式：如投标人对招标文件有异议，请于202</w:t>
      </w:r>
      <w:r>
        <w:rPr>
          <w:rFonts w:hint="eastAsia" w:ascii="仿宋" w:hAnsi="仿宋" w:eastAsia="仿宋"/>
          <w:color w:val="auto"/>
          <w:sz w:val="28"/>
          <w:szCs w:val="28"/>
          <w:highlight w:val="none"/>
          <w:lang w:val="en-US" w:eastAsia="zh-CN"/>
        </w:rPr>
        <w:t>6</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9</w:t>
      </w:r>
      <w:r>
        <w:rPr>
          <w:rFonts w:hint="eastAsia" w:ascii="仿宋" w:hAnsi="仿宋" w:eastAsia="仿宋"/>
          <w:color w:val="auto"/>
          <w:sz w:val="28"/>
          <w:szCs w:val="28"/>
          <w:highlight w:val="none"/>
        </w:rPr>
        <w:t>日</w:t>
      </w:r>
      <w:r>
        <w:rPr>
          <w:rFonts w:hint="eastAsia" w:ascii="仿宋" w:hAnsi="仿宋" w:eastAsia="仿宋"/>
          <w:color w:val="auto"/>
          <w:sz w:val="28"/>
          <w:szCs w:val="28"/>
          <w:highlight w:val="none"/>
          <w:lang w:val="en-US" w:eastAsia="zh-CN"/>
        </w:rPr>
        <w:t>08</w:t>
      </w:r>
      <w:r>
        <w:rPr>
          <w:rFonts w:hint="eastAsia" w:ascii="仿宋" w:hAnsi="仿宋" w:eastAsia="仿宋"/>
          <w:color w:val="auto"/>
          <w:sz w:val="28"/>
          <w:szCs w:val="28"/>
          <w:highlight w:val="none"/>
        </w:rPr>
        <w:t>时</w:t>
      </w:r>
      <w:r>
        <w:rPr>
          <w:rFonts w:hint="eastAsia" w:ascii="仿宋" w:hAnsi="仿宋" w:eastAsia="仿宋"/>
          <w:color w:val="auto"/>
          <w:sz w:val="28"/>
          <w:szCs w:val="28"/>
          <w:highlight w:val="none"/>
          <w:lang w:val="en-US" w:eastAsia="zh-CN"/>
        </w:rPr>
        <w:t>30分</w:t>
      </w:r>
      <w:r>
        <w:rPr>
          <w:rFonts w:hint="eastAsia" w:ascii="仿宋" w:hAnsi="仿宋" w:eastAsia="仿宋"/>
          <w:color w:val="auto"/>
          <w:sz w:val="28"/>
          <w:szCs w:val="28"/>
          <w:highlight w:val="none"/>
        </w:rPr>
        <w:t>（投标截止10日）前在滁州市公共资源交易中心网电子交易系统中进行异议，具体操作步骤和程序请参见服务指南&gt;交易须知&gt;在线异议、质疑和投诉操作手册。</w:t>
      </w:r>
    </w:p>
    <w:p w14:paraId="73CC5F4B">
      <w:pPr>
        <w:keepNext w:val="0"/>
        <w:keepLines w:val="0"/>
        <w:pageBreakBefore w:val="0"/>
        <w:widowControl w:val="0"/>
        <w:shd w:val="clear"/>
        <w:kinsoku/>
        <w:wordWrap w:val="0"/>
        <w:overflowPunct/>
        <w:topLinePunct w:val="0"/>
        <w:autoSpaceDE/>
        <w:autoSpaceDN/>
        <w:bidi w:val="0"/>
        <w:adjustRightInd/>
        <w:snapToGrid/>
        <w:spacing w:line="480" w:lineRule="exact"/>
        <w:ind w:left="0" w:leftChars="0" w:right="0" w:rightChars="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6.受理异议的联系人及联系方式：</w:t>
      </w:r>
      <w:r>
        <w:rPr>
          <w:rFonts w:hint="eastAsia" w:ascii="仿宋" w:hAnsi="仿宋" w:eastAsia="仿宋"/>
          <w:color w:val="auto"/>
          <w:sz w:val="28"/>
          <w:szCs w:val="28"/>
          <w:highlight w:val="none"/>
          <w:lang w:val="en-US" w:eastAsia="zh-CN"/>
        </w:rPr>
        <w:t>蔡工</w:t>
      </w:r>
      <w:r>
        <w:rPr>
          <w:rFonts w:hint="eastAsia" w:ascii="仿宋" w:hAnsi="仿宋" w:eastAsia="仿宋"/>
          <w:color w:val="auto"/>
          <w:sz w:val="28"/>
          <w:szCs w:val="28"/>
          <w:highlight w:val="none"/>
          <w:lang w:eastAsia="zh-CN"/>
        </w:rPr>
        <w:t>0550-3018125</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关勤勤</w:t>
      </w:r>
      <w:r>
        <w:rPr>
          <w:rFonts w:hint="eastAsia" w:ascii="仿宋" w:hAnsi="仿宋" w:eastAsia="仿宋"/>
          <w:color w:val="auto"/>
          <w:sz w:val="28"/>
          <w:szCs w:val="28"/>
          <w:highlight w:val="none"/>
        </w:rPr>
        <w:t>0550-3519590。</w:t>
      </w:r>
    </w:p>
    <w:p w14:paraId="61216A24">
      <w:pPr>
        <w:shd w:val="clear"/>
        <w:kinsoku/>
        <w:overflowPunct/>
        <w:bidi w:val="0"/>
        <w:ind w:left="0" w:leftChars="0" w:right="0" w:rightChars="0" w:firstLine="560" w:firstLineChars="2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八、对本次招标提出询问，请按以下方式联系</w:t>
      </w:r>
    </w:p>
    <w:p w14:paraId="7ABDBC49">
      <w:pPr>
        <w:pStyle w:val="3"/>
        <w:pageBreakBefore w:val="0"/>
        <w:widowControl w:val="0"/>
        <w:numPr>
          <w:ilvl w:val="0"/>
          <w:numId w:val="0"/>
        </w:numPr>
        <w:shd w:val="clear"/>
        <w:kinsoku/>
        <w:wordWrap/>
        <w:overflowPunct/>
        <w:topLinePunct w:val="0"/>
        <w:autoSpaceDE/>
        <w:autoSpaceDN/>
        <w:bidi w:val="0"/>
        <w:adjustRightInd/>
        <w:snapToGrid/>
        <w:spacing w:line="480" w:lineRule="exact"/>
        <w:ind w:left="0" w:leftChars="0" w:right="0" w:rightChars="0" w:firstLine="560" w:firstLineChars="2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　1.招标人信息</w:t>
      </w:r>
    </w:p>
    <w:p w14:paraId="15FF8706">
      <w:pPr>
        <w:pageBreakBefore w:val="0"/>
        <w:widowControl w:val="0"/>
        <w:shd w:val="clear"/>
        <w:kinsoku/>
        <w:wordWrap/>
        <w:overflowPunct/>
        <w:topLinePunct w:val="0"/>
        <w:autoSpaceDE/>
        <w:autoSpaceDN/>
        <w:bidi w:val="0"/>
        <w:adjustRightInd/>
        <w:snapToGrid/>
        <w:spacing w:line="480" w:lineRule="exact"/>
        <w:ind w:left="0" w:leftChars="0" w:right="0" w:rightChars="0" w:firstLine="840" w:firstLineChars="300"/>
        <w:jc w:val="left"/>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lang w:eastAsia="zh-CN"/>
        </w:rPr>
        <w:t>滁州工投新能源开发有限公司</w:t>
      </w:r>
      <w:r>
        <w:rPr>
          <w:rFonts w:hint="eastAsia" w:ascii="仿宋" w:hAnsi="仿宋" w:eastAsia="仿宋" w:cs="仿宋"/>
          <w:color w:val="auto"/>
          <w:sz w:val="28"/>
          <w:szCs w:val="28"/>
          <w:highlight w:val="none"/>
          <w:u w:val="single"/>
        </w:rPr>
        <w:t xml:space="preserve">  </w:t>
      </w:r>
    </w:p>
    <w:p w14:paraId="4004FE56">
      <w:pPr>
        <w:pageBreakBefore w:val="0"/>
        <w:widowControl w:val="0"/>
        <w:shd w:val="clear"/>
        <w:kinsoku/>
        <w:wordWrap/>
        <w:overflowPunct/>
        <w:topLinePunct w:val="0"/>
        <w:autoSpaceDE/>
        <w:autoSpaceDN/>
        <w:bidi w:val="0"/>
        <w:adjustRightInd/>
        <w:snapToGrid/>
        <w:spacing w:line="480" w:lineRule="exact"/>
        <w:ind w:left="0" w:leftChars="0" w:right="0" w:rightChars="0" w:firstLine="840" w:firstLineChars="3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lang w:val="en-US" w:eastAsia="zh-CN"/>
        </w:rPr>
        <w:t>滁州市中新苏滁高新技术产业开发区子美路9号工投科技产业园综合服务楼317</w:t>
      </w:r>
    </w:p>
    <w:p w14:paraId="2DADD9C6">
      <w:pPr>
        <w:pageBreakBefore w:val="0"/>
        <w:widowControl w:val="0"/>
        <w:shd w:val="clear"/>
        <w:kinsoku/>
        <w:wordWrap/>
        <w:overflowPunct/>
        <w:topLinePunct w:val="0"/>
        <w:autoSpaceDE/>
        <w:autoSpaceDN/>
        <w:bidi w:val="0"/>
        <w:adjustRightInd/>
        <w:snapToGrid/>
        <w:spacing w:line="480" w:lineRule="exact"/>
        <w:ind w:left="0" w:leftChars="0" w:right="0" w:rightChars="0" w:firstLine="840" w:firstLineChars="300"/>
        <w:jc w:val="left"/>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lang w:eastAsia="zh-CN"/>
        </w:rPr>
        <w:t>0550-3018125</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p>
    <w:p w14:paraId="330698DA">
      <w:pPr>
        <w:pStyle w:val="3"/>
        <w:pageBreakBefore w:val="0"/>
        <w:widowControl w:val="0"/>
        <w:numPr>
          <w:ilvl w:val="0"/>
          <w:numId w:val="0"/>
        </w:numPr>
        <w:shd w:val="clear"/>
        <w:kinsoku/>
        <w:wordWrap/>
        <w:overflowPunct/>
        <w:topLinePunct w:val="0"/>
        <w:autoSpaceDE/>
        <w:autoSpaceDN/>
        <w:bidi w:val="0"/>
        <w:adjustRightInd/>
        <w:snapToGrid/>
        <w:spacing w:line="480" w:lineRule="exact"/>
        <w:ind w:left="0" w:leftChars="0" w:right="0" w:rightChars="0" w:firstLine="840" w:firstLineChars="3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2.代理机构信息</w:t>
      </w:r>
    </w:p>
    <w:p w14:paraId="5DE00EEF">
      <w:pPr>
        <w:pageBreakBefore w:val="0"/>
        <w:widowControl w:val="0"/>
        <w:shd w:val="clear"/>
        <w:kinsoku/>
        <w:wordWrap/>
        <w:overflowPunct/>
        <w:topLinePunct w:val="0"/>
        <w:autoSpaceDE/>
        <w:autoSpaceDN/>
        <w:bidi w:val="0"/>
        <w:adjustRightInd/>
        <w:snapToGrid/>
        <w:spacing w:line="480" w:lineRule="exact"/>
        <w:ind w:left="0" w:leftChars="0" w:right="0" w:rightChars="0" w:firstLine="840" w:firstLineChars="300"/>
        <w:jc w:val="left"/>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u w:val="single"/>
        </w:rPr>
        <w:t>滁州市城投工程咨询管理有限公司</w:t>
      </w:r>
    </w:p>
    <w:p w14:paraId="6396F04C">
      <w:pPr>
        <w:pageBreakBefore w:val="0"/>
        <w:widowControl w:val="0"/>
        <w:shd w:val="clear"/>
        <w:kinsoku/>
        <w:wordWrap/>
        <w:overflowPunct/>
        <w:topLinePunct w:val="0"/>
        <w:autoSpaceDE/>
        <w:autoSpaceDN/>
        <w:bidi w:val="0"/>
        <w:adjustRightInd/>
        <w:snapToGrid/>
        <w:spacing w:line="480" w:lineRule="exact"/>
        <w:ind w:left="0" w:leftChars="0" w:right="0" w:rightChars="0" w:firstLine="840" w:firstLineChars="300"/>
        <w:jc w:val="left"/>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rPr>
        <w:t>滁州市龙蟠大道109号房产大厦6楼</w:t>
      </w:r>
    </w:p>
    <w:p w14:paraId="12792B7B">
      <w:pPr>
        <w:pageBreakBefore w:val="0"/>
        <w:widowControl w:val="0"/>
        <w:shd w:val="clear"/>
        <w:kinsoku/>
        <w:wordWrap/>
        <w:overflowPunct/>
        <w:topLinePunct w:val="0"/>
        <w:autoSpaceDE/>
        <w:autoSpaceDN/>
        <w:bidi w:val="0"/>
        <w:adjustRightInd/>
        <w:snapToGrid/>
        <w:spacing w:line="480" w:lineRule="exact"/>
        <w:ind w:left="0" w:leftChars="0" w:right="0" w:rightChars="0" w:firstLine="840" w:firstLineChars="300"/>
        <w:jc w:val="left"/>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0550-3519590</w:t>
      </w:r>
    </w:p>
    <w:p w14:paraId="21B965C2">
      <w:pPr>
        <w:pStyle w:val="3"/>
        <w:pageBreakBefore w:val="0"/>
        <w:widowControl w:val="0"/>
        <w:numPr>
          <w:ilvl w:val="0"/>
          <w:numId w:val="0"/>
        </w:numPr>
        <w:shd w:val="clear"/>
        <w:kinsoku/>
        <w:wordWrap/>
        <w:overflowPunct/>
        <w:topLinePunct w:val="0"/>
        <w:autoSpaceDE/>
        <w:autoSpaceDN/>
        <w:bidi w:val="0"/>
        <w:adjustRightInd/>
        <w:snapToGrid/>
        <w:spacing w:line="480" w:lineRule="exact"/>
        <w:ind w:left="0" w:leftChars="0" w:right="0" w:rightChars="0" w:firstLine="840" w:firstLineChars="3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3.项目联系方式</w:t>
      </w:r>
    </w:p>
    <w:p w14:paraId="3B1A18C6">
      <w:pPr>
        <w:pStyle w:val="18"/>
        <w:pageBreakBefore w:val="0"/>
        <w:widowControl w:val="0"/>
        <w:shd w:val="clear"/>
        <w:kinsoku/>
        <w:wordWrap/>
        <w:overflowPunct/>
        <w:topLinePunct w:val="0"/>
        <w:autoSpaceDE/>
        <w:autoSpaceDN/>
        <w:bidi w:val="0"/>
        <w:adjustRightInd/>
        <w:snapToGrid/>
        <w:spacing w:line="480" w:lineRule="exact"/>
        <w:ind w:left="0" w:leftChars="0" w:right="0" w:rightChars="0" w:firstLine="840" w:firstLineChars="300"/>
        <w:jc w:val="left"/>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u w:val="single"/>
          <w:lang w:val="en-US" w:eastAsia="zh-CN"/>
        </w:rPr>
        <w:t>蔡工</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关勤勤</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p>
    <w:p w14:paraId="64E69768">
      <w:pPr>
        <w:pageBreakBefore w:val="0"/>
        <w:widowControl w:val="0"/>
        <w:shd w:val="clear"/>
        <w:kinsoku/>
        <w:wordWrap/>
        <w:overflowPunct/>
        <w:topLinePunct w:val="0"/>
        <w:autoSpaceDE/>
        <w:autoSpaceDN/>
        <w:bidi w:val="0"/>
        <w:adjustRightInd/>
        <w:snapToGrid/>
        <w:spacing w:line="480" w:lineRule="exact"/>
        <w:ind w:left="0" w:leftChars="0" w:right="0" w:rightChars="0" w:firstLine="840" w:firstLineChars="300"/>
        <w:jc w:val="left"/>
        <w:textAlignment w:val="auto"/>
        <w:rPr>
          <w:rFonts w:ascii="仿宋" w:hAnsi="仿宋" w:eastAsia="仿宋"/>
          <w:color w:val="auto"/>
          <w:sz w:val="28"/>
          <w:szCs w:val="28"/>
          <w:highlight w:val="none"/>
          <w:u w:val="single"/>
        </w:rPr>
      </w:pP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u w:val="single"/>
          <w:lang w:val="en-US" w:eastAsia="zh-CN"/>
        </w:rPr>
        <w:t>0550-3018125</w:t>
      </w:r>
      <w:r>
        <w:rPr>
          <w:rFonts w:hint="eastAsia" w:ascii="仿宋" w:hAnsi="仿宋" w:eastAsia="仿宋" w:cs="仿宋"/>
          <w:color w:val="auto"/>
          <w:sz w:val="28"/>
          <w:szCs w:val="28"/>
          <w:highlight w:val="none"/>
          <w:u w:val="single"/>
        </w:rPr>
        <w:t xml:space="preserve">、0550-3519590 </w:t>
      </w:r>
    </w:p>
    <w:p w14:paraId="76C20566">
      <w:pPr>
        <w:kinsoku/>
        <w:overflowPunct/>
        <w:bidi w:val="0"/>
        <w:ind w:left="0" w:leftChars="0" w:right="0" w:rightChars="0"/>
        <w:rPr>
          <w:rFonts w:hint="eastAsia"/>
          <w:color w:val="auto"/>
          <w:highlight w:val="none"/>
        </w:rPr>
      </w:pPr>
      <w:bookmarkStart w:id="33" w:name="_Toc20364"/>
      <w:r>
        <w:rPr>
          <w:rFonts w:hint="eastAsia"/>
          <w:color w:val="auto"/>
          <w:highlight w:val="none"/>
        </w:rPr>
        <w:br w:type="page"/>
      </w:r>
    </w:p>
    <w:p w14:paraId="4D20B7D4">
      <w:pPr>
        <w:pStyle w:val="2"/>
        <w:keepNext/>
        <w:keepLines/>
        <w:pageBreakBefore w:val="0"/>
        <w:widowControl w:val="0"/>
        <w:shd w:val="clear"/>
        <w:kinsoku/>
        <w:wordWrap/>
        <w:overflowPunct/>
        <w:topLinePunct w:val="0"/>
        <w:autoSpaceDE/>
        <w:autoSpaceDN/>
        <w:bidi w:val="0"/>
        <w:adjustRightInd/>
        <w:snapToGrid/>
        <w:spacing w:beforeLines="50" w:afterLines="50" w:line="520" w:lineRule="exact"/>
        <w:ind w:left="0" w:leftChars="0" w:right="0" w:rightChars="0"/>
        <w:textAlignment w:val="auto"/>
        <w:rPr>
          <w:rFonts w:ascii="宋体"/>
          <w:b w:val="0"/>
          <w:color w:val="auto"/>
          <w:szCs w:val="32"/>
          <w:highlight w:val="none"/>
        </w:rPr>
      </w:pPr>
      <w:r>
        <w:rPr>
          <w:rFonts w:hint="eastAsia"/>
          <w:color w:val="auto"/>
          <w:highlight w:val="none"/>
        </w:rPr>
        <w:t>第二章 投标人须知</w:t>
      </w:r>
      <w:bookmarkEnd w:id="33"/>
    </w:p>
    <w:p w14:paraId="7C11B346">
      <w:pPr>
        <w:shd w:val="clear"/>
        <w:kinsoku/>
        <w:overflowPunct/>
        <w:bidi w:val="0"/>
        <w:snapToGrid w:val="0"/>
        <w:spacing w:line="440" w:lineRule="exact"/>
        <w:ind w:left="0" w:leftChars="0" w:right="0" w:rightChars="0"/>
        <w:jc w:val="center"/>
        <w:outlineLvl w:val="1"/>
        <w:rPr>
          <w:rFonts w:ascii="宋体"/>
          <w:b/>
          <w:color w:val="auto"/>
          <w:sz w:val="28"/>
          <w:szCs w:val="28"/>
          <w:highlight w:val="none"/>
        </w:rPr>
      </w:pPr>
      <w:bookmarkStart w:id="34" w:name="_Toc449028865"/>
      <w:bookmarkStart w:id="35" w:name="_Toc1019"/>
      <w:bookmarkStart w:id="36" w:name="_Toc58430314"/>
      <w:r>
        <w:rPr>
          <w:rFonts w:hint="eastAsia" w:ascii="宋体"/>
          <w:b/>
          <w:color w:val="auto"/>
          <w:sz w:val="32"/>
          <w:szCs w:val="32"/>
          <w:highlight w:val="none"/>
        </w:rPr>
        <w:t>一、</w:t>
      </w:r>
      <w:r>
        <w:rPr>
          <w:rFonts w:hint="eastAsia" w:ascii="宋体"/>
          <w:b/>
          <w:color w:val="auto"/>
          <w:sz w:val="28"/>
          <w:szCs w:val="28"/>
          <w:highlight w:val="none"/>
        </w:rPr>
        <w:t>投标人须知前附表</w:t>
      </w:r>
      <w:bookmarkEnd w:id="34"/>
      <w:bookmarkEnd w:id="35"/>
      <w:bookmarkEnd w:id="36"/>
    </w:p>
    <w:tbl>
      <w:tblPr>
        <w:tblStyle w:val="35"/>
        <w:tblW w:w="9798"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48"/>
        <w:gridCol w:w="878"/>
        <w:gridCol w:w="1262"/>
        <w:gridCol w:w="6610"/>
      </w:tblGrid>
      <w:tr w14:paraId="44928CD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6" w:hRule="atLeast"/>
        </w:trPr>
        <w:tc>
          <w:tcPr>
            <w:tcW w:w="1048" w:type="dxa"/>
            <w:vAlign w:val="center"/>
          </w:tcPr>
          <w:p w14:paraId="05430436">
            <w:pPr>
              <w:pStyle w:val="18"/>
              <w:shd w:val="clear"/>
              <w:kinsoku/>
              <w:overflowPunct/>
              <w:bidi w:val="0"/>
              <w:spacing w:line="500" w:lineRule="exact"/>
              <w:ind w:left="0" w:leftChars="0" w:right="0" w:rightChars="0"/>
              <w:jc w:val="center"/>
              <w:rPr>
                <w:rFonts w:hAnsi="宋体" w:cs="宋体"/>
                <w:b/>
                <w:color w:val="auto"/>
                <w:szCs w:val="21"/>
                <w:highlight w:val="none"/>
              </w:rPr>
            </w:pPr>
            <w:r>
              <w:rPr>
                <w:rFonts w:hint="eastAsia" w:hAnsi="宋体" w:cs="宋体"/>
                <w:b/>
                <w:color w:val="auto"/>
                <w:szCs w:val="21"/>
                <w:highlight w:val="none"/>
              </w:rPr>
              <w:t>条款号</w:t>
            </w:r>
          </w:p>
        </w:tc>
        <w:tc>
          <w:tcPr>
            <w:tcW w:w="2140" w:type="dxa"/>
            <w:gridSpan w:val="2"/>
            <w:vAlign w:val="center"/>
          </w:tcPr>
          <w:p w14:paraId="2B6A8514">
            <w:pPr>
              <w:pStyle w:val="18"/>
              <w:shd w:val="clear"/>
              <w:kinsoku/>
              <w:overflowPunct/>
              <w:bidi w:val="0"/>
              <w:spacing w:line="500" w:lineRule="exact"/>
              <w:ind w:left="0" w:leftChars="0" w:right="0" w:rightChars="0"/>
              <w:jc w:val="center"/>
              <w:rPr>
                <w:rFonts w:hAnsi="宋体" w:cs="宋体"/>
                <w:b/>
                <w:color w:val="auto"/>
                <w:szCs w:val="21"/>
                <w:highlight w:val="none"/>
              </w:rPr>
            </w:pPr>
            <w:r>
              <w:rPr>
                <w:rFonts w:hint="eastAsia" w:hAnsi="宋体" w:cs="宋体"/>
                <w:b/>
                <w:color w:val="auto"/>
                <w:szCs w:val="21"/>
                <w:highlight w:val="none"/>
              </w:rPr>
              <w:t>内容</w:t>
            </w:r>
          </w:p>
        </w:tc>
        <w:tc>
          <w:tcPr>
            <w:tcW w:w="6610" w:type="dxa"/>
            <w:vAlign w:val="center"/>
          </w:tcPr>
          <w:p w14:paraId="75E6B005">
            <w:pPr>
              <w:pStyle w:val="18"/>
              <w:shd w:val="clear"/>
              <w:kinsoku/>
              <w:overflowPunct/>
              <w:bidi w:val="0"/>
              <w:spacing w:line="500" w:lineRule="exact"/>
              <w:ind w:left="0" w:leftChars="0" w:right="0" w:rightChars="0"/>
              <w:jc w:val="center"/>
              <w:rPr>
                <w:rFonts w:hAnsi="宋体" w:cs="宋体"/>
                <w:b/>
                <w:color w:val="auto"/>
                <w:szCs w:val="21"/>
                <w:highlight w:val="none"/>
              </w:rPr>
            </w:pPr>
            <w:r>
              <w:rPr>
                <w:rFonts w:hint="eastAsia" w:hAnsi="宋体" w:cs="宋体"/>
                <w:b/>
                <w:color w:val="auto"/>
                <w:szCs w:val="21"/>
                <w:highlight w:val="none"/>
              </w:rPr>
              <w:t>说明与要求</w:t>
            </w:r>
          </w:p>
        </w:tc>
      </w:tr>
      <w:tr w14:paraId="416EDC1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9" w:hRule="atLeast"/>
        </w:trPr>
        <w:tc>
          <w:tcPr>
            <w:tcW w:w="1048" w:type="dxa"/>
            <w:vAlign w:val="center"/>
          </w:tcPr>
          <w:p w14:paraId="51356A46">
            <w:pPr>
              <w:pStyle w:val="18"/>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480E2FDE">
            <w:pPr>
              <w:pStyle w:val="18"/>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项目名称</w:t>
            </w:r>
          </w:p>
        </w:tc>
        <w:tc>
          <w:tcPr>
            <w:tcW w:w="6610" w:type="dxa"/>
            <w:vAlign w:val="center"/>
          </w:tcPr>
          <w:p w14:paraId="772E70CC">
            <w:pPr>
              <w:pStyle w:val="18"/>
              <w:shd w:val="clear"/>
              <w:kinsoku/>
              <w:overflowPunct/>
              <w:bidi w:val="0"/>
              <w:spacing w:line="500" w:lineRule="exact"/>
              <w:ind w:left="0" w:leftChars="0" w:right="0" w:rightChars="0"/>
              <w:rPr>
                <w:rFonts w:hint="default" w:hAnsi="宋体" w:eastAsia="宋体" w:cs="宋体"/>
                <w:color w:val="auto"/>
                <w:szCs w:val="21"/>
                <w:highlight w:val="none"/>
                <w:lang w:val="en-US" w:eastAsia="zh-CN"/>
              </w:rPr>
            </w:pPr>
            <w:r>
              <w:rPr>
                <w:rFonts w:hint="default" w:hAnsi="宋体" w:eastAsia="宋体" w:cs="宋体"/>
                <w:color w:val="auto"/>
                <w:szCs w:val="21"/>
                <w:highlight w:val="none"/>
                <w:lang w:val="en-US" w:eastAsia="zh-CN"/>
              </w:rPr>
              <w:t>滁州工投新能源开发有限公司2026年在营光伏电站及汽车充电站高压设备巡检维护项目</w:t>
            </w:r>
            <w:r>
              <w:rPr>
                <w:rFonts w:hint="eastAsia" w:hAnsi="宋体" w:cs="宋体"/>
                <w:color w:val="auto"/>
                <w:szCs w:val="21"/>
                <w:highlight w:val="none"/>
                <w:lang w:val="en-US" w:eastAsia="zh-CN"/>
              </w:rPr>
              <w:t>（三次）</w:t>
            </w:r>
          </w:p>
        </w:tc>
      </w:tr>
      <w:tr w14:paraId="686934A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9" w:hRule="atLeast"/>
        </w:trPr>
        <w:tc>
          <w:tcPr>
            <w:tcW w:w="1048" w:type="dxa"/>
            <w:vAlign w:val="center"/>
          </w:tcPr>
          <w:p w14:paraId="797B84F2">
            <w:pPr>
              <w:pStyle w:val="18"/>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58550E38">
            <w:pPr>
              <w:pStyle w:val="18"/>
              <w:shd w:val="clear"/>
              <w:kinsoku/>
              <w:overflowPunct/>
              <w:bidi w:val="0"/>
              <w:spacing w:line="500" w:lineRule="exact"/>
              <w:ind w:left="0" w:leftChars="0" w:right="0" w:rightChars="0"/>
              <w:rPr>
                <w:rFonts w:hAnsi="宋体" w:cs="宋体"/>
                <w:color w:val="auto"/>
                <w:szCs w:val="21"/>
                <w:highlight w:val="none"/>
              </w:rPr>
            </w:pPr>
            <w:r>
              <w:rPr>
                <w:rFonts w:hint="eastAsia" w:hAnsi="宋体" w:cs="宋体"/>
                <w:color w:val="auto"/>
                <w:szCs w:val="21"/>
                <w:highlight w:val="none"/>
              </w:rPr>
              <w:t>项目编号</w:t>
            </w:r>
          </w:p>
        </w:tc>
        <w:tc>
          <w:tcPr>
            <w:tcW w:w="6610" w:type="dxa"/>
            <w:vAlign w:val="center"/>
          </w:tcPr>
          <w:p w14:paraId="65993D45">
            <w:pPr>
              <w:pStyle w:val="18"/>
              <w:shd w:val="clear"/>
              <w:kinsoku/>
              <w:overflowPunct/>
              <w:bidi w:val="0"/>
              <w:spacing w:line="500" w:lineRule="exact"/>
              <w:ind w:left="0" w:leftChars="0" w:right="0" w:rightChars="0"/>
              <w:rPr>
                <w:rFonts w:hint="default" w:hAnsi="宋体" w:eastAsia="宋体" w:cs="宋体"/>
                <w:color w:val="auto"/>
                <w:szCs w:val="21"/>
                <w:highlight w:val="none"/>
                <w:lang w:val="en-US" w:eastAsia="zh-CN"/>
              </w:rPr>
            </w:pPr>
            <w:r>
              <w:rPr>
                <w:rFonts w:hint="default" w:hAnsi="宋体" w:eastAsia="宋体" w:cs="宋体"/>
                <w:color w:val="auto"/>
                <w:szCs w:val="21"/>
                <w:highlight w:val="none"/>
                <w:lang w:val="en-US" w:eastAsia="zh-CN"/>
              </w:rPr>
              <w:t>czsjqt202602-013</w:t>
            </w:r>
          </w:p>
        </w:tc>
      </w:tr>
      <w:tr w14:paraId="13A51B1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trPr>
        <w:tc>
          <w:tcPr>
            <w:tcW w:w="1048" w:type="dxa"/>
            <w:vAlign w:val="center"/>
          </w:tcPr>
          <w:p w14:paraId="0B170EE4">
            <w:pPr>
              <w:pStyle w:val="18"/>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645BBF6B">
            <w:pPr>
              <w:pStyle w:val="18"/>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合同履行期限</w:t>
            </w:r>
          </w:p>
        </w:tc>
        <w:tc>
          <w:tcPr>
            <w:tcW w:w="6610" w:type="dxa"/>
            <w:vAlign w:val="center"/>
          </w:tcPr>
          <w:p w14:paraId="5DB7D864">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本项目服务期</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p>
        </w:tc>
      </w:tr>
      <w:tr w14:paraId="10F4C72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9" w:hRule="atLeast"/>
        </w:trPr>
        <w:tc>
          <w:tcPr>
            <w:tcW w:w="1048" w:type="dxa"/>
            <w:vAlign w:val="center"/>
          </w:tcPr>
          <w:p w14:paraId="7FA708E3">
            <w:pPr>
              <w:pStyle w:val="18"/>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02A12BEE">
            <w:pPr>
              <w:pStyle w:val="18"/>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服务地点</w:t>
            </w:r>
          </w:p>
        </w:tc>
        <w:tc>
          <w:tcPr>
            <w:tcW w:w="6610" w:type="dxa"/>
            <w:vAlign w:val="center"/>
          </w:tcPr>
          <w:p w14:paraId="2B2107D7">
            <w:pPr>
              <w:pStyle w:val="18"/>
              <w:shd w:val="clear"/>
              <w:kinsoku/>
              <w:overflowPunct/>
              <w:bidi w:val="0"/>
              <w:spacing w:line="500" w:lineRule="exact"/>
              <w:ind w:left="0" w:leftChars="0" w:right="0" w:rightChars="0"/>
              <w:rPr>
                <w:rFonts w:hAnsi="宋体" w:cs="宋体"/>
                <w:color w:val="auto"/>
                <w:szCs w:val="21"/>
                <w:highlight w:val="none"/>
              </w:rPr>
            </w:pPr>
            <w:r>
              <w:rPr>
                <w:rFonts w:hint="eastAsia" w:hAnsi="宋体" w:cs="宋体"/>
                <w:color w:val="auto"/>
                <w:szCs w:val="21"/>
                <w:highlight w:val="none"/>
              </w:rPr>
              <w:t>滁州市内</w:t>
            </w:r>
          </w:p>
        </w:tc>
      </w:tr>
      <w:tr w14:paraId="2A2C0DB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8" w:hRule="atLeast"/>
        </w:trPr>
        <w:tc>
          <w:tcPr>
            <w:tcW w:w="1048" w:type="dxa"/>
            <w:vAlign w:val="center"/>
          </w:tcPr>
          <w:p w14:paraId="18ADC013">
            <w:pPr>
              <w:pStyle w:val="18"/>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1.2</w:t>
            </w:r>
          </w:p>
        </w:tc>
        <w:tc>
          <w:tcPr>
            <w:tcW w:w="2140" w:type="dxa"/>
            <w:gridSpan w:val="2"/>
            <w:vAlign w:val="center"/>
          </w:tcPr>
          <w:p w14:paraId="5BA08E5D">
            <w:pPr>
              <w:pStyle w:val="18"/>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招标人联系人及电话</w:t>
            </w:r>
          </w:p>
        </w:tc>
        <w:tc>
          <w:tcPr>
            <w:tcW w:w="6610" w:type="dxa"/>
            <w:vAlign w:val="center"/>
          </w:tcPr>
          <w:p w14:paraId="67E2ADC4">
            <w:pPr>
              <w:pStyle w:val="18"/>
              <w:shd w:val="clear"/>
              <w:kinsoku/>
              <w:overflowPunct/>
              <w:bidi w:val="0"/>
              <w:spacing w:line="500" w:lineRule="exact"/>
              <w:ind w:left="0" w:leftChars="0" w:right="0" w:rightChars="0"/>
              <w:rPr>
                <w:rFonts w:hint="eastAsia" w:hAnsi="宋体" w:eastAsia="宋体" w:cs="宋体"/>
                <w:color w:val="auto"/>
                <w:szCs w:val="21"/>
                <w:highlight w:val="none"/>
                <w:lang w:eastAsia="zh-CN"/>
              </w:rPr>
            </w:pPr>
            <w:r>
              <w:rPr>
                <w:rFonts w:hint="eastAsia" w:hAnsi="宋体" w:cs="宋体"/>
                <w:color w:val="auto"/>
                <w:szCs w:val="21"/>
                <w:highlight w:val="none"/>
              </w:rPr>
              <w:t>联系人：</w:t>
            </w:r>
            <w:r>
              <w:rPr>
                <w:rFonts w:hint="eastAsia" w:hAnsi="宋体" w:cs="宋体"/>
                <w:color w:val="auto"/>
                <w:szCs w:val="21"/>
                <w:highlight w:val="none"/>
                <w:lang w:val="en-US" w:eastAsia="zh-CN"/>
              </w:rPr>
              <w:t>蔡工</w:t>
            </w:r>
            <w:r>
              <w:rPr>
                <w:rFonts w:hint="eastAsia" w:hAnsi="宋体" w:cs="宋体"/>
                <w:color w:val="auto"/>
                <w:szCs w:val="21"/>
                <w:highlight w:val="none"/>
              </w:rPr>
              <w:t xml:space="preserve">            </w:t>
            </w:r>
            <w:r>
              <w:rPr>
                <w:rFonts w:hint="eastAsia" w:hAnsi="宋体" w:cs="宋体"/>
                <w:color w:val="auto"/>
                <w:szCs w:val="21"/>
                <w:highlight w:val="none"/>
                <w:lang w:val="en-US" w:eastAsia="zh-CN"/>
              </w:rPr>
              <w:t xml:space="preserve">   </w:t>
            </w:r>
            <w:r>
              <w:rPr>
                <w:rFonts w:hint="eastAsia" w:hAnsi="宋体" w:cs="宋体"/>
                <w:color w:val="auto"/>
                <w:szCs w:val="21"/>
                <w:highlight w:val="none"/>
              </w:rPr>
              <w:t xml:space="preserve"> 电话：</w:t>
            </w:r>
            <w:r>
              <w:rPr>
                <w:rFonts w:hint="eastAsia" w:hAnsi="宋体" w:cs="宋体"/>
                <w:color w:val="auto"/>
                <w:szCs w:val="21"/>
                <w:highlight w:val="none"/>
                <w:lang w:eastAsia="zh-CN"/>
              </w:rPr>
              <w:t>0550-3018125</w:t>
            </w:r>
          </w:p>
        </w:tc>
      </w:tr>
      <w:tr w14:paraId="27F64B2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00" w:hRule="atLeast"/>
        </w:trPr>
        <w:tc>
          <w:tcPr>
            <w:tcW w:w="1048" w:type="dxa"/>
            <w:vAlign w:val="center"/>
          </w:tcPr>
          <w:p w14:paraId="66C52805">
            <w:pPr>
              <w:pStyle w:val="18"/>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1.2</w:t>
            </w:r>
          </w:p>
        </w:tc>
        <w:tc>
          <w:tcPr>
            <w:tcW w:w="2140" w:type="dxa"/>
            <w:gridSpan w:val="2"/>
            <w:vAlign w:val="center"/>
          </w:tcPr>
          <w:p w14:paraId="6F13C873">
            <w:pPr>
              <w:pStyle w:val="18"/>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采购代理机构联系人及电话</w:t>
            </w:r>
          </w:p>
        </w:tc>
        <w:tc>
          <w:tcPr>
            <w:tcW w:w="6610" w:type="dxa"/>
            <w:vAlign w:val="center"/>
          </w:tcPr>
          <w:p w14:paraId="7D59BAE3">
            <w:pPr>
              <w:pStyle w:val="18"/>
              <w:shd w:val="clear"/>
              <w:kinsoku/>
              <w:overflowPunct/>
              <w:bidi w:val="0"/>
              <w:spacing w:line="500" w:lineRule="exact"/>
              <w:ind w:left="0" w:leftChars="0" w:right="0" w:rightChars="0"/>
              <w:rPr>
                <w:rFonts w:hint="default" w:hAnsi="宋体" w:eastAsia="宋体" w:cs="宋体"/>
                <w:color w:val="auto"/>
                <w:szCs w:val="21"/>
                <w:highlight w:val="none"/>
                <w:lang w:val="en-US" w:eastAsia="zh-CN"/>
              </w:rPr>
            </w:pPr>
            <w:r>
              <w:rPr>
                <w:rFonts w:hint="eastAsia" w:hAnsi="宋体" w:cs="宋体"/>
                <w:color w:val="auto"/>
                <w:szCs w:val="21"/>
                <w:highlight w:val="none"/>
              </w:rPr>
              <w:t>联系人：</w:t>
            </w:r>
            <w:r>
              <w:rPr>
                <w:rFonts w:hint="eastAsia" w:hAnsi="宋体" w:cs="宋体"/>
                <w:color w:val="auto"/>
                <w:szCs w:val="21"/>
                <w:highlight w:val="none"/>
                <w:lang w:val="en-US" w:eastAsia="zh-CN"/>
              </w:rPr>
              <w:t>关勤勤</w:t>
            </w:r>
            <w:r>
              <w:rPr>
                <w:rFonts w:hint="eastAsia" w:hAnsi="宋体" w:cs="宋体"/>
                <w:color w:val="auto"/>
                <w:szCs w:val="21"/>
                <w:highlight w:val="none"/>
              </w:rPr>
              <w:t xml:space="preserve">              电话0550-3519590   </w:t>
            </w:r>
            <w:r>
              <w:rPr>
                <w:rFonts w:hint="eastAsia" w:hAnsi="宋体" w:cs="宋体"/>
                <w:color w:val="auto"/>
                <w:szCs w:val="21"/>
                <w:highlight w:val="none"/>
                <w:lang w:val="en-US" w:eastAsia="zh-CN"/>
              </w:rPr>
              <w:t>18909605753</w:t>
            </w:r>
          </w:p>
        </w:tc>
      </w:tr>
      <w:tr w14:paraId="64AD8B6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7" w:hRule="atLeast"/>
        </w:trPr>
        <w:tc>
          <w:tcPr>
            <w:tcW w:w="1048" w:type="dxa"/>
            <w:vAlign w:val="center"/>
          </w:tcPr>
          <w:p w14:paraId="7D178EA7">
            <w:pPr>
              <w:pStyle w:val="18"/>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1.3</w:t>
            </w:r>
          </w:p>
        </w:tc>
        <w:tc>
          <w:tcPr>
            <w:tcW w:w="2140" w:type="dxa"/>
            <w:gridSpan w:val="2"/>
            <w:vAlign w:val="center"/>
          </w:tcPr>
          <w:p w14:paraId="3CD1F781">
            <w:pPr>
              <w:pStyle w:val="18"/>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 xml:space="preserve">资金来源                                                                                                                                                                 </w:t>
            </w:r>
          </w:p>
        </w:tc>
        <w:tc>
          <w:tcPr>
            <w:tcW w:w="6610" w:type="dxa"/>
            <w:vAlign w:val="center"/>
          </w:tcPr>
          <w:p w14:paraId="14BC05B7">
            <w:pPr>
              <w:pStyle w:val="18"/>
              <w:shd w:val="clear"/>
              <w:kinsoku/>
              <w:overflowPunct/>
              <w:bidi w:val="0"/>
              <w:spacing w:line="500" w:lineRule="exact"/>
              <w:ind w:left="0" w:leftChars="0" w:right="0" w:rightChars="0"/>
              <w:rPr>
                <w:rFonts w:hAnsi="宋体" w:cs="宋体"/>
                <w:color w:val="auto"/>
                <w:szCs w:val="21"/>
                <w:highlight w:val="none"/>
              </w:rPr>
            </w:pPr>
            <w:r>
              <w:rPr>
                <w:rFonts w:hint="eastAsia" w:hAnsi="宋体" w:cs="宋体"/>
                <w:color w:val="auto"/>
                <w:szCs w:val="21"/>
                <w:highlight w:val="none"/>
              </w:rPr>
              <w:t>自筹资金</w:t>
            </w:r>
          </w:p>
        </w:tc>
      </w:tr>
      <w:tr w14:paraId="2F626D7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1048" w:type="dxa"/>
            <w:vAlign w:val="center"/>
          </w:tcPr>
          <w:p w14:paraId="28A747A2">
            <w:pPr>
              <w:pStyle w:val="18"/>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1.4</w:t>
            </w:r>
          </w:p>
        </w:tc>
        <w:tc>
          <w:tcPr>
            <w:tcW w:w="2140" w:type="dxa"/>
            <w:gridSpan w:val="2"/>
            <w:vAlign w:val="center"/>
          </w:tcPr>
          <w:p w14:paraId="57FCDD9E">
            <w:pPr>
              <w:pStyle w:val="18"/>
              <w:shd w:val="clear"/>
              <w:kinsoku/>
              <w:overflowPunct/>
              <w:bidi w:val="0"/>
              <w:spacing w:line="500" w:lineRule="exact"/>
              <w:ind w:left="0" w:leftChars="0" w:right="0" w:rightChars="0"/>
              <w:rPr>
                <w:rFonts w:hAnsi="宋体" w:cs="宋体"/>
                <w:color w:val="auto"/>
                <w:szCs w:val="21"/>
                <w:highlight w:val="none"/>
              </w:rPr>
            </w:pPr>
            <w:r>
              <w:rPr>
                <w:rFonts w:hint="eastAsia" w:hAnsi="宋体" w:cs="宋体"/>
                <w:color w:val="auto"/>
                <w:szCs w:val="21"/>
                <w:highlight w:val="none"/>
                <w:lang w:val="en-US" w:eastAsia="zh-CN"/>
              </w:rPr>
              <w:t>采购</w:t>
            </w:r>
            <w:r>
              <w:rPr>
                <w:rFonts w:hint="eastAsia" w:hAnsi="宋体" w:cs="宋体"/>
                <w:color w:val="auto"/>
                <w:szCs w:val="21"/>
                <w:highlight w:val="none"/>
              </w:rPr>
              <w:t>预算</w:t>
            </w:r>
          </w:p>
        </w:tc>
        <w:tc>
          <w:tcPr>
            <w:tcW w:w="6610" w:type="dxa"/>
            <w:vAlign w:val="center"/>
          </w:tcPr>
          <w:p w14:paraId="4CCD50B9">
            <w:pPr>
              <w:pStyle w:val="18"/>
              <w:shd w:val="clear"/>
              <w:kinsoku/>
              <w:overflowPunct/>
              <w:bidi w:val="0"/>
              <w:spacing w:line="500" w:lineRule="exact"/>
              <w:ind w:left="0" w:leftChars="0" w:right="0" w:rightChars="0"/>
              <w:rPr>
                <w:rFonts w:hint="default" w:hAnsi="宋体" w:eastAsia="宋体" w:cs="宋体"/>
                <w:color w:val="auto"/>
                <w:szCs w:val="21"/>
                <w:highlight w:val="none"/>
                <w:lang w:val="en-US" w:eastAsia="zh-CN"/>
              </w:rPr>
            </w:pPr>
            <w:r>
              <w:rPr>
                <w:rFonts w:hint="eastAsia" w:hAnsi="宋体" w:cs="宋体"/>
                <w:color w:val="auto"/>
                <w:szCs w:val="21"/>
                <w:highlight w:val="none"/>
                <w:lang w:val="en-US" w:eastAsia="zh-CN"/>
              </w:rPr>
              <w:t>450000</w:t>
            </w:r>
            <w:r>
              <w:rPr>
                <w:rFonts w:hint="eastAsia" w:hAnsi="宋体" w:cs="宋体"/>
                <w:color w:val="auto"/>
                <w:szCs w:val="21"/>
                <w:highlight w:val="none"/>
              </w:rPr>
              <w:t>元</w:t>
            </w:r>
            <w:r>
              <w:rPr>
                <w:rFonts w:hint="eastAsia" w:hAnsi="宋体" w:cs="宋体"/>
                <w:color w:val="auto"/>
                <w:szCs w:val="21"/>
                <w:highlight w:val="none"/>
                <w:lang w:val="en-US" w:eastAsia="zh-CN"/>
              </w:rPr>
              <w:t>/年</w:t>
            </w:r>
          </w:p>
        </w:tc>
      </w:tr>
      <w:tr w14:paraId="613F38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025833DF">
            <w:pPr>
              <w:pStyle w:val="18"/>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1.5</w:t>
            </w:r>
          </w:p>
        </w:tc>
        <w:tc>
          <w:tcPr>
            <w:tcW w:w="2140" w:type="dxa"/>
            <w:gridSpan w:val="2"/>
            <w:vAlign w:val="center"/>
          </w:tcPr>
          <w:p w14:paraId="1C7510AE">
            <w:pPr>
              <w:pStyle w:val="18"/>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最高限价</w:t>
            </w:r>
          </w:p>
        </w:tc>
        <w:tc>
          <w:tcPr>
            <w:tcW w:w="6610" w:type="dxa"/>
            <w:vAlign w:val="center"/>
          </w:tcPr>
          <w:p w14:paraId="2C858082">
            <w:pPr>
              <w:keepNext w:val="0"/>
              <w:keepLines w:val="0"/>
              <w:pageBreakBefore w:val="0"/>
              <w:shd w:val="clear"/>
              <w:kinsoku/>
              <w:wordWrap/>
              <w:overflowPunct/>
              <w:autoSpaceDE/>
              <w:autoSpaceDN/>
              <w:bidi w:val="0"/>
              <w:adjustRightInd w:val="0"/>
              <w:snapToGrid w:val="0"/>
              <w:spacing w:line="440" w:lineRule="exact"/>
              <w:ind w:left="0" w:leftChars="0" w:right="0" w:rightChars="0"/>
              <w:textAlignment w:val="auto"/>
              <w:rPr>
                <w:rFonts w:hint="default"/>
                <w:color w:val="auto"/>
                <w:highlight w:val="none"/>
                <w:lang w:val="en-US" w:eastAsia="zh-CN"/>
              </w:rPr>
            </w:pPr>
            <w:r>
              <w:rPr>
                <w:rFonts w:hint="eastAsia" w:ascii="宋体" w:hAnsi="宋体" w:eastAsia="宋体" w:cs="宋体"/>
                <w:b/>
                <w:bCs/>
                <w:color w:val="auto"/>
                <w:sz w:val="21"/>
                <w:szCs w:val="21"/>
                <w:highlight w:val="none"/>
                <w:lang w:val="en-US" w:eastAsia="zh-CN"/>
              </w:rPr>
              <w:t>本项目单价最高限价</w:t>
            </w:r>
            <w:r>
              <w:rPr>
                <w:rFonts w:hint="eastAsia" w:ascii="宋体" w:hAnsi="宋体" w:cs="宋体"/>
                <w:b/>
                <w:bCs/>
                <w:color w:val="auto"/>
                <w:sz w:val="21"/>
                <w:szCs w:val="21"/>
                <w:highlight w:val="none"/>
                <w:lang w:val="en-US" w:eastAsia="zh-CN"/>
              </w:rPr>
              <w:t>16</w:t>
            </w:r>
            <w:r>
              <w:rPr>
                <w:rFonts w:hint="eastAsia" w:ascii="宋体" w:hAnsi="宋体" w:eastAsia="宋体" w:cs="宋体"/>
                <w:b/>
                <w:bCs/>
                <w:color w:val="auto"/>
                <w:sz w:val="21"/>
                <w:szCs w:val="21"/>
                <w:highlight w:val="none"/>
                <w:lang w:val="en-US" w:eastAsia="zh-CN"/>
              </w:rPr>
              <w:t>元/千伏安/年（含税）。投标人报价高于最高限价的，其投标文件按无效标处理。</w:t>
            </w:r>
          </w:p>
          <w:p w14:paraId="405ACFF7">
            <w:pPr>
              <w:shd w:val="clear"/>
              <w:kinsoku/>
              <w:overflowPunct/>
              <w:bidi w:val="0"/>
              <w:spacing w:line="500" w:lineRule="exact"/>
              <w:ind w:left="0" w:leftChars="0" w:right="0" w:rightChars="0"/>
              <w:rPr>
                <w:rFonts w:ascii="宋体" w:hAnsi="宋体" w:cs="宋体"/>
                <w:color w:val="auto"/>
                <w:szCs w:val="21"/>
                <w:highlight w:val="none"/>
                <w:u w:color="000000"/>
              </w:rPr>
            </w:pPr>
            <w:r>
              <w:rPr>
                <w:rFonts w:hint="eastAsia" w:ascii="Times New Roman" w:eastAsia="宋体"/>
                <w:b/>
                <w:bCs/>
                <w:color w:val="auto"/>
                <w:highlight w:val="none"/>
                <w:lang w:val="en-US" w:eastAsia="zh-CN"/>
              </w:rPr>
              <w:t>注：投标报价小数点后最多保留两位小数，如填报多位小数的，按小数点后第3位四舍五入修正投标报价（如：某投标报价为</w:t>
            </w:r>
            <w:r>
              <w:rPr>
                <w:rFonts w:hint="eastAsia"/>
                <w:b/>
                <w:bCs/>
                <w:color w:val="auto"/>
                <w:highlight w:val="none"/>
                <w:lang w:val="en-US" w:eastAsia="zh-CN"/>
              </w:rPr>
              <w:t>15</w:t>
            </w:r>
            <w:r>
              <w:rPr>
                <w:rFonts w:hint="eastAsia" w:ascii="Times New Roman" w:eastAsia="宋体"/>
                <w:b/>
                <w:bCs/>
                <w:color w:val="auto"/>
                <w:highlight w:val="none"/>
                <w:lang w:val="en-US" w:eastAsia="zh-CN"/>
              </w:rPr>
              <w:t>.567，则修正为</w:t>
            </w:r>
            <w:r>
              <w:rPr>
                <w:rFonts w:hint="eastAsia"/>
                <w:b/>
                <w:bCs/>
                <w:color w:val="auto"/>
                <w:highlight w:val="none"/>
                <w:lang w:val="en-US" w:eastAsia="zh-CN"/>
              </w:rPr>
              <w:t>15.57</w:t>
            </w:r>
            <w:r>
              <w:rPr>
                <w:rFonts w:hint="eastAsia" w:ascii="Times New Roman" w:eastAsia="宋体"/>
                <w:b/>
                <w:bCs/>
                <w:color w:val="auto"/>
                <w:highlight w:val="none"/>
                <w:lang w:val="en-US" w:eastAsia="zh-CN"/>
              </w:rPr>
              <w:t>；某投标报价为</w:t>
            </w:r>
            <w:r>
              <w:rPr>
                <w:rFonts w:hint="eastAsia"/>
                <w:b/>
                <w:bCs/>
                <w:color w:val="auto"/>
                <w:highlight w:val="none"/>
                <w:lang w:val="en-US" w:eastAsia="zh-CN"/>
              </w:rPr>
              <w:t>15</w:t>
            </w:r>
            <w:r>
              <w:rPr>
                <w:rFonts w:hint="eastAsia" w:ascii="Times New Roman" w:eastAsia="宋体"/>
                <w:b/>
                <w:bCs/>
                <w:color w:val="auto"/>
                <w:highlight w:val="none"/>
                <w:lang w:val="en-US" w:eastAsia="zh-CN"/>
              </w:rPr>
              <w:t>.884，则修正为</w:t>
            </w:r>
            <w:r>
              <w:rPr>
                <w:rFonts w:hint="eastAsia"/>
                <w:b/>
                <w:bCs/>
                <w:color w:val="auto"/>
                <w:highlight w:val="none"/>
                <w:lang w:val="en-US" w:eastAsia="zh-CN"/>
              </w:rPr>
              <w:t>15</w:t>
            </w:r>
            <w:r>
              <w:rPr>
                <w:rFonts w:hint="eastAsia" w:ascii="Times New Roman" w:eastAsia="宋体"/>
                <w:b/>
                <w:bCs/>
                <w:color w:val="auto"/>
                <w:highlight w:val="none"/>
                <w:lang w:val="en-US" w:eastAsia="zh-CN"/>
              </w:rPr>
              <w:t>.88）</w:t>
            </w:r>
          </w:p>
        </w:tc>
      </w:tr>
      <w:tr w14:paraId="79E4D8F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0" w:hRule="atLeast"/>
        </w:trPr>
        <w:tc>
          <w:tcPr>
            <w:tcW w:w="1048" w:type="dxa"/>
            <w:vAlign w:val="center"/>
          </w:tcPr>
          <w:p w14:paraId="4000F029">
            <w:pPr>
              <w:pStyle w:val="18"/>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2.1</w:t>
            </w:r>
          </w:p>
        </w:tc>
        <w:tc>
          <w:tcPr>
            <w:tcW w:w="2140" w:type="dxa"/>
            <w:gridSpan w:val="2"/>
            <w:vAlign w:val="center"/>
          </w:tcPr>
          <w:p w14:paraId="50472B07">
            <w:pPr>
              <w:pStyle w:val="18"/>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采购内容</w:t>
            </w:r>
          </w:p>
        </w:tc>
        <w:tc>
          <w:tcPr>
            <w:tcW w:w="6610" w:type="dxa"/>
            <w:vAlign w:val="center"/>
          </w:tcPr>
          <w:p w14:paraId="3DA4F68B">
            <w:pPr>
              <w:pStyle w:val="18"/>
              <w:shd w:val="clear"/>
              <w:kinsoku/>
              <w:overflowPunct/>
              <w:bidi w:val="0"/>
              <w:spacing w:line="500" w:lineRule="exact"/>
              <w:ind w:left="0" w:leftChars="0" w:right="0" w:rightChars="0"/>
              <w:rPr>
                <w:rFonts w:hAnsi="宋体" w:cs="宋体"/>
                <w:color w:val="auto"/>
                <w:szCs w:val="21"/>
                <w:highlight w:val="none"/>
              </w:rPr>
            </w:pPr>
            <w:r>
              <w:rPr>
                <w:rFonts w:hint="eastAsia" w:hAnsi="宋体" w:cs="宋体"/>
                <w:b/>
                <w:color w:val="auto"/>
                <w:kern w:val="0"/>
                <w:szCs w:val="21"/>
                <w:highlight w:val="none"/>
              </w:rPr>
              <w:t>具体</w:t>
            </w:r>
            <w:r>
              <w:rPr>
                <w:rFonts w:hint="eastAsia" w:hAnsi="宋体" w:cs="宋体"/>
                <w:b/>
                <w:color w:val="auto"/>
                <w:kern w:val="0"/>
                <w:szCs w:val="21"/>
                <w:highlight w:val="none"/>
                <w:lang w:val="en-US" w:eastAsia="zh-CN"/>
              </w:rPr>
              <w:t>详见《服务内容及技术要求》和合同条款内容</w:t>
            </w:r>
          </w:p>
        </w:tc>
      </w:tr>
      <w:tr w14:paraId="255A26B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2E4CAA6A">
            <w:pPr>
              <w:pStyle w:val="18"/>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3.1</w:t>
            </w:r>
          </w:p>
        </w:tc>
        <w:tc>
          <w:tcPr>
            <w:tcW w:w="2140" w:type="dxa"/>
            <w:gridSpan w:val="2"/>
            <w:vAlign w:val="center"/>
          </w:tcPr>
          <w:p w14:paraId="20CEC5A0">
            <w:pPr>
              <w:pStyle w:val="18"/>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标</w:t>
            </w:r>
            <w:r>
              <w:rPr>
                <w:rFonts w:hint="eastAsia" w:hAnsi="宋体" w:cs="宋体"/>
                <w:color w:val="auto"/>
                <w:szCs w:val="21"/>
                <w:highlight w:val="none"/>
                <w:lang w:val="en-US" w:eastAsia="zh-CN"/>
              </w:rPr>
              <w:t>段</w:t>
            </w:r>
            <w:r>
              <w:rPr>
                <w:rFonts w:hint="eastAsia" w:hAnsi="宋体" w:cs="宋体"/>
                <w:color w:val="auto"/>
                <w:szCs w:val="21"/>
                <w:highlight w:val="none"/>
              </w:rPr>
              <w:t>划分</w:t>
            </w:r>
          </w:p>
        </w:tc>
        <w:tc>
          <w:tcPr>
            <w:tcW w:w="6610" w:type="dxa"/>
            <w:vAlign w:val="center"/>
          </w:tcPr>
          <w:p w14:paraId="59D77CBE">
            <w:pPr>
              <w:pStyle w:val="18"/>
              <w:shd w:val="clear"/>
              <w:kinsoku/>
              <w:overflowPunct/>
              <w:bidi w:val="0"/>
              <w:spacing w:line="500" w:lineRule="exact"/>
              <w:ind w:left="0" w:leftChars="0" w:right="0" w:rightChars="0"/>
              <w:rPr>
                <w:rFonts w:hint="eastAsia" w:hAnsi="宋体" w:eastAsia="宋体" w:cs="宋体"/>
                <w:color w:val="auto"/>
                <w:szCs w:val="21"/>
                <w:highlight w:val="none"/>
                <w:lang w:val="en-US" w:eastAsia="zh-CN"/>
              </w:rPr>
            </w:pPr>
            <w:r>
              <w:rPr>
                <w:rFonts w:hint="eastAsia" w:hAnsi="宋体" w:cs="宋体"/>
                <w:color w:val="auto"/>
                <w:szCs w:val="21"/>
                <w:highlight w:val="none"/>
              </w:rPr>
              <w:t>本项目划分为</w:t>
            </w:r>
            <w:r>
              <w:rPr>
                <w:rFonts w:hint="eastAsia" w:hAnsi="宋体" w:cs="宋体"/>
                <w:color w:val="auto"/>
                <w:szCs w:val="21"/>
                <w:highlight w:val="none"/>
                <w:u w:val="single"/>
              </w:rPr>
              <w:t xml:space="preserve"> 1</w:t>
            </w:r>
            <w:r>
              <w:rPr>
                <w:rFonts w:hint="eastAsia" w:hAnsi="宋体" w:cs="宋体"/>
                <w:color w:val="auto"/>
                <w:szCs w:val="21"/>
                <w:highlight w:val="none"/>
              </w:rPr>
              <w:t>个标</w:t>
            </w:r>
            <w:r>
              <w:rPr>
                <w:rFonts w:hint="eastAsia" w:hAnsi="宋体" w:cs="宋体"/>
                <w:color w:val="auto"/>
                <w:szCs w:val="21"/>
                <w:highlight w:val="none"/>
                <w:lang w:val="en-US" w:eastAsia="zh-CN"/>
              </w:rPr>
              <w:t>段</w:t>
            </w:r>
          </w:p>
        </w:tc>
      </w:tr>
      <w:tr w14:paraId="778AF4B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048" w:type="dxa"/>
            <w:vAlign w:val="center"/>
          </w:tcPr>
          <w:p w14:paraId="26F20593">
            <w:pPr>
              <w:pStyle w:val="18"/>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4.1</w:t>
            </w:r>
          </w:p>
        </w:tc>
        <w:tc>
          <w:tcPr>
            <w:tcW w:w="2140" w:type="dxa"/>
            <w:gridSpan w:val="2"/>
            <w:vAlign w:val="center"/>
          </w:tcPr>
          <w:p w14:paraId="7AA231BE">
            <w:pPr>
              <w:pStyle w:val="18"/>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招标方式</w:t>
            </w:r>
          </w:p>
        </w:tc>
        <w:tc>
          <w:tcPr>
            <w:tcW w:w="6610" w:type="dxa"/>
            <w:vAlign w:val="center"/>
          </w:tcPr>
          <w:p w14:paraId="63C8AB2F">
            <w:pPr>
              <w:pStyle w:val="18"/>
              <w:shd w:val="clear"/>
              <w:kinsoku/>
              <w:overflowPunct/>
              <w:bidi w:val="0"/>
              <w:spacing w:line="500" w:lineRule="exact"/>
              <w:ind w:left="0" w:leftChars="0" w:right="0" w:rightChars="0"/>
              <w:rPr>
                <w:rFonts w:hAnsi="宋体" w:cs="宋体"/>
                <w:color w:val="auto"/>
                <w:szCs w:val="21"/>
                <w:highlight w:val="none"/>
              </w:rPr>
            </w:pPr>
            <w:r>
              <w:rPr>
                <w:rFonts w:hint="eastAsia" w:hAnsi="宋体" w:cs="宋体"/>
                <w:color w:val="auto"/>
                <w:szCs w:val="21"/>
                <w:highlight w:val="none"/>
              </w:rPr>
              <w:t>公开招标</w:t>
            </w:r>
          </w:p>
        </w:tc>
      </w:tr>
      <w:tr w14:paraId="0A883E5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3" w:hRule="atLeast"/>
        </w:trPr>
        <w:tc>
          <w:tcPr>
            <w:tcW w:w="1048" w:type="dxa"/>
            <w:vAlign w:val="center"/>
          </w:tcPr>
          <w:p w14:paraId="153A72A4">
            <w:pPr>
              <w:pStyle w:val="18"/>
              <w:shd w:val="clear"/>
              <w:kinsoku/>
              <w:overflowPunct/>
              <w:bidi w:val="0"/>
              <w:spacing w:line="500" w:lineRule="exact"/>
              <w:ind w:left="0" w:leftChars="0" w:right="0" w:rightChars="0"/>
              <w:jc w:val="center"/>
              <w:rPr>
                <w:rFonts w:hint="eastAsia" w:hAnsi="宋体" w:eastAsia="宋体" w:cs="宋体"/>
                <w:color w:val="auto"/>
                <w:szCs w:val="21"/>
                <w:highlight w:val="none"/>
                <w:lang w:eastAsia="zh-CN"/>
              </w:rPr>
            </w:pPr>
            <w:r>
              <w:rPr>
                <w:rFonts w:hint="eastAsia" w:hAnsi="宋体" w:cs="宋体"/>
                <w:color w:val="auto"/>
                <w:szCs w:val="21"/>
                <w:highlight w:val="none"/>
              </w:rPr>
              <w:t>7.</w:t>
            </w:r>
            <w:r>
              <w:rPr>
                <w:rFonts w:hint="eastAsia" w:hAnsi="宋体" w:cs="宋体"/>
                <w:color w:val="auto"/>
                <w:szCs w:val="21"/>
                <w:highlight w:val="none"/>
                <w:lang w:val="en-US" w:eastAsia="zh-CN"/>
              </w:rPr>
              <w:t>1</w:t>
            </w:r>
          </w:p>
        </w:tc>
        <w:tc>
          <w:tcPr>
            <w:tcW w:w="2140" w:type="dxa"/>
            <w:gridSpan w:val="2"/>
            <w:vAlign w:val="center"/>
          </w:tcPr>
          <w:p w14:paraId="66EE2C5F">
            <w:pPr>
              <w:pStyle w:val="18"/>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投标人资格条件及其他要求</w:t>
            </w:r>
          </w:p>
        </w:tc>
        <w:tc>
          <w:tcPr>
            <w:tcW w:w="6610" w:type="dxa"/>
            <w:vAlign w:val="center"/>
          </w:tcPr>
          <w:p w14:paraId="07776A06">
            <w:pPr>
              <w:shd w:val="clear"/>
              <w:kinsoku/>
              <w:overflow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详见第一章“招标公告”</w:t>
            </w:r>
          </w:p>
        </w:tc>
      </w:tr>
      <w:tr w14:paraId="147C59B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6B10D33D">
            <w:pPr>
              <w:pStyle w:val="18"/>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9.1</w:t>
            </w:r>
          </w:p>
        </w:tc>
        <w:tc>
          <w:tcPr>
            <w:tcW w:w="2140" w:type="dxa"/>
            <w:gridSpan w:val="2"/>
            <w:vAlign w:val="center"/>
          </w:tcPr>
          <w:p w14:paraId="33E8BB06">
            <w:pPr>
              <w:pStyle w:val="18"/>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踏勘现场</w:t>
            </w:r>
          </w:p>
        </w:tc>
        <w:tc>
          <w:tcPr>
            <w:tcW w:w="6610" w:type="dxa"/>
            <w:vAlign w:val="center"/>
          </w:tcPr>
          <w:p w14:paraId="0653D44E">
            <w:pPr>
              <w:pStyle w:val="18"/>
              <w:shd w:val="clear"/>
              <w:kinsoku/>
              <w:overflowPunct/>
              <w:bidi w:val="0"/>
              <w:spacing w:line="500" w:lineRule="exact"/>
              <w:ind w:left="0" w:leftChars="0" w:right="0" w:rightChars="0"/>
              <w:rPr>
                <w:rFonts w:hAnsi="宋体" w:cs="宋体"/>
                <w:color w:val="auto"/>
                <w:szCs w:val="21"/>
                <w:highlight w:val="none"/>
              </w:rPr>
            </w:pPr>
            <w:r>
              <w:rPr>
                <w:rFonts w:hint="eastAsia" w:hAnsi="宋体" w:cs="宋体"/>
                <w:color w:val="auto"/>
                <w:szCs w:val="21"/>
                <w:highlight w:val="none"/>
              </w:rPr>
              <w:t>不组织,投标人自行踏勘。</w:t>
            </w:r>
          </w:p>
        </w:tc>
      </w:tr>
      <w:tr w14:paraId="670F229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69E0D99B">
            <w:pPr>
              <w:pStyle w:val="18"/>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10.1</w:t>
            </w:r>
          </w:p>
        </w:tc>
        <w:tc>
          <w:tcPr>
            <w:tcW w:w="2140" w:type="dxa"/>
            <w:gridSpan w:val="2"/>
            <w:vAlign w:val="center"/>
          </w:tcPr>
          <w:p w14:paraId="67BA3DE7">
            <w:pPr>
              <w:pStyle w:val="18"/>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投标预备会</w:t>
            </w:r>
          </w:p>
        </w:tc>
        <w:tc>
          <w:tcPr>
            <w:tcW w:w="6610" w:type="dxa"/>
            <w:vAlign w:val="center"/>
          </w:tcPr>
          <w:p w14:paraId="7382D9D4">
            <w:pPr>
              <w:pStyle w:val="18"/>
              <w:shd w:val="clear"/>
              <w:kinsoku/>
              <w:overflowPunct/>
              <w:bidi w:val="0"/>
              <w:spacing w:line="500" w:lineRule="exact"/>
              <w:ind w:left="0" w:leftChars="0" w:right="0" w:rightChars="0"/>
              <w:rPr>
                <w:rFonts w:hAnsi="宋体" w:cs="宋体"/>
                <w:color w:val="auto"/>
                <w:szCs w:val="21"/>
                <w:highlight w:val="none"/>
              </w:rPr>
            </w:pPr>
            <w:r>
              <w:rPr>
                <w:rFonts w:hint="eastAsia" w:hAnsi="宋体" w:cs="宋体"/>
                <w:color w:val="auto"/>
                <w:szCs w:val="21"/>
                <w:highlight w:val="none"/>
              </w:rPr>
              <w:t>不召开</w:t>
            </w:r>
          </w:p>
        </w:tc>
      </w:tr>
      <w:tr w14:paraId="7690766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51CCBD4A">
            <w:pPr>
              <w:shd w:val="clear"/>
              <w:kinsoku/>
              <w:overflowPunct/>
              <w:bidi w:val="0"/>
              <w:spacing w:line="500" w:lineRule="exact"/>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12.1</w:t>
            </w:r>
          </w:p>
        </w:tc>
        <w:tc>
          <w:tcPr>
            <w:tcW w:w="2140" w:type="dxa"/>
            <w:gridSpan w:val="2"/>
            <w:vAlign w:val="center"/>
          </w:tcPr>
          <w:p w14:paraId="1C70DD3A">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招标代理费</w:t>
            </w:r>
          </w:p>
        </w:tc>
        <w:tc>
          <w:tcPr>
            <w:tcW w:w="6610" w:type="dxa"/>
            <w:vAlign w:val="center"/>
          </w:tcPr>
          <w:p w14:paraId="546EDCB9">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代理服务费金额：</w:t>
            </w:r>
            <w:r>
              <w:rPr>
                <w:rFonts w:hint="eastAsia" w:ascii="宋体" w:hAnsi="宋体" w:cs="宋体"/>
                <w:color w:val="auto"/>
                <w:szCs w:val="21"/>
                <w:highlight w:val="none"/>
                <w:u w:val="single"/>
                <w:lang w:val="en-US" w:eastAsia="zh-CN"/>
              </w:rPr>
              <w:t>3375</w:t>
            </w:r>
            <w:r>
              <w:rPr>
                <w:rFonts w:hint="eastAsia" w:ascii="宋体" w:hAnsi="宋体" w:cs="宋体"/>
                <w:color w:val="auto"/>
                <w:szCs w:val="21"/>
                <w:highlight w:val="none"/>
              </w:rPr>
              <w:t>元</w:t>
            </w:r>
            <w:r>
              <w:rPr>
                <w:rFonts w:hint="eastAsia" w:ascii="宋体" w:hAnsi="宋体" w:cs="宋体"/>
                <w:color w:val="auto"/>
                <w:szCs w:val="21"/>
                <w:highlight w:val="none"/>
                <w:lang w:val="en-US" w:eastAsia="zh-CN"/>
              </w:rPr>
              <w:t>(参考计价格[2002]1980号文件</w:t>
            </w:r>
            <w:r>
              <w:rPr>
                <w:rFonts w:hint="eastAsia" w:ascii="宋体" w:hAnsi="宋体" w:cs="宋体"/>
                <w:color w:val="auto"/>
                <w:szCs w:val="21"/>
                <w:highlight w:val="none"/>
                <w:u w:val="single"/>
                <w:lang w:val="en-US" w:eastAsia="zh-CN"/>
              </w:rPr>
              <w:t xml:space="preserve"> 50 </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w:t>
            </w:r>
          </w:p>
          <w:p w14:paraId="06CF02C2">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代理服务费支付主体：中标单位。</w:t>
            </w:r>
          </w:p>
          <w:p w14:paraId="3CF3A0B8">
            <w:pPr>
              <w:shd w:val="clear"/>
              <w:kinsoku/>
              <w:overflowPunct/>
              <w:bidi w:val="0"/>
              <w:spacing w:line="500" w:lineRule="exact"/>
              <w:ind w:left="0" w:leftChars="0" w:right="0" w:rightChars="0"/>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rPr>
              <w:t>专家评审费支付主体：</w:t>
            </w:r>
            <w:r>
              <w:rPr>
                <w:rFonts w:hint="eastAsia" w:ascii="宋体" w:hAnsi="宋体" w:cs="宋体"/>
                <w:color w:val="auto"/>
                <w:szCs w:val="21"/>
                <w:highlight w:val="none"/>
                <w:lang w:val="en-US" w:eastAsia="zh-CN"/>
              </w:rPr>
              <w:t>招标单位</w:t>
            </w:r>
            <w:r>
              <w:rPr>
                <w:rFonts w:hint="eastAsia" w:ascii="宋体" w:hAnsi="宋体" w:cs="宋体"/>
                <w:color w:val="auto"/>
                <w:szCs w:val="21"/>
                <w:highlight w:val="none"/>
              </w:rPr>
              <w:t>。</w:t>
            </w:r>
          </w:p>
        </w:tc>
      </w:tr>
      <w:tr w14:paraId="32188B1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25" w:hRule="atLeast"/>
        </w:trPr>
        <w:tc>
          <w:tcPr>
            <w:tcW w:w="1048" w:type="dxa"/>
            <w:vAlign w:val="center"/>
          </w:tcPr>
          <w:p w14:paraId="132E98C5">
            <w:pPr>
              <w:shd w:val="clear"/>
              <w:kinsoku/>
              <w:overflowPunct/>
              <w:bidi w:val="0"/>
              <w:spacing w:line="500" w:lineRule="exact"/>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16.3</w:t>
            </w:r>
          </w:p>
        </w:tc>
        <w:tc>
          <w:tcPr>
            <w:tcW w:w="2140" w:type="dxa"/>
            <w:gridSpan w:val="2"/>
            <w:vAlign w:val="center"/>
          </w:tcPr>
          <w:p w14:paraId="428A243C">
            <w:pPr>
              <w:pStyle w:val="18"/>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hAnsi="宋体" w:cs="宋体"/>
                <w:color w:val="auto"/>
                <w:szCs w:val="21"/>
                <w:highlight w:val="none"/>
              </w:rPr>
              <w:t>投标人提出疑问的截止时间及方式</w:t>
            </w:r>
          </w:p>
        </w:tc>
        <w:tc>
          <w:tcPr>
            <w:tcW w:w="6610" w:type="dxa"/>
            <w:vAlign w:val="center"/>
          </w:tcPr>
          <w:p w14:paraId="39FBFE0E">
            <w:pPr>
              <w:pStyle w:val="18"/>
              <w:keepNext w:val="0"/>
              <w:keepLines w:val="0"/>
              <w:pageBreakBefore w:val="0"/>
              <w:widowControl w:val="0"/>
              <w:shd w:val="clear"/>
              <w:kinsoku/>
              <w:wordWrap w:val="0"/>
              <w:overflowPunct/>
              <w:topLinePunct w:val="0"/>
              <w:autoSpaceDE/>
              <w:autoSpaceDN/>
              <w:bidi w:val="0"/>
              <w:adjustRightInd/>
              <w:snapToGrid/>
              <w:spacing w:line="500" w:lineRule="exact"/>
              <w:ind w:left="0" w:leftChars="0" w:right="0" w:rightChars="0"/>
              <w:textAlignment w:val="auto"/>
              <w:rPr>
                <w:rFonts w:ascii="宋体" w:hAnsi="宋体" w:cs="宋体"/>
                <w:color w:val="auto"/>
                <w:szCs w:val="21"/>
                <w:highlight w:val="none"/>
              </w:rPr>
            </w:pPr>
            <w:r>
              <w:rPr>
                <w:rFonts w:hint="eastAsia" w:hAnsi="宋体" w:cs="宋体"/>
                <w:color w:val="auto"/>
                <w:szCs w:val="21"/>
                <w:highlight w:val="none"/>
              </w:rPr>
              <w:t>如投标人对招标文件有疑问，请于</w:t>
            </w:r>
            <w:r>
              <w:rPr>
                <w:rFonts w:hint="eastAsia" w:hAnsi="宋体" w:cs="宋体"/>
                <w:b/>
                <w:bCs/>
                <w:color w:val="auto"/>
                <w:szCs w:val="21"/>
                <w:highlight w:val="none"/>
              </w:rPr>
              <w:t>202</w:t>
            </w:r>
            <w:r>
              <w:rPr>
                <w:rFonts w:hint="eastAsia" w:hAnsi="宋体" w:cs="宋体"/>
                <w:b/>
                <w:bCs/>
                <w:color w:val="auto"/>
                <w:szCs w:val="21"/>
                <w:highlight w:val="none"/>
                <w:lang w:val="en-US" w:eastAsia="zh-CN"/>
              </w:rPr>
              <w:t>6</w:t>
            </w:r>
            <w:r>
              <w:rPr>
                <w:rFonts w:hint="eastAsia" w:hAnsi="宋体" w:cs="宋体"/>
                <w:b/>
                <w:bCs/>
                <w:color w:val="auto"/>
                <w:szCs w:val="21"/>
                <w:highlight w:val="none"/>
              </w:rPr>
              <w:t>年</w:t>
            </w:r>
            <w:r>
              <w:rPr>
                <w:rFonts w:hint="eastAsia" w:hAnsi="宋体" w:cs="宋体"/>
                <w:b/>
                <w:bCs/>
                <w:color w:val="auto"/>
                <w:szCs w:val="21"/>
                <w:highlight w:val="none"/>
                <w:lang w:val="en-US" w:eastAsia="zh-CN"/>
              </w:rPr>
              <w:t>3</w:t>
            </w:r>
            <w:r>
              <w:rPr>
                <w:rFonts w:hint="eastAsia" w:hAnsi="宋体" w:cs="宋体"/>
                <w:b/>
                <w:bCs/>
                <w:color w:val="auto"/>
                <w:szCs w:val="21"/>
                <w:highlight w:val="none"/>
              </w:rPr>
              <w:t>月</w:t>
            </w:r>
            <w:r>
              <w:rPr>
                <w:rFonts w:hint="eastAsia" w:hAnsi="宋体" w:cs="宋体"/>
                <w:b/>
                <w:bCs/>
                <w:color w:val="auto"/>
                <w:szCs w:val="21"/>
                <w:highlight w:val="none"/>
                <w:lang w:val="en-US" w:eastAsia="zh-CN"/>
              </w:rPr>
              <w:t>9</w:t>
            </w:r>
            <w:r>
              <w:rPr>
                <w:rFonts w:hint="eastAsia" w:hAnsi="宋体" w:cs="宋体"/>
                <w:b/>
                <w:bCs/>
                <w:color w:val="auto"/>
                <w:szCs w:val="21"/>
                <w:highlight w:val="none"/>
              </w:rPr>
              <w:t>日</w:t>
            </w:r>
            <w:r>
              <w:rPr>
                <w:rFonts w:hint="eastAsia" w:hAnsi="宋体" w:cs="宋体"/>
                <w:b/>
                <w:bCs/>
                <w:color w:val="auto"/>
                <w:szCs w:val="21"/>
                <w:highlight w:val="none"/>
                <w:lang w:val="en-US" w:eastAsia="zh-CN"/>
              </w:rPr>
              <w:t>8</w:t>
            </w:r>
            <w:r>
              <w:rPr>
                <w:rFonts w:hint="eastAsia" w:hAnsi="宋体" w:cs="宋体"/>
                <w:b/>
                <w:bCs/>
                <w:color w:val="auto"/>
                <w:szCs w:val="21"/>
                <w:highlight w:val="none"/>
              </w:rPr>
              <w:t>时</w:t>
            </w:r>
            <w:r>
              <w:rPr>
                <w:rFonts w:hint="eastAsia" w:hAnsi="宋体" w:cs="宋体"/>
                <w:b/>
                <w:bCs/>
                <w:color w:val="auto"/>
                <w:szCs w:val="21"/>
                <w:highlight w:val="none"/>
                <w:lang w:val="en-US" w:eastAsia="zh-CN"/>
              </w:rPr>
              <w:t>30分</w:t>
            </w:r>
            <w:r>
              <w:rPr>
                <w:rFonts w:hint="eastAsia" w:hAnsi="宋体" w:cs="宋体"/>
                <w:color w:val="auto"/>
                <w:szCs w:val="21"/>
                <w:highlight w:val="none"/>
              </w:rPr>
              <w:t xml:space="preserve">（投标截止10日）前在滁州市公共资源交易中心网电子交易系统中进行异议（质疑），具体操作步骤和程序请参见服务指南&gt;交易须知&gt;在线异议、质疑和投诉操作手册。 </w:t>
            </w:r>
          </w:p>
        </w:tc>
      </w:tr>
      <w:tr w14:paraId="326B4CF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25" w:hRule="atLeast"/>
        </w:trPr>
        <w:tc>
          <w:tcPr>
            <w:tcW w:w="1048" w:type="dxa"/>
            <w:vAlign w:val="center"/>
          </w:tcPr>
          <w:p w14:paraId="5F190A6D">
            <w:pPr>
              <w:shd w:val="clear"/>
              <w:kinsoku/>
              <w:overflowPunct/>
              <w:bidi w:val="0"/>
              <w:spacing w:line="500" w:lineRule="exact"/>
              <w:ind w:left="0" w:leftChars="0" w:right="0" w:rightChars="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16.4</w:t>
            </w:r>
          </w:p>
        </w:tc>
        <w:tc>
          <w:tcPr>
            <w:tcW w:w="2140" w:type="dxa"/>
            <w:gridSpan w:val="2"/>
            <w:vAlign w:val="center"/>
          </w:tcPr>
          <w:p w14:paraId="162B7019">
            <w:pPr>
              <w:pStyle w:val="18"/>
              <w:shd w:val="clear"/>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hAnsi="宋体" w:cs="宋体"/>
                <w:color w:val="auto"/>
                <w:szCs w:val="21"/>
                <w:highlight w:val="none"/>
              </w:rPr>
              <w:t>招标人澄清的时间及方式</w:t>
            </w:r>
          </w:p>
        </w:tc>
        <w:tc>
          <w:tcPr>
            <w:tcW w:w="6610" w:type="dxa"/>
            <w:vAlign w:val="center"/>
          </w:tcPr>
          <w:p w14:paraId="33517326">
            <w:pPr>
              <w:keepNext w:val="0"/>
              <w:keepLines w:val="0"/>
              <w:pageBreakBefore w:val="0"/>
              <w:widowControl w:val="0"/>
              <w:shd w:val="clear"/>
              <w:kinsoku/>
              <w:wordWrap w:val="0"/>
              <w:overflowPunct/>
              <w:topLinePunct w:val="0"/>
              <w:autoSpaceDE/>
              <w:autoSpaceDN/>
              <w:bidi w:val="0"/>
              <w:adjustRightInd/>
              <w:snapToGrid/>
              <w:spacing w:line="500" w:lineRule="exact"/>
              <w:ind w:left="0" w:leftChars="0" w:right="0" w:rightChars="0"/>
              <w:textAlignment w:val="auto"/>
              <w:rPr>
                <w:rFonts w:hint="eastAsia" w:ascii="宋体" w:hAnsi="宋体" w:cs="宋体"/>
                <w:color w:val="auto"/>
                <w:szCs w:val="21"/>
                <w:highlight w:val="none"/>
              </w:rPr>
            </w:pPr>
            <w:r>
              <w:rPr>
                <w:rFonts w:hint="eastAsia" w:ascii="宋体" w:hAnsi="宋体" w:cs="宋体"/>
                <w:b/>
                <w:bCs/>
                <w:color w:val="auto"/>
                <w:szCs w:val="21"/>
                <w:highlight w:val="none"/>
                <w:u w:color="000000"/>
              </w:rPr>
              <w:t>202</w:t>
            </w:r>
            <w:r>
              <w:rPr>
                <w:rFonts w:hint="eastAsia" w:ascii="宋体" w:hAnsi="宋体" w:cs="宋体"/>
                <w:b/>
                <w:bCs/>
                <w:color w:val="auto"/>
                <w:szCs w:val="21"/>
                <w:highlight w:val="none"/>
                <w:u w:color="000000"/>
                <w:lang w:val="en-US" w:eastAsia="zh-CN"/>
              </w:rPr>
              <w:t>6</w:t>
            </w:r>
            <w:r>
              <w:rPr>
                <w:rFonts w:hint="eastAsia" w:ascii="宋体" w:hAnsi="宋体" w:cs="宋体"/>
                <w:b/>
                <w:bCs/>
                <w:color w:val="auto"/>
                <w:szCs w:val="21"/>
                <w:highlight w:val="none"/>
                <w:u w:color="000000"/>
              </w:rPr>
              <w:t>年</w:t>
            </w:r>
            <w:r>
              <w:rPr>
                <w:rFonts w:hint="eastAsia" w:ascii="宋体" w:hAnsi="宋体" w:cs="宋体"/>
                <w:b/>
                <w:bCs/>
                <w:color w:val="auto"/>
                <w:szCs w:val="21"/>
                <w:highlight w:val="none"/>
                <w:u w:color="000000"/>
                <w:lang w:val="en-US" w:eastAsia="zh-CN"/>
              </w:rPr>
              <w:t>3</w:t>
            </w:r>
            <w:r>
              <w:rPr>
                <w:rFonts w:hint="eastAsia" w:ascii="宋体" w:hAnsi="宋体" w:cs="宋体"/>
                <w:b/>
                <w:bCs/>
                <w:color w:val="auto"/>
                <w:szCs w:val="21"/>
                <w:highlight w:val="none"/>
                <w:u w:color="000000"/>
              </w:rPr>
              <w:t>月</w:t>
            </w:r>
            <w:r>
              <w:rPr>
                <w:rFonts w:hint="eastAsia" w:ascii="宋体" w:hAnsi="宋体" w:cs="宋体"/>
                <w:b/>
                <w:bCs/>
                <w:color w:val="auto"/>
                <w:szCs w:val="21"/>
                <w:highlight w:val="none"/>
                <w:u w:color="000000"/>
                <w:lang w:val="en-US" w:eastAsia="zh-CN"/>
              </w:rPr>
              <w:t>11</w:t>
            </w:r>
            <w:r>
              <w:rPr>
                <w:rFonts w:hint="eastAsia" w:ascii="宋体" w:hAnsi="宋体" w:cs="宋体"/>
                <w:b/>
                <w:bCs/>
                <w:color w:val="auto"/>
                <w:szCs w:val="21"/>
                <w:highlight w:val="none"/>
                <w:u w:color="000000"/>
              </w:rPr>
              <w:t>日17时</w:t>
            </w:r>
            <w:r>
              <w:rPr>
                <w:rFonts w:hint="eastAsia" w:ascii="宋体" w:hAnsi="宋体" w:cs="宋体"/>
                <w:b/>
                <w:bCs/>
                <w:color w:val="auto"/>
                <w:szCs w:val="21"/>
                <w:highlight w:val="none"/>
              </w:rPr>
              <w:t>前</w:t>
            </w:r>
            <w:r>
              <w:rPr>
                <w:rFonts w:hint="eastAsia" w:ascii="宋体" w:hAnsi="宋体" w:cs="宋体"/>
                <w:color w:val="auto"/>
                <w:szCs w:val="21"/>
                <w:highlight w:val="none"/>
              </w:rPr>
              <w:t>以澄清公告形式在滁州市公共资源交易网（http://ggzy.chuzhou.gov.cn /）“答疑澄清文件”栏目予以公告。</w:t>
            </w:r>
          </w:p>
        </w:tc>
      </w:tr>
      <w:tr w14:paraId="3A820BC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149BC2CA">
            <w:pPr>
              <w:pStyle w:val="18"/>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23.1</w:t>
            </w:r>
          </w:p>
        </w:tc>
        <w:tc>
          <w:tcPr>
            <w:tcW w:w="2140" w:type="dxa"/>
            <w:gridSpan w:val="2"/>
            <w:vAlign w:val="center"/>
          </w:tcPr>
          <w:p w14:paraId="17EC8ECE">
            <w:pPr>
              <w:pStyle w:val="18"/>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投标有效期</w:t>
            </w:r>
          </w:p>
        </w:tc>
        <w:tc>
          <w:tcPr>
            <w:tcW w:w="6610" w:type="dxa"/>
            <w:vAlign w:val="center"/>
          </w:tcPr>
          <w:p w14:paraId="124E20A9">
            <w:pPr>
              <w:pStyle w:val="18"/>
              <w:shd w:val="clear"/>
              <w:kinsoku/>
              <w:overflowPunct/>
              <w:bidi w:val="0"/>
              <w:spacing w:line="500" w:lineRule="exact"/>
              <w:ind w:left="0" w:leftChars="0" w:right="0" w:rightChars="0"/>
              <w:rPr>
                <w:rFonts w:hAnsi="宋体" w:cs="宋体"/>
                <w:color w:val="auto"/>
                <w:szCs w:val="21"/>
                <w:highlight w:val="none"/>
              </w:rPr>
            </w:pPr>
            <w:r>
              <w:rPr>
                <w:rFonts w:hint="eastAsia" w:hAnsi="宋体" w:cs="宋体"/>
                <w:color w:val="auto"/>
                <w:szCs w:val="21"/>
                <w:highlight w:val="none"/>
              </w:rPr>
              <w:t>投标有效期为</w:t>
            </w:r>
            <w:r>
              <w:rPr>
                <w:rFonts w:hint="eastAsia" w:hAnsi="宋体" w:cs="宋体"/>
                <w:color w:val="auto"/>
                <w:szCs w:val="21"/>
                <w:highlight w:val="none"/>
                <w:u w:val="single"/>
              </w:rPr>
              <w:t xml:space="preserve"> 90  </w:t>
            </w:r>
            <w:r>
              <w:rPr>
                <w:rFonts w:hint="eastAsia" w:hAnsi="宋体" w:cs="宋体"/>
                <w:color w:val="auto"/>
                <w:szCs w:val="21"/>
                <w:highlight w:val="none"/>
              </w:rPr>
              <w:t>日历天（从投标截止之日算起）。在此期限内，凡符合本招标文件要求的投标文件均保持有效。</w:t>
            </w:r>
          </w:p>
        </w:tc>
      </w:tr>
      <w:tr w14:paraId="3DD26A0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5" w:hRule="atLeast"/>
        </w:trPr>
        <w:tc>
          <w:tcPr>
            <w:tcW w:w="1048" w:type="dxa"/>
            <w:vAlign w:val="center"/>
          </w:tcPr>
          <w:p w14:paraId="1F260142">
            <w:pPr>
              <w:shd w:val="clear"/>
              <w:kinsoku/>
              <w:overflowPunct/>
              <w:bidi w:val="0"/>
              <w:spacing w:line="500" w:lineRule="exact"/>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24</w:t>
            </w:r>
          </w:p>
        </w:tc>
        <w:tc>
          <w:tcPr>
            <w:tcW w:w="2140" w:type="dxa"/>
            <w:gridSpan w:val="2"/>
            <w:vAlign w:val="center"/>
          </w:tcPr>
          <w:p w14:paraId="54EC087B">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投标保证金</w:t>
            </w:r>
          </w:p>
        </w:tc>
        <w:tc>
          <w:tcPr>
            <w:tcW w:w="6610" w:type="dxa"/>
          </w:tcPr>
          <w:p w14:paraId="009CA245">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投标保证金收取</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投标保证金的金额</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0.9</w:t>
            </w:r>
            <w:r>
              <w:rPr>
                <w:rFonts w:hint="eastAsia" w:ascii="宋体" w:hAnsi="宋体" w:cs="宋体"/>
                <w:color w:val="auto"/>
                <w:szCs w:val="21"/>
                <w:highlight w:val="none"/>
              </w:rPr>
              <w:t>万元，</w:t>
            </w:r>
            <w:r>
              <w:rPr>
                <w:rFonts w:hint="eastAsia" w:ascii="宋体" w:hAnsi="宋体" w:cs="宋体"/>
                <w:color w:val="auto"/>
                <w:szCs w:val="21"/>
                <w:highlight w:val="none"/>
                <w:lang w:val="en-US" w:eastAsia="zh-CN"/>
              </w:rPr>
              <w:t>要求</w:t>
            </w:r>
            <w:r>
              <w:rPr>
                <w:rFonts w:hint="eastAsia" w:ascii="宋体" w:hAnsi="宋体" w:cs="宋体"/>
                <w:color w:val="auto"/>
                <w:szCs w:val="21"/>
                <w:highlight w:val="none"/>
              </w:rPr>
              <w:t>投标人提交投标保证金。</w:t>
            </w:r>
          </w:p>
          <w:p w14:paraId="4CB92988">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投标保证金形式：支持现金（银行转账、银行电汇等）、非现金形式（支票、银行汇票、本票等）、电子保函、纸质银行保函。</w:t>
            </w:r>
          </w:p>
          <w:p w14:paraId="047A4E27">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接收投标保证金的账户信息：</w:t>
            </w:r>
          </w:p>
          <w:p w14:paraId="5ABECBAB">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1)采用现金形式的，投标保证金应当从投标人基本存款账户转出，投标保证金的到账截止时间为投标截止时间。投标保证金转出账户与投标人投标文件提供的基本存款账户不一致的，视为未按照招标文件规定提交投标保证金。提交投标保证金的开户银行及账号如下（选择任何一家银行提交即可）：</w:t>
            </w:r>
          </w:p>
          <w:p w14:paraId="7F85BD83">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①户名：滁州市公共资源交易中心</w:t>
            </w:r>
          </w:p>
          <w:p w14:paraId="544722A1">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开户行：中国银行滁州分行</w:t>
            </w:r>
          </w:p>
          <w:p w14:paraId="0EC501A9">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账号：</w:t>
            </w:r>
            <w:r>
              <w:rPr>
                <w:rFonts w:hint="eastAsia" w:ascii="宋体" w:hAnsi="宋体" w:cs="宋体"/>
                <w:color w:val="auto"/>
                <w:szCs w:val="21"/>
                <w:highlight w:val="none"/>
                <w:lang w:val="en-US" w:eastAsia="zh-CN"/>
              </w:rPr>
              <w:t>188749190291</w:t>
            </w:r>
          </w:p>
          <w:p w14:paraId="5DE3272A">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②户名：滁州市公共资源交易中心</w:t>
            </w:r>
          </w:p>
          <w:p w14:paraId="42B4B6A6">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开户行：中国建设银行股份有限公司滁州南谯支行</w:t>
            </w:r>
          </w:p>
          <w:p w14:paraId="48628FBF">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lang w:eastAsia="zh-CN"/>
              </w:rPr>
            </w:pPr>
            <w:r>
              <w:rPr>
                <w:rFonts w:hint="eastAsia" w:ascii="宋体" w:hAnsi="宋体" w:cs="宋体"/>
                <w:color w:val="auto"/>
                <w:szCs w:val="21"/>
                <w:highlight w:val="none"/>
              </w:rPr>
              <w:t>账号：</w:t>
            </w:r>
            <w:r>
              <w:rPr>
                <w:rFonts w:hint="eastAsia" w:ascii="宋体" w:hAnsi="宋体" w:cs="宋体"/>
                <w:color w:val="auto"/>
                <w:szCs w:val="21"/>
                <w:highlight w:val="none"/>
                <w:lang w:val="en-US" w:eastAsia="zh-CN"/>
              </w:rPr>
              <w:t>6232811720000036686</w:t>
            </w:r>
          </w:p>
          <w:p w14:paraId="3B68D464">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③户名：滁州市公共资源交易中心</w:t>
            </w:r>
          </w:p>
          <w:p w14:paraId="0C66EE9E">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开户行：中国农业银行滁州中都支行</w:t>
            </w:r>
          </w:p>
          <w:p w14:paraId="05A06662">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账号：</w:t>
            </w:r>
            <w:r>
              <w:rPr>
                <w:rFonts w:hint="eastAsia" w:ascii="宋体" w:hAnsi="宋体" w:cs="宋体"/>
                <w:color w:val="auto"/>
                <w:szCs w:val="21"/>
                <w:highlight w:val="none"/>
                <w:lang w:val="en-US" w:eastAsia="zh-CN"/>
              </w:rPr>
              <w:t>123340010400044210000000198</w:t>
            </w:r>
          </w:p>
          <w:p w14:paraId="0AB5BA76">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采用现金形式缴纳保证金时须在交易附言中注明：“</w:t>
            </w:r>
            <w:r>
              <w:rPr>
                <w:rFonts w:hint="eastAsia" w:ascii="宋体" w:hAnsi="宋体" w:cs="宋体"/>
                <w:color w:val="auto"/>
                <w:szCs w:val="21"/>
                <w:highlight w:val="none"/>
                <w:lang w:val="en-US" w:eastAsia="zh-CN"/>
              </w:rPr>
              <w:t>czsjqt202602-013</w:t>
            </w:r>
            <w:r>
              <w:rPr>
                <w:rFonts w:hint="eastAsia" w:ascii="宋体" w:hAnsi="宋体" w:cs="宋体"/>
                <w:color w:val="auto"/>
                <w:szCs w:val="21"/>
                <w:highlight w:val="none"/>
              </w:rPr>
              <w:t>项目投标保证金”。</w:t>
            </w:r>
          </w:p>
          <w:p w14:paraId="28E5C6EB">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2）采用支票、银行汇票、本票等非现金形式提交投标保证金时，投标人应在付款人开户行申请书附言处注明“</w:t>
            </w:r>
            <w:r>
              <w:rPr>
                <w:rFonts w:hint="eastAsia" w:ascii="宋体" w:hAnsi="宋体" w:cs="宋体"/>
                <w:color w:val="auto"/>
                <w:szCs w:val="21"/>
                <w:highlight w:val="none"/>
                <w:lang w:val="en-US" w:eastAsia="zh-CN"/>
              </w:rPr>
              <w:t>czsjqt202602-013</w:t>
            </w:r>
            <w:r>
              <w:rPr>
                <w:rFonts w:hint="eastAsia" w:ascii="宋体" w:hAnsi="宋体" w:cs="宋体"/>
                <w:color w:val="auto"/>
                <w:szCs w:val="21"/>
                <w:highlight w:val="none"/>
              </w:rPr>
              <w:t>项目投标保证金”字样，应确保收款人开户行进账单完整反映交易附言内容，由此导致无法识别投标保证金对应的投标项目，其后果由投标人负责。</w:t>
            </w:r>
          </w:p>
          <w:p w14:paraId="356E0EA7">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3)采用电子保函形式具体要求如下：</w:t>
            </w:r>
          </w:p>
          <w:p w14:paraId="03B71CEF">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①电子保函提交要求：</w:t>
            </w:r>
          </w:p>
          <w:p w14:paraId="313C0335">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a.投标人须在投标文件提交截止时间前提供与滁州市公共资源交易中心金融服务平台对接的电子保函，否则视为投标保证金未按规定要求缴纳。</w:t>
            </w:r>
          </w:p>
          <w:p w14:paraId="01AB7D19">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b.电子保函生效时间须为所投项目规定的保证金到账截止时间之前，电子保函的有效期截止时间不得短于招标文件约定的投标有效期截止时间，否则视为投标保证金未按规定要求缴纳。</w:t>
            </w:r>
          </w:p>
          <w:p w14:paraId="41191294">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c.投标有效期内未能确定中标结果，需要延长投标有效期，投标人同意延长投标有效期的，须相应延长电子保函的有效期。</w:t>
            </w:r>
          </w:p>
          <w:p w14:paraId="5227F53B">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d.投标人存在投标保证金不予退还的情形，采用电子保函形式的将予以追缴。</w:t>
            </w:r>
          </w:p>
          <w:p w14:paraId="51DEEC79">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4)采用纸质</w:t>
            </w:r>
            <w:r>
              <w:rPr>
                <w:rFonts w:hint="eastAsia" w:ascii="宋体" w:hAnsi="宋体" w:cs="宋体"/>
                <w:color w:val="auto"/>
                <w:szCs w:val="21"/>
                <w:highlight w:val="none"/>
                <w:lang w:eastAsia="zh-CN"/>
              </w:rPr>
              <w:t>银行</w:t>
            </w:r>
            <w:r>
              <w:rPr>
                <w:rFonts w:hint="eastAsia" w:ascii="宋体" w:hAnsi="宋体" w:cs="宋体"/>
                <w:color w:val="auto"/>
                <w:szCs w:val="21"/>
                <w:highlight w:val="none"/>
              </w:rPr>
              <w:t>保函形式具体要求如下：</w:t>
            </w:r>
          </w:p>
          <w:p w14:paraId="67841902">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①应为投标人基本账户开户银行出具的不可撤销、不可转让的见索即付独立保函,所需费用由投标人承担。</w:t>
            </w:r>
          </w:p>
          <w:p w14:paraId="0CAF17BA">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lang w:eastAsia="zh-CN"/>
              </w:rPr>
            </w:pPr>
            <w:r>
              <w:rPr>
                <w:rFonts w:hint="eastAsia" w:ascii="宋体" w:hAnsi="宋体" w:cs="宋体"/>
                <w:color w:val="auto"/>
                <w:szCs w:val="21"/>
                <w:highlight w:val="none"/>
              </w:rPr>
              <w:t>②投标人在投标文件中必须提供基本存款账户证明（如基本存款账户开户许可证或基本存款账户信息），同时将纸质保函扫描件提供在投标文件中</w:t>
            </w:r>
            <w:r>
              <w:rPr>
                <w:rFonts w:hint="eastAsia" w:ascii="宋体" w:hAnsi="宋体" w:cs="宋体"/>
                <w:color w:val="auto"/>
                <w:szCs w:val="21"/>
                <w:highlight w:val="none"/>
                <w:lang w:eastAsia="zh-CN"/>
              </w:rPr>
              <w:t>。</w:t>
            </w:r>
          </w:p>
          <w:p w14:paraId="6B89A801">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③投标人在投标文件中必须提供明确有效的查询途径（ 网址链接及查询方式），否则该纸质银行保函无效。</w:t>
            </w:r>
          </w:p>
          <w:p w14:paraId="22C45749">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④中标候选人须在中标候选人公示期间将其开具至本招标项目的保函原件提交招标人（或招标代理机构），且原件须与投标文件中提供的扫描件一致，如存在未按照规定提交或提交内容不一致的，招标人有权取消其中标候选人资格；发现弄虚作假的，招标人（或招标代理机构）应报公共资源交易监管部门依法处理。</w:t>
            </w:r>
          </w:p>
          <w:p w14:paraId="0B2C1DF8">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保证金电子保函业务应急处置措施。由于自然灾害、事故灾难、突发公共网络安全事件或者系统原因，以及保证金电子保函系统使用过程中出现的以下情况：</w:t>
            </w:r>
          </w:p>
          <w:p w14:paraId="7667549F">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（1）开标时，系统获取明文保函文件异常，无法正常获取保函文件；</w:t>
            </w:r>
          </w:p>
          <w:p w14:paraId="690F8EDF">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（2）保证金电子保函系统的软件或数据库出现错误，不能进行正常操作；</w:t>
            </w:r>
          </w:p>
          <w:p w14:paraId="4B76131E">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（3）保证金电子保函系统服务器发生故障等情况，无法访问或无法使用电子保函；</w:t>
            </w:r>
          </w:p>
          <w:p w14:paraId="350CCB79">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（4）保证金电子保函系统服务器受到病毒或其他外来的攻击；</w:t>
            </w:r>
          </w:p>
          <w:p w14:paraId="6FBF6081">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（5）其他影响电子保函出具的异常情形。</w:t>
            </w:r>
          </w:p>
          <w:p w14:paraId="5B7957CC">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由于上述原因导致投标人无法正常参加开评标的，招标人或招标代理机构应及时报告公共资源交易服务平台核实问题原因。投标人确实已购买电子保函，经监管部门同意后，投标人可以继续参加开评标。</w:t>
            </w:r>
          </w:p>
          <w:p w14:paraId="668829EC">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本次招标失败，再次进行招标的，投标人须按照新的账户重新缴纳投标保证金。</w:t>
            </w:r>
          </w:p>
          <w:p w14:paraId="73FBC8CC">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投标人为联合体投标的，由牵头人基本账户转出投标保证金或由牵头人办理保函。</w:t>
            </w:r>
          </w:p>
          <w:p w14:paraId="3A32A4FE">
            <w:pPr>
              <w:widowControl/>
              <w:shd w:val="clear" w:color="auto"/>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.是否适用免缴投标保证金政策</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不适用</w:t>
            </w:r>
            <w:r>
              <w:rPr>
                <w:rFonts w:hint="eastAsia" w:ascii="宋体" w:hAnsi="宋体" w:cs="宋体"/>
                <w:color w:val="auto"/>
                <w:szCs w:val="21"/>
                <w:highlight w:val="none"/>
              </w:rPr>
              <w:t>。</w:t>
            </w:r>
          </w:p>
        </w:tc>
      </w:tr>
      <w:tr w14:paraId="2CF29DB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4B4EF961">
            <w:pPr>
              <w:pStyle w:val="18"/>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25.1</w:t>
            </w:r>
          </w:p>
        </w:tc>
        <w:tc>
          <w:tcPr>
            <w:tcW w:w="2140" w:type="dxa"/>
            <w:gridSpan w:val="2"/>
            <w:vAlign w:val="center"/>
          </w:tcPr>
          <w:p w14:paraId="2D0ED125">
            <w:pPr>
              <w:pStyle w:val="18"/>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投标文件数量</w:t>
            </w:r>
          </w:p>
        </w:tc>
        <w:tc>
          <w:tcPr>
            <w:tcW w:w="6610" w:type="dxa"/>
            <w:vAlign w:val="center"/>
          </w:tcPr>
          <w:p w14:paraId="0B0B69B8">
            <w:pPr>
              <w:widowControl/>
              <w:shd w:val="clear"/>
              <w:kinsoku/>
              <w:overflowPunct/>
              <w:bidi w:val="0"/>
              <w:spacing w:line="500" w:lineRule="exact"/>
              <w:ind w:left="0" w:leftChars="0" w:right="0" w:rightChars="0" w:firstLine="88" w:firstLineChars="42"/>
              <w:jc w:val="left"/>
              <w:rPr>
                <w:rFonts w:ascii="宋体" w:hAnsi="宋体" w:cs="宋体"/>
                <w:bCs/>
                <w:color w:val="auto"/>
                <w:kern w:val="0"/>
                <w:szCs w:val="21"/>
                <w:highlight w:val="none"/>
              </w:rPr>
            </w:pPr>
            <w:r>
              <w:rPr>
                <w:rFonts w:hint="eastAsia" w:ascii="宋体" w:hAnsi="宋体" w:cs="宋体"/>
                <w:bCs/>
                <w:color w:val="auto"/>
                <w:kern w:val="0"/>
                <w:szCs w:val="21"/>
                <w:highlight w:val="none"/>
              </w:rPr>
              <w:t>网上递交的电子投标文件：一份。以投标人在投标截止时间前网上递交的电子投标文件为准，逾期提交的，投标文件将被拒绝。</w:t>
            </w:r>
          </w:p>
          <w:p w14:paraId="3FBE7964">
            <w:pPr>
              <w:widowControl/>
              <w:shd w:val="clear"/>
              <w:kinsoku/>
              <w:overflowPunct/>
              <w:bidi w:val="0"/>
              <w:spacing w:line="500" w:lineRule="exact"/>
              <w:ind w:left="0" w:leftChars="0" w:right="0" w:rightChars="0" w:firstLine="88" w:firstLineChars="42"/>
              <w:jc w:val="left"/>
              <w:rPr>
                <w:rFonts w:ascii="宋体" w:hAnsi="宋体" w:cs="宋体"/>
                <w:bCs/>
                <w:color w:val="auto"/>
                <w:szCs w:val="21"/>
                <w:highlight w:val="none"/>
              </w:rPr>
            </w:pPr>
            <w:r>
              <w:rPr>
                <w:rFonts w:hint="eastAsia" w:ascii="宋体" w:hAnsi="宋体" w:cs="宋体"/>
                <w:bCs/>
                <w:color w:val="auto"/>
                <w:kern w:val="0"/>
                <w:szCs w:val="21"/>
                <w:highlight w:val="none"/>
              </w:rPr>
              <w:t>（投标单位中标后须递交与网上电子投标文件完全一致的纸质版投标文件，并按要求加盖公章；份数：正本1份，副本2份；中标单位领取中标通知书时，一并递交给代理机构）</w:t>
            </w:r>
          </w:p>
        </w:tc>
      </w:tr>
      <w:tr w14:paraId="17D754A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6ACA9DC6">
            <w:pPr>
              <w:shd w:val="clear"/>
              <w:kinsoku/>
              <w:overflowPunct/>
              <w:bidi w:val="0"/>
              <w:spacing w:line="500" w:lineRule="exact"/>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25.2</w:t>
            </w:r>
          </w:p>
        </w:tc>
        <w:tc>
          <w:tcPr>
            <w:tcW w:w="2140" w:type="dxa"/>
            <w:gridSpan w:val="2"/>
            <w:vAlign w:val="center"/>
          </w:tcPr>
          <w:p w14:paraId="0BC1F218">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签字或盖章要求</w:t>
            </w:r>
          </w:p>
        </w:tc>
        <w:tc>
          <w:tcPr>
            <w:tcW w:w="6610" w:type="dxa"/>
            <w:vAlign w:val="center"/>
          </w:tcPr>
          <w:p w14:paraId="4A411634">
            <w:pPr>
              <w:widowControl/>
              <w:shd w:val="clear"/>
              <w:kinsoku/>
              <w:overflowPunct/>
              <w:bidi w:val="0"/>
              <w:spacing w:line="500" w:lineRule="exact"/>
              <w:ind w:left="0" w:leftChars="0" w:right="0" w:rightChars="0"/>
              <w:jc w:val="left"/>
              <w:rPr>
                <w:rFonts w:ascii="宋体" w:hAnsi="宋体" w:cs="宋体"/>
                <w:bCs/>
                <w:color w:val="auto"/>
                <w:kern w:val="0"/>
                <w:szCs w:val="21"/>
                <w:highlight w:val="none"/>
              </w:rPr>
            </w:pPr>
            <w:r>
              <w:rPr>
                <w:rFonts w:hint="eastAsia" w:ascii="宋体" w:hAnsi="宋体" w:cs="宋体"/>
                <w:bCs/>
                <w:color w:val="auto"/>
                <w:kern w:val="0"/>
                <w:szCs w:val="21"/>
                <w:highlight w:val="none"/>
              </w:rPr>
              <w:t>电子投标文件须按格式文件要求签字或盖章（电子签章），招标文件格式中要求“签章”部位，指电子签章或盖章后扫描上传均可。</w:t>
            </w:r>
          </w:p>
          <w:p w14:paraId="17393EAE">
            <w:pPr>
              <w:widowControl/>
              <w:shd w:val="clear"/>
              <w:kinsoku/>
              <w:overflowPunct/>
              <w:bidi w:val="0"/>
              <w:spacing w:line="500" w:lineRule="exact"/>
              <w:ind w:left="0" w:leftChars="0" w:right="0" w:rightChars="0" w:firstLine="88" w:firstLineChars="42"/>
              <w:jc w:val="left"/>
              <w:rPr>
                <w:rFonts w:ascii="宋体" w:hAnsi="宋体" w:cs="宋体"/>
                <w:bCs/>
                <w:color w:val="auto"/>
                <w:szCs w:val="21"/>
                <w:highlight w:val="none"/>
              </w:rPr>
            </w:pPr>
            <w:r>
              <w:rPr>
                <w:rFonts w:hint="eastAsia" w:ascii="宋体" w:hAnsi="宋体" w:cs="宋体"/>
                <w:bCs/>
                <w:color w:val="auto"/>
                <w:kern w:val="0"/>
                <w:szCs w:val="21"/>
                <w:highlight w:val="none"/>
              </w:rPr>
              <w:t>否则经评委会一致认定且经过招投标监管部门批准后，按照无效投标处理。</w:t>
            </w:r>
          </w:p>
        </w:tc>
      </w:tr>
      <w:tr w14:paraId="599EC6E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3" w:hRule="atLeast"/>
        </w:trPr>
        <w:tc>
          <w:tcPr>
            <w:tcW w:w="1048" w:type="dxa"/>
            <w:vAlign w:val="center"/>
          </w:tcPr>
          <w:p w14:paraId="44AD16E6">
            <w:pPr>
              <w:shd w:val="clear"/>
              <w:kinsoku/>
              <w:overflowPunct/>
              <w:bidi w:val="0"/>
              <w:spacing w:line="500" w:lineRule="exact"/>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26.1</w:t>
            </w:r>
          </w:p>
        </w:tc>
        <w:tc>
          <w:tcPr>
            <w:tcW w:w="2140" w:type="dxa"/>
            <w:gridSpan w:val="2"/>
            <w:vAlign w:val="center"/>
          </w:tcPr>
          <w:p w14:paraId="1B802058">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投标文件提交截止时间</w:t>
            </w:r>
          </w:p>
        </w:tc>
        <w:tc>
          <w:tcPr>
            <w:tcW w:w="6610" w:type="dxa"/>
            <w:vAlign w:val="center"/>
          </w:tcPr>
          <w:p w14:paraId="5C780016">
            <w:pPr>
              <w:shd w:val="clear"/>
              <w:kinsoku/>
              <w:overflow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网上递交投标文件截止时间：</w:t>
            </w:r>
            <w:r>
              <w:rPr>
                <w:rFonts w:hint="eastAsia" w:ascii="宋体" w:hAnsi="宋体" w:cs="宋体"/>
                <w:b/>
                <w:bCs/>
                <w:color w:val="auto"/>
                <w:szCs w:val="21"/>
                <w:highlight w:val="none"/>
              </w:rPr>
              <w:t>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19</w:t>
            </w:r>
            <w:r>
              <w:rPr>
                <w:rFonts w:hint="eastAsia" w:ascii="宋体" w:hAnsi="宋体" w:cs="宋体"/>
                <w:b/>
                <w:bCs/>
                <w:color w:val="auto"/>
                <w:szCs w:val="21"/>
                <w:highlight w:val="none"/>
              </w:rPr>
              <w:t>日8点</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0分（北京时间）</w:t>
            </w:r>
          </w:p>
          <w:p w14:paraId="5EE566BB">
            <w:pPr>
              <w:shd w:val="clear"/>
              <w:kinsoku/>
              <w:overflowPunct/>
              <w:bidi w:val="0"/>
              <w:spacing w:line="500" w:lineRule="exact"/>
              <w:ind w:left="0" w:leftChars="0" w:right="0" w:rightChars="0"/>
              <w:rPr>
                <w:rFonts w:ascii="宋体" w:hAnsi="宋体" w:cs="宋体"/>
                <w:bCs/>
                <w:color w:val="auto"/>
                <w:szCs w:val="21"/>
                <w:highlight w:val="none"/>
              </w:rPr>
            </w:pPr>
            <w:r>
              <w:rPr>
                <w:rFonts w:hint="eastAsia" w:ascii="宋体" w:hAnsi="宋体" w:cs="宋体"/>
                <w:b/>
                <w:color w:val="auto"/>
                <w:szCs w:val="21"/>
                <w:highlight w:val="none"/>
              </w:rPr>
              <w:t>注：以投标人在投标截止时间前网上递交的电子投标文件为准，逾期提交的，投标文件将被拒绝。</w:t>
            </w:r>
          </w:p>
          <w:p w14:paraId="1F419A8E">
            <w:pPr>
              <w:shd w:val="clear"/>
              <w:kinsoku/>
              <w:wordWrap w:val="0"/>
              <w:overflow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1.解密程序开始后60分钟内（以本项目网上招投标系统解密倒计时为准）。</w:t>
            </w:r>
          </w:p>
          <w:p w14:paraId="13C3425B">
            <w:pPr>
              <w:shd w:val="clear"/>
              <w:kinsoku/>
              <w:wordWrap w:val="0"/>
              <w:overflowPunct/>
              <w:bidi w:val="0"/>
              <w:spacing w:line="500" w:lineRule="exact"/>
              <w:ind w:left="0" w:leftChars="0" w:right="0" w:rightChars="0"/>
              <w:rPr>
                <w:rFonts w:ascii="宋体" w:hAnsi="宋体" w:cs="宋体"/>
                <w:color w:val="auto"/>
                <w:szCs w:val="21"/>
                <w:highlight w:val="none"/>
              </w:rPr>
            </w:pPr>
            <w:r>
              <w:rPr>
                <w:rFonts w:hint="eastAsia" w:ascii="宋体" w:hAnsi="宋体" w:cs="宋体"/>
                <w:b/>
                <w:bCs/>
                <w:color w:val="auto"/>
                <w:szCs w:val="21"/>
                <w:highlight w:val="none"/>
              </w:rPr>
              <w:t>2.解密时间为202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3月19</w:t>
            </w:r>
            <w:r>
              <w:rPr>
                <w:rFonts w:hint="eastAsia" w:ascii="宋体" w:hAnsi="宋体" w:cs="宋体"/>
                <w:b/>
                <w:bCs/>
                <w:color w:val="auto"/>
                <w:szCs w:val="21"/>
                <w:highlight w:val="none"/>
              </w:rPr>
              <w:t>日08点</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0分至202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19</w:t>
            </w:r>
            <w:r>
              <w:rPr>
                <w:rFonts w:hint="eastAsia" w:ascii="宋体" w:hAnsi="宋体" w:cs="宋体"/>
                <w:b/>
                <w:bCs/>
                <w:color w:val="auto"/>
                <w:szCs w:val="21"/>
                <w:highlight w:val="none"/>
              </w:rPr>
              <w:t>日09点</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0分。</w:t>
            </w:r>
          </w:p>
        </w:tc>
      </w:tr>
      <w:tr w14:paraId="6457DAB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73300F3E">
            <w:pPr>
              <w:shd w:val="clear"/>
              <w:kinsoku/>
              <w:overflowPunct/>
              <w:bidi w:val="0"/>
              <w:spacing w:line="500" w:lineRule="exact"/>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.1</w:t>
            </w:r>
          </w:p>
        </w:tc>
        <w:tc>
          <w:tcPr>
            <w:tcW w:w="2140" w:type="dxa"/>
            <w:gridSpan w:val="2"/>
            <w:vAlign w:val="center"/>
          </w:tcPr>
          <w:p w14:paraId="709C07EE">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开标时间及地点</w:t>
            </w:r>
          </w:p>
        </w:tc>
        <w:tc>
          <w:tcPr>
            <w:tcW w:w="6610" w:type="dxa"/>
            <w:vAlign w:val="center"/>
          </w:tcPr>
          <w:p w14:paraId="3B4243C9">
            <w:pPr>
              <w:shd w:val="clear"/>
              <w:kinsoku/>
              <w:overflowPunct/>
              <w:bidi w:val="0"/>
              <w:spacing w:line="500" w:lineRule="exact"/>
              <w:ind w:left="0" w:leftChars="0" w:right="0" w:rightChars="0"/>
              <w:rPr>
                <w:rFonts w:ascii="宋体" w:hAnsi="宋体" w:cs="宋体"/>
                <w:b/>
                <w:bCs/>
                <w:color w:val="auto"/>
                <w:szCs w:val="21"/>
                <w:highlight w:val="none"/>
              </w:rPr>
            </w:pPr>
            <w:r>
              <w:rPr>
                <w:rFonts w:hint="eastAsia" w:ascii="宋体" w:hAnsi="宋体" w:cs="宋体"/>
                <w:color w:val="auto"/>
                <w:szCs w:val="21"/>
                <w:highlight w:val="none"/>
              </w:rPr>
              <w:t>开标时间：</w:t>
            </w:r>
            <w:r>
              <w:rPr>
                <w:rFonts w:hint="eastAsia" w:ascii="宋体" w:hAnsi="宋体" w:cs="宋体"/>
                <w:b/>
                <w:bCs/>
                <w:color w:val="auto"/>
                <w:szCs w:val="21"/>
                <w:highlight w:val="none"/>
              </w:rPr>
              <w:t>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19</w:t>
            </w:r>
            <w:r>
              <w:rPr>
                <w:rFonts w:hint="eastAsia" w:ascii="宋体" w:hAnsi="宋体" w:cs="宋体"/>
                <w:b/>
                <w:bCs/>
                <w:color w:val="auto"/>
                <w:szCs w:val="21"/>
                <w:highlight w:val="none"/>
              </w:rPr>
              <w:t>日8点</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0分（北京时间）</w:t>
            </w:r>
          </w:p>
          <w:p w14:paraId="26DEB139">
            <w:pPr>
              <w:shd w:val="clear"/>
              <w:kinsoku/>
              <w:overflow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开标地点：滁州市公共资源交易中心(滁州市龙蟠大道109号房产商务大厦二楼)</w:t>
            </w:r>
          </w:p>
        </w:tc>
      </w:tr>
      <w:tr w14:paraId="229BAE2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48" w:type="dxa"/>
            <w:vAlign w:val="center"/>
          </w:tcPr>
          <w:p w14:paraId="23D477BC">
            <w:pPr>
              <w:shd w:val="clear"/>
              <w:kinsoku/>
              <w:overflowPunct/>
              <w:bidi w:val="0"/>
              <w:spacing w:line="500" w:lineRule="exact"/>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.3</w:t>
            </w:r>
          </w:p>
        </w:tc>
        <w:tc>
          <w:tcPr>
            <w:tcW w:w="2140" w:type="dxa"/>
            <w:gridSpan w:val="2"/>
            <w:vAlign w:val="center"/>
          </w:tcPr>
          <w:p w14:paraId="635C9873">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开标程序</w:t>
            </w:r>
          </w:p>
        </w:tc>
        <w:tc>
          <w:tcPr>
            <w:tcW w:w="6610" w:type="dxa"/>
            <w:vAlign w:val="center"/>
          </w:tcPr>
          <w:p w14:paraId="22E9F8E3">
            <w:pPr>
              <w:shd w:val="clear"/>
              <w:kinsoku/>
              <w:overflow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开标顺序：解密电子投标文件后，由评标委员会评审。</w:t>
            </w:r>
          </w:p>
        </w:tc>
      </w:tr>
      <w:tr w14:paraId="3FE1A22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4" w:hRule="atLeast"/>
        </w:trPr>
        <w:tc>
          <w:tcPr>
            <w:tcW w:w="1048" w:type="dxa"/>
            <w:vAlign w:val="center"/>
          </w:tcPr>
          <w:p w14:paraId="2D3D8EB3">
            <w:pPr>
              <w:pStyle w:val="18"/>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lang w:val="en-US" w:eastAsia="zh-CN"/>
              </w:rPr>
              <w:t>30</w:t>
            </w:r>
            <w:r>
              <w:rPr>
                <w:rFonts w:hint="eastAsia" w:hAnsi="宋体" w:cs="宋体"/>
                <w:color w:val="auto"/>
                <w:szCs w:val="21"/>
                <w:highlight w:val="none"/>
              </w:rPr>
              <w:t>.1</w:t>
            </w:r>
          </w:p>
        </w:tc>
        <w:tc>
          <w:tcPr>
            <w:tcW w:w="2140" w:type="dxa"/>
            <w:gridSpan w:val="2"/>
            <w:vAlign w:val="center"/>
          </w:tcPr>
          <w:p w14:paraId="16288688">
            <w:pPr>
              <w:pStyle w:val="18"/>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评标委员会的组建</w:t>
            </w:r>
          </w:p>
        </w:tc>
        <w:tc>
          <w:tcPr>
            <w:tcW w:w="6610" w:type="dxa"/>
          </w:tcPr>
          <w:p w14:paraId="68E2F1BB">
            <w:pPr>
              <w:shd w:val="clear"/>
              <w:kinsoku/>
              <w:overflow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评标委员会构成：</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人，专家评委</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人。</w:t>
            </w:r>
          </w:p>
          <w:p w14:paraId="34F16C6E">
            <w:pPr>
              <w:shd w:val="clear"/>
              <w:kinsoku/>
              <w:overflow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评标专家确定方式：专家评委由招标人在开标前从专家库中随机抽取。</w:t>
            </w:r>
          </w:p>
        </w:tc>
      </w:tr>
      <w:tr w14:paraId="3270FAE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4" w:hRule="atLeast"/>
        </w:trPr>
        <w:tc>
          <w:tcPr>
            <w:tcW w:w="1048" w:type="dxa"/>
            <w:vAlign w:val="center"/>
          </w:tcPr>
          <w:p w14:paraId="7FD839C2">
            <w:pPr>
              <w:pStyle w:val="18"/>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32.1.1</w:t>
            </w:r>
          </w:p>
        </w:tc>
        <w:tc>
          <w:tcPr>
            <w:tcW w:w="2140" w:type="dxa"/>
            <w:gridSpan w:val="2"/>
            <w:vAlign w:val="center"/>
          </w:tcPr>
          <w:p w14:paraId="3611B35F">
            <w:pPr>
              <w:pStyle w:val="18"/>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是否授权评标委员会确定中标候选人</w:t>
            </w:r>
          </w:p>
        </w:tc>
        <w:tc>
          <w:tcPr>
            <w:tcW w:w="6610" w:type="dxa"/>
            <w:vAlign w:val="center"/>
          </w:tcPr>
          <w:p w14:paraId="18B6EFAB">
            <w:pPr>
              <w:pStyle w:val="18"/>
              <w:shd w:val="clear"/>
              <w:kinsoku/>
              <w:overflowPunct/>
              <w:bidi w:val="0"/>
              <w:spacing w:line="500" w:lineRule="exact"/>
              <w:ind w:left="0" w:leftChars="0" w:right="0" w:rightChars="0"/>
              <w:rPr>
                <w:rFonts w:hAnsi="宋体" w:cs="宋体"/>
                <w:color w:val="auto"/>
                <w:szCs w:val="21"/>
                <w:highlight w:val="none"/>
              </w:rPr>
            </w:pPr>
            <w:r>
              <w:rPr>
                <w:rFonts w:hint="eastAsia" w:hAnsi="宋体" w:cs="宋体"/>
                <w:color w:val="auto"/>
                <w:szCs w:val="21"/>
                <w:highlight w:val="none"/>
              </w:rPr>
              <w:t>是，评标委员会推荐3名中标候选人。</w:t>
            </w:r>
          </w:p>
        </w:tc>
      </w:tr>
      <w:tr w14:paraId="087BE1B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5" w:hRule="atLeast"/>
        </w:trPr>
        <w:tc>
          <w:tcPr>
            <w:tcW w:w="1048" w:type="dxa"/>
            <w:vAlign w:val="center"/>
          </w:tcPr>
          <w:p w14:paraId="6FAB7660">
            <w:pPr>
              <w:pStyle w:val="18"/>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32.1.2</w:t>
            </w:r>
          </w:p>
        </w:tc>
        <w:tc>
          <w:tcPr>
            <w:tcW w:w="2140" w:type="dxa"/>
            <w:gridSpan w:val="2"/>
            <w:vAlign w:val="center"/>
          </w:tcPr>
          <w:p w14:paraId="3DADEB85">
            <w:pPr>
              <w:pStyle w:val="18"/>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中标结果公告媒介及期限</w:t>
            </w:r>
          </w:p>
        </w:tc>
        <w:tc>
          <w:tcPr>
            <w:tcW w:w="6610" w:type="dxa"/>
          </w:tcPr>
          <w:p w14:paraId="1613262A">
            <w:pPr>
              <w:pStyle w:val="18"/>
              <w:shd w:val="clear"/>
              <w:kinsoku/>
              <w:overflowPunct/>
              <w:bidi w:val="0"/>
              <w:spacing w:line="500" w:lineRule="exact"/>
              <w:ind w:left="0" w:leftChars="0" w:right="0" w:rightChars="0"/>
              <w:rPr>
                <w:rFonts w:hAnsi="宋体" w:cs="宋体"/>
                <w:color w:val="auto"/>
                <w:szCs w:val="21"/>
                <w:highlight w:val="none"/>
              </w:rPr>
            </w:pPr>
            <w:r>
              <w:rPr>
                <w:rFonts w:hint="eastAsia" w:hAnsi="宋体" w:cs="宋体"/>
                <w:color w:val="auto"/>
                <w:szCs w:val="21"/>
                <w:highlight w:val="none"/>
              </w:rPr>
              <w:t>公示媒介：同招标公告发布媒介</w:t>
            </w:r>
          </w:p>
          <w:p w14:paraId="68C4AE0F">
            <w:pPr>
              <w:pStyle w:val="18"/>
              <w:shd w:val="clear"/>
              <w:kinsoku/>
              <w:overflowPunct/>
              <w:bidi w:val="0"/>
              <w:spacing w:line="500" w:lineRule="exact"/>
              <w:ind w:left="0" w:leftChars="0" w:right="0" w:rightChars="0"/>
              <w:rPr>
                <w:rFonts w:hAnsi="宋体" w:cs="宋体"/>
                <w:color w:val="auto"/>
                <w:spacing w:val="-4"/>
                <w:szCs w:val="21"/>
                <w:highlight w:val="none"/>
              </w:rPr>
            </w:pPr>
            <w:r>
              <w:rPr>
                <w:rFonts w:hint="eastAsia" w:hAnsi="宋体" w:cs="宋体"/>
                <w:color w:val="auto"/>
                <w:szCs w:val="21"/>
                <w:highlight w:val="none"/>
              </w:rPr>
              <w:t>公示期限：公示发布次日起3日（如公示第三日为休息日或节假日，则顺延至休息日或节假日后第一个工作日）</w:t>
            </w:r>
          </w:p>
        </w:tc>
      </w:tr>
      <w:tr w14:paraId="04BA0F5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1048" w:type="dxa"/>
            <w:vMerge w:val="restart"/>
            <w:vAlign w:val="center"/>
          </w:tcPr>
          <w:p w14:paraId="535896C1">
            <w:pPr>
              <w:shd w:val="clear"/>
              <w:kinsoku/>
              <w:overflowPunct/>
              <w:bidi w:val="0"/>
              <w:spacing w:line="500" w:lineRule="exact"/>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32.2</w:t>
            </w:r>
          </w:p>
        </w:tc>
        <w:tc>
          <w:tcPr>
            <w:tcW w:w="2140" w:type="dxa"/>
            <w:gridSpan w:val="2"/>
            <w:vAlign w:val="center"/>
          </w:tcPr>
          <w:p w14:paraId="06AD6C76">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中标通知书</w:t>
            </w:r>
          </w:p>
        </w:tc>
        <w:tc>
          <w:tcPr>
            <w:tcW w:w="6610" w:type="dxa"/>
            <w:vAlign w:val="center"/>
          </w:tcPr>
          <w:p w14:paraId="4C74179E">
            <w:pPr>
              <w:shd w:val="clear"/>
              <w:kinsoku/>
              <w:overflow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中标通知书须加盖公共资源交易中心见证章后方可发出。</w:t>
            </w:r>
          </w:p>
        </w:tc>
      </w:tr>
      <w:tr w14:paraId="212F3A9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1048" w:type="dxa"/>
            <w:vMerge w:val="continue"/>
            <w:vAlign w:val="center"/>
          </w:tcPr>
          <w:p w14:paraId="03EF91E2">
            <w:pPr>
              <w:shd w:val="clear"/>
              <w:kinsoku/>
              <w:overflowPunct/>
              <w:bidi w:val="0"/>
              <w:spacing w:line="500" w:lineRule="exact"/>
              <w:ind w:left="0" w:leftChars="0" w:right="0" w:rightChars="0"/>
              <w:jc w:val="center"/>
              <w:rPr>
                <w:rFonts w:ascii="宋体" w:hAnsi="宋体" w:cs="宋体"/>
                <w:color w:val="auto"/>
                <w:szCs w:val="21"/>
                <w:highlight w:val="none"/>
              </w:rPr>
            </w:pPr>
          </w:p>
        </w:tc>
        <w:tc>
          <w:tcPr>
            <w:tcW w:w="2140" w:type="dxa"/>
            <w:gridSpan w:val="2"/>
            <w:vAlign w:val="center"/>
          </w:tcPr>
          <w:p w14:paraId="7F6EACAA">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中标通知书发出形式</w:t>
            </w:r>
          </w:p>
        </w:tc>
        <w:tc>
          <w:tcPr>
            <w:tcW w:w="6610" w:type="dxa"/>
            <w:vAlign w:val="center"/>
          </w:tcPr>
          <w:p w14:paraId="4D5A5D59">
            <w:pPr>
              <w:shd w:val="clear"/>
              <w:kinsoku/>
              <w:overflow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数据电文</w:t>
            </w:r>
          </w:p>
        </w:tc>
      </w:tr>
      <w:tr w14:paraId="1103FD5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4" w:hRule="atLeast"/>
        </w:trPr>
        <w:tc>
          <w:tcPr>
            <w:tcW w:w="1048" w:type="dxa"/>
            <w:vAlign w:val="center"/>
          </w:tcPr>
          <w:p w14:paraId="28EC94C4">
            <w:pPr>
              <w:shd w:val="clear"/>
              <w:kinsoku/>
              <w:overflowPunct/>
              <w:bidi w:val="0"/>
              <w:spacing w:line="500" w:lineRule="exact"/>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36.1</w:t>
            </w:r>
          </w:p>
        </w:tc>
        <w:tc>
          <w:tcPr>
            <w:tcW w:w="2140" w:type="dxa"/>
            <w:gridSpan w:val="2"/>
            <w:vAlign w:val="center"/>
          </w:tcPr>
          <w:p w14:paraId="4657A689">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履约担保</w:t>
            </w:r>
          </w:p>
        </w:tc>
        <w:tc>
          <w:tcPr>
            <w:tcW w:w="6610" w:type="dxa"/>
            <w:vAlign w:val="center"/>
          </w:tcPr>
          <w:p w14:paraId="77A32535">
            <w:pPr>
              <w:shd w:val="clear"/>
              <w:tabs>
                <w:tab w:val="left" w:pos="5034"/>
              </w:tabs>
              <w:kinsoku/>
              <w:overflowPunct/>
              <w:bidi w:val="0"/>
              <w:spacing w:line="500" w:lineRule="exact"/>
              <w:ind w:left="0" w:leftChars="0" w:right="0" w:rightChars="0"/>
              <w:rPr>
                <w:rFonts w:hint="eastAsia" w:ascii="宋体" w:hAnsi="宋体" w:cs="宋体"/>
                <w:color w:val="auto"/>
                <w:szCs w:val="21"/>
                <w:highlight w:val="none"/>
              </w:rPr>
            </w:pPr>
            <w:r>
              <w:rPr>
                <w:rFonts w:hint="eastAsia" w:ascii="宋体" w:hAnsi="宋体" w:cs="宋体"/>
                <w:color w:val="auto"/>
                <w:szCs w:val="21"/>
                <w:highlight w:val="none"/>
              </w:rPr>
              <w:t>是否收取履约担保：收取</w:t>
            </w:r>
          </w:p>
          <w:p w14:paraId="54722B3D">
            <w:pPr>
              <w:shd w:val="clear"/>
              <w:kinsoku/>
              <w:overflow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 xml:space="preserve">履约担保的形式：支持银行转账、银行电汇、银行保函、担保机构担保、保证保险使用 </w:t>
            </w:r>
          </w:p>
          <w:p w14:paraId="6619AA7E">
            <w:pPr>
              <w:shd w:val="clear"/>
              <w:kinsoku/>
              <w:overflow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履约担保的金额：</w:t>
            </w:r>
            <w:r>
              <w:rPr>
                <w:rFonts w:hint="eastAsia" w:ascii="Times New Roman" w:hAnsi="Times New Roman" w:eastAsia="宋体" w:cs="Times New Roman"/>
                <w:color w:val="auto"/>
                <w:highlight w:val="none"/>
              </w:rPr>
              <w:t>中标</w:t>
            </w:r>
            <w:r>
              <w:rPr>
                <w:rFonts w:hint="eastAsia" w:ascii="Times New Roman" w:hAnsi="Times New Roman" w:eastAsia="宋体" w:cs="Times New Roman"/>
                <w:color w:val="auto"/>
                <w:highlight w:val="none"/>
                <w:lang w:val="en-US" w:eastAsia="zh-CN"/>
              </w:rPr>
              <w:t>单价</w:t>
            </w:r>
            <w:r>
              <w:rPr>
                <w:rFonts w:hint="eastAsia" w:ascii="Times New Roman" w:hAnsi="Times New Roman" w:eastAsia="宋体" w:cs="Times New Roman"/>
                <w:color w:val="auto"/>
                <w:highlight w:val="none"/>
              </w:rPr>
              <w:t>×</w:t>
            </w:r>
            <w:r>
              <w:rPr>
                <w:rFonts w:hint="eastAsia" w:cs="Times New Roman"/>
                <w:color w:val="auto"/>
                <w:highlight w:val="none"/>
                <w:lang w:val="en-US" w:eastAsia="zh-CN"/>
              </w:rPr>
              <w:t>29990</w:t>
            </w:r>
            <w:r>
              <w:rPr>
                <w:rFonts w:hint="eastAsia" w:ascii="Times New Roman" w:hAnsi="Times New Roman" w:eastAsia="宋体" w:cs="Times New Roman"/>
                <w:color w:val="auto"/>
                <w:highlight w:val="none"/>
                <w:lang w:val="en-US" w:eastAsia="zh-CN"/>
              </w:rPr>
              <w:t>千伏安</w:t>
            </w: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rPr>
              <w:t>%，取整到千位</w:t>
            </w:r>
          </w:p>
          <w:p w14:paraId="69A64EDF">
            <w:pPr>
              <w:shd w:val="clear"/>
              <w:kinsoku/>
              <w:overflow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收款单位：另行通知</w:t>
            </w:r>
          </w:p>
          <w:p w14:paraId="0D4B14F3">
            <w:pPr>
              <w:shd w:val="clear"/>
              <w:kinsoku/>
              <w:overflow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开户行、账号：另行通知</w:t>
            </w:r>
          </w:p>
          <w:p w14:paraId="05F997DC">
            <w:pPr>
              <w:shd w:val="clear"/>
              <w:kinsoku/>
              <w:overflow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缴纳时间：签订合同前缴纳。</w:t>
            </w:r>
          </w:p>
          <w:p w14:paraId="00C3B141">
            <w:pPr>
              <w:shd w:val="clear"/>
              <w:kinsoku/>
              <w:overflowPunct/>
              <w:bidi w:val="0"/>
              <w:spacing w:line="500" w:lineRule="exact"/>
              <w:ind w:left="0" w:leftChars="0" w:right="0" w:rightChars="0" w:firstLine="0"/>
              <w:rPr>
                <w:rFonts w:hint="eastAsia" w:ascii="宋体" w:hAnsi="宋体" w:cs="宋体"/>
                <w:color w:val="auto"/>
                <w:szCs w:val="21"/>
                <w:highlight w:val="none"/>
              </w:rPr>
            </w:pPr>
            <w:r>
              <w:rPr>
                <w:rFonts w:hint="eastAsia" w:ascii="宋体" w:hAnsi="宋体" w:cs="宋体"/>
                <w:color w:val="auto"/>
                <w:szCs w:val="21"/>
                <w:highlight w:val="none"/>
              </w:rPr>
              <w:t>履约保证金退还方式：</w:t>
            </w:r>
            <w:r>
              <w:rPr>
                <w:rFonts w:hint="eastAsia" w:ascii="宋体" w:hAnsi="宋体" w:eastAsia="宋体" w:cs="宋体"/>
                <w:color w:val="auto"/>
                <w:sz w:val="21"/>
                <w:szCs w:val="21"/>
                <w:highlight w:val="none"/>
              </w:rPr>
              <w:t>履约保证金在</w:t>
            </w:r>
            <w:r>
              <w:rPr>
                <w:rFonts w:hint="eastAsia" w:ascii="宋体" w:hAnsi="宋体" w:eastAsia="宋体" w:cs="宋体"/>
                <w:b w:val="0"/>
                <w:i w:val="0"/>
                <w:color w:val="auto"/>
                <w:sz w:val="21"/>
                <w:szCs w:val="21"/>
                <w:highlight w:val="none"/>
                <w:u w:val="none"/>
              </w:rPr>
              <w:t>合同</w:t>
            </w:r>
            <w:r>
              <w:rPr>
                <w:rFonts w:hint="eastAsia" w:ascii="宋体" w:hAnsi="宋体" w:eastAsia="宋体" w:cs="宋体"/>
                <w:color w:val="auto"/>
                <w:sz w:val="21"/>
                <w:szCs w:val="21"/>
                <w:highlight w:val="none"/>
              </w:rPr>
              <w:t>约定期间内不予退还或者应完全有效，</w:t>
            </w:r>
            <w:r>
              <w:rPr>
                <w:rFonts w:hint="eastAsia" w:ascii="宋体" w:hAnsi="宋体" w:cs="宋体"/>
                <w:color w:val="auto"/>
                <w:sz w:val="21"/>
                <w:szCs w:val="21"/>
                <w:highlight w:val="none"/>
                <w:lang w:val="en-US" w:eastAsia="zh-CN"/>
              </w:rPr>
              <w:t>合同</w:t>
            </w:r>
            <w:r>
              <w:rPr>
                <w:rFonts w:hint="eastAsia" w:ascii="宋体" w:hAnsi="宋体" w:eastAsia="宋体" w:cs="宋体"/>
                <w:color w:val="auto"/>
                <w:sz w:val="21"/>
                <w:szCs w:val="21"/>
                <w:highlight w:val="none"/>
              </w:rPr>
              <w:t>约定期间届满之日起</w:t>
            </w:r>
            <w:r>
              <w:rPr>
                <w:rFonts w:hint="eastAsia" w:ascii="宋体" w:hAnsi="宋体" w:eastAsia="宋体" w:cs="宋体"/>
                <w:color w:val="auto"/>
                <w:sz w:val="21"/>
                <w:szCs w:val="21"/>
                <w:highlight w:val="none"/>
                <w:u w:val="none"/>
                <w:lang w:val="en-US" w:eastAsia="zh-CN"/>
              </w:rPr>
              <w:t>5</w:t>
            </w:r>
            <w:r>
              <w:rPr>
                <w:rFonts w:hint="eastAsia" w:ascii="宋体" w:hAnsi="宋体" w:eastAsia="宋体" w:cs="宋体"/>
                <w:color w:val="auto"/>
                <w:sz w:val="21"/>
                <w:szCs w:val="21"/>
                <w:highlight w:val="none"/>
              </w:rPr>
              <w:t>个工作日内，甲方应将履约保证金退还乙方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逾期退还履约保证金</w:t>
            </w:r>
            <w:r>
              <w:rPr>
                <w:rFonts w:hint="eastAsia" w:ascii="宋体" w:hAnsi="宋体" w:eastAsia="宋体" w:cs="宋体"/>
                <w:color w:val="auto"/>
                <w:sz w:val="21"/>
                <w:szCs w:val="21"/>
                <w:highlight w:val="none"/>
                <w:lang w:val="en-US" w:eastAsia="zh-CN"/>
              </w:rPr>
              <w:t>应承担违约责任。</w:t>
            </w:r>
          </w:p>
          <w:p w14:paraId="31985C20">
            <w:pPr>
              <w:shd w:val="clear"/>
              <w:kinsoku/>
              <w:overflowPunct/>
              <w:bidi w:val="0"/>
              <w:spacing w:line="500" w:lineRule="exact"/>
              <w:ind w:left="0" w:leftChars="0" w:right="0" w:rightChars="0"/>
              <w:rPr>
                <w:color w:val="auto"/>
                <w:highlight w:val="none"/>
              </w:rPr>
            </w:pPr>
            <w:r>
              <w:rPr>
                <w:rFonts w:hint="eastAsia" w:ascii="宋体" w:hAnsi="宋体" w:cs="宋体"/>
                <w:color w:val="auto"/>
                <w:szCs w:val="21"/>
                <w:highlight w:val="none"/>
              </w:rPr>
              <w:t>其他相关要求：保函内容及格式等均须经招标人认可。</w:t>
            </w:r>
          </w:p>
        </w:tc>
      </w:tr>
      <w:tr w14:paraId="350F857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8" w:hRule="atLeast"/>
        </w:trPr>
        <w:tc>
          <w:tcPr>
            <w:tcW w:w="1926" w:type="dxa"/>
            <w:gridSpan w:val="2"/>
            <w:vAlign w:val="center"/>
          </w:tcPr>
          <w:p w14:paraId="69F3AB5C">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付款方式、时间、条件</w:t>
            </w:r>
          </w:p>
        </w:tc>
        <w:tc>
          <w:tcPr>
            <w:tcW w:w="7872" w:type="dxa"/>
            <w:gridSpan w:val="2"/>
            <w:vAlign w:val="center"/>
          </w:tcPr>
          <w:p w14:paraId="724CF7CE">
            <w:pPr>
              <w:kinsoku/>
              <w:overflowPunct/>
              <w:topLinePunct/>
              <w:bidi w:val="0"/>
              <w:spacing w:line="500" w:lineRule="exact"/>
              <w:ind w:left="0" w:leftChars="0" w:right="0" w:rightChars="0" w:firstLine="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季度款：按巡检维护场站数量及变压器的总容量确定总结算费用，以总结算费用除以巡检维护次数（共四次，不含预防性试验）按季度付款，每次巡检维护结束后，10个工作日内提交书面《季度巡检维护报告》，甲方向乙方支付对应场站总结算费用的20%；（如新增项目因合同时效性未能达到四次巡检维护，按单个场站总结算费用除以四次巡检维护计算每</w:t>
            </w:r>
            <w:r>
              <w:rPr>
                <w:rFonts w:hint="eastAsia" w:ascii="宋体" w:hAnsi="宋体" w:cs="宋体"/>
                <w:b w:val="0"/>
                <w:bCs w:val="0"/>
                <w:color w:val="auto"/>
                <w:sz w:val="21"/>
                <w:szCs w:val="21"/>
                <w:highlight w:val="none"/>
                <w:lang w:val="en-US" w:eastAsia="zh-CN"/>
              </w:rPr>
              <w:t>次</w:t>
            </w:r>
            <w:r>
              <w:rPr>
                <w:rFonts w:hint="eastAsia" w:ascii="宋体" w:hAnsi="宋体" w:eastAsia="宋体" w:cs="宋体"/>
                <w:b w:val="0"/>
                <w:bCs w:val="0"/>
                <w:color w:val="auto"/>
                <w:sz w:val="21"/>
                <w:szCs w:val="21"/>
                <w:highlight w:val="none"/>
                <w:lang w:val="en-US" w:eastAsia="zh-CN"/>
              </w:rPr>
              <w:t>结算金额，按实际巡检维护次数据实付款）</w:t>
            </w:r>
          </w:p>
          <w:p w14:paraId="5E83F1BA">
            <w:pPr>
              <w:kinsoku/>
              <w:overflowPunct/>
              <w:topLinePunct/>
              <w:bidi w:val="0"/>
              <w:spacing w:line="500" w:lineRule="exact"/>
              <w:ind w:left="0" w:leftChars="0" w:right="0" w:rightChars="0" w:firstLine="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尾款：年度服务期满，乙方完成全部服务并提交《预防性试验报告》、《年度巡检维护报告》经甲方验收合格后15个工作日内，甲方向乙方支付剩余20%费用。</w:t>
            </w:r>
          </w:p>
          <w:p w14:paraId="52337F9C">
            <w:pPr>
              <w:kinsoku/>
              <w:overflowPunct/>
              <w:topLinePunct/>
              <w:bidi w:val="0"/>
              <w:spacing w:line="500" w:lineRule="exact"/>
              <w:ind w:left="0" w:leftChars="0" w:right="0" w:rightChars="0" w:firstLine="0"/>
              <w:rPr>
                <w:color w:val="auto"/>
                <w:highlight w:val="none"/>
              </w:rPr>
            </w:pPr>
            <w:r>
              <w:rPr>
                <w:rFonts w:hint="eastAsia" w:ascii="宋体" w:hAnsi="宋体" w:eastAsia="宋体" w:cs="宋体"/>
                <w:b w:val="0"/>
                <w:bCs w:val="0"/>
                <w:color w:val="auto"/>
                <w:sz w:val="21"/>
                <w:szCs w:val="21"/>
                <w:highlight w:val="none"/>
                <w:lang w:val="en-US" w:eastAsia="zh-CN"/>
              </w:rPr>
              <w:t>乙方每次申请付款前，需向甲方提供合法有效的增值税专用发票，甲方收到发票后按上述约定付款</w:t>
            </w:r>
            <w:r>
              <w:rPr>
                <w:rFonts w:hint="eastAsia" w:ascii="宋体" w:hAnsi="宋体" w:eastAsia="宋体" w:cs="宋体"/>
                <w:b w:val="0"/>
                <w:bCs w:val="0"/>
                <w:color w:val="auto"/>
                <w:sz w:val="21"/>
                <w:szCs w:val="21"/>
                <w:highlight w:val="none"/>
              </w:rPr>
              <w:t>。</w:t>
            </w:r>
          </w:p>
        </w:tc>
      </w:tr>
      <w:tr w14:paraId="124A765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vAlign w:val="center"/>
          </w:tcPr>
          <w:p w14:paraId="7F6263EB">
            <w:pPr>
              <w:shd w:val="clear"/>
              <w:kinsoku/>
              <w:overflow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招标文件获取方式和时间</w:t>
            </w:r>
          </w:p>
        </w:tc>
        <w:tc>
          <w:tcPr>
            <w:tcW w:w="7872" w:type="dxa"/>
            <w:gridSpan w:val="2"/>
          </w:tcPr>
          <w:p w14:paraId="49B30DF1">
            <w:pPr>
              <w:shd w:val="clear"/>
              <w:kinsoku/>
              <w:overflowPunct/>
              <w:topLine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招标文件获取方式：网上下载；</w:t>
            </w:r>
          </w:p>
          <w:p w14:paraId="51CA73C8">
            <w:pPr>
              <w:shd w:val="clear"/>
              <w:kinsoku/>
              <w:overflowPunct/>
              <w:topLine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获取时间：招标文件发布至投标截止时间。</w:t>
            </w:r>
          </w:p>
        </w:tc>
      </w:tr>
      <w:tr w14:paraId="32F4841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03D6F160">
            <w:pPr>
              <w:shd w:val="clear"/>
              <w:kinsoku/>
              <w:overflowPunct/>
              <w:bidi w:val="0"/>
              <w:adjustRightInd w:val="0"/>
              <w:snapToGrid w:val="0"/>
              <w:spacing w:line="500" w:lineRule="exact"/>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投诉</w:t>
            </w:r>
          </w:p>
        </w:tc>
        <w:tc>
          <w:tcPr>
            <w:tcW w:w="7872" w:type="dxa"/>
            <w:gridSpan w:val="2"/>
            <w:shd w:val="clear" w:color="auto" w:fill="auto"/>
          </w:tcPr>
          <w:p w14:paraId="21F93238">
            <w:pPr>
              <w:keepNext w:val="0"/>
              <w:keepLines w:val="0"/>
              <w:pageBreakBefore w:val="0"/>
              <w:widowControl w:val="0"/>
              <w:shd w:val="clear"/>
              <w:kinsoku/>
              <w:wordWrap w:val="0"/>
              <w:overflowPunct/>
              <w:topLinePunct w:val="0"/>
              <w:autoSpaceDE/>
              <w:autoSpaceDN/>
              <w:bidi w:val="0"/>
              <w:adjustRightInd w:val="0"/>
              <w:snapToGrid w:val="0"/>
              <w:spacing w:line="500" w:lineRule="exact"/>
              <w:ind w:left="0" w:leftChars="0" w:right="0" w:rightChars="0"/>
              <w:textAlignment w:val="auto"/>
              <w:rPr>
                <w:rFonts w:ascii="宋体" w:hAnsi="宋体" w:cs="宋体"/>
                <w:color w:val="auto"/>
                <w:szCs w:val="21"/>
                <w:highlight w:val="none"/>
              </w:rPr>
            </w:pPr>
            <w:r>
              <w:rPr>
                <w:rFonts w:hint="eastAsia" w:ascii="宋体" w:hAnsi="宋体" w:cs="宋体"/>
                <w:color w:val="auto"/>
                <w:szCs w:val="21"/>
                <w:highlight w:val="none"/>
              </w:rPr>
              <w:t xml:space="preserve">投标人或者其他利害关系人认为招标投标活动违反法律、法规和规章规定的，有权向相关行政监督部门投诉。在线投诉具体步骤和程序请参照服务指南&gt;投诉渠道 </w:t>
            </w:r>
            <w:r>
              <w:rPr>
                <w:color w:val="auto"/>
                <w:highlight w:val="none"/>
              </w:rPr>
              <w:fldChar w:fldCharType="begin"/>
            </w:r>
            <w:r>
              <w:rPr>
                <w:color w:val="auto"/>
                <w:highlight w:val="none"/>
              </w:rPr>
              <w:instrText xml:space="preserve"> HYPERLINK "https://ggzy.chuzhou.gov.cn/fwzn/011001/serviceGuide.html" </w:instrText>
            </w:r>
            <w:r>
              <w:rPr>
                <w:color w:val="auto"/>
                <w:highlight w:val="none"/>
              </w:rPr>
              <w:fldChar w:fldCharType="separate"/>
            </w:r>
            <w:r>
              <w:rPr>
                <w:rFonts w:hint="eastAsia" w:ascii="宋体" w:hAnsi="宋体" w:cs="宋体"/>
                <w:color w:val="auto"/>
                <w:szCs w:val="21"/>
                <w:highlight w:val="none"/>
              </w:rPr>
              <w:t>https://ggzy.chuzhou.gov.cn/fwzn/011001/serviceGuide.html</w:t>
            </w:r>
            <w:r>
              <w:rPr>
                <w:rFonts w:hint="eastAsia" w:ascii="宋体" w:hAnsi="宋体" w:cs="宋体"/>
                <w:color w:val="auto"/>
                <w:szCs w:val="21"/>
                <w:highlight w:val="none"/>
              </w:rPr>
              <w:fldChar w:fldCharType="end"/>
            </w:r>
            <w:r>
              <w:rPr>
                <w:rFonts w:hint="eastAsia" w:ascii="宋体" w:hAnsi="宋体" w:cs="宋体"/>
                <w:color w:val="auto"/>
                <w:szCs w:val="21"/>
                <w:highlight w:val="none"/>
              </w:rPr>
              <w:t>；投诉书格式等内容参见服务指南&gt;办事指南&gt;投标人服务&gt;投诉受理一次告知书https://ggzy.chuzhou.gov.cn/fwzn/011001/011001001/011001001003/20211022/4b7d87ec-2c58-49b0-b76c-3a6277377930.html。</w:t>
            </w:r>
          </w:p>
        </w:tc>
      </w:tr>
      <w:tr w14:paraId="7C2EC7F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5160489A">
            <w:pPr>
              <w:widowControl/>
              <w:shd w:val="clear"/>
              <w:kinsoku/>
              <w:overflowPunct/>
              <w:bidi w:val="0"/>
              <w:spacing w:line="500" w:lineRule="exact"/>
              <w:ind w:left="0" w:leftChars="0" w:right="0" w:rightChars="0"/>
              <w:jc w:val="center"/>
              <w:rPr>
                <w:rFonts w:ascii="宋体" w:hAnsi="宋体" w:cs="宋体"/>
                <w:color w:val="auto"/>
                <w:kern w:val="0"/>
                <w:szCs w:val="21"/>
                <w:highlight w:val="none"/>
              </w:rPr>
            </w:pPr>
            <w:r>
              <w:rPr>
                <w:rFonts w:hint="eastAsia" w:ascii="宋体" w:hAnsi="宋体" w:cs="宋体"/>
                <w:color w:val="auto"/>
                <w:kern w:val="0"/>
                <w:szCs w:val="21"/>
                <w:highlight w:val="none"/>
              </w:rPr>
              <w:t>特别提示</w:t>
            </w:r>
          </w:p>
        </w:tc>
        <w:tc>
          <w:tcPr>
            <w:tcW w:w="7872" w:type="dxa"/>
            <w:gridSpan w:val="2"/>
            <w:shd w:val="clear" w:color="auto" w:fill="auto"/>
          </w:tcPr>
          <w:p w14:paraId="0CE7D24C">
            <w:pPr>
              <w:shd w:val="clear"/>
              <w:kinsoku/>
              <w:overflowPunct/>
              <w:bidi w:val="0"/>
              <w:snapToGrid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1.本项目投标保证金、履约保证金、工程质量保证金、农民工工资保证金均支持保函使用。以现金形式提交保证金的，应当同时退还保证金本金和银行同期存款利息。</w:t>
            </w:r>
          </w:p>
          <w:p w14:paraId="7774D593">
            <w:pPr>
              <w:shd w:val="clear"/>
              <w:kinsoku/>
              <w:overflowPunct/>
              <w:bidi w:val="0"/>
              <w:snapToGrid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2.投标人应填写投标信息并下载招标文件，否则无法上传投标文件。</w:t>
            </w:r>
          </w:p>
          <w:p w14:paraId="54897A0E">
            <w:pPr>
              <w:keepNext w:val="0"/>
              <w:keepLines w:val="0"/>
              <w:pageBreakBefore w:val="0"/>
              <w:widowControl w:val="0"/>
              <w:shd w:val="clear"/>
              <w:kinsoku/>
              <w:wordWrap w:val="0"/>
              <w:overflowPunct/>
              <w:topLinePunct w:val="0"/>
              <w:autoSpaceDE/>
              <w:autoSpaceDN/>
              <w:bidi w:val="0"/>
              <w:adjustRightInd/>
              <w:snapToGrid w:val="0"/>
              <w:spacing w:line="500" w:lineRule="exact"/>
              <w:ind w:left="0" w:leftChars="0" w:right="0" w:rightChars="0"/>
              <w:textAlignment w:val="auto"/>
              <w:rPr>
                <w:rFonts w:ascii="宋体" w:hAnsi="宋体" w:cs="宋体"/>
                <w:color w:val="auto"/>
                <w:szCs w:val="21"/>
                <w:highlight w:val="none"/>
              </w:rPr>
            </w:pPr>
            <w:r>
              <w:rPr>
                <w:rFonts w:hint="eastAsia" w:ascii="宋体" w:hAnsi="宋体" w:cs="宋体"/>
                <w:color w:val="auto"/>
                <w:szCs w:val="21"/>
                <w:highlight w:val="none"/>
              </w:rPr>
              <w:t>3.本项目采用电子招标投标，请投标人在滁州市公共资源交易中心网站&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4009980000。</w:t>
            </w:r>
          </w:p>
          <w:p w14:paraId="094FC6E9">
            <w:pPr>
              <w:shd w:val="clear"/>
              <w:kinsoku/>
              <w:overflowPunct/>
              <w:bidi w:val="0"/>
              <w:snapToGrid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4.如果过程中出现招标文件更改，应以最后发布的招标答疑澄清文件中的模板制作本项目最新投标文件。</w:t>
            </w:r>
          </w:p>
          <w:p w14:paraId="2ED41B45">
            <w:pPr>
              <w:shd w:val="clear"/>
              <w:kinsoku/>
              <w:overflowPunct/>
              <w:bidi w:val="0"/>
              <w:snapToGrid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 xml:space="preserve">5.投标人应当用本单位CA数字证书制作投标文件，制作成功后进行投标文件上传。 </w:t>
            </w:r>
          </w:p>
          <w:p w14:paraId="41C0FD31">
            <w:pPr>
              <w:shd w:val="clear"/>
              <w:kinsoku/>
              <w:overflowPunct/>
              <w:bidi w:val="0"/>
              <w:snapToGrid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6.投标人须用CA数字证书盖章和加密投标文件，建议使用主锁。（如未办理CA数字证书请及时办理，网上办理和窗口办理均可。查看办理所需资料请登录滁州市公共资源交易中心网站&gt;服务指南&gt;办事指南&gt;CA数字证书和电子签章。因未及时办理CA数字证书手续导致无法投标的，责任自负）</w:t>
            </w:r>
          </w:p>
          <w:p w14:paraId="590A664F">
            <w:pPr>
              <w:shd w:val="clear"/>
              <w:kinsoku/>
              <w:overflowPunct/>
              <w:bidi w:val="0"/>
              <w:snapToGrid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7.请投标人注意加密投标文件CA数字证书的有效期，不在有效期的CA数字证书无法解密投标文件。</w:t>
            </w:r>
          </w:p>
          <w:p w14:paraId="52A6893C">
            <w:pPr>
              <w:shd w:val="clear"/>
              <w:kinsoku/>
              <w:overflowPunct/>
              <w:bidi w:val="0"/>
              <w:snapToGrid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8.投标人投标MAC地址一致或申请开具电子保函MAC地址一致的，由评标委员会否决其投标。</w:t>
            </w:r>
          </w:p>
          <w:p w14:paraId="3CDE0607">
            <w:pPr>
              <w:shd w:val="clear"/>
              <w:kinsoku/>
              <w:overflowPunct/>
              <w:bidi w:val="0"/>
              <w:snapToGrid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9.投标人投标文件中单方面出现其他投标人材料的（依法组成联合体投标的除外），由评标委员会否决其投标。</w:t>
            </w:r>
          </w:p>
          <w:p w14:paraId="1462DA16">
            <w:pPr>
              <w:shd w:val="clear"/>
              <w:kinsoku/>
              <w:overflowPunct/>
              <w:bidi w:val="0"/>
              <w:snapToGrid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10.评标时查询投标文件制作机器码、文件创建标识码及造价软件加密锁号。若存在投标文件制作机器码或创建标识码或造价软件加密锁号信息与其他投标人雷同的，由评标委员会否决其投标，依法依规予以处理。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791B1DAA">
            <w:pPr>
              <w:shd w:val="clear"/>
              <w:kinsoku/>
              <w:overflowPunct/>
              <w:bidi w:val="0"/>
              <w:snapToGrid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11.若存在不予退还投标人投标保证金的情形，银行转账的，由市公共资源交易中心代为收缴，递交保函的，由招标人予以追缴。</w:t>
            </w:r>
          </w:p>
          <w:p w14:paraId="030B7C35">
            <w:pPr>
              <w:shd w:val="clear"/>
              <w:kinsoku/>
              <w:overflowPunct/>
              <w:bidi w:val="0"/>
              <w:snapToGrid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12.投标人以联合体名义投标的，其异议投诉应当由联合体全体成员共同提出。联合体成员单独进行异议投诉的，应当书面征得联合体其他成员同意，联合体成员之间投诉的除外。</w:t>
            </w:r>
          </w:p>
          <w:p w14:paraId="55611B37">
            <w:pPr>
              <w:shd w:val="clear"/>
              <w:kinsoku/>
              <w:overflowPunct/>
              <w:bidi w:val="0"/>
              <w:snapToGrid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13.投标人联系人或联系电话相同的，由评标委员会否决其投标，并报告监管部门作不良行为处理和进一步调查。</w:t>
            </w:r>
          </w:p>
          <w:p w14:paraId="10C6A74B">
            <w:pPr>
              <w:shd w:val="clear"/>
              <w:kinsoku/>
              <w:overflowPunct/>
              <w:bidi w:val="0"/>
              <w:spacing w:line="500" w:lineRule="exact"/>
              <w:ind w:left="0" w:leftChars="0" w:right="0" w:rightChars="0"/>
              <w:jc w:val="left"/>
              <w:rPr>
                <w:rFonts w:ascii="宋体" w:hAnsi="宋体" w:cs="宋体"/>
                <w:b/>
                <w:bCs/>
                <w:color w:val="auto"/>
                <w:szCs w:val="21"/>
                <w:highlight w:val="none"/>
              </w:rPr>
            </w:pPr>
            <w:r>
              <w:rPr>
                <w:rFonts w:hint="eastAsia" w:ascii="宋体" w:hAnsi="宋体" w:cs="宋体"/>
                <w:color w:val="auto"/>
                <w:szCs w:val="21"/>
                <w:highlight w:val="none"/>
              </w:rPr>
              <w:t>14.注册地在安徽省内且未在安徽省外开展业务、省外无违法违规行为的企业可通过安徽政务服务网开具由安徽省公共信用信息服务中心出具的《公共信用信息报告（无违法违规证明版或核查版）》代替《诚信投标承诺书》，信用报告出具有关问题可咨询滁州市信用办0550-3035032。</w:t>
            </w:r>
          </w:p>
        </w:tc>
      </w:tr>
      <w:tr w14:paraId="715297B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516E5AAD">
            <w:pPr>
              <w:shd w:val="clear"/>
              <w:kinsoku/>
              <w:overflowPunct/>
              <w:bidi w:val="0"/>
              <w:spacing w:line="500" w:lineRule="exact"/>
              <w:ind w:left="0" w:leftChars="0" w:right="0" w:rightChars="0"/>
              <w:jc w:val="center"/>
              <w:rPr>
                <w:rFonts w:ascii="宋体" w:hAnsi="宋体" w:cs="宋体"/>
                <w:bCs/>
                <w:color w:val="auto"/>
                <w:szCs w:val="21"/>
                <w:highlight w:val="none"/>
              </w:rPr>
            </w:pPr>
            <w:r>
              <w:rPr>
                <w:rFonts w:hint="eastAsia" w:ascii="宋体" w:hAnsi="宋体" w:cs="宋体"/>
                <w:bCs/>
                <w:color w:val="auto"/>
                <w:szCs w:val="21"/>
                <w:highlight w:val="none"/>
              </w:rPr>
              <w:t>其他</w:t>
            </w:r>
          </w:p>
        </w:tc>
        <w:tc>
          <w:tcPr>
            <w:tcW w:w="7872" w:type="dxa"/>
            <w:gridSpan w:val="2"/>
            <w:shd w:val="clear" w:color="auto" w:fill="auto"/>
          </w:tcPr>
          <w:p w14:paraId="0A3AAE5C">
            <w:pPr>
              <w:shd w:val="clear"/>
              <w:kinsoku/>
              <w:overflowPunct/>
              <w:bidi w:val="0"/>
              <w:snapToGrid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1.项目负责人必须是投标人本单位工作人员，提供虚假资料谋取中标将被依法处罚。投标人对所提交的投标人或拟派项目负责人业绩、投标人资质等证明资料承担缔约过失责任和法律责任。若投诉人或举报人对前述资料或证明资料存在争议，进行有效投诉或举报， 被投诉人、被举报人应当主动配合执法机关调查，并在规定的期限内举证，提供有关证明资料的原件；拒不配合执法机构调查，且未在规定期限内举证、提供证明资料原件的，执法机构（滁州市公共资源交易监督管理局）依法处理。</w:t>
            </w:r>
          </w:p>
          <w:p w14:paraId="328B1FC9">
            <w:pPr>
              <w:shd w:val="clear"/>
              <w:kinsoku/>
              <w:overflowPunct/>
              <w:bidi w:val="0"/>
              <w:snapToGrid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2.中标人未履行下述义务的，滁州市公共资源交易监督管理局将依法对中标人进行处理，追究相关责任：</w:t>
            </w:r>
          </w:p>
          <w:p w14:paraId="2D764617">
            <w:pPr>
              <w:shd w:val="clear"/>
              <w:kinsoku/>
              <w:overflowPunct/>
              <w:bidi w:val="0"/>
              <w:snapToGrid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①中标人无正当理由不与招标人订立合同，在签订合同时向招标人提出附加条件，或者不按照招标文件要求提交履约保证金的，招标人有权取消中标人中标资格，并将相关违约行为报送监管部门处理；</w:t>
            </w:r>
          </w:p>
          <w:p w14:paraId="19ECAE99">
            <w:pPr>
              <w:shd w:val="clear"/>
              <w:kinsoku/>
              <w:overflowPunct/>
              <w:bidi w:val="0"/>
              <w:snapToGrid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②合同签订后，中标人存在规定时间内不组织人员进场开工、不履行供货安装义务等情况，招标人有权解除合同，并追究违约责任，同时将相关违约行为报送监管部门，记不良行为记录， 实施信用惩戒。</w:t>
            </w:r>
          </w:p>
        </w:tc>
      </w:tr>
      <w:tr w14:paraId="0411FCC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3786672D">
            <w:pPr>
              <w:shd w:val="clear"/>
              <w:kinsoku/>
              <w:overflowPunct/>
              <w:bidi w:val="0"/>
              <w:adjustRightInd w:val="0"/>
              <w:snapToGrid w:val="0"/>
              <w:spacing w:line="500" w:lineRule="exact"/>
              <w:ind w:left="0" w:leftChars="0" w:right="0" w:rightChars="0"/>
              <w:jc w:val="center"/>
              <w:rPr>
                <w:rFonts w:ascii="宋体" w:hAnsi="宋体" w:cs="宋体"/>
                <w:bCs/>
                <w:color w:val="auto"/>
                <w:szCs w:val="21"/>
                <w:highlight w:val="none"/>
              </w:rPr>
            </w:pPr>
            <w:r>
              <w:rPr>
                <w:rFonts w:hint="eastAsia" w:ascii="宋体" w:hAnsi="宋体" w:cs="宋体"/>
                <w:bCs/>
                <w:color w:val="auto"/>
                <w:szCs w:val="21"/>
                <w:highlight w:val="none"/>
              </w:rPr>
              <w:t>变更招标方式</w:t>
            </w:r>
          </w:p>
        </w:tc>
        <w:tc>
          <w:tcPr>
            <w:tcW w:w="7872" w:type="dxa"/>
            <w:gridSpan w:val="2"/>
            <w:shd w:val="clear" w:color="auto" w:fill="auto"/>
            <w:vAlign w:val="center"/>
          </w:tcPr>
          <w:p w14:paraId="5D94AA03">
            <w:pPr>
              <w:pStyle w:val="14"/>
              <w:shd w:val="clear"/>
              <w:kinsoku/>
              <w:overflowPunct/>
              <w:bidi w:val="0"/>
              <w:adjustRightInd w:val="0"/>
              <w:snapToGrid w:val="0"/>
              <w:spacing w:after="0"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按照滁州市公共资源交易监督管理局现行规定执行。</w:t>
            </w:r>
          </w:p>
        </w:tc>
      </w:tr>
    </w:tbl>
    <w:p w14:paraId="64ED11E8">
      <w:pPr>
        <w:pageBreakBefore/>
        <w:shd w:val="clear"/>
        <w:kinsoku/>
        <w:overflowPunct/>
        <w:bidi w:val="0"/>
        <w:spacing w:beforeLines="100" w:afterLines="100" w:line="500" w:lineRule="exact"/>
        <w:ind w:left="0" w:leftChars="0" w:right="0" w:rightChars="0"/>
        <w:jc w:val="center"/>
        <w:outlineLvl w:val="1"/>
        <w:rPr>
          <w:rFonts w:ascii="宋体"/>
          <w:b/>
          <w:color w:val="auto"/>
          <w:sz w:val="28"/>
          <w:szCs w:val="32"/>
          <w:highlight w:val="none"/>
        </w:rPr>
      </w:pPr>
      <w:bookmarkStart w:id="37" w:name="_Toc28397"/>
      <w:bookmarkStart w:id="38" w:name="_Toc58430315"/>
      <w:bookmarkStart w:id="39" w:name="_Toc449028866"/>
      <w:r>
        <w:rPr>
          <w:rFonts w:hint="eastAsia" w:ascii="宋体"/>
          <w:b/>
          <w:color w:val="auto"/>
          <w:sz w:val="28"/>
          <w:szCs w:val="28"/>
          <w:highlight w:val="none"/>
        </w:rPr>
        <w:t>二、投标人须知</w:t>
      </w:r>
      <w:bookmarkEnd w:id="37"/>
      <w:bookmarkEnd w:id="38"/>
      <w:bookmarkEnd w:id="39"/>
    </w:p>
    <w:p w14:paraId="78589D02">
      <w:pPr>
        <w:shd w:val="clear"/>
        <w:kinsoku/>
        <w:overflowPunct/>
        <w:bidi w:val="0"/>
        <w:spacing w:beforeLines="50" w:afterLines="50" w:line="500" w:lineRule="exact"/>
        <w:ind w:left="0" w:leftChars="0" w:right="0" w:rightChars="0"/>
        <w:jc w:val="center"/>
        <w:rPr>
          <w:rFonts w:ascii="宋体" w:hAnsi="宋体" w:cs="宋体"/>
          <w:color w:val="auto"/>
          <w:sz w:val="28"/>
          <w:szCs w:val="28"/>
          <w:highlight w:val="none"/>
        </w:rPr>
      </w:pPr>
      <w:bookmarkStart w:id="40" w:name="_Toc449028867"/>
      <w:r>
        <w:rPr>
          <w:rFonts w:hint="eastAsia" w:ascii="宋体" w:hAnsi="宋体" w:cs="宋体"/>
          <w:b/>
          <w:color w:val="auto"/>
          <w:sz w:val="28"/>
          <w:szCs w:val="28"/>
          <w:highlight w:val="none"/>
        </w:rPr>
        <w:t>（一）总  则</w:t>
      </w:r>
      <w:bookmarkEnd w:id="40"/>
    </w:p>
    <w:p w14:paraId="30726BC0">
      <w:pPr>
        <w:shd w:val="clear"/>
        <w:kinsoku/>
        <w:overflowPunct/>
        <w:bidi w:val="0"/>
        <w:snapToGrid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1.项目概况</w:t>
      </w:r>
    </w:p>
    <w:p w14:paraId="760956E3">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1.1本次招标采购项目名称：见投标人须知前附表。</w:t>
      </w:r>
    </w:p>
    <w:p w14:paraId="4EF6DD90">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项目编号：见投标人须知前附表。</w:t>
      </w:r>
    </w:p>
    <w:p w14:paraId="2B1CCE2A">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招 标 人：见投标人须知前附表。</w:t>
      </w:r>
    </w:p>
    <w:p w14:paraId="4294B514">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hAnsi="宋体" w:cs="宋体"/>
          <w:color w:val="auto"/>
          <w:szCs w:val="21"/>
          <w:highlight w:val="none"/>
        </w:rPr>
        <w:t>合同履行期限</w:t>
      </w:r>
      <w:r>
        <w:rPr>
          <w:rFonts w:hint="eastAsia" w:ascii="宋体" w:hAnsi="宋体" w:cs="宋体"/>
          <w:color w:val="auto"/>
          <w:szCs w:val="21"/>
          <w:highlight w:val="none"/>
        </w:rPr>
        <w:t>：见投标人须知前附表。</w:t>
      </w:r>
    </w:p>
    <w:p w14:paraId="3050AB85">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地点：见投标人须知前附表。</w:t>
      </w:r>
    </w:p>
    <w:p w14:paraId="0B9877FC">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1.2</w:t>
      </w:r>
      <w:r>
        <w:rPr>
          <w:rFonts w:hint="eastAsia" w:hAnsi="宋体" w:cs="宋体"/>
          <w:color w:val="auto"/>
          <w:szCs w:val="21"/>
          <w:highlight w:val="none"/>
        </w:rPr>
        <w:t>招标人联系人及电话</w:t>
      </w:r>
      <w:r>
        <w:rPr>
          <w:rFonts w:hint="eastAsia" w:ascii="宋体" w:hAnsi="宋体" w:cs="宋体"/>
          <w:color w:val="auto"/>
          <w:szCs w:val="21"/>
          <w:highlight w:val="none"/>
        </w:rPr>
        <w:t>: 见投标人须知前附表。</w:t>
      </w:r>
    </w:p>
    <w:p w14:paraId="60BBBF47">
      <w:pPr>
        <w:shd w:val="clear"/>
        <w:kinsoku/>
        <w:overflowPunct/>
        <w:bidi w:val="0"/>
        <w:snapToGrid w:val="0"/>
        <w:spacing w:line="500" w:lineRule="exact"/>
        <w:ind w:left="0" w:leftChars="0" w:right="0" w:rightChars="0" w:firstLine="525" w:firstLineChars="250"/>
        <w:jc w:val="left"/>
        <w:rPr>
          <w:rFonts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hAnsi="宋体" w:cs="宋体"/>
          <w:color w:val="auto"/>
          <w:szCs w:val="21"/>
          <w:highlight w:val="none"/>
        </w:rPr>
        <w:t>采购代理机构联系人及电话</w:t>
      </w:r>
      <w:r>
        <w:rPr>
          <w:rFonts w:hint="eastAsia" w:ascii="宋体" w:hAnsi="宋体" w:cs="宋体"/>
          <w:color w:val="auto"/>
          <w:szCs w:val="21"/>
          <w:highlight w:val="none"/>
        </w:rPr>
        <w:t>: 见投标人须知前附表。</w:t>
      </w:r>
    </w:p>
    <w:p w14:paraId="0D581A42">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1.3资金来源：见投标人须知前附表。</w:t>
      </w:r>
    </w:p>
    <w:p w14:paraId="6D6F51FF">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1.4本项目</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预算：见投标人须知前附表。</w:t>
      </w:r>
    </w:p>
    <w:p w14:paraId="79190B67">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1.5本项目最高限价：见投标人须知前附表。</w:t>
      </w:r>
    </w:p>
    <w:p w14:paraId="28724D44">
      <w:pPr>
        <w:shd w:val="clear"/>
        <w:kinsoku/>
        <w:overflowPunct/>
        <w:bidi w:val="0"/>
        <w:snapToGrid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2.招标范围：</w:t>
      </w:r>
    </w:p>
    <w:p w14:paraId="4F5F5744">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2.1 采购内容：</w:t>
      </w:r>
      <w:r>
        <w:rPr>
          <w:rFonts w:hint="eastAsia" w:ascii="宋体" w:hAnsi="宋体" w:cs="宋体"/>
          <w:color w:val="auto"/>
          <w:szCs w:val="21"/>
          <w:highlight w:val="none"/>
          <w:lang w:val="en-US" w:eastAsia="zh-CN"/>
        </w:rPr>
        <w:t>详见《服务内容及技术要求》和合同条款内容</w:t>
      </w:r>
      <w:r>
        <w:rPr>
          <w:rFonts w:hint="eastAsia" w:ascii="宋体" w:hAnsi="宋体" w:cs="宋体"/>
          <w:color w:val="auto"/>
          <w:szCs w:val="21"/>
          <w:highlight w:val="none"/>
        </w:rPr>
        <w:t>。</w:t>
      </w:r>
    </w:p>
    <w:p w14:paraId="1199B0BE">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2.2 技术要求：</w:t>
      </w:r>
      <w:r>
        <w:rPr>
          <w:rFonts w:hint="eastAsia" w:ascii="宋体" w:hAnsi="宋体" w:cs="宋体"/>
          <w:color w:val="auto"/>
          <w:szCs w:val="21"/>
          <w:highlight w:val="none"/>
          <w:lang w:val="en-US" w:eastAsia="zh-CN"/>
        </w:rPr>
        <w:t>详见《服务内容及技术要求》和合同条款内容</w:t>
      </w:r>
      <w:r>
        <w:rPr>
          <w:rFonts w:hint="eastAsia" w:ascii="宋体" w:hAnsi="宋体" w:cs="宋体"/>
          <w:color w:val="auto"/>
          <w:szCs w:val="21"/>
          <w:highlight w:val="none"/>
        </w:rPr>
        <w:t>。</w:t>
      </w:r>
    </w:p>
    <w:p w14:paraId="460355C9">
      <w:pPr>
        <w:shd w:val="clear"/>
        <w:kinsoku/>
        <w:overflowPunct/>
        <w:bidi w:val="0"/>
        <w:snapToGrid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3.</w:t>
      </w:r>
      <w:r>
        <w:rPr>
          <w:rFonts w:hint="eastAsia" w:ascii="宋体" w:hAnsi="宋体" w:cs="宋体"/>
          <w:b/>
          <w:color w:val="auto"/>
          <w:szCs w:val="21"/>
          <w:highlight w:val="none"/>
          <w:lang w:eastAsia="zh-CN"/>
        </w:rPr>
        <w:t>标段</w:t>
      </w:r>
      <w:r>
        <w:rPr>
          <w:rFonts w:hint="eastAsia" w:ascii="宋体" w:hAnsi="宋体" w:cs="宋体"/>
          <w:b/>
          <w:color w:val="auto"/>
          <w:szCs w:val="21"/>
          <w:highlight w:val="none"/>
        </w:rPr>
        <w:t>划分：</w:t>
      </w:r>
    </w:p>
    <w:p w14:paraId="39DD7C51">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3.1本项目划分：见投标人须知前附表。</w:t>
      </w:r>
    </w:p>
    <w:p w14:paraId="0C3DC5E4">
      <w:pPr>
        <w:shd w:val="clear"/>
        <w:kinsoku/>
        <w:overflowPunct/>
        <w:bidi w:val="0"/>
        <w:snapToGrid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4.招标方式：</w:t>
      </w:r>
    </w:p>
    <w:p w14:paraId="0E091662">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4.1本项目招标方式：见投标人须知前附表。</w:t>
      </w:r>
    </w:p>
    <w:p w14:paraId="3196FC61">
      <w:pPr>
        <w:shd w:val="clear"/>
        <w:kinsoku/>
        <w:overflowPunct/>
        <w:bidi w:val="0"/>
        <w:snapToGrid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5.计价方式：</w:t>
      </w:r>
    </w:p>
    <w:p w14:paraId="63F0FD05">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5.1本次招标项目合同采用</w:t>
      </w:r>
      <w:r>
        <w:rPr>
          <w:rFonts w:hint="eastAsia" w:ascii="宋体" w:hAnsi="宋体" w:cs="宋体"/>
          <w:color w:val="auto"/>
          <w:szCs w:val="21"/>
          <w:highlight w:val="none"/>
          <w:u w:val="single"/>
        </w:rPr>
        <w:t xml:space="preserve">  固定单价 。</w:t>
      </w:r>
    </w:p>
    <w:p w14:paraId="2A3E2FE3">
      <w:pPr>
        <w:shd w:val="clear"/>
        <w:kinsoku/>
        <w:overflowPunct/>
        <w:bidi w:val="0"/>
        <w:snapToGrid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6.评标办法：</w:t>
      </w:r>
    </w:p>
    <w:p w14:paraId="52E1A421">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6.1本次招标评标采用</w:t>
      </w:r>
      <w:r>
        <w:rPr>
          <w:rFonts w:hint="eastAsia" w:ascii="宋体" w:hAnsi="宋体" w:cs="宋体"/>
          <w:color w:val="auto"/>
          <w:szCs w:val="21"/>
          <w:highlight w:val="none"/>
          <w:u w:val="single"/>
        </w:rPr>
        <w:t xml:space="preserve">  综合评分法  </w:t>
      </w:r>
      <w:r>
        <w:rPr>
          <w:rFonts w:hint="eastAsia" w:ascii="宋体" w:hAnsi="宋体" w:cs="宋体"/>
          <w:color w:val="auto"/>
          <w:szCs w:val="21"/>
          <w:highlight w:val="none"/>
        </w:rPr>
        <w:t>（详见第三章评标办法）</w:t>
      </w:r>
    </w:p>
    <w:p w14:paraId="11FAB86A">
      <w:pPr>
        <w:shd w:val="clear"/>
        <w:kinsoku/>
        <w:overflowPunct/>
        <w:bidi w:val="0"/>
        <w:snapToGrid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7.投标人资格：</w:t>
      </w:r>
    </w:p>
    <w:p w14:paraId="531E3745">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7.1</w:t>
      </w:r>
      <w:r>
        <w:rPr>
          <w:rFonts w:hint="eastAsia" w:ascii="宋体"/>
          <w:color w:val="auto"/>
          <w:szCs w:val="21"/>
          <w:highlight w:val="none"/>
        </w:rPr>
        <w:t>详见投标人须知前附表。</w:t>
      </w:r>
    </w:p>
    <w:p w14:paraId="748FF568">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7.2根据电子化采购的特点，投标人参加本项目投标，投标人参加本项目投标，需在安徽省公共资源交易市场主体库（http://61.190.70.20/ahggfwpt-zhutiku）登记并进行信息确认提交。</w:t>
      </w:r>
    </w:p>
    <w:p w14:paraId="6645938F">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7.3投标人必须确保自己在信息库中注册的信息真实、准确，并保证投标文件中的有关信息与库中的信息相一致。否则，投标人因此蒙受损失，招标人概不负责。</w:t>
      </w:r>
    </w:p>
    <w:p w14:paraId="2DEAAA01">
      <w:pPr>
        <w:shd w:val="clear"/>
        <w:kinsoku/>
        <w:overflowPunct/>
        <w:bidi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8. 投标费用</w:t>
      </w:r>
    </w:p>
    <w:p w14:paraId="61F21336">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8.1投标人准备和参加投标活动发生的费用自理。</w:t>
      </w:r>
    </w:p>
    <w:p w14:paraId="3479C37A">
      <w:pPr>
        <w:shd w:val="clear"/>
        <w:kinsoku/>
        <w:overflowPunct/>
        <w:bidi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9.</w:t>
      </w:r>
      <w:bookmarkStart w:id="41" w:name="_Toc247513962"/>
      <w:bookmarkStart w:id="42" w:name="_Toc247527563"/>
      <w:bookmarkStart w:id="43" w:name="_Toc296602429"/>
      <w:bookmarkStart w:id="44" w:name="_Toc152045539"/>
      <w:bookmarkStart w:id="45" w:name="_Toc247592876"/>
      <w:bookmarkStart w:id="46" w:name="_Toc144974507"/>
      <w:bookmarkStart w:id="47" w:name="_Toc152042315"/>
      <w:r>
        <w:rPr>
          <w:rFonts w:hint="eastAsia" w:ascii="宋体" w:hAnsi="宋体" w:cs="宋体"/>
          <w:b/>
          <w:color w:val="auto"/>
          <w:szCs w:val="21"/>
          <w:highlight w:val="none"/>
        </w:rPr>
        <w:t xml:space="preserve"> 踏勘现场</w:t>
      </w:r>
      <w:bookmarkEnd w:id="41"/>
      <w:bookmarkEnd w:id="42"/>
      <w:bookmarkEnd w:id="43"/>
      <w:bookmarkEnd w:id="44"/>
      <w:bookmarkEnd w:id="45"/>
      <w:bookmarkEnd w:id="46"/>
      <w:bookmarkEnd w:id="47"/>
    </w:p>
    <w:p w14:paraId="1857BE84">
      <w:pPr>
        <w:shd w:val="clear"/>
        <w:kinsoku/>
        <w:overflowPunct/>
        <w:bidi w:val="0"/>
        <w:spacing w:line="500" w:lineRule="exact"/>
        <w:ind w:left="0" w:leftChars="0" w:right="0" w:rightChars="0" w:firstLine="409" w:firstLineChars="195"/>
        <w:jc w:val="left"/>
        <w:rPr>
          <w:rFonts w:ascii="宋体" w:hAnsi="宋体" w:cs="宋体"/>
          <w:color w:val="auto"/>
          <w:szCs w:val="21"/>
          <w:highlight w:val="none"/>
        </w:rPr>
      </w:pPr>
      <w:r>
        <w:rPr>
          <w:rFonts w:hint="eastAsia" w:ascii="宋体" w:hAnsi="宋体" w:cs="宋体"/>
          <w:color w:val="auto"/>
          <w:szCs w:val="21"/>
          <w:highlight w:val="none"/>
        </w:rPr>
        <w:t xml:space="preserve"> 9.1 投标人须知前附表规定组织踏勘现场的，招标人按投标人须知前附表规定的时间、地点组织投标人踏勘项目现场。 </w:t>
      </w:r>
    </w:p>
    <w:p w14:paraId="2960625B">
      <w:pPr>
        <w:shd w:val="clear"/>
        <w:kinsoku/>
        <w:overflowPunct/>
        <w:bidi w:val="0"/>
        <w:spacing w:line="500" w:lineRule="exact"/>
        <w:ind w:left="0" w:leftChars="0" w:right="0" w:rightChars="0" w:firstLine="409" w:firstLineChars="195"/>
        <w:jc w:val="left"/>
        <w:rPr>
          <w:rFonts w:ascii="宋体" w:hAnsi="宋体" w:cs="宋体"/>
          <w:color w:val="auto"/>
          <w:szCs w:val="21"/>
          <w:highlight w:val="none"/>
        </w:rPr>
      </w:pPr>
      <w:r>
        <w:rPr>
          <w:rFonts w:hint="eastAsia" w:ascii="宋体" w:hAnsi="宋体" w:cs="宋体"/>
          <w:color w:val="auto"/>
          <w:szCs w:val="21"/>
          <w:highlight w:val="none"/>
        </w:rPr>
        <w:t>9.2 投标人踏勘现场发生的费用自理。</w:t>
      </w:r>
    </w:p>
    <w:p w14:paraId="112290A4">
      <w:pPr>
        <w:shd w:val="clear"/>
        <w:kinsoku/>
        <w:overflowPunct/>
        <w:bidi w:val="0"/>
        <w:spacing w:line="500" w:lineRule="exact"/>
        <w:ind w:left="0" w:leftChars="0" w:right="0" w:rightChars="0" w:firstLine="409" w:firstLineChars="195"/>
        <w:jc w:val="left"/>
        <w:rPr>
          <w:rFonts w:ascii="宋体" w:hAnsi="宋体" w:cs="宋体"/>
          <w:color w:val="auto"/>
          <w:szCs w:val="21"/>
          <w:highlight w:val="none"/>
        </w:rPr>
      </w:pPr>
      <w:r>
        <w:rPr>
          <w:rFonts w:hint="eastAsia" w:ascii="宋体" w:hAnsi="宋体" w:cs="宋体"/>
          <w:color w:val="auto"/>
          <w:szCs w:val="21"/>
          <w:highlight w:val="none"/>
        </w:rPr>
        <w:t>9.3 除招标人的原因外，投标人自行负责在踏勘现场中所发生的人员伤亡和财产损失。</w:t>
      </w:r>
    </w:p>
    <w:p w14:paraId="2CCB0AFA">
      <w:pPr>
        <w:shd w:val="clear"/>
        <w:kinsoku/>
        <w:overflowPunct/>
        <w:bidi w:val="0"/>
        <w:spacing w:line="500" w:lineRule="exact"/>
        <w:ind w:left="0" w:leftChars="0" w:right="0" w:rightChars="0" w:firstLine="409" w:firstLineChars="195"/>
        <w:jc w:val="left"/>
        <w:rPr>
          <w:rFonts w:ascii="宋体" w:hAnsi="宋体" w:cs="宋体"/>
          <w:color w:val="auto"/>
          <w:szCs w:val="21"/>
          <w:highlight w:val="none"/>
        </w:rPr>
      </w:pPr>
      <w:r>
        <w:rPr>
          <w:rFonts w:hint="eastAsia" w:ascii="宋体" w:hAnsi="宋体" w:cs="宋体"/>
          <w:color w:val="auto"/>
          <w:szCs w:val="21"/>
          <w:highlight w:val="none"/>
        </w:rPr>
        <w:t>9.4 招标人在踏勘现场中介绍的场地和相关的周边环境情况，供投标人在编制投标文件时参考，招标人不对投标人据此作出的判断和决策负责。</w:t>
      </w:r>
      <w:bookmarkStart w:id="48" w:name="_Toc247592877"/>
      <w:bookmarkStart w:id="49" w:name="_Toc247513963"/>
      <w:bookmarkStart w:id="50" w:name="_Toc152042316"/>
      <w:bookmarkStart w:id="51" w:name="_Toc296602430"/>
      <w:bookmarkStart w:id="52" w:name="_Toc152045540"/>
      <w:bookmarkStart w:id="53" w:name="_Toc247527564"/>
      <w:bookmarkStart w:id="54" w:name="_Toc144974508"/>
    </w:p>
    <w:p w14:paraId="280F2B9B">
      <w:pPr>
        <w:shd w:val="clear"/>
        <w:kinsoku/>
        <w:overflowPunct/>
        <w:bidi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10. 投标预备会</w:t>
      </w:r>
      <w:bookmarkEnd w:id="48"/>
      <w:bookmarkEnd w:id="49"/>
      <w:bookmarkEnd w:id="50"/>
      <w:bookmarkEnd w:id="51"/>
      <w:bookmarkEnd w:id="52"/>
      <w:bookmarkEnd w:id="53"/>
      <w:bookmarkEnd w:id="54"/>
      <w:r>
        <w:rPr>
          <w:rFonts w:hint="eastAsia" w:ascii="宋体" w:hAnsi="宋体" w:cs="宋体"/>
          <w:b/>
          <w:color w:val="auto"/>
          <w:szCs w:val="21"/>
          <w:highlight w:val="none"/>
        </w:rPr>
        <w:t>（本项目不采用）</w:t>
      </w:r>
    </w:p>
    <w:p w14:paraId="472BA454">
      <w:pPr>
        <w:shd w:val="clear"/>
        <w:kinsoku/>
        <w:overflowPunct/>
        <w:bidi w:val="0"/>
        <w:spacing w:line="500" w:lineRule="exact"/>
        <w:ind w:left="0" w:leftChars="0" w:right="0" w:rightChars="0" w:firstLine="409" w:firstLineChars="195"/>
        <w:rPr>
          <w:rFonts w:ascii="宋体"/>
          <w:color w:val="auto"/>
          <w:szCs w:val="21"/>
          <w:highlight w:val="none"/>
        </w:rPr>
      </w:pPr>
      <w:r>
        <w:rPr>
          <w:rFonts w:hint="eastAsia" w:ascii="宋体"/>
          <w:color w:val="auto"/>
          <w:szCs w:val="21"/>
          <w:highlight w:val="none"/>
        </w:rPr>
        <w:t>10.1投标人须知前附表规定召开投标预备会的，招标人按投标人须知前附表规定的时间和地点召开投标预备会，澄清投标人提出的问题。</w:t>
      </w:r>
    </w:p>
    <w:p w14:paraId="0CF6B5C4">
      <w:pPr>
        <w:shd w:val="clear"/>
        <w:kinsoku/>
        <w:overflowPunct/>
        <w:bidi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11. 联合投标(本项目不采用）</w:t>
      </w:r>
    </w:p>
    <w:p w14:paraId="03E7E0A6">
      <w:pPr>
        <w:shd w:val="clear"/>
        <w:kinsoku/>
        <w:overflowPunct/>
        <w:bidi w:val="0"/>
        <w:spacing w:line="500" w:lineRule="exact"/>
        <w:ind w:left="0" w:leftChars="0" w:right="0" w:rightChars="0" w:firstLine="409" w:firstLineChars="195"/>
        <w:rPr>
          <w:rFonts w:ascii="宋体"/>
          <w:color w:val="auto"/>
          <w:szCs w:val="21"/>
          <w:highlight w:val="none"/>
        </w:rPr>
      </w:pPr>
      <w:r>
        <w:rPr>
          <w:rFonts w:hint="eastAsia" w:ascii="宋体" w:hAnsi="宋体" w:cs="宋体"/>
          <w:color w:val="auto"/>
          <w:szCs w:val="21"/>
          <w:highlight w:val="none"/>
        </w:rPr>
        <w:t xml:space="preserve">11.1 </w:t>
      </w:r>
      <w:r>
        <w:rPr>
          <w:rFonts w:hint="eastAsia" w:ascii="宋体"/>
          <w:bCs/>
          <w:color w:val="auto"/>
          <w:szCs w:val="21"/>
          <w:highlight w:val="none"/>
        </w:rPr>
        <w:t>本项</w:t>
      </w:r>
      <w:r>
        <w:rPr>
          <w:rFonts w:hint="eastAsia"/>
          <w:bCs/>
          <w:color w:val="auto"/>
          <w:szCs w:val="21"/>
          <w:highlight w:val="none"/>
        </w:rPr>
        <w:t>目不接受联合体投标。</w:t>
      </w:r>
    </w:p>
    <w:p w14:paraId="5F90C632">
      <w:pPr>
        <w:shd w:val="clear"/>
        <w:kinsoku/>
        <w:overflowPunct/>
        <w:bidi w:val="0"/>
        <w:spacing w:line="500" w:lineRule="exact"/>
        <w:ind w:left="0" w:leftChars="0" w:right="0" w:rightChars="0"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12.招标代理费</w:t>
      </w:r>
    </w:p>
    <w:p w14:paraId="2B95C44E">
      <w:pPr>
        <w:shd w:val="clear"/>
        <w:kinsoku/>
        <w:overflowPunct/>
        <w:bidi w:val="0"/>
        <w:spacing w:line="500" w:lineRule="exact"/>
        <w:ind w:left="0" w:leftChars="0" w:right="0" w:rightChars="0" w:firstLine="210" w:firstLineChars="100"/>
        <w:jc w:val="left"/>
        <w:rPr>
          <w:rFonts w:ascii="宋体"/>
          <w:color w:val="auto"/>
          <w:szCs w:val="21"/>
          <w:highlight w:val="none"/>
        </w:rPr>
      </w:pPr>
      <w:r>
        <w:rPr>
          <w:rFonts w:hint="eastAsia" w:ascii="宋体"/>
          <w:bCs/>
          <w:color w:val="auto"/>
          <w:szCs w:val="21"/>
          <w:highlight w:val="none"/>
        </w:rPr>
        <w:t xml:space="preserve">  12.1</w:t>
      </w:r>
      <w:r>
        <w:rPr>
          <w:rFonts w:ascii="宋体"/>
          <w:bCs/>
          <w:color w:val="auto"/>
          <w:szCs w:val="21"/>
          <w:highlight w:val="none"/>
        </w:rPr>
        <w:t xml:space="preserve"> </w:t>
      </w:r>
      <w:r>
        <w:rPr>
          <w:rFonts w:hint="eastAsia" w:ascii="宋体"/>
          <w:bCs/>
          <w:color w:val="auto"/>
          <w:szCs w:val="21"/>
          <w:highlight w:val="none"/>
        </w:rPr>
        <w:t>招标代理费：</w:t>
      </w:r>
      <w:r>
        <w:rPr>
          <w:rFonts w:hint="eastAsia" w:ascii="宋体"/>
          <w:color w:val="auto"/>
          <w:szCs w:val="21"/>
          <w:highlight w:val="none"/>
        </w:rPr>
        <w:t>见投标人须知前附表。</w:t>
      </w:r>
    </w:p>
    <w:p w14:paraId="6CD70949">
      <w:pPr>
        <w:shd w:val="clear"/>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bCs/>
          <w:color w:val="auto"/>
          <w:szCs w:val="21"/>
          <w:highlight w:val="none"/>
        </w:rPr>
        <w:t>12.2</w:t>
      </w:r>
      <w:r>
        <w:rPr>
          <w:rFonts w:ascii="宋体"/>
          <w:bCs/>
          <w:color w:val="auto"/>
          <w:szCs w:val="21"/>
          <w:highlight w:val="none"/>
        </w:rPr>
        <w:t xml:space="preserve"> </w:t>
      </w:r>
      <w:r>
        <w:rPr>
          <w:rFonts w:hint="eastAsia" w:ascii="宋体"/>
          <w:bCs/>
          <w:color w:val="auto"/>
          <w:szCs w:val="21"/>
          <w:highlight w:val="none"/>
        </w:rPr>
        <w:t>专家评审劳务费：</w:t>
      </w:r>
      <w:r>
        <w:rPr>
          <w:rFonts w:hint="eastAsia" w:ascii="宋体"/>
          <w:color w:val="auto"/>
          <w:szCs w:val="21"/>
          <w:highlight w:val="none"/>
        </w:rPr>
        <w:t>见投标人须知前附表。</w:t>
      </w:r>
    </w:p>
    <w:p w14:paraId="0E167ABA">
      <w:pPr>
        <w:shd w:val="clear"/>
        <w:kinsoku/>
        <w:overflowPunct/>
        <w:bidi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13.投标人应注意的事项</w:t>
      </w:r>
    </w:p>
    <w:p w14:paraId="7E12A2A6">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6FF0C6E3">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13.2投标人对采购内容中规定的技术参数、规格、数量和要求等必须最大限度的满足招标文件的相关要求。</w:t>
      </w:r>
    </w:p>
    <w:p w14:paraId="749D7BB0">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13.3推荐品牌有助于投标人选择所投产品，仅供参考，并无限制性，可以选择性能不低于推荐品牌的产品，但所投产品的技术参数，要最大限度满足招标文件提供的详细参数。</w:t>
      </w:r>
    </w:p>
    <w:p w14:paraId="49F19FF7">
      <w:pPr>
        <w:shd w:val="clear"/>
        <w:kinsoku/>
        <w:overflowPunct/>
        <w:bidi w:val="0"/>
        <w:spacing w:line="500" w:lineRule="exact"/>
        <w:ind w:left="0" w:leftChars="0" w:right="0" w:rightChars="0" w:firstLine="411" w:firstLineChars="196"/>
        <w:jc w:val="left"/>
        <w:rPr>
          <w:rFonts w:ascii="宋体" w:hAnsi="宋体" w:cs="宋体"/>
          <w:color w:val="auto"/>
          <w:szCs w:val="21"/>
          <w:highlight w:val="none"/>
        </w:rPr>
      </w:pPr>
      <w:r>
        <w:rPr>
          <w:rFonts w:hint="eastAsia" w:ascii="宋体" w:hAnsi="宋体" w:cs="宋体"/>
          <w:color w:val="auto"/>
          <w:szCs w:val="21"/>
          <w:highlight w:val="none"/>
        </w:rPr>
        <w:t>13.4 所有投标人的投标保证金都应在投标文件规定的投标保证金缴纳截止时间前缴纳，以资金到账时间为准</w:t>
      </w:r>
      <w:r>
        <w:rPr>
          <w:rFonts w:hint="eastAsia" w:ascii="宋体" w:hAnsi="宋体" w:cs="宋体"/>
          <w:b/>
          <w:color w:val="auto"/>
          <w:szCs w:val="21"/>
          <w:highlight w:val="none"/>
        </w:rPr>
        <w:t>（采用支票、汇票、本票、保函等的，以支票、汇票、本票、保函等递交的时间为准）</w:t>
      </w:r>
      <w:r>
        <w:rPr>
          <w:rFonts w:hint="eastAsia" w:ascii="宋体" w:hAnsi="宋体" w:cs="宋体"/>
          <w:color w:val="auto"/>
          <w:szCs w:val="21"/>
          <w:highlight w:val="none"/>
        </w:rPr>
        <w:t>。</w:t>
      </w:r>
    </w:p>
    <w:p w14:paraId="5FCBF3D4">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13.5</w:t>
      </w:r>
      <w:r>
        <w:rPr>
          <w:rFonts w:hint="eastAsia" w:ascii="宋体" w:hAnsi="宋体" w:cs="宋体"/>
          <w:bCs/>
          <w:color w:val="auto"/>
          <w:szCs w:val="21"/>
          <w:highlight w:val="none"/>
        </w:rPr>
        <w:t>单位负责人为同一人或者存在直接控股、管理关系的不同投标人，不得参加同一合同项下的采购活动。</w:t>
      </w:r>
      <w:r>
        <w:rPr>
          <w:rFonts w:hint="eastAsia" w:ascii="宋体" w:hAnsi="宋体" w:cs="宋体"/>
          <w:color w:val="auto"/>
          <w:szCs w:val="21"/>
          <w:highlight w:val="none"/>
        </w:rPr>
        <w:t>为采购项目提供整体设计、规范编制或者项目管理、监理、检测等服务的投标人，不得再参加该采购项目的其他采购活动。</w:t>
      </w:r>
    </w:p>
    <w:p w14:paraId="094179AC">
      <w:pPr>
        <w:shd w:val="clear"/>
        <w:kinsoku/>
        <w:overflowPunct/>
        <w:bidi w:val="0"/>
        <w:spacing w:line="500" w:lineRule="exact"/>
        <w:ind w:left="0" w:leftChars="0" w:right="0" w:rightChars="0" w:firstLine="417" w:firstLineChars="199"/>
        <w:jc w:val="left"/>
        <w:rPr>
          <w:rFonts w:ascii="宋体" w:hAnsi="宋体" w:cs="宋体"/>
          <w:color w:val="auto"/>
          <w:szCs w:val="21"/>
          <w:highlight w:val="none"/>
        </w:rPr>
      </w:pPr>
      <w:r>
        <w:rPr>
          <w:rFonts w:hint="eastAsia" w:ascii="宋体" w:hAnsi="宋体" w:cs="宋体"/>
          <w:color w:val="auto"/>
          <w:szCs w:val="21"/>
          <w:highlight w:val="none"/>
        </w:rPr>
        <w:t>13.6投标人被视为充分熟悉本招标项目所在地的与履行合同有关的各种情况，包括但不限于：</w:t>
      </w:r>
    </w:p>
    <w:p w14:paraId="0123C59E">
      <w:pPr>
        <w:shd w:val="clear"/>
        <w:kinsoku/>
        <w:overflowPunct/>
        <w:bidi w:val="0"/>
        <w:spacing w:line="500" w:lineRule="exact"/>
        <w:ind w:left="0" w:leftChars="0" w:right="0" w:rightChars="0" w:firstLine="315" w:firstLineChars="150"/>
        <w:jc w:val="left"/>
        <w:rPr>
          <w:rFonts w:ascii="宋体" w:hAnsi="宋体" w:cs="宋体"/>
          <w:color w:val="auto"/>
          <w:szCs w:val="21"/>
          <w:highlight w:val="none"/>
        </w:rPr>
      </w:pPr>
      <w:r>
        <w:rPr>
          <w:rFonts w:hint="eastAsia" w:ascii="宋体" w:hAnsi="宋体" w:cs="宋体"/>
          <w:color w:val="auto"/>
          <w:szCs w:val="21"/>
          <w:highlight w:val="none"/>
        </w:rPr>
        <w:t>（1）国家对本次投标货物和服务的生产、安装调试、验收、维修等有关法律、法规及行业管理标准；</w:t>
      </w:r>
    </w:p>
    <w:p w14:paraId="7FCC5E1D">
      <w:pPr>
        <w:shd w:val="clear"/>
        <w:kinsoku/>
        <w:overflowPunct/>
        <w:bidi w:val="0"/>
        <w:spacing w:line="500" w:lineRule="exact"/>
        <w:ind w:left="0" w:leftChars="0" w:right="0" w:rightChars="0" w:firstLine="315" w:firstLineChars="150"/>
        <w:jc w:val="left"/>
        <w:rPr>
          <w:rFonts w:ascii="宋体" w:hAnsi="宋体" w:cs="宋体"/>
          <w:color w:val="auto"/>
          <w:szCs w:val="21"/>
          <w:highlight w:val="none"/>
        </w:rPr>
      </w:pPr>
      <w:r>
        <w:rPr>
          <w:rFonts w:hint="eastAsia" w:ascii="宋体" w:hAnsi="宋体" w:cs="宋体"/>
          <w:color w:val="auto"/>
          <w:szCs w:val="21"/>
          <w:highlight w:val="none"/>
        </w:rPr>
        <w:t>（2）安徽省及滁州市等有关管理部门的相关规定；</w:t>
      </w:r>
    </w:p>
    <w:p w14:paraId="00E2F0A5">
      <w:pPr>
        <w:shd w:val="clear"/>
        <w:kinsoku/>
        <w:overflowPunct/>
        <w:bidi w:val="0"/>
        <w:spacing w:line="500" w:lineRule="exact"/>
        <w:ind w:left="0" w:leftChars="0" w:right="0" w:rightChars="0" w:firstLine="315" w:firstLineChars="150"/>
        <w:jc w:val="left"/>
        <w:rPr>
          <w:rFonts w:ascii="宋体" w:hAnsi="宋体" w:cs="宋体"/>
          <w:color w:val="auto"/>
          <w:szCs w:val="21"/>
          <w:highlight w:val="none"/>
        </w:rPr>
      </w:pPr>
      <w:r>
        <w:rPr>
          <w:rFonts w:hint="eastAsia" w:ascii="宋体" w:hAnsi="宋体" w:cs="宋体"/>
          <w:color w:val="auto"/>
          <w:szCs w:val="21"/>
          <w:highlight w:val="none"/>
        </w:rPr>
        <w:t>（3）招标人的相关场地情况、基础建设、电力供应情况及相关设计标准。</w:t>
      </w:r>
    </w:p>
    <w:p w14:paraId="272C7FA7">
      <w:pPr>
        <w:shd w:val="clear"/>
        <w:kinsoku/>
        <w:overflowPunct/>
        <w:bidi w:val="0"/>
        <w:spacing w:line="500" w:lineRule="exact"/>
        <w:ind w:left="0" w:leftChars="0" w:right="0" w:rightChars="0" w:firstLine="315" w:firstLineChars="150"/>
        <w:jc w:val="left"/>
        <w:rPr>
          <w:rFonts w:ascii="宋体" w:hAnsi="宋体" w:cs="宋体"/>
          <w:color w:val="auto"/>
          <w:szCs w:val="21"/>
          <w:highlight w:val="none"/>
        </w:rPr>
      </w:pPr>
      <w:r>
        <w:rPr>
          <w:rFonts w:hint="eastAsia" w:ascii="宋体" w:hAnsi="宋体" w:cs="宋体"/>
          <w:color w:val="auto"/>
          <w:szCs w:val="21"/>
          <w:highlight w:val="none"/>
        </w:rPr>
        <w:t>本招标文件不再对上述情况进行描述。</w:t>
      </w:r>
    </w:p>
    <w:p w14:paraId="53F61FBC">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13.7凡投标人在我市公共资源交易活动中出现违法违规、破坏市场秩序等不良行为且被监管部门处罚的，一律在滁州市公共资源交易网等相关网站曝光。</w:t>
      </w:r>
    </w:p>
    <w:p w14:paraId="166407E1">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13.8投标人的不良行为、失信行为及行政处罚等效力不因企业名称的变更而改变。</w:t>
      </w:r>
    </w:p>
    <w:p w14:paraId="0A287E34">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13.9中标候选人无正当理由放弃中标候选人资格的，其保证金将不予退还，并被记不良信息记录。</w:t>
      </w:r>
    </w:p>
    <w:p w14:paraId="3744E75A">
      <w:pPr>
        <w:pStyle w:val="34"/>
        <w:shd w:val="clear"/>
        <w:kinsoku/>
        <w:overflowPunct/>
        <w:bidi w:val="0"/>
        <w:spacing w:after="0" w:line="500" w:lineRule="exact"/>
        <w:ind w:left="0" w:leftChars="0" w:right="0" w:rightChars="0"/>
        <w:jc w:val="left"/>
        <w:rPr>
          <w:rFonts w:ascii="宋体" w:hAnsi="宋体" w:cs="宋体"/>
          <w:color w:val="auto"/>
          <w:sz w:val="21"/>
          <w:szCs w:val="21"/>
          <w:highlight w:val="none"/>
        </w:rPr>
      </w:pPr>
      <w:r>
        <w:rPr>
          <w:rFonts w:hint="eastAsia" w:ascii="宋体" w:hAnsi="宋体" w:cs="宋体"/>
          <w:color w:val="auto"/>
          <w:sz w:val="21"/>
          <w:szCs w:val="21"/>
          <w:highlight w:val="none"/>
        </w:rPr>
        <w:t>13.10若存在不予退还投标人投标保证金的情形，银行转账的，由市公共资源交易中心代为收缴，递交保函、支票、汇票、本票的，由招标人予以追缴。</w:t>
      </w:r>
    </w:p>
    <w:p w14:paraId="5527353B">
      <w:pPr>
        <w:shd w:val="clear"/>
        <w:kinsoku/>
        <w:overflowPunct/>
        <w:bidi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14.保密</w:t>
      </w:r>
    </w:p>
    <w:p w14:paraId="19FCAEDA">
      <w:pPr>
        <w:pStyle w:val="34"/>
        <w:shd w:val="clear"/>
        <w:kinsoku/>
        <w:overflowPunct/>
        <w:bidi w:val="0"/>
        <w:spacing w:after="0" w:line="500" w:lineRule="exact"/>
        <w:ind w:left="0" w:leftChars="0" w:right="0" w:rightChars="0"/>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参与招标投标活动的各方应对招标文件和投标文件中的商业和技术等秘密保密，违者应对由此造成的后果承担法律责任。 </w:t>
      </w:r>
    </w:p>
    <w:p w14:paraId="048752E9">
      <w:pPr>
        <w:shd w:val="clear"/>
        <w:kinsoku/>
        <w:overflowPunct/>
        <w:bidi w:val="0"/>
        <w:spacing w:beforeLines="50" w:afterLines="50" w:line="500" w:lineRule="exact"/>
        <w:ind w:left="0" w:leftChars="0" w:right="0" w:rightChars="0"/>
        <w:jc w:val="center"/>
        <w:rPr>
          <w:rFonts w:ascii="宋体" w:hAnsi="宋体" w:cs="宋体"/>
          <w:b/>
          <w:color w:val="auto"/>
          <w:sz w:val="28"/>
          <w:szCs w:val="28"/>
          <w:highlight w:val="none"/>
        </w:rPr>
      </w:pPr>
      <w:bookmarkStart w:id="55" w:name="_Toc449028868"/>
      <w:r>
        <w:rPr>
          <w:rFonts w:hint="eastAsia" w:ascii="宋体" w:hAnsi="宋体" w:cs="宋体"/>
          <w:b/>
          <w:color w:val="auto"/>
          <w:sz w:val="28"/>
          <w:szCs w:val="28"/>
          <w:highlight w:val="none"/>
        </w:rPr>
        <w:t>（二）</w:t>
      </w:r>
      <w:bookmarkEnd w:id="55"/>
      <w:r>
        <w:rPr>
          <w:rFonts w:hint="eastAsia" w:ascii="宋体" w:hAnsi="宋体" w:cs="宋体"/>
          <w:b/>
          <w:color w:val="auto"/>
          <w:sz w:val="28"/>
          <w:szCs w:val="28"/>
          <w:highlight w:val="none"/>
        </w:rPr>
        <w:t>招标文件</w:t>
      </w:r>
    </w:p>
    <w:p w14:paraId="2EF7945B">
      <w:pPr>
        <w:shd w:val="clear"/>
        <w:kinsoku/>
        <w:overflowPunct/>
        <w:bidi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15. 招标文件的编制依据</w:t>
      </w:r>
    </w:p>
    <w:p w14:paraId="6EC22390">
      <w:pPr>
        <w:shd w:val="clear"/>
        <w:kinsoku/>
        <w:overflowPunct/>
        <w:bidi w:val="0"/>
        <w:spacing w:line="500" w:lineRule="exact"/>
        <w:ind w:left="0" w:leftChars="0" w:right="0" w:rightChars="0" w:firstLine="420" w:firstLineChars="200"/>
        <w:rPr>
          <w:rFonts w:ascii="宋体"/>
          <w:color w:val="auto"/>
          <w:szCs w:val="21"/>
          <w:highlight w:val="none"/>
        </w:rPr>
      </w:pPr>
      <w:r>
        <w:rPr>
          <w:rFonts w:hint="eastAsia" w:ascii="宋体"/>
          <w:color w:val="auto"/>
          <w:szCs w:val="21"/>
          <w:highlight w:val="none"/>
        </w:rPr>
        <w:t>根据</w:t>
      </w:r>
      <w:r>
        <w:rPr>
          <w:rFonts w:hint="eastAsia"/>
          <w:color w:val="auto"/>
          <w:highlight w:val="none"/>
        </w:rPr>
        <w:t>《中华人民共和国招标投标法》、《中华人民共和国招标投标法实施条例》</w:t>
      </w:r>
      <w:r>
        <w:rPr>
          <w:rFonts w:hint="eastAsia" w:ascii="宋体"/>
          <w:color w:val="auto"/>
          <w:szCs w:val="21"/>
          <w:highlight w:val="none"/>
        </w:rPr>
        <w:t>和</w:t>
      </w:r>
      <w:r>
        <w:rPr>
          <w:rFonts w:hint="eastAsia"/>
          <w:color w:val="auto"/>
          <w:highlight w:val="none"/>
        </w:rPr>
        <w:t>《中华人民共和国民法典》</w:t>
      </w:r>
      <w:r>
        <w:rPr>
          <w:rFonts w:hint="eastAsia" w:ascii="宋体"/>
          <w:color w:val="auto"/>
          <w:spacing w:val="-2"/>
          <w:szCs w:val="21"/>
          <w:highlight w:val="none"/>
        </w:rPr>
        <w:t>等相关法律法规和规章及部、省、市级规范性文件的规定，编制本招标文件。</w:t>
      </w:r>
    </w:p>
    <w:p w14:paraId="42F83599">
      <w:pPr>
        <w:shd w:val="clear"/>
        <w:kinsoku/>
        <w:overflowPunct/>
        <w:bidi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16. 招标文件的组成</w:t>
      </w:r>
    </w:p>
    <w:p w14:paraId="660F1FFD">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 招标文件包括内容：</w:t>
      </w:r>
    </w:p>
    <w:p w14:paraId="15E26A59">
      <w:pPr>
        <w:shd w:val="clear"/>
        <w:kinsoku/>
        <w:overflowPunct/>
        <w:bidi w:val="0"/>
        <w:spacing w:line="500" w:lineRule="exact"/>
        <w:ind w:left="0" w:leftChars="0" w:right="0" w:rightChars="0"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第一章  招标公告</w:t>
      </w:r>
    </w:p>
    <w:p w14:paraId="74F74786">
      <w:pPr>
        <w:shd w:val="clear"/>
        <w:kinsoku/>
        <w:overflowPunct/>
        <w:bidi w:val="0"/>
        <w:spacing w:line="500" w:lineRule="exact"/>
        <w:ind w:left="0" w:leftChars="0" w:right="0" w:rightChars="0"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第二章  投标人须知</w:t>
      </w:r>
    </w:p>
    <w:p w14:paraId="65FDBC85">
      <w:pPr>
        <w:shd w:val="clear"/>
        <w:kinsoku/>
        <w:overflowPunct/>
        <w:bidi w:val="0"/>
        <w:spacing w:line="500" w:lineRule="exact"/>
        <w:ind w:left="0" w:leftChars="0" w:right="0" w:rightChars="0"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第三章  评标办法</w:t>
      </w:r>
    </w:p>
    <w:p w14:paraId="6B5A6240">
      <w:pPr>
        <w:shd w:val="clear"/>
        <w:kinsoku/>
        <w:overflowPunct/>
        <w:bidi w:val="0"/>
        <w:spacing w:line="500" w:lineRule="exact"/>
        <w:ind w:left="0" w:leftChars="0" w:right="0" w:rightChars="0" w:firstLine="1470" w:firstLineChars="700"/>
        <w:jc w:val="left"/>
        <w:rPr>
          <w:rFonts w:ascii="宋体" w:hAnsi="宋体" w:cs="宋体"/>
          <w:color w:val="auto"/>
          <w:szCs w:val="21"/>
          <w:highlight w:val="none"/>
        </w:rPr>
      </w:pPr>
      <w:r>
        <w:rPr>
          <w:rFonts w:hint="eastAsia" w:ascii="宋体" w:hAnsi="宋体" w:cs="宋体"/>
          <w:color w:val="auto"/>
          <w:szCs w:val="21"/>
          <w:highlight w:val="none"/>
        </w:rPr>
        <w:t xml:space="preserve">第四章  </w:t>
      </w:r>
      <w:r>
        <w:rPr>
          <w:rFonts w:hint="eastAsia" w:ascii="宋体" w:hAnsi="宋体" w:cs="宋体"/>
          <w:color w:val="auto"/>
          <w:szCs w:val="21"/>
          <w:highlight w:val="none"/>
          <w:lang w:val="en-US" w:eastAsia="zh-CN"/>
        </w:rPr>
        <w:t>服务内容及技术要求</w:t>
      </w:r>
    </w:p>
    <w:p w14:paraId="709543BC">
      <w:pPr>
        <w:shd w:val="clear"/>
        <w:kinsoku/>
        <w:overflowPunct/>
        <w:bidi w:val="0"/>
        <w:spacing w:line="500" w:lineRule="exact"/>
        <w:ind w:left="0" w:leftChars="0" w:right="0" w:rightChars="0"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第五章  合同条款及格式</w:t>
      </w:r>
    </w:p>
    <w:p w14:paraId="30CBB51A">
      <w:pPr>
        <w:shd w:val="clear"/>
        <w:kinsoku/>
        <w:overflowPunct/>
        <w:bidi w:val="0"/>
        <w:spacing w:line="500" w:lineRule="exact"/>
        <w:ind w:left="0" w:leftChars="0" w:right="0" w:rightChars="0"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第六章  投标文件格式</w:t>
      </w:r>
    </w:p>
    <w:p w14:paraId="158023F4">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 xml:space="preserve">   16.2 除16.1款内容外，招标答疑亦为招标文件的组成部分，对招标人和投标人起约束作用。</w:t>
      </w:r>
    </w:p>
    <w:p w14:paraId="6968ACA5">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 xml:space="preserve">   16.3投标人应仔细阅读和检查招标文件的全部内容。如发现缺页或附件不全，应及时向招标人提出，以便补齐。</w:t>
      </w:r>
    </w:p>
    <w:p w14:paraId="4A482FDC">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16.4 投标人可以通过电子交易系统对招标文件提出澄清（质疑）。招标文件的澄清将在滁州市公共资源交易中心（</w:t>
      </w:r>
      <w:r>
        <w:rPr>
          <w:color w:val="auto"/>
          <w:highlight w:val="none"/>
        </w:rPr>
        <w:fldChar w:fldCharType="begin"/>
      </w:r>
      <w:r>
        <w:rPr>
          <w:color w:val="auto"/>
          <w:highlight w:val="none"/>
        </w:rPr>
        <w:instrText xml:space="preserve"> HYPERLINK "qq://txfile/" </w:instrText>
      </w:r>
      <w:r>
        <w:rPr>
          <w:color w:val="auto"/>
          <w:highlight w:val="none"/>
        </w:rPr>
        <w:fldChar w:fldCharType="separate"/>
      </w:r>
      <w:r>
        <w:rPr>
          <w:rFonts w:hint="eastAsia" w:ascii="宋体" w:hAnsi="宋体" w:cs="宋体"/>
          <w:color w:val="auto"/>
          <w:szCs w:val="21"/>
          <w:highlight w:val="none"/>
        </w:rPr>
        <w:t>http:// ggzy.chuzhou.gov.cn/</w:t>
      </w:r>
      <w:r>
        <w:rPr>
          <w:rFonts w:hint="eastAsia" w:ascii="宋体" w:hAnsi="宋体" w:cs="宋体"/>
          <w:color w:val="auto"/>
          <w:szCs w:val="21"/>
          <w:highlight w:val="none"/>
        </w:rPr>
        <w:fldChar w:fldCharType="end"/>
      </w:r>
      <w:r>
        <w:rPr>
          <w:rFonts w:hint="eastAsia" w:ascii="宋体" w:hAnsi="宋体" w:cs="宋体"/>
          <w:color w:val="auto"/>
          <w:szCs w:val="21"/>
          <w:highlight w:val="none"/>
        </w:rPr>
        <w:t>）发布，但不指明澄清问题的来源。如果澄清内容影响投标文件编制的，将相应延长投标截止时间。</w:t>
      </w:r>
    </w:p>
    <w:p w14:paraId="3339E678">
      <w:pPr>
        <w:shd w:val="clear"/>
        <w:kinsoku/>
        <w:overflowPunct/>
        <w:bidi w:val="0"/>
        <w:spacing w:line="500" w:lineRule="exact"/>
        <w:ind w:left="0" w:leftChars="0" w:right="0" w:rightChars="0"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17. 招标文件的异议、澄清</w:t>
      </w:r>
    </w:p>
    <w:p w14:paraId="313D15C2">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17.1 投标人或其他利害关系人投标人应仔细阅读和检查招标文件的全部内容，对招标文件有异议的，应在投标截止时间10日前以投标人须知前附表规定的网上留言或书面形式提出。招标人将在收到异议之日起3日内作出答复；作出答复前，将暂停招标投标活动。</w:t>
      </w:r>
    </w:p>
    <w:p w14:paraId="0BEA4CED">
      <w:pPr>
        <w:shd w:val="clear"/>
        <w:kinsoku/>
        <w:overflowPunct/>
        <w:bidi w:val="0"/>
        <w:spacing w:line="500" w:lineRule="exact"/>
        <w:ind w:left="0" w:leftChars="0" w:right="0" w:rightChars="0"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17.2 招标人可以澄清招标文件，并以投标人须知前附表规定澄清的方式在滁州市公共资源交易中心网站发布。但如果修改招标文件的时间距投标截止时间不足15天，并且修改内容影响投标文件编制的，将相应延长投标截止时间。</w:t>
      </w:r>
    </w:p>
    <w:p w14:paraId="466DF9F6">
      <w:pPr>
        <w:shd w:val="clear"/>
        <w:kinsoku/>
        <w:overflowPunct/>
        <w:bidi w:val="0"/>
        <w:spacing w:line="500" w:lineRule="exact"/>
        <w:ind w:left="0" w:leftChars="0" w:right="0" w:rightChars="0"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17.3招标文件的解释</w:t>
      </w:r>
    </w:p>
    <w:p w14:paraId="0528AADA">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（1）构成本招标文件的各个组成文件应互为解释，互为说明；</w:t>
      </w:r>
    </w:p>
    <w:p w14:paraId="70CE3A2F">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（2）同一组成文件中就同一事项的规定或约定不一致的，以编排顺序在后者为准；</w:t>
      </w:r>
    </w:p>
    <w:p w14:paraId="4EE53117">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（3）如有不明确或不一致，构成合同文件组成内容的，以合同文件约定内容为准，且以专用合同条款约定的合同文件优先顺序解释；</w:t>
      </w:r>
    </w:p>
    <w:p w14:paraId="566985E3">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（4）系统中提供的表格（或格式文件）与招标文件中不一致时，以招标文件中提供的为准；</w:t>
      </w:r>
    </w:p>
    <w:p w14:paraId="3B3ED6BB">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（5）按本款前述规定仍不能形成结论的，由招标人（或其委托的采购代理机构）负责解释。</w:t>
      </w:r>
    </w:p>
    <w:p w14:paraId="1A945515">
      <w:pPr>
        <w:shd w:val="clear"/>
        <w:kinsoku/>
        <w:overflowPunct/>
        <w:bidi w:val="0"/>
        <w:spacing w:line="500" w:lineRule="exact"/>
        <w:ind w:left="0" w:leftChars="0" w:right="0" w:rightChars="0"/>
        <w:jc w:val="left"/>
        <w:rPr>
          <w:rFonts w:ascii="宋体" w:hAnsi="宋体" w:cs="宋体"/>
          <w:b/>
          <w:color w:val="auto"/>
          <w:szCs w:val="21"/>
          <w:highlight w:val="none"/>
        </w:rPr>
      </w:pPr>
      <w:r>
        <w:rPr>
          <w:rFonts w:hint="eastAsia" w:ascii="宋体" w:hAnsi="宋体" w:cs="宋体"/>
          <w:b/>
          <w:color w:val="auto"/>
          <w:szCs w:val="21"/>
          <w:highlight w:val="none"/>
        </w:rPr>
        <w:t xml:space="preserve">    18. 招标文件的发出</w:t>
      </w:r>
    </w:p>
    <w:p w14:paraId="6C0F50C2">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18.1招标文件、招标文件的澄清、修改、补充及招标答疑等均应报公共资源交易监督管理机构备案后，方可发出。</w:t>
      </w:r>
    </w:p>
    <w:p w14:paraId="4336497D">
      <w:pPr>
        <w:shd w:val="clear"/>
        <w:kinsoku/>
        <w:overflowPunct/>
        <w:bidi w:val="0"/>
        <w:spacing w:line="500" w:lineRule="exact"/>
        <w:ind w:left="0" w:leftChars="0" w:right="0" w:rightChars="0" w:firstLine="843" w:firstLineChars="400"/>
        <w:rPr>
          <w:rFonts w:ascii="宋体" w:hAnsi="宋体" w:cs="宋体"/>
          <w:b/>
          <w:bCs/>
          <w:color w:val="auto"/>
          <w:szCs w:val="21"/>
          <w:highlight w:val="none"/>
        </w:rPr>
      </w:pPr>
      <w:bookmarkStart w:id="56" w:name="_Toc449028869"/>
      <w:r>
        <w:rPr>
          <w:rFonts w:hint="eastAsia" w:ascii="宋体" w:hAnsi="宋体" w:cs="宋体"/>
          <w:b/>
          <w:bCs/>
          <w:color w:val="auto"/>
          <w:szCs w:val="21"/>
          <w:highlight w:val="none"/>
        </w:rPr>
        <w:t>19. 样品（本项目不采用）</w:t>
      </w:r>
    </w:p>
    <w:p w14:paraId="291F469C">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19.1凡需要设置样品情形时，必须明确是否需要随样品提交检测报告，并明确检测机构的要求、检测内容、中标样品封存等事项。（评标委员会无法判断样品是否合格且样品需要提供给第三方权威检测机构检测的,在投标人提供招标人认可的第三方权威检测机构检测报告后，评标委员会推荐的中标候选人方可生效，招标人或代理机构发布中标（成交）结果公告。</w:t>
      </w:r>
    </w:p>
    <w:p w14:paraId="3887C885">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19.2招标文件中应明确样品送检方式、检测费用支付方法、投标人在规定时间内无法提供第三方权威检测机构检测报告的处理方式。</w:t>
      </w:r>
    </w:p>
    <w:p w14:paraId="55F45A05">
      <w:pPr>
        <w:shd w:val="clear"/>
        <w:kinsoku/>
        <w:overflowPunct/>
        <w:bidi w:val="0"/>
        <w:spacing w:beforeLines="50" w:afterLines="50" w:line="500" w:lineRule="exact"/>
        <w:ind w:left="0" w:leftChars="0" w:right="0" w:rightChars="0"/>
        <w:jc w:val="center"/>
        <w:rPr>
          <w:rFonts w:ascii="宋体" w:hAnsi="宋体" w:cs="宋体"/>
          <w:b/>
          <w:color w:val="auto"/>
          <w:sz w:val="28"/>
          <w:szCs w:val="28"/>
          <w:highlight w:val="none"/>
        </w:rPr>
      </w:pPr>
      <w:r>
        <w:rPr>
          <w:rFonts w:hint="eastAsia" w:ascii="宋体" w:hAnsi="宋体" w:cs="宋体"/>
          <w:b/>
          <w:color w:val="auto"/>
          <w:sz w:val="28"/>
          <w:szCs w:val="28"/>
          <w:highlight w:val="none"/>
        </w:rPr>
        <w:t>（三）投标文件的编制</w:t>
      </w:r>
      <w:bookmarkEnd w:id="56"/>
    </w:p>
    <w:p w14:paraId="16FEB4AE">
      <w:pPr>
        <w:shd w:val="clear"/>
        <w:kinsoku/>
        <w:overflowPunct/>
        <w:bidi w:val="0"/>
        <w:spacing w:line="500" w:lineRule="exact"/>
        <w:ind w:left="0" w:leftChars="0" w:right="0" w:rightChars="0" w:firstLine="306" w:firstLineChars="145"/>
        <w:jc w:val="left"/>
        <w:rPr>
          <w:rFonts w:hint="eastAsia" w:ascii="宋体" w:hAnsi="宋体" w:cs="宋体"/>
          <w:b/>
          <w:color w:val="auto"/>
          <w:szCs w:val="21"/>
          <w:highlight w:val="none"/>
        </w:rPr>
      </w:pPr>
      <w:r>
        <w:rPr>
          <w:rFonts w:hint="eastAsia" w:ascii="宋体" w:hAnsi="宋体" w:cs="宋体"/>
          <w:b/>
          <w:color w:val="auto"/>
          <w:szCs w:val="21"/>
          <w:highlight w:val="none"/>
        </w:rPr>
        <w:t>20. 投标的语言及度量衡单位</w:t>
      </w:r>
    </w:p>
    <w:p w14:paraId="1BA887A5">
      <w:pPr>
        <w:shd w:val="clear"/>
        <w:kinsoku/>
        <w:overflowPunct/>
        <w:bidi w:val="0"/>
        <w:spacing w:line="500" w:lineRule="exact"/>
        <w:ind w:left="0" w:leftChars="0" w:right="0" w:rightChars="0" w:firstLine="304" w:firstLineChars="145"/>
        <w:jc w:val="left"/>
        <w:rPr>
          <w:rFonts w:hint="eastAsia" w:ascii="宋体" w:hAnsi="宋体" w:cs="宋体"/>
          <w:color w:val="auto"/>
          <w:szCs w:val="21"/>
          <w:highlight w:val="none"/>
        </w:rPr>
      </w:pPr>
      <w:r>
        <w:rPr>
          <w:rFonts w:hint="eastAsia" w:ascii="宋体" w:hAnsi="宋体" w:cs="宋体"/>
          <w:color w:val="auto"/>
          <w:szCs w:val="21"/>
          <w:highlight w:val="none"/>
        </w:rPr>
        <w:t>20.1投标人的投标文件、以及投标人与招标人就投标的所有往来函电，均须使用简体中文。</w:t>
      </w:r>
    </w:p>
    <w:p w14:paraId="1418F498">
      <w:pPr>
        <w:shd w:val="clear"/>
        <w:kinsoku/>
        <w:overflowPunct/>
        <w:bidi w:val="0"/>
        <w:spacing w:line="500" w:lineRule="exact"/>
        <w:ind w:left="0" w:leftChars="0" w:right="0" w:rightChars="0" w:firstLine="304" w:firstLineChars="145"/>
        <w:jc w:val="left"/>
        <w:rPr>
          <w:rFonts w:ascii="宋体" w:hAnsi="宋体" w:cs="宋体"/>
          <w:color w:val="auto"/>
          <w:szCs w:val="21"/>
          <w:highlight w:val="none"/>
        </w:rPr>
      </w:pPr>
      <w:r>
        <w:rPr>
          <w:rFonts w:hint="eastAsia" w:ascii="宋体" w:hAnsi="宋体" w:cs="宋体"/>
          <w:color w:val="auto"/>
          <w:szCs w:val="21"/>
          <w:highlight w:val="none"/>
        </w:rPr>
        <w:t>20.2除招标文件中另有规定外，投标文件所使用的度量衡均须采用法定计量单位。</w:t>
      </w:r>
    </w:p>
    <w:p w14:paraId="0A7ED319">
      <w:pPr>
        <w:shd w:val="clear"/>
        <w:kinsoku/>
        <w:overflowPunct/>
        <w:bidi w:val="0"/>
        <w:spacing w:line="500" w:lineRule="exact"/>
        <w:ind w:left="0" w:leftChars="0" w:right="0" w:rightChars="0" w:firstLine="211" w:firstLineChars="100"/>
        <w:jc w:val="left"/>
        <w:rPr>
          <w:rFonts w:ascii="宋体" w:hAnsi="宋体" w:cs="宋体"/>
          <w:b/>
          <w:color w:val="auto"/>
          <w:szCs w:val="21"/>
          <w:highlight w:val="none"/>
        </w:rPr>
      </w:pPr>
      <w:r>
        <w:rPr>
          <w:rFonts w:hint="eastAsia" w:ascii="宋体" w:hAnsi="宋体" w:cs="宋体"/>
          <w:b/>
          <w:color w:val="auto"/>
          <w:szCs w:val="21"/>
          <w:highlight w:val="none"/>
        </w:rPr>
        <w:t>21. 投标文件的组成、上传说明</w:t>
      </w:r>
    </w:p>
    <w:p w14:paraId="48D7E0EC">
      <w:pPr>
        <w:shd w:val="clear"/>
        <w:kinsoku/>
        <w:overflowPunct/>
        <w:bidi w:val="0"/>
        <w:spacing w:line="500" w:lineRule="exact"/>
        <w:ind w:left="0" w:leftChars="0" w:right="0" w:rightChars="0" w:firstLine="211" w:firstLineChars="100"/>
        <w:jc w:val="left"/>
        <w:rPr>
          <w:rFonts w:ascii="宋体" w:hAnsi="宋体" w:cs="宋体"/>
          <w:color w:val="auto"/>
          <w:szCs w:val="21"/>
          <w:highlight w:val="none"/>
        </w:rPr>
      </w:pPr>
      <w:r>
        <w:rPr>
          <w:rFonts w:hint="eastAsia" w:ascii="宋体" w:hAnsi="宋体" w:cs="宋体"/>
          <w:b/>
          <w:color w:val="auto"/>
          <w:szCs w:val="21"/>
          <w:highlight w:val="none"/>
        </w:rPr>
        <w:t>21.1投标文件的组成</w:t>
      </w:r>
    </w:p>
    <w:p w14:paraId="05FA7B0B">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投标文件由投标文件一（资信证明文件）、投标文件二（技术标）和投标文件三（商务标）三部分组成。</w:t>
      </w:r>
      <w:r>
        <w:rPr>
          <w:rFonts w:hint="eastAsia" w:ascii="宋体" w:hAnsi="宋体" w:cs="宋体"/>
          <w:b/>
          <w:bCs/>
          <w:color w:val="auto"/>
          <w:szCs w:val="21"/>
          <w:highlight w:val="none"/>
        </w:rPr>
        <w:t>具体内容详见第六章投标文件格式内容。</w:t>
      </w:r>
    </w:p>
    <w:p w14:paraId="78E9AD65">
      <w:pPr>
        <w:shd w:val="clear"/>
        <w:kinsoku/>
        <w:overflowPunct/>
        <w:bidi w:val="0"/>
        <w:spacing w:line="500" w:lineRule="exact"/>
        <w:ind w:left="0" w:leftChars="0" w:right="0" w:rightChars="0" w:firstLine="211" w:firstLineChars="100"/>
        <w:jc w:val="left"/>
        <w:rPr>
          <w:rFonts w:ascii="宋体" w:hAnsi="宋体" w:cs="宋体"/>
          <w:b/>
          <w:color w:val="auto"/>
          <w:szCs w:val="21"/>
          <w:highlight w:val="none"/>
        </w:rPr>
      </w:pPr>
      <w:r>
        <w:rPr>
          <w:rFonts w:hint="eastAsia" w:ascii="宋体" w:hAnsi="宋体" w:cs="宋体"/>
          <w:b/>
          <w:color w:val="auto"/>
          <w:szCs w:val="21"/>
          <w:highlight w:val="none"/>
        </w:rPr>
        <w:t>21.2投标文件的上传</w:t>
      </w:r>
    </w:p>
    <w:p w14:paraId="4D7A91D0">
      <w:pPr>
        <w:shd w:val="clear"/>
        <w:kinsoku/>
        <w:overflowPunct/>
        <w:bidi w:val="0"/>
        <w:spacing w:line="500" w:lineRule="exact"/>
        <w:ind w:left="0" w:leftChars="0" w:right="0" w:rightChars="0" w:firstLine="315" w:firstLineChars="150"/>
        <w:jc w:val="left"/>
        <w:rPr>
          <w:rFonts w:ascii="宋体" w:hAnsi="宋体" w:cs="宋体"/>
          <w:color w:val="auto"/>
          <w:szCs w:val="21"/>
          <w:highlight w:val="none"/>
        </w:rPr>
      </w:pPr>
      <w:r>
        <w:rPr>
          <w:rFonts w:hint="eastAsia" w:ascii="宋体" w:hAnsi="宋体" w:cs="宋体"/>
          <w:color w:val="auto"/>
          <w:szCs w:val="21"/>
          <w:highlight w:val="none"/>
        </w:rPr>
        <w:t>（1）投标人在滁州市公共资源交易中心网，利用用户名或CA数字证书登录下载招标文件(.czzf格式)后，在下载投标文件制作工具安装后，在线制作投标文件，制作好的投标文件格式有2种:第一种.cztf格式加密投标文件；第二种.ncztf格式是非加密投标文件。请投标人将第一种投标文件通过系统“上传投标文件”上传到系统中。</w:t>
      </w:r>
    </w:p>
    <w:p w14:paraId="427D0C5B">
      <w:pPr>
        <w:shd w:val="clear"/>
        <w:kinsoku/>
        <w:overflowPunct/>
        <w:bidi w:val="0"/>
        <w:spacing w:line="500" w:lineRule="exact"/>
        <w:ind w:left="0" w:leftChars="0" w:right="0" w:rightChars="0" w:firstLine="315" w:firstLineChars="150"/>
        <w:jc w:val="left"/>
        <w:rPr>
          <w:rFonts w:ascii="宋体" w:hAnsi="宋体" w:cs="宋体"/>
          <w:color w:val="auto"/>
          <w:szCs w:val="21"/>
          <w:highlight w:val="none"/>
        </w:rPr>
      </w:pPr>
      <w:r>
        <w:rPr>
          <w:rFonts w:hint="eastAsia" w:ascii="宋体" w:hAnsi="宋体" w:cs="宋体"/>
          <w:color w:val="auto"/>
          <w:szCs w:val="21"/>
          <w:highlight w:val="none"/>
        </w:rPr>
        <w:t>（2）如果一个项目有多个标段，则需按标段下载对应标段招标文件分别生成对应的投标文件，通过系统“上传投标文件”按标段分别上传到系统中。</w:t>
      </w:r>
    </w:p>
    <w:p w14:paraId="4C01174C">
      <w:pPr>
        <w:shd w:val="clear"/>
        <w:kinsoku/>
        <w:overflowPunct/>
        <w:bidi w:val="0"/>
        <w:spacing w:line="500" w:lineRule="exact"/>
        <w:ind w:left="0" w:leftChars="0" w:right="0" w:rightChars="0" w:firstLine="315" w:firstLineChars="150"/>
        <w:jc w:val="left"/>
        <w:rPr>
          <w:rFonts w:ascii="宋体" w:hAnsi="宋体" w:cs="宋体"/>
          <w:color w:val="auto"/>
          <w:szCs w:val="21"/>
          <w:highlight w:val="none"/>
        </w:rPr>
      </w:pPr>
      <w:r>
        <w:rPr>
          <w:rFonts w:hint="eastAsia" w:ascii="宋体" w:hAnsi="宋体" w:cs="宋体"/>
          <w:color w:val="auto"/>
          <w:szCs w:val="21"/>
          <w:highlight w:val="none"/>
        </w:rPr>
        <w:t>（3）请投标人通过系统下载投标工具制作投标文件，并利用CA数字证书进行上传投标文件，上传已加密的投标文件，务必通过此方式上传投标文件。</w:t>
      </w:r>
    </w:p>
    <w:p w14:paraId="21EC93EC">
      <w:pPr>
        <w:shd w:val="clear"/>
        <w:kinsoku/>
        <w:overflowPunct/>
        <w:bidi w:val="0"/>
        <w:spacing w:line="500" w:lineRule="exact"/>
        <w:ind w:left="0" w:leftChars="0" w:right="0" w:rightChars="0" w:firstLine="315" w:firstLineChars="150"/>
        <w:jc w:val="left"/>
        <w:rPr>
          <w:rFonts w:ascii="宋体" w:hAnsi="宋体" w:cs="宋体"/>
          <w:color w:val="auto"/>
          <w:szCs w:val="21"/>
          <w:highlight w:val="none"/>
        </w:rPr>
      </w:pPr>
      <w:r>
        <w:rPr>
          <w:rFonts w:hint="eastAsia" w:ascii="宋体" w:hAnsi="宋体" w:cs="宋体"/>
          <w:color w:val="auto"/>
          <w:szCs w:val="21"/>
          <w:highlight w:val="none"/>
        </w:rPr>
        <w:t>（4）投标人在投标文件编制、签章、上传过程中如有任何操作的疑问请及时联系技术支持，电话：0550-3801701。</w:t>
      </w:r>
    </w:p>
    <w:p w14:paraId="6BC0856B">
      <w:pPr>
        <w:shd w:val="clear"/>
        <w:kinsoku/>
        <w:overflowPunct/>
        <w:bidi w:val="0"/>
        <w:spacing w:line="500" w:lineRule="exact"/>
        <w:ind w:left="0" w:leftChars="0" w:right="0" w:rightChars="0" w:firstLine="315" w:firstLineChars="150"/>
        <w:jc w:val="left"/>
        <w:rPr>
          <w:rFonts w:ascii="宋体" w:hAnsi="宋体" w:cs="宋体"/>
          <w:color w:val="auto"/>
          <w:szCs w:val="21"/>
          <w:highlight w:val="none"/>
        </w:rPr>
      </w:pPr>
      <w:r>
        <w:rPr>
          <w:rFonts w:hint="eastAsia" w:ascii="宋体" w:hAnsi="宋体" w:cs="宋体"/>
          <w:color w:val="auto"/>
          <w:szCs w:val="21"/>
          <w:highlight w:val="none"/>
        </w:rPr>
        <w:t>（5）如果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6C4539EE">
      <w:pPr>
        <w:shd w:val="clear"/>
        <w:kinsoku/>
        <w:overflowPunct/>
        <w:bidi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21.3投标文件的编制</w:t>
      </w:r>
    </w:p>
    <w:p w14:paraId="4F436476">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（1）投标文件应按第六章“投标文件格式”进行编写，如有必要，可以增加附页，作为投标文件的组成部分。</w:t>
      </w:r>
    </w:p>
    <w:p w14:paraId="5D08BBC5">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（2）本次招标投标不需要提供纸质投标文件，投标人应按照电子招标投标的要求，在投标人的会员系统中制作、电子签章、上传投标文件。</w:t>
      </w:r>
    </w:p>
    <w:p w14:paraId="7D302018">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（3）网上递交的电子投标文件制作工具等要求详见系统内帮助模块。</w:t>
      </w:r>
    </w:p>
    <w:p w14:paraId="121541CC">
      <w:pPr>
        <w:shd w:val="clear"/>
        <w:kinsoku/>
        <w:overflowPunct/>
        <w:bidi w:val="0"/>
        <w:spacing w:line="500" w:lineRule="exact"/>
        <w:ind w:left="0" w:leftChars="0" w:right="0" w:rightChars="0" w:firstLine="424" w:firstLineChars="202"/>
        <w:jc w:val="left"/>
        <w:rPr>
          <w:rFonts w:ascii="宋体" w:hAnsi="宋体" w:cs="宋体"/>
          <w:color w:val="auto"/>
          <w:szCs w:val="21"/>
          <w:highlight w:val="none"/>
        </w:rPr>
      </w:pPr>
      <w:r>
        <w:rPr>
          <w:rFonts w:hint="eastAsia" w:ascii="宋体" w:hAnsi="宋体" w:cs="宋体"/>
          <w:color w:val="auto"/>
          <w:szCs w:val="21"/>
          <w:highlight w:val="none"/>
        </w:rPr>
        <w:t>（4）网上递交的电子投标文件应按招标文件规定的格式由投标人的法定代表人和投标人分别签章。</w:t>
      </w:r>
    </w:p>
    <w:p w14:paraId="6FD22C09">
      <w:pPr>
        <w:shd w:val="clear"/>
        <w:kinsoku/>
        <w:overflowPunct/>
        <w:bidi w:val="0"/>
        <w:spacing w:line="500" w:lineRule="exact"/>
        <w:ind w:left="0" w:leftChars="0" w:right="0" w:rightChars="0" w:firstLine="422" w:firstLineChars="200"/>
        <w:jc w:val="left"/>
        <w:rPr>
          <w:rFonts w:ascii="宋体" w:hAnsi="宋体" w:cs="宋体"/>
          <w:color w:val="auto"/>
          <w:szCs w:val="21"/>
          <w:highlight w:val="none"/>
        </w:rPr>
      </w:pPr>
      <w:r>
        <w:rPr>
          <w:rFonts w:hint="eastAsia" w:ascii="宋体" w:hAnsi="宋体" w:cs="宋体"/>
          <w:b/>
          <w:color w:val="auto"/>
          <w:szCs w:val="21"/>
          <w:highlight w:val="none"/>
        </w:rPr>
        <w:t>22</w:t>
      </w:r>
      <w:r>
        <w:rPr>
          <w:rFonts w:hint="eastAsia" w:ascii="宋体" w:hAnsi="宋体" w:cs="宋体"/>
          <w:color w:val="auto"/>
          <w:szCs w:val="21"/>
          <w:highlight w:val="none"/>
        </w:rPr>
        <w:t>.</w:t>
      </w:r>
      <w:r>
        <w:rPr>
          <w:rFonts w:hint="eastAsia" w:ascii="宋体" w:hAnsi="宋体" w:cs="宋体"/>
          <w:b/>
          <w:color w:val="auto"/>
          <w:szCs w:val="21"/>
          <w:highlight w:val="none"/>
        </w:rPr>
        <w:t>投标报价</w:t>
      </w:r>
    </w:p>
    <w:p w14:paraId="44DB0DCE">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w:t>
      </w:r>
      <w:r>
        <w:rPr>
          <w:rFonts w:hint="eastAsia" w:ascii="宋体" w:hAnsi="宋体" w:cs="宋体"/>
          <w:color w:val="auto"/>
          <w:szCs w:val="21"/>
          <w:highlight w:val="none"/>
          <w:lang w:val="en-US" w:eastAsia="zh-CN"/>
        </w:rPr>
        <w:t>本项目投标报价采用单价报价</w:t>
      </w:r>
      <w:r>
        <w:rPr>
          <w:rFonts w:hint="eastAsia" w:ascii="宋体" w:hAnsi="宋体" w:cs="宋体"/>
          <w:color w:val="auto"/>
          <w:szCs w:val="21"/>
          <w:highlight w:val="none"/>
        </w:rPr>
        <w:t>。</w:t>
      </w:r>
    </w:p>
    <w:p w14:paraId="60232EB7">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22.2投标人只允许有一个方案、一个报价。</w:t>
      </w:r>
    </w:p>
    <w:p w14:paraId="1DDE53FF">
      <w:pPr>
        <w:shd w:val="clear"/>
        <w:kinsoku/>
        <w:overflowPunct/>
        <w:bidi w:val="0"/>
        <w:spacing w:line="500" w:lineRule="exact"/>
        <w:ind w:left="0" w:leftChars="0" w:right="0" w:rightChars="0" w:firstLine="420" w:firstLineChars="200"/>
        <w:rPr>
          <w:rFonts w:hint="eastAsia" w:ascii="宋体"/>
          <w:b/>
          <w:bCs/>
          <w:color w:val="auto"/>
          <w:szCs w:val="21"/>
          <w:highlight w:val="none"/>
          <w:lang w:val="en-US" w:eastAsia="zh-CN"/>
        </w:rPr>
      </w:pPr>
      <w:r>
        <w:rPr>
          <w:rFonts w:hint="eastAsia" w:ascii="宋体" w:hAnsi="宋体" w:cs="宋体"/>
          <w:color w:val="auto"/>
          <w:szCs w:val="21"/>
          <w:highlight w:val="none"/>
        </w:rPr>
        <w:t>22.</w:t>
      </w:r>
      <w:r>
        <w:rPr>
          <w:rFonts w:hint="eastAsia" w:ascii="宋体" w:hAnsi="宋体" w:cs="宋体"/>
          <w:color w:val="auto"/>
          <w:szCs w:val="21"/>
          <w:highlight w:val="none"/>
          <w:lang w:val="en-US" w:eastAsia="zh-CN"/>
        </w:rPr>
        <w:t>3</w:t>
      </w:r>
      <w:r>
        <w:rPr>
          <w:rFonts w:hint="eastAsia" w:ascii="宋体"/>
          <w:b/>
          <w:bCs/>
          <w:color w:val="auto"/>
          <w:szCs w:val="21"/>
          <w:highlight w:val="none"/>
          <w:lang w:val="en-US" w:eastAsia="zh-CN"/>
        </w:rPr>
        <w:t>中标综合单价，今后不做任何调整。投标人报价中应充分考虑运输、装卸、安全、技术、服务、保险、税金、验收、风险等及完全达到招标文件要求内容并通过验收合格所需的全部费用。招标单位不再另行支付因养护维修、抢修等情况需增加材料、人员、机械等的任何费用。因材料丢失、被盗等所造成的损失视为中标人巡查不到位，所有损失由中标人负责（不可抗力除外）。</w:t>
      </w:r>
    </w:p>
    <w:p w14:paraId="11D78643">
      <w:pPr>
        <w:shd w:val="clear"/>
        <w:kinsoku/>
        <w:overflowPunct/>
        <w:bidi w:val="0"/>
        <w:spacing w:line="500" w:lineRule="exact"/>
        <w:ind w:left="0" w:leftChars="0" w:right="0" w:rightChars="0" w:firstLine="420" w:firstLineChars="200"/>
        <w:rPr>
          <w:rFonts w:ascii="宋体" w:hAnsi="宋体" w:cs="宋体"/>
          <w:color w:val="auto"/>
          <w:szCs w:val="21"/>
          <w:highlight w:val="none"/>
        </w:rPr>
      </w:pPr>
      <w:r>
        <w:rPr>
          <w:rFonts w:hint="eastAsia" w:ascii="宋体" w:hAnsi="宋体" w:cs="宋体"/>
          <w:color w:val="auto"/>
          <w:szCs w:val="21"/>
          <w:highlight w:val="none"/>
        </w:rPr>
        <w:t>22.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投标报价的价格是完成项目全部内容（包括后期的相关服务）交付验收的价格，其价格即为履行合同的固定价格。</w:t>
      </w:r>
    </w:p>
    <w:p w14:paraId="63DFE50A">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技术要求中规定的安装、调试和培训费用应包括在投标价格中。投标文件报价为含税价，采购人不再为此次招标支付任何费用。</w:t>
      </w:r>
    </w:p>
    <w:p w14:paraId="53070745">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投标报价应由法定代表人或被授权人签署。</w:t>
      </w:r>
    </w:p>
    <w:p w14:paraId="7B57D6C9">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22.</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投标人的报价（或单价）不得高于本次招标最高限价（或单价）</w:t>
      </w:r>
      <w:r>
        <w:rPr>
          <w:rFonts w:hint="eastAsia" w:ascii="宋体" w:hAnsi="宋体" w:cs="宋体"/>
          <w:b/>
          <w:color w:val="auto"/>
          <w:szCs w:val="21"/>
          <w:highlight w:val="none"/>
        </w:rPr>
        <w:t>，</w:t>
      </w:r>
      <w:r>
        <w:rPr>
          <w:rFonts w:hint="eastAsia" w:ascii="宋体" w:hAnsi="宋体" w:cs="宋体"/>
          <w:b/>
          <w:bCs/>
          <w:color w:val="auto"/>
          <w:szCs w:val="21"/>
          <w:highlight w:val="none"/>
        </w:rPr>
        <w:t>否则将作为无效投标处理。</w:t>
      </w:r>
    </w:p>
    <w:p w14:paraId="14226DA1">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22.</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总投标价中不得包含招标文件要求以外的内容，否则，在评标时不予核减，但在授予合同时，采购人有权将这部分价格从其中标价格中扣除。</w:t>
      </w:r>
    </w:p>
    <w:p w14:paraId="719337AD">
      <w:pPr>
        <w:shd w:val="clear"/>
        <w:kinsoku/>
        <w:overflowPunct/>
        <w:bidi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23. 投标有效期</w:t>
      </w:r>
    </w:p>
    <w:p w14:paraId="47F8C12A">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23.1 除投标人须知前附表另有规定外，投标有效期为90天。</w:t>
      </w:r>
    </w:p>
    <w:p w14:paraId="24CC2EF9">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23.2在投标有效期内，投标人撤销或修改其投标文件的，应承担招标文件和法律规定的责任。</w:t>
      </w:r>
    </w:p>
    <w:p w14:paraId="425E8B67">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58845CCB">
      <w:pPr>
        <w:shd w:val="clear"/>
        <w:kinsoku/>
        <w:overflowPunct/>
        <w:bidi w:val="0"/>
        <w:spacing w:line="500" w:lineRule="exact"/>
        <w:ind w:left="0" w:leftChars="0" w:right="0" w:rightChars="0" w:firstLine="405" w:firstLineChars="192"/>
        <w:jc w:val="left"/>
        <w:rPr>
          <w:rFonts w:ascii="宋体" w:hAnsi="宋体" w:cs="宋体"/>
          <w:b/>
          <w:color w:val="auto"/>
          <w:szCs w:val="21"/>
          <w:highlight w:val="none"/>
        </w:rPr>
      </w:pPr>
      <w:r>
        <w:rPr>
          <w:rFonts w:hint="eastAsia" w:ascii="宋体" w:hAnsi="宋体" w:cs="宋体"/>
          <w:b/>
          <w:color w:val="auto"/>
          <w:szCs w:val="21"/>
          <w:highlight w:val="none"/>
        </w:rPr>
        <w:t>24. 投标保证金</w:t>
      </w:r>
    </w:p>
    <w:p w14:paraId="584C764E">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bookmarkStart w:id="57" w:name="_Toc449028870"/>
      <w:r>
        <w:rPr>
          <w:rFonts w:hint="eastAsia" w:ascii="宋体" w:hAnsi="宋体" w:cs="宋体"/>
          <w:color w:val="auto"/>
          <w:szCs w:val="21"/>
          <w:highlight w:val="none"/>
        </w:rPr>
        <w:t>24.1投标人须知前附表规定递交投标保证金的，投标人在递交投标文件的同时，应按投标人须知前附表规定的金额、担保形式和招标文件规定的或者事先经过招标人认可的保证金格式递交保证金，并作为其投标文件的组成部分。</w:t>
      </w:r>
    </w:p>
    <w:p w14:paraId="13A61C92">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无论采取何种形式的投标保证金，投标保证金有效期均应与投标有效期一致（采用投标电子保函的保证期截止时间不得早于该项目投标有效期的截止时间）。招标人如果按本章第23.3项的规定延长了投标有效期，则投标保证金的有效期也相应延长。</w:t>
      </w:r>
    </w:p>
    <w:p w14:paraId="4B78231C">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24.2投标人不按本章第24.11项要求提交投标保证金的，评标委员会将否决其投标。</w:t>
      </w:r>
    </w:p>
    <w:p w14:paraId="195C4164">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24.3未中标投标人的投标保证金，中标通知书同步推送至交易中心服务端，银行接到退还指令后一个工作日内退还保证金到达原交纳的基本账户；中标人的投标保证金，在中标人与招标人签订合同并将公开信息推送至交易中心服务端，银行接到退还指令后一个工作日内退付保证金到达原交纳的基本账户。</w:t>
      </w:r>
    </w:p>
    <w:p w14:paraId="37CF182B">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24.4有下列情形之一的，投标保证金将不予退还： </w:t>
      </w:r>
    </w:p>
    <w:p w14:paraId="576728C1">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（1）投标截止后投标人撤销投标文件的；</w:t>
      </w:r>
    </w:p>
    <w:p w14:paraId="28B76C6A">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（2）中标人无正当理由不与招标人订立合同，在签订合同时向招标人提出附加条件，或者不按照招标文件要求提交履约保证金的。</w:t>
      </w:r>
    </w:p>
    <w:p w14:paraId="7F68069C">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24.5投标保证金按《</w:t>
      </w:r>
      <w:r>
        <w:rPr>
          <w:color w:val="auto"/>
          <w:highlight w:val="none"/>
        </w:rPr>
        <w:fldChar w:fldCharType="begin"/>
      </w:r>
      <w:r>
        <w:rPr>
          <w:color w:val="auto"/>
          <w:highlight w:val="none"/>
        </w:rPr>
        <w:instrText xml:space="preserve"> HYPERLINK "https://www.chuzhou.gov.cn/group1/M00/12/83/CpYI8mGDiKqAD_IkAAEIAMLVghw186.doc" \t "_blank" </w:instrText>
      </w:r>
      <w:r>
        <w:rPr>
          <w:color w:val="auto"/>
          <w:highlight w:val="none"/>
        </w:rPr>
        <w:fldChar w:fldCharType="separate"/>
      </w:r>
      <w:r>
        <w:rPr>
          <w:rFonts w:hint="eastAsia" w:ascii="宋体" w:hAnsi="宋体" w:cs="宋体"/>
          <w:color w:val="auto"/>
          <w:szCs w:val="21"/>
          <w:highlight w:val="none"/>
        </w:rPr>
        <w:t>滁州市公共资源交易投标保证金管理规定</w:t>
      </w:r>
      <w:r>
        <w:rPr>
          <w:rFonts w:hint="eastAsia" w:ascii="宋体" w:hAnsi="宋体" w:cs="宋体"/>
          <w:color w:val="auto"/>
          <w:szCs w:val="21"/>
          <w:highlight w:val="none"/>
        </w:rPr>
        <w:fldChar w:fldCharType="end"/>
      </w:r>
      <w:r>
        <w:rPr>
          <w:rFonts w:hint="eastAsia" w:ascii="宋体" w:hAnsi="宋体" w:cs="宋体"/>
          <w:color w:val="auto"/>
          <w:szCs w:val="21"/>
          <w:highlight w:val="none"/>
        </w:rPr>
        <w:t>》（滁公管〔2021〕7号）规定执行。</w:t>
      </w:r>
    </w:p>
    <w:p w14:paraId="76B095FF">
      <w:pPr>
        <w:shd w:val="clear"/>
        <w:kinsoku/>
        <w:overflowPunct/>
        <w:bidi w:val="0"/>
        <w:spacing w:beforeLines="50" w:afterLines="50" w:line="500" w:lineRule="exact"/>
        <w:ind w:left="0" w:leftChars="0" w:right="0" w:rightChars="0"/>
        <w:jc w:val="center"/>
        <w:rPr>
          <w:rFonts w:ascii="宋体" w:hAnsi="宋体" w:cs="宋体"/>
          <w:b/>
          <w:color w:val="auto"/>
          <w:sz w:val="28"/>
          <w:szCs w:val="28"/>
          <w:highlight w:val="none"/>
        </w:rPr>
      </w:pPr>
      <w:r>
        <w:rPr>
          <w:rFonts w:hint="eastAsia" w:ascii="宋体" w:hAnsi="宋体" w:cs="宋体"/>
          <w:b/>
          <w:color w:val="auto"/>
          <w:sz w:val="28"/>
          <w:szCs w:val="28"/>
          <w:highlight w:val="none"/>
        </w:rPr>
        <w:t>（四）投标文件的递交</w:t>
      </w:r>
      <w:bookmarkEnd w:id="57"/>
    </w:p>
    <w:p w14:paraId="52520111">
      <w:pPr>
        <w:shd w:val="clear"/>
        <w:kinsoku/>
        <w:overflowPunct/>
        <w:bidi w:val="0"/>
        <w:spacing w:line="500" w:lineRule="exact"/>
        <w:ind w:left="0" w:leftChars="0" w:right="0" w:rightChars="0"/>
        <w:jc w:val="left"/>
        <w:rPr>
          <w:rFonts w:ascii="宋体" w:hAnsi="宋体" w:cs="宋体"/>
          <w:b/>
          <w:color w:val="auto"/>
          <w:szCs w:val="21"/>
          <w:highlight w:val="none"/>
        </w:rPr>
      </w:pPr>
      <w:r>
        <w:rPr>
          <w:rFonts w:hint="eastAsia" w:ascii="宋体" w:hAnsi="宋体" w:cs="宋体"/>
          <w:b/>
          <w:color w:val="auto"/>
          <w:szCs w:val="21"/>
          <w:highlight w:val="none"/>
        </w:rPr>
        <w:t xml:space="preserve">   25. 投标文件的份数和签署</w:t>
      </w:r>
    </w:p>
    <w:p w14:paraId="7B349BA7">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bookmarkStart w:id="58" w:name="_Toc449028871"/>
      <w:r>
        <w:rPr>
          <w:rFonts w:hint="eastAsia" w:ascii="宋体" w:hAnsi="宋体" w:cs="宋体"/>
          <w:color w:val="auto"/>
          <w:szCs w:val="21"/>
          <w:highlight w:val="none"/>
        </w:rPr>
        <w:t>25.1投标人中标后须递交与网上电子投标文件完全一致的纸质版和电子版投标文件，在领取中标通知书时，一并递交给招标代理机构。</w:t>
      </w:r>
    </w:p>
    <w:p w14:paraId="1599A505">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25.2电子投标文件须按格式文件要求签字或盖章（电子签章），否则经评委会一致认定且经过公共资源交易监督部门批准后, 按照无效投标处理。</w:t>
      </w:r>
    </w:p>
    <w:p w14:paraId="3BDA1920">
      <w:pPr>
        <w:shd w:val="clear"/>
        <w:kinsoku/>
        <w:overflowPunct/>
        <w:bidi w:val="0"/>
        <w:spacing w:line="500" w:lineRule="exact"/>
        <w:ind w:left="0" w:leftChars="0" w:right="0" w:rightChars="0" w:firstLine="312" w:firstLineChars="148"/>
        <w:jc w:val="left"/>
        <w:rPr>
          <w:rFonts w:ascii="宋体" w:hAnsi="宋体" w:cs="宋体"/>
          <w:b/>
          <w:color w:val="auto"/>
          <w:szCs w:val="21"/>
          <w:highlight w:val="none"/>
        </w:rPr>
      </w:pPr>
      <w:r>
        <w:rPr>
          <w:rFonts w:hint="eastAsia" w:ascii="宋体" w:hAnsi="宋体" w:cs="宋体"/>
          <w:b/>
          <w:color w:val="auto"/>
          <w:szCs w:val="21"/>
          <w:highlight w:val="none"/>
        </w:rPr>
        <w:t>26. 投标文件的提交</w:t>
      </w:r>
    </w:p>
    <w:p w14:paraId="1C55B5B8">
      <w:pPr>
        <w:shd w:val="clear"/>
        <w:kinsoku/>
        <w:overflowPunct/>
        <w:bidi w:val="0"/>
        <w:spacing w:line="500" w:lineRule="exact"/>
        <w:ind w:left="0" w:leftChars="0" w:right="0" w:rightChars="0" w:firstLine="310" w:firstLineChars="148"/>
        <w:jc w:val="left"/>
        <w:rPr>
          <w:rFonts w:ascii="宋体" w:hAnsi="宋体" w:cs="宋体"/>
          <w:b/>
          <w:color w:val="auto"/>
          <w:szCs w:val="21"/>
          <w:highlight w:val="none"/>
        </w:rPr>
      </w:pPr>
      <w:r>
        <w:rPr>
          <w:rFonts w:hint="eastAsia" w:ascii="宋体" w:hAnsi="宋体" w:cs="宋体"/>
          <w:color w:val="auto"/>
          <w:szCs w:val="21"/>
          <w:highlight w:val="none"/>
        </w:rPr>
        <w:t>26.1 投标人应在投标人须知前附表规定的投标截止时间前在网上递交投标文件。未在开标截止时间前通过网上招标投标系统递交有效电子投标文件的，开标系统不予接收，投标将被拒绝。</w:t>
      </w:r>
    </w:p>
    <w:p w14:paraId="35144DED">
      <w:pPr>
        <w:shd w:val="clear"/>
        <w:kinsoku/>
        <w:overflowPunct/>
        <w:bidi w:val="0"/>
        <w:spacing w:line="500" w:lineRule="exact"/>
        <w:ind w:left="0" w:leftChars="0" w:right="0" w:rightChars="0" w:firstLine="314" w:firstLineChars="149"/>
        <w:jc w:val="left"/>
        <w:rPr>
          <w:rFonts w:ascii="宋体" w:hAnsi="宋体" w:cs="宋体"/>
          <w:b/>
          <w:color w:val="auto"/>
          <w:szCs w:val="21"/>
          <w:highlight w:val="none"/>
        </w:rPr>
      </w:pPr>
      <w:r>
        <w:rPr>
          <w:rFonts w:hint="eastAsia" w:ascii="宋体" w:hAnsi="宋体" w:cs="宋体"/>
          <w:b/>
          <w:color w:val="auto"/>
          <w:szCs w:val="21"/>
          <w:highlight w:val="none"/>
        </w:rPr>
        <w:t>27．投标文件的修改与撤回</w:t>
      </w:r>
    </w:p>
    <w:p w14:paraId="11AD6D0D">
      <w:pPr>
        <w:shd w:val="clear"/>
        <w:kinsoku/>
        <w:overflowPunct/>
        <w:bidi w:val="0"/>
        <w:spacing w:line="500" w:lineRule="exact"/>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 xml:space="preserve">  27.1采用网上招投标的，在规定的投标截止时间前，投标人可以自行从网上招投标系统撤回已递交的投标文件，并可修改后重新上传，开标时以投标截止时间前投标人最终上传的投标文件为准。</w:t>
      </w:r>
    </w:p>
    <w:p w14:paraId="5D176F45">
      <w:pPr>
        <w:shd w:val="clear"/>
        <w:kinsoku/>
        <w:overflowPunct/>
        <w:bidi w:val="0"/>
        <w:spacing w:line="500" w:lineRule="exact"/>
        <w:ind w:left="0" w:leftChars="0" w:right="0" w:rightChars="0" w:firstLine="421"/>
        <w:jc w:val="left"/>
        <w:rPr>
          <w:rFonts w:ascii="宋体"/>
          <w:b/>
          <w:color w:val="auto"/>
          <w:szCs w:val="21"/>
          <w:highlight w:val="none"/>
        </w:rPr>
      </w:pPr>
      <w:r>
        <w:rPr>
          <w:rFonts w:hint="eastAsia" w:ascii="宋体"/>
          <w:b/>
          <w:color w:val="auto"/>
          <w:szCs w:val="21"/>
          <w:highlight w:val="none"/>
        </w:rPr>
        <w:t>28.偏离</w:t>
      </w:r>
    </w:p>
    <w:p w14:paraId="7E9E90FF">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28.1投标文件偏离招标文件某些要求，视为投标文件存在偏差。偏差包括重大偏差和细微偏差。</w:t>
      </w:r>
    </w:p>
    <w:p w14:paraId="2D50265B">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28.1.1投标文件应对招标文件的实质性要求和条件作出满足性或更有利于招标人的响应，否则，视为投标文件存在重大偏差，投标人的投标将被否决。</w:t>
      </w:r>
    </w:p>
    <w:p w14:paraId="43EC06FD">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投标文件存在第三章“评标办法”中所列任一无效投标情形的，均属于存在重大偏差。</w:t>
      </w:r>
    </w:p>
    <w:p w14:paraId="2594AA44">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28.1.2投标文件中的下列偏差为细微偏差：</w:t>
      </w:r>
    </w:p>
    <w:p w14:paraId="493491BF">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（1）在按照第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章“评标办法”的规定对投标价进行算术性错误修正及其他错误修正后，最终投标报价未超过最高投标限价（如有）或未被否决投标的情况下，出现第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章“评标办法”规定的算术性错误和投标报价的其他错误；</w:t>
      </w:r>
    </w:p>
    <w:p w14:paraId="0262AA99">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（2）投标文件个别文字有遗漏错误等不影响投标文件实质性内容的偏差。</w:t>
      </w:r>
    </w:p>
    <w:p w14:paraId="768A06F9">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28.1.3评标委员会对投标文件中的细微偏差按如下规定处理：</w:t>
      </w:r>
    </w:p>
    <w:p w14:paraId="24A3DD95">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对于本章第28.1.2 项（1）目所述的细微偏差，按照第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章“评标办法”的规定予以修正并要求投标人进行澄清；</w:t>
      </w:r>
    </w:p>
    <w:p w14:paraId="55A9543D">
      <w:pPr>
        <w:shd w:val="clear"/>
        <w:kinsoku/>
        <w:overflowPunct/>
        <w:bidi w:val="0"/>
        <w:spacing w:beforeLines="50" w:afterLines="50" w:line="500" w:lineRule="exact"/>
        <w:ind w:left="0" w:leftChars="0" w:right="0" w:rightChars="0" w:firstLine="420" w:firstLineChars="200"/>
        <w:rPr>
          <w:rFonts w:ascii="宋体" w:hAnsi="宋体" w:cs="宋体"/>
          <w:b/>
          <w:color w:val="auto"/>
          <w:sz w:val="28"/>
          <w:szCs w:val="28"/>
          <w:highlight w:val="none"/>
        </w:rPr>
      </w:pPr>
      <w:r>
        <w:rPr>
          <w:rFonts w:hint="eastAsia" w:ascii="宋体" w:hAnsi="宋体" w:cs="宋体"/>
          <w:color w:val="auto"/>
          <w:szCs w:val="21"/>
          <w:highlight w:val="none"/>
        </w:rPr>
        <w:t>对于本章第28.1.2 项（2）目所述的细微偏差，可要求投标人对细微偏差进行澄清。</w:t>
      </w:r>
    </w:p>
    <w:p w14:paraId="46E38F9A">
      <w:pPr>
        <w:shd w:val="clear"/>
        <w:kinsoku/>
        <w:overflowPunct/>
        <w:bidi w:val="0"/>
        <w:spacing w:beforeLines="50" w:afterLines="50" w:line="500" w:lineRule="exact"/>
        <w:ind w:left="0" w:leftChars="0" w:right="0" w:rightChars="0"/>
        <w:jc w:val="center"/>
        <w:rPr>
          <w:rFonts w:ascii="宋体" w:hAnsi="宋体" w:cs="宋体"/>
          <w:b/>
          <w:color w:val="auto"/>
          <w:sz w:val="28"/>
          <w:szCs w:val="28"/>
          <w:highlight w:val="none"/>
        </w:rPr>
      </w:pPr>
      <w:r>
        <w:rPr>
          <w:rFonts w:hint="eastAsia" w:ascii="宋体" w:hAnsi="宋体" w:cs="宋体"/>
          <w:b/>
          <w:color w:val="auto"/>
          <w:sz w:val="28"/>
          <w:szCs w:val="28"/>
          <w:highlight w:val="none"/>
        </w:rPr>
        <w:t>（五）开标、评标和定标</w:t>
      </w:r>
      <w:bookmarkEnd w:id="58"/>
    </w:p>
    <w:p w14:paraId="784449EA">
      <w:pPr>
        <w:shd w:val="clear"/>
        <w:kinsoku/>
        <w:overflowPunct/>
        <w:bidi w:val="0"/>
        <w:spacing w:line="500" w:lineRule="exact"/>
        <w:ind w:left="0" w:leftChars="0" w:right="0" w:rightChars="0" w:firstLine="421"/>
        <w:jc w:val="left"/>
        <w:rPr>
          <w:rFonts w:ascii="宋体"/>
          <w:b/>
          <w:color w:val="auto"/>
          <w:szCs w:val="21"/>
          <w:highlight w:val="none"/>
        </w:rPr>
      </w:pPr>
      <w:r>
        <w:rPr>
          <w:rFonts w:hint="eastAsia" w:ascii="宋体"/>
          <w:b/>
          <w:color w:val="auto"/>
          <w:szCs w:val="21"/>
          <w:highlight w:val="none"/>
        </w:rPr>
        <w:t>29. 开标</w:t>
      </w:r>
    </w:p>
    <w:p w14:paraId="7B73E933">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29.1 开标的时间和地点</w:t>
      </w:r>
    </w:p>
    <w:p w14:paraId="31D221B3">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29.1.1招标人</w:t>
      </w:r>
      <w:r>
        <w:rPr>
          <w:rFonts w:hint="eastAsia" w:ascii="宋体"/>
          <w:color w:val="auto"/>
          <w:szCs w:val="21"/>
          <w:highlight w:val="none"/>
        </w:rPr>
        <w:t>按招标公告中的开标时间和地点公开开标，并邀请所有投标人参加。</w:t>
      </w:r>
    </w:p>
    <w:p w14:paraId="3A1E1E62">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29.2 参与开标的监督部门</w:t>
      </w:r>
    </w:p>
    <w:p w14:paraId="0B1CB018">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29.2.1招标人可以邀请相关监管部门参加。</w:t>
      </w:r>
    </w:p>
    <w:p w14:paraId="5E4D061D">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29.3开标程序</w:t>
      </w:r>
    </w:p>
    <w:p w14:paraId="4FECAF32">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开标会议由采购代理机构主持。</w:t>
      </w:r>
    </w:p>
    <w:p w14:paraId="65F0565A">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（1）宣布开标纪律；</w:t>
      </w:r>
    </w:p>
    <w:p w14:paraId="68B69827">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（2）宣布招标人、代理机构主持人、见证人等有关人员姓名；</w:t>
      </w:r>
    </w:p>
    <w:p w14:paraId="03EE8270">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（3）公布投标截止时间前，通过滁州市公共资源交易中心网上招投标系统递交投标文件的投标人名称等； </w:t>
      </w:r>
    </w:p>
    <w:p w14:paraId="07C13200">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（4）投标人在投标截止时间后，规定时间内完成投标文件解密工作；</w:t>
      </w:r>
    </w:p>
    <w:p w14:paraId="71116FC5">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（5）公布投标人投标报价、质量目标、供货期及其他内容，并记录在案；</w:t>
      </w:r>
    </w:p>
    <w:p w14:paraId="38259B12">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（6）开标结束。</w:t>
      </w:r>
    </w:p>
    <w:p w14:paraId="3CAC50C2">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多标段项目按照标段顺序按以上程序依次开标。</w:t>
      </w:r>
    </w:p>
    <w:p w14:paraId="17C545B9">
      <w:pPr>
        <w:shd w:val="clear"/>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29.4开标异议</w:t>
      </w:r>
    </w:p>
    <w:p w14:paraId="2C5A51A8">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投标人对开标有异议的，应当在开标现场提出，招标人当场作出答复，并制作记录。异议与答复应通过电子交易系统进行。</w:t>
      </w:r>
    </w:p>
    <w:p w14:paraId="55EA9E4E">
      <w:pPr>
        <w:shd w:val="clear"/>
        <w:kinsoku/>
        <w:overflowPunct/>
        <w:bidi w:val="0"/>
        <w:spacing w:line="500" w:lineRule="exact"/>
        <w:ind w:left="0" w:leftChars="0" w:right="0" w:rightChars="0" w:firstLine="421"/>
        <w:jc w:val="left"/>
        <w:rPr>
          <w:rFonts w:ascii="宋体"/>
          <w:b/>
          <w:color w:val="auto"/>
          <w:szCs w:val="21"/>
          <w:highlight w:val="none"/>
        </w:rPr>
      </w:pPr>
      <w:r>
        <w:rPr>
          <w:rFonts w:hint="eastAsia" w:ascii="宋体"/>
          <w:b/>
          <w:color w:val="auto"/>
          <w:szCs w:val="21"/>
          <w:highlight w:val="none"/>
        </w:rPr>
        <w:t>30.评标委员会</w:t>
      </w:r>
    </w:p>
    <w:p w14:paraId="43EEF86B">
      <w:pPr>
        <w:shd w:val="clear"/>
        <w:kinsoku/>
        <w:overflowPunct/>
        <w:bidi w:val="0"/>
        <w:spacing w:line="500" w:lineRule="exact"/>
        <w:ind w:left="0" w:leftChars="0" w:right="0" w:rightChars="0" w:firstLine="420" w:firstLineChars="200"/>
        <w:jc w:val="left"/>
        <w:rPr>
          <w:rFonts w:ascii="宋体" w:cs="宋体"/>
          <w:color w:val="auto"/>
          <w:szCs w:val="21"/>
          <w:highlight w:val="none"/>
        </w:rPr>
      </w:pPr>
      <w:r>
        <w:rPr>
          <w:rFonts w:hint="eastAsia" w:ascii="宋体"/>
          <w:color w:val="auto"/>
          <w:szCs w:val="21"/>
          <w:highlight w:val="none"/>
        </w:rPr>
        <w:t>30.1</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2160A4B2">
      <w:pPr>
        <w:shd w:val="clear"/>
        <w:kinsoku/>
        <w:overflowPunct/>
        <w:bidi w:val="0"/>
        <w:spacing w:line="500" w:lineRule="exact"/>
        <w:ind w:left="0" w:leftChars="0" w:right="0" w:rightChars="0" w:firstLine="420" w:firstLineChars="200"/>
        <w:jc w:val="left"/>
        <w:rPr>
          <w:rFonts w:ascii="宋体" w:cs="宋体"/>
          <w:color w:val="auto"/>
          <w:szCs w:val="21"/>
          <w:highlight w:val="none"/>
        </w:rPr>
      </w:pPr>
      <w:r>
        <w:rPr>
          <w:rFonts w:hint="eastAsia" w:ascii="宋体" w:hAnsi="宋体" w:cs="宋体"/>
          <w:color w:val="auto"/>
          <w:szCs w:val="21"/>
          <w:highlight w:val="none"/>
        </w:rPr>
        <w:t>30</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5521B937">
      <w:pPr>
        <w:shd w:val="clear"/>
        <w:kinsoku/>
        <w:overflowPunct/>
        <w:bidi w:val="0"/>
        <w:spacing w:line="500" w:lineRule="exact"/>
        <w:ind w:left="0" w:leftChars="0" w:right="0" w:rightChars="0"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598D11A6">
      <w:pPr>
        <w:shd w:val="clear"/>
        <w:kinsoku/>
        <w:overflowPunct/>
        <w:bidi w:val="0"/>
        <w:spacing w:line="500" w:lineRule="exact"/>
        <w:ind w:left="0" w:leftChars="0" w:right="0" w:rightChars="0"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431638D8">
      <w:pPr>
        <w:shd w:val="clear"/>
        <w:kinsoku/>
        <w:overflowPunct/>
        <w:bidi w:val="0"/>
        <w:spacing w:line="500" w:lineRule="exact"/>
        <w:ind w:left="0" w:leftChars="0" w:right="0" w:rightChars="0"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591AC20A">
      <w:pPr>
        <w:shd w:val="clear"/>
        <w:kinsoku/>
        <w:overflowPunct/>
        <w:bidi w:val="0"/>
        <w:spacing w:line="500" w:lineRule="exact"/>
        <w:ind w:left="0" w:leftChars="0" w:right="0" w:rightChars="0"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0B8333A0">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（5）存在其他法定回避情形的。</w:t>
      </w:r>
    </w:p>
    <w:p w14:paraId="763F1934">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项目实施主体及其子公司、下属单位、上级主管部门或者控股公司的工作人员或者退休人员不得以专家身份参与本单位或者代理项目的评标评审。 </w:t>
      </w:r>
    </w:p>
    <w:p w14:paraId="59D38C40">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评标委员会或评审机构成员有前两款规定情形的，应当主动提出回避；已经进入的应当更换，被更换的成员评标评审意见无效。 </w:t>
      </w:r>
    </w:p>
    <w:p w14:paraId="2D9D457D">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30.3评标过程中，评标委员会成员有回避事由、擅离职守或因健康等原因不能继续评标的， 招标人有权更换。被更换的评标委员会成员作出的评审结论无效，由更换后的评标委员会成员重新进行评审。</w:t>
      </w:r>
    </w:p>
    <w:p w14:paraId="7BEE0B0B">
      <w:pPr>
        <w:shd w:val="clear"/>
        <w:kinsoku/>
        <w:overflowPunct/>
        <w:bidi w:val="0"/>
        <w:spacing w:line="500" w:lineRule="exact"/>
        <w:ind w:left="0" w:leftChars="0" w:right="0" w:rightChars="0" w:firstLine="421"/>
        <w:jc w:val="left"/>
        <w:rPr>
          <w:rFonts w:ascii="宋体"/>
          <w:b/>
          <w:color w:val="auto"/>
          <w:szCs w:val="21"/>
          <w:highlight w:val="none"/>
        </w:rPr>
      </w:pPr>
      <w:r>
        <w:rPr>
          <w:rFonts w:hint="eastAsia" w:ascii="宋体"/>
          <w:b/>
          <w:color w:val="auto"/>
          <w:szCs w:val="21"/>
          <w:highlight w:val="none"/>
        </w:rPr>
        <w:t>31.评标</w:t>
      </w:r>
    </w:p>
    <w:p w14:paraId="4437E5EC">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31.1评标委员会按照第三章“评标办法”规定的方法、评审因素、标准和程序对投标文件进行评审。第三章“评标办法”没有规定的方法、评审因素和标准，不作为评标依据。</w:t>
      </w:r>
    </w:p>
    <w:p w14:paraId="78E40DAE">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bookmarkStart w:id="59" w:name="_Toc449028873"/>
      <w:r>
        <w:rPr>
          <w:rFonts w:hint="eastAsia" w:ascii="宋体" w:hAnsi="宋体" w:cs="宋体"/>
          <w:color w:val="auto"/>
          <w:szCs w:val="21"/>
          <w:highlight w:val="none"/>
        </w:rPr>
        <w:t>31.2评标完成后，评标委员会应向招标人提交书面评标报告和中标候选人名单。评标委员会推荐中标候选人的人数见投标人须知前附表。</w:t>
      </w:r>
    </w:p>
    <w:p w14:paraId="3C3E2D84">
      <w:pPr>
        <w:shd w:val="clear"/>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31.3评标原则：遵循公平、公正、科学和择优的原则。</w:t>
      </w:r>
    </w:p>
    <w:p w14:paraId="3263F8B5">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31.4投标文件的澄清</w:t>
      </w:r>
    </w:p>
    <w:p w14:paraId="25A5B2BB">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31.4.1在评标过程中，评标委员会认为需要，在公共资源交易监督管理部门的监督下，可要求投标人对投标文件中的有关问题进行澄清或提供补充说明及有关资料，投标人应做出书面答复。</w:t>
      </w:r>
    </w:p>
    <w:p w14:paraId="1C463365">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31.4.2书面答复须经投标人法定代表人或其委托代理人签字或盖章，签字或盖章的书面答复将被视为投标文件的组成部分。</w:t>
      </w:r>
    </w:p>
    <w:p w14:paraId="18FA7B1C">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31.5报价合理性的判断</w:t>
      </w:r>
    </w:p>
    <w:p w14:paraId="398AC98A">
      <w:pPr>
        <w:shd w:val="clear"/>
        <w:kinsoku/>
        <w:overflowPunct/>
        <w:bidi w:val="0"/>
        <w:spacing w:line="500" w:lineRule="exact"/>
        <w:ind w:left="0" w:leftChars="0" w:right="0" w:rightChars="0" w:firstLine="422" w:firstLineChars="200"/>
        <w:jc w:val="left"/>
        <w:rPr>
          <w:rFonts w:ascii="宋体" w:hAnsi="宋体"/>
          <w:b/>
          <w:bCs/>
          <w:color w:val="auto"/>
          <w:szCs w:val="21"/>
          <w:highlight w:val="none"/>
        </w:rPr>
      </w:pPr>
      <w:r>
        <w:rPr>
          <w:rFonts w:hint="eastAsia" w:ascii="宋体" w:hAnsi="宋体"/>
          <w:b/>
          <w:bCs/>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2527BF1">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31.6评审意见分歧的处理办法</w:t>
      </w:r>
    </w:p>
    <w:p w14:paraId="10724830">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（1）评标委员会应当对投标人提供的报告、证明材料及详细说明认真研究。对存在意见分歧的，可采用投票方式表决决定（按多数评委意见为准）；</w:t>
      </w:r>
    </w:p>
    <w:p w14:paraId="5BEB654B">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（2）招标投标当事人对评标结果提出异议或者投诉，公共资源交易监督机构认为需要重新进行评标的，评标委员会成员应当按照公共资源交易监督机构要求重新评标。</w:t>
      </w:r>
    </w:p>
    <w:p w14:paraId="68208D32">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31.7评标报告的签署</w:t>
      </w:r>
    </w:p>
    <w:p w14:paraId="01FCC5A9">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31.7.1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0E20B645">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31.8评标过程的保密</w:t>
      </w:r>
    </w:p>
    <w:p w14:paraId="1FB3FE13">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评标委员会成员和与评标活动有关的工作人员不得透露对投标文件的评审和比较、中标人的推荐情况以及与评标有关的其他情况。</w:t>
      </w:r>
    </w:p>
    <w:p w14:paraId="6D5401E9">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31.9评标结果公告</w:t>
      </w:r>
    </w:p>
    <w:p w14:paraId="20BFEBDE">
      <w:pPr>
        <w:shd w:val="clear"/>
        <w:tabs>
          <w:tab w:val="left" w:pos="720"/>
        </w:tabs>
        <w:kinsoku/>
        <w:overflowPunct/>
        <w:bidi w:val="0"/>
        <w:spacing w:line="500" w:lineRule="exact"/>
        <w:ind w:left="0" w:leftChars="0" w:right="0" w:rightChars="0" w:firstLine="420" w:firstLineChars="200"/>
        <w:jc w:val="left"/>
        <w:rPr>
          <w:color w:val="auto"/>
          <w:highlight w:val="none"/>
        </w:rPr>
      </w:pPr>
      <w:r>
        <w:rPr>
          <w:rFonts w:hint="eastAsia" w:ascii="宋体"/>
          <w:color w:val="auto"/>
          <w:szCs w:val="21"/>
          <w:highlight w:val="none"/>
        </w:rPr>
        <w:t>招标人应将中标人的情况在滁州市公共资源交易中心等网站上予以公告，公告期为3日。</w:t>
      </w:r>
    </w:p>
    <w:p w14:paraId="2C4A9C4C">
      <w:pPr>
        <w:shd w:val="clear"/>
        <w:kinsoku/>
        <w:overflowPunct/>
        <w:bidi w:val="0"/>
        <w:spacing w:line="500" w:lineRule="exact"/>
        <w:ind w:left="0" w:leftChars="0" w:right="0" w:rightChars="0" w:firstLine="421"/>
        <w:jc w:val="left"/>
        <w:rPr>
          <w:rFonts w:ascii="宋体"/>
          <w:b/>
          <w:color w:val="auto"/>
          <w:szCs w:val="21"/>
          <w:highlight w:val="none"/>
        </w:rPr>
      </w:pPr>
      <w:r>
        <w:rPr>
          <w:rFonts w:hint="eastAsia" w:ascii="宋体"/>
          <w:b/>
          <w:color w:val="auto"/>
          <w:szCs w:val="21"/>
          <w:highlight w:val="none"/>
        </w:rPr>
        <w:t>32.定标</w:t>
      </w:r>
    </w:p>
    <w:p w14:paraId="30701F89">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32.1 中标人的确定</w:t>
      </w:r>
    </w:p>
    <w:p w14:paraId="7BB50456">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32.1.1</w:t>
      </w:r>
      <w:r>
        <w:rPr>
          <w:rFonts w:hint="eastAsia" w:ascii="宋体" w:hAnsi="宋体" w:cs="宋体"/>
          <w:color w:val="auto"/>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r>
        <w:rPr>
          <w:rFonts w:hint="eastAsia" w:ascii="宋体"/>
          <w:color w:val="auto"/>
          <w:szCs w:val="21"/>
          <w:highlight w:val="none"/>
        </w:rPr>
        <w:t>。</w:t>
      </w:r>
    </w:p>
    <w:p w14:paraId="27A6ADE0">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32.1.2中标人确定后，招标人应将中标信息在滁州市公共资源交易中心等网站上公告。</w:t>
      </w:r>
    </w:p>
    <w:p w14:paraId="0B417F52">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32.2 中标通知书</w:t>
      </w:r>
    </w:p>
    <w:p w14:paraId="2E2F210B">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32.2.1招标人或代理机构应在中标人确定之日起2个工作日内，在滁州市公共资源交易中心等网站公告中标结果并同时向中标人发出中标通知书。</w:t>
      </w:r>
    </w:p>
    <w:p w14:paraId="11198131">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32.2.2中标通知书须加盖招标人、代理机构公章并经公共资源交易中心加盖见证章后，方可发出。</w:t>
      </w:r>
    </w:p>
    <w:p w14:paraId="7F9D0F4E">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32.2.3招标人将在发出中标通知书的同时，向未通过资格审查的投标人告知其未通过的原因。</w:t>
      </w:r>
    </w:p>
    <w:p w14:paraId="35B601A4">
      <w:pPr>
        <w:shd w:val="clear"/>
        <w:kinsoku/>
        <w:overflowPunct/>
        <w:bidi w:val="0"/>
        <w:spacing w:line="500" w:lineRule="exact"/>
        <w:ind w:left="0" w:leftChars="0" w:right="0" w:rightChars="0" w:firstLine="421"/>
        <w:jc w:val="left"/>
        <w:rPr>
          <w:rFonts w:ascii="宋体"/>
          <w:b/>
          <w:color w:val="auto"/>
          <w:szCs w:val="21"/>
          <w:highlight w:val="none"/>
        </w:rPr>
      </w:pPr>
      <w:r>
        <w:rPr>
          <w:rFonts w:hint="eastAsia" w:ascii="宋体"/>
          <w:b/>
          <w:color w:val="auto"/>
          <w:szCs w:val="21"/>
          <w:highlight w:val="none"/>
        </w:rPr>
        <w:t>33.开评标异常情况处理</w:t>
      </w:r>
    </w:p>
    <w:p w14:paraId="00D88424">
      <w:pPr>
        <w:shd w:val="clear"/>
        <w:kinsoku/>
        <w:overflowPunct/>
        <w:bidi w:val="0"/>
        <w:spacing w:line="500" w:lineRule="exact"/>
        <w:ind w:left="0" w:leftChars="0" w:right="0" w:rightChars="0" w:firstLine="421"/>
        <w:jc w:val="left"/>
        <w:rPr>
          <w:rFonts w:ascii="宋体"/>
          <w:b/>
          <w:color w:val="auto"/>
          <w:szCs w:val="21"/>
          <w:highlight w:val="none"/>
        </w:rPr>
      </w:pPr>
      <w:r>
        <w:rPr>
          <w:rFonts w:hint="eastAsia" w:ascii="宋体"/>
          <w:color w:val="auto"/>
          <w:kern w:val="10"/>
          <w:szCs w:val="21"/>
          <w:highlight w:val="none"/>
        </w:rPr>
        <w:t>33.1</w:t>
      </w:r>
      <w:r>
        <w:rPr>
          <w:rFonts w:hint="eastAsia" w:ascii="宋体"/>
          <w:b/>
          <w:color w:val="auto"/>
          <w:szCs w:val="21"/>
          <w:highlight w:val="none"/>
        </w:rPr>
        <w:t xml:space="preserve">重新招标 </w:t>
      </w:r>
    </w:p>
    <w:p w14:paraId="3561DD62">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项目有下列情形之一的，招标人将重新招标：</w:t>
      </w:r>
    </w:p>
    <w:p w14:paraId="158D6CFC">
      <w:pPr>
        <w:shd w:val="clear"/>
        <w:kinsoku/>
        <w:overflowPunct/>
        <w:bidi w:val="0"/>
        <w:adjustRightInd w:val="0"/>
        <w:snapToGrid w:val="0"/>
        <w:spacing w:line="500" w:lineRule="exact"/>
        <w:ind w:left="0" w:leftChars="0" w:right="0" w:rightChars="0" w:firstLine="420" w:firstLineChars="200"/>
        <w:rPr>
          <w:rFonts w:ascii="宋体"/>
          <w:color w:val="auto"/>
          <w:kern w:val="10"/>
          <w:szCs w:val="21"/>
          <w:highlight w:val="none"/>
        </w:rPr>
      </w:pPr>
      <w:r>
        <w:rPr>
          <w:rFonts w:hint="eastAsia" w:ascii="宋体"/>
          <w:color w:val="auto"/>
          <w:kern w:val="10"/>
          <w:szCs w:val="21"/>
          <w:highlight w:val="none"/>
        </w:rPr>
        <w:t xml:space="preserve">(1)投标截止时间止，投标人少于三个的； </w:t>
      </w:r>
    </w:p>
    <w:p w14:paraId="7B352E94">
      <w:pPr>
        <w:shd w:val="clear"/>
        <w:kinsoku/>
        <w:overflowPunct/>
        <w:bidi w:val="0"/>
        <w:adjustRightInd w:val="0"/>
        <w:snapToGrid w:val="0"/>
        <w:spacing w:line="500" w:lineRule="exact"/>
        <w:ind w:left="0" w:leftChars="0" w:right="0" w:rightChars="0" w:firstLine="420" w:firstLineChars="200"/>
        <w:rPr>
          <w:rFonts w:ascii="宋体"/>
          <w:color w:val="auto"/>
          <w:kern w:val="10"/>
          <w:szCs w:val="21"/>
          <w:highlight w:val="none"/>
        </w:rPr>
      </w:pPr>
      <w:r>
        <w:rPr>
          <w:rFonts w:hint="eastAsia" w:ascii="宋体"/>
          <w:color w:val="auto"/>
          <w:kern w:val="10"/>
          <w:szCs w:val="21"/>
          <w:highlight w:val="none"/>
        </w:rPr>
        <w:t>(2)符合专业条件的供应商或者对招标文件作实质响应的供应商不足三家的；</w:t>
      </w:r>
    </w:p>
    <w:p w14:paraId="06AA1BCE">
      <w:pPr>
        <w:shd w:val="clear"/>
        <w:kinsoku/>
        <w:overflowPunct/>
        <w:bidi w:val="0"/>
        <w:adjustRightInd w:val="0"/>
        <w:snapToGrid w:val="0"/>
        <w:spacing w:line="500" w:lineRule="exact"/>
        <w:ind w:left="0" w:leftChars="0" w:right="0" w:rightChars="0" w:firstLine="420" w:firstLineChars="200"/>
        <w:rPr>
          <w:rFonts w:ascii="宋体"/>
          <w:color w:val="auto"/>
          <w:kern w:val="10"/>
          <w:szCs w:val="21"/>
          <w:highlight w:val="none"/>
        </w:rPr>
      </w:pPr>
      <w:r>
        <w:rPr>
          <w:rFonts w:hint="eastAsia" w:ascii="宋体"/>
          <w:color w:val="auto"/>
          <w:kern w:val="10"/>
          <w:szCs w:val="21"/>
          <w:highlight w:val="none"/>
        </w:rPr>
        <w:t>(3)出现影响招标公正的违法、违规行为的；</w:t>
      </w:r>
    </w:p>
    <w:p w14:paraId="76C9D646">
      <w:pPr>
        <w:shd w:val="clear"/>
        <w:kinsoku/>
        <w:overflowPunct/>
        <w:bidi w:val="0"/>
        <w:adjustRightInd w:val="0"/>
        <w:snapToGrid w:val="0"/>
        <w:spacing w:line="500" w:lineRule="exact"/>
        <w:ind w:left="0" w:leftChars="0" w:right="0" w:rightChars="0" w:firstLine="420" w:firstLineChars="200"/>
        <w:rPr>
          <w:rFonts w:ascii="宋体"/>
          <w:color w:val="auto"/>
          <w:kern w:val="10"/>
          <w:szCs w:val="21"/>
          <w:highlight w:val="none"/>
        </w:rPr>
      </w:pPr>
      <w:r>
        <w:rPr>
          <w:rFonts w:hint="eastAsia" w:ascii="宋体"/>
          <w:color w:val="auto"/>
          <w:kern w:val="10"/>
          <w:szCs w:val="21"/>
          <w:highlight w:val="none"/>
        </w:rPr>
        <w:t>(4)投标人的报价均脱离实际且无充分证据的；</w:t>
      </w:r>
    </w:p>
    <w:p w14:paraId="39BE9FB2">
      <w:pPr>
        <w:shd w:val="clear"/>
        <w:kinsoku/>
        <w:overflowPunct/>
        <w:bidi w:val="0"/>
        <w:adjustRightInd w:val="0"/>
        <w:snapToGrid w:val="0"/>
        <w:spacing w:line="500" w:lineRule="exact"/>
        <w:ind w:left="0" w:leftChars="0" w:right="0" w:rightChars="0" w:firstLine="420" w:firstLineChars="200"/>
        <w:rPr>
          <w:rFonts w:ascii="宋体"/>
          <w:color w:val="auto"/>
          <w:kern w:val="10"/>
          <w:szCs w:val="21"/>
          <w:highlight w:val="none"/>
        </w:rPr>
      </w:pPr>
      <w:r>
        <w:rPr>
          <w:rFonts w:hint="eastAsia" w:ascii="宋体"/>
          <w:color w:val="auto"/>
          <w:kern w:val="10"/>
          <w:szCs w:val="21"/>
          <w:highlight w:val="none"/>
        </w:rPr>
        <w:t>(5)技术标暗标项目，所有投标人的技术标均能反映投标人信息的；</w:t>
      </w:r>
    </w:p>
    <w:p w14:paraId="087F6302">
      <w:pPr>
        <w:shd w:val="clear"/>
        <w:kinsoku/>
        <w:overflowPunct/>
        <w:bidi w:val="0"/>
        <w:adjustRightInd w:val="0"/>
        <w:snapToGrid w:val="0"/>
        <w:spacing w:line="500" w:lineRule="exact"/>
        <w:ind w:left="0" w:leftChars="0" w:right="0" w:rightChars="0" w:firstLine="420" w:firstLineChars="200"/>
        <w:rPr>
          <w:rFonts w:ascii="宋体"/>
          <w:color w:val="auto"/>
          <w:kern w:val="10"/>
          <w:szCs w:val="21"/>
          <w:highlight w:val="none"/>
        </w:rPr>
      </w:pPr>
      <w:r>
        <w:rPr>
          <w:rFonts w:hint="eastAsia" w:ascii="宋体"/>
          <w:color w:val="auto"/>
          <w:kern w:val="10"/>
          <w:szCs w:val="21"/>
          <w:highlight w:val="none"/>
        </w:rPr>
        <w:t>(6)因重大变故，采购任务取消的。</w:t>
      </w:r>
    </w:p>
    <w:p w14:paraId="45E1FF4E">
      <w:pPr>
        <w:shd w:val="clear"/>
        <w:kinsoku/>
        <w:overflowPunct/>
        <w:bidi w:val="0"/>
        <w:adjustRightInd w:val="0"/>
        <w:snapToGrid w:val="0"/>
        <w:spacing w:line="500" w:lineRule="exact"/>
        <w:ind w:left="0" w:leftChars="0" w:right="0" w:rightChars="0" w:firstLine="420" w:firstLineChars="200"/>
        <w:rPr>
          <w:rFonts w:ascii="宋体"/>
          <w:color w:val="auto"/>
          <w:kern w:val="10"/>
          <w:szCs w:val="21"/>
          <w:highlight w:val="none"/>
        </w:rPr>
      </w:pPr>
      <w:r>
        <w:rPr>
          <w:rFonts w:hint="eastAsia" w:ascii="宋体"/>
          <w:color w:val="auto"/>
          <w:kern w:val="10"/>
          <w:szCs w:val="21"/>
          <w:highlight w:val="none"/>
        </w:rPr>
        <w:t>33.2变更采购方式</w:t>
      </w:r>
    </w:p>
    <w:p w14:paraId="065D5EED">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bookmarkStart w:id="60" w:name="_Toc449028872"/>
      <w:r>
        <w:rPr>
          <w:rFonts w:hint="eastAsia" w:ascii="宋体"/>
          <w:color w:val="auto"/>
          <w:szCs w:val="21"/>
          <w:highlight w:val="none"/>
        </w:rPr>
        <w:t>按照滁州市公管局相关规定执行。</w:t>
      </w:r>
      <w:bookmarkEnd w:id="60"/>
    </w:p>
    <w:p w14:paraId="0D8196D5">
      <w:pPr>
        <w:shd w:val="clear"/>
        <w:kinsoku/>
        <w:overflowPunct/>
        <w:bidi w:val="0"/>
        <w:spacing w:line="500" w:lineRule="exact"/>
        <w:ind w:left="0" w:leftChars="0" w:right="0" w:rightChars="0"/>
        <w:jc w:val="center"/>
        <w:rPr>
          <w:rFonts w:ascii="黑体" w:eastAsia="黑体"/>
          <w:color w:val="auto"/>
          <w:sz w:val="24"/>
          <w:highlight w:val="none"/>
        </w:rPr>
      </w:pPr>
      <w:r>
        <w:rPr>
          <w:rFonts w:hint="eastAsia" w:ascii="黑体" w:eastAsia="黑体"/>
          <w:color w:val="auto"/>
          <w:sz w:val="28"/>
          <w:szCs w:val="28"/>
          <w:highlight w:val="none"/>
        </w:rPr>
        <w:t>（六）合同的授予</w:t>
      </w:r>
      <w:bookmarkEnd w:id="59"/>
    </w:p>
    <w:p w14:paraId="01794EB0">
      <w:pPr>
        <w:shd w:val="clear"/>
        <w:kinsoku/>
        <w:overflowPunct/>
        <w:bidi w:val="0"/>
        <w:spacing w:line="500" w:lineRule="exact"/>
        <w:ind w:left="0" w:leftChars="0" w:right="0" w:rightChars="0" w:firstLine="521" w:firstLineChars="247"/>
        <w:jc w:val="left"/>
        <w:rPr>
          <w:rFonts w:ascii="宋体" w:hAnsi="宋体" w:cs="宋体"/>
          <w:b/>
          <w:color w:val="auto"/>
          <w:szCs w:val="21"/>
          <w:highlight w:val="none"/>
        </w:rPr>
      </w:pPr>
      <w:r>
        <w:rPr>
          <w:rFonts w:hint="eastAsia" w:ascii="宋体" w:hAnsi="宋体" w:cs="宋体"/>
          <w:b/>
          <w:color w:val="auto"/>
          <w:szCs w:val="21"/>
          <w:highlight w:val="none"/>
        </w:rPr>
        <w:t>34. 合同授予标准</w:t>
      </w:r>
    </w:p>
    <w:p w14:paraId="345B3D88">
      <w:pPr>
        <w:shd w:val="clear"/>
        <w:kinsoku/>
        <w:overflowPunct/>
        <w:bidi w:val="0"/>
        <w:spacing w:line="500" w:lineRule="exact"/>
        <w:ind w:left="0" w:leftChars="0" w:right="0" w:rightChars="0" w:firstLine="525" w:firstLineChars="250"/>
        <w:jc w:val="left"/>
        <w:rPr>
          <w:rFonts w:ascii="宋体" w:hAnsi="宋体" w:cs="宋体"/>
          <w:color w:val="auto"/>
          <w:szCs w:val="21"/>
          <w:highlight w:val="none"/>
        </w:rPr>
      </w:pPr>
      <w:r>
        <w:rPr>
          <w:rFonts w:hint="eastAsia" w:ascii="宋体" w:hAnsi="宋体" w:cs="宋体"/>
          <w:color w:val="auto"/>
          <w:szCs w:val="21"/>
          <w:highlight w:val="none"/>
        </w:rPr>
        <w:t>34.1 本招标项目的合同将授予按本投标须知第32.1.1条规定所确定的中标人。</w:t>
      </w:r>
    </w:p>
    <w:p w14:paraId="22C0F99C">
      <w:pPr>
        <w:shd w:val="clear"/>
        <w:kinsoku/>
        <w:overflowPunct/>
        <w:bidi w:val="0"/>
        <w:spacing w:line="500" w:lineRule="exact"/>
        <w:ind w:left="0" w:leftChars="0" w:right="0" w:rightChars="0" w:firstLine="521" w:firstLineChars="247"/>
        <w:jc w:val="left"/>
        <w:rPr>
          <w:rFonts w:ascii="宋体" w:hAnsi="宋体" w:cs="宋体"/>
          <w:b/>
          <w:color w:val="auto"/>
          <w:szCs w:val="21"/>
          <w:highlight w:val="none"/>
        </w:rPr>
      </w:pPr>
      <w:r>
        <w:rPr>
          <w:rFonts w:hint="eastAsia" w:ascii="宋体" w:hAnsi="宋体" w:cs="宋体"/>
          <w:b/>
          <w:color w:val="auto"/>
          <w:szCs w:val="21"/>
          <w:highlight w:val="none"/>
        </w:rPr>
        <w:t>35. 合同协议书的签订</w:t>
      </w:r>
    </w:p>
    <w:p w14:paraId="47A9FC8F">
      <w:pPr>
        <w:shd w:val="clear"/>
        <w:kinsoku/>
        <w:overflowPunct/>
        <w:bidi w:val="0"/>
        <w:spacing w:line="500" w:lineRule="exact"/>
        <w:ind w:left="0" w:leftChars="0" w:right="0" w:rightChars="0" w:firstLine="525" w:firstLineChars="250"/>
        <w:jc w:val="left"/>
        <w:rPr>
          <w:rFonts w:ascii="宋体" w:hAnsi="宋体" w:cs="宋体"/>
          <w:color w:val="auto"/>
          <w:szCs w:val="21"/>
          <w:highlight w:val="none"/>
        </w:rPr>
      </w:pPr>
      <w:r>
        <w:rPr>
          <w:rFonts w:hint="eastAsia" w:ascii="宋体" w:hAnsi="宋体" w:cs="宋体"/>
          <w:color w:val="auto"/>
          <w:szCs w:val="21"/>
          <w:highlight w:val="none"/>
        </w:rPr>
        <w:t>35.1 招标人与中标人将于中标通知书发出之日起30日内，按照招标文件和中标人的投标文件订立书面采购合同。招标人和中标人不得再行订立背离合同实质性内容的其他协议。</w:t>
      </w:r>
    </w:p>
    <w:p w14:paraId="10216F64">
      <w:pPr>
        <w:shd w:val="clear"/>
        <w:kinsoku/>
        <w:overflowPunct/>
        <w:bidi w:val="0"/>
        <w:spacing w:line="500" w:lineRule="exact"/>
        <w:ind w:left="0" w:leftChars="0" w:right="0" w:rightChars="0" w:firstLine="525" w:firstLineChars="250"/>
        <w:jc w:val="left"/>
        <w:rPr>
          <w:rFonts w:ascii="宋体" w:hAnsi="宋体" w:cs="宋体"/>
          <w:color w:val="auto"/>
          <w:szCs w:val="21"/>
          <w:highlight w:val="none"/>
        </w:rPr>
      </w:pPr>
      <w:r>
        <w:rPr>
          <w:rFonts w:hint="eastAsia" w:ascii="宋体" w:hAnsi="宋体" w:cs="宋体"/>
          <w:color w:val="auto"/>
          <w:szCs w:val="21"/>
          <w:highlight w:val="none"/>
        </w:rPr>
        <w:t>35.2发出中标通知书后，招标人无正当理由拒签合同的，招标人向中标人退还投标保证金；给中标人造成损失的，还应当赔偿损失。</w:t>
      </w:r>
    </w:p>
    <w:p w14:paraId="233975CF">
      <w:pPr>
        <w:shd w:val="clear"/>
        <w:kinsoku/>
        <w:overflowPunct/>
        <w:bidi w:val="0"/>
        <w:spacing w:line="500" w:lineRule="exact"/>
        <w:ind w:left="0" w:leftChars="0" w:right="0" w:rightChars="0" w:firstLine="525" w:firstLineChars="250"/>
        <w:jc w:val="left"/>
        <w:rPr>
          <w:rFonts w:ascii="宋体" w:hAnsi="宋体" w:cs="宋体"/>
          <w:color w:val="auto"/>
          <w:szCs w:val="21"/>
          <w:highlight w:val="none"/>
        </w:rPr>
      </w:pPr>
      <w:r>
        <w:rPr>
          <w:rFonts w:hint="eastAsia" w:ascii="宋体" w:hAnsi="宋体" w:cs="宋体"/>
          <w:color w:val="auto"/>
          <w:szCs w:val="21"/>
          <w:highlight w:val="none"/>
        </w:rPr>
        <w:t>依法必须进行招标的项目，除中标人以外的其他投标人存在串通投标、弄虚作假、行贿情形且在评标过程中未被发现的，视为对中标结果没有造成实质性影响，招标人可以依法继续开展招标活动。</w:t>
      </w:r>
    </w:p>
    <w:p w14:paraId="352072A3">
      <w:pPr>
        <w:shd w:val="clear"/>
        <w:kinsoku/>
        <w:overflowPunct/>
        <w:bidi w:val="0"/>
        <w:spacing w:line="500" w:lineRule="exact"/>
        <w:ind w:left="0" w:leftChars="0" w:right="0" w:rightChars="0"/>
        <w:rPr>
          <w:rFonts w:ascii="宋体" w:hAnsi="宋体" w:cs="宋体"/>
          <w:b/>
          <w:color w:val="auto"/>
          <w:szCs w:val="21"/>
          <w:highlight w:val="none"/>
        </w:rPr>
      </w:pPr>
      <w:r>
        <w:rPr>
          <w:rFonts w:hint="eastAsia" w:ascii="宋体" w:hAnsi="宋体" w:cs="宋体"/>
          <w:color w:val="auto"/>
          <w:szCs w:val="21"/>
          <w:highlight w:val="none"/>
        </w:rPr>
        <w:t xml:space="preserve">    36.</w:t>
      </w:r>
      <w:bookmarkStart w:id="61" w:name="_Toc217446068"/>
      <w:r>
        <w:rPr>
          <w:rFonts w:hint="eastAsia" w:ascii="宋体" w:hAnsi="宋体" w:cs="宋体"/>
          <w:color w:val="auto"/>
          <w:szCs w:val="21"/>
          <w:highlight w:val="none"/>
        </w:rPr>
        <w:t xml:space="preserve"> </w:t>
      </w:r>
      <w:r>
        <w:rPr>
          <w:rFonts w:hint="eastAsia" w:ascii="宋体" w:hAnsi="宋体" w:cs="宋体"/>
          <w:b/>
          <w:color w:val="auto"/>
          <w:szCs w:val="21"/>
          <w:highlight w:val="none"/>
        </w:rPr>
        <w:t>履约</w:t>
      </w:r>
      <w:bookmarkEnd w:id="61"/>
      <w:r>
        <w:rPr>
          <w:rFonts w:hint="eastAsia" w:ascii="宋体" w:hAnsi="宋体" w:cs="宋体"/>
          <w:b/>
          <w:color w:val="auto"/>
          <w:szCs w:val="21"/>
          <w:highlight w:val="none"/>
        </w:rPr>
        <w:t>担保</w:t>
      </w:r>
    </w:p>
    <w:p w14:paraId="69E89A71">
      <w:pPr>
        <w:shd w:val="clear"/>
        <w:kinsoku/>
        <w:overflowPunct/>
        <w:bidi w:val="0"/>
        <w:spacing w:line="500" w:lineRule="exact"/>
        <w:ind w:left="0" w:leftChars="0" w:right="0" w:rightChars="0" w:firstLine="420" w:firstLineChars="200"/>
        <w:rPr>
          <w:rFonts w:ascii="宋体" w:hAnsi="宋体" w:cs="宋体"/>
          <w:color w:val="auto"/>
          <w:szCs w:val="21"/>
          <w:highlight w:val="none"/>
        </w:rPr>
      </w:pPr>
      <w:r>
        <w:rPr>
          <w:rFonts w:hint="eastAsia" w:ascii="宋体" w:hAnsi="宋体" w:cs="宋体"/>
          <w:color w:val="auto"/>
          <w:szCs w:val="21"/>
          <w:highlight w:val="none"/>
        </w:rPr>
        <w:t>36.1在签订合同前，中标人应按投标人须知前附表规定的担保形式、金额和招标文件第五章“合同条款及格式”规定的或者事先经过招标人书面认可的履约担保格式向招标人提交履约担保。</w:t>
      </w:r>
    </w:p>
    <w:p w14:paraId="34A18645">
      <w:pPr>
        <w:shd w:val="clear"/>
        <w:kinsoku/>
        <w:overflowPunct/>
        <w:bidi w:val="0"/>
        <w:spacing w:line="500" w:lineRule="exact"/>
        <w:ind w:left="0" w:leftChars="0" w:right="0" w:rightChars="0" w:firstLine="420" w:firstLineChars="200"/>
        <w:rPr>
          <w:rFonts w:ascii="宋体" w:hAnsi="宋体" w:cs="宋体"/>
          <w:color w:val="auto"/>
          <w:szCs w:val="21"/>
          <w:highlight w:val="none"/>
        </w:rPr>
      </w:pPr>
      <w:r>
        <w:rPr>
          <w:rFonts w:hint="eastAsia" w:ascii="宋体" w:hAnsi="宋体" w:cs="宋体"/>
          <w:color w:val="auto"/>
          <w:szCs w:val="21"/>
          <w:highlight w:val="none"/>
        </w:rPr>
        <w:t>36.2 中标人不能按本章第36.1项要求提交履约担保的，视为放弃中标，其投标保证金不予退还，</w:t>
      </w:r>
      <w:r>
        <w:rPr>
          <w:rFonts w:hint="eastAsia" w:ascii="宋体" w:hAnsi="宋体" w:cs="宋体"/>
          <w:color w:val="auto"/>
          <w:szCs w:val="21"/>
          <w:highlight w:val="none"/>
          <w:shd w:val="clear" w:color="auto" w:fill="FFFFFF"/>
        </w:rPr>
        <w:t>给招标人造成损失的，依法承担民事责任</w:t>
      </w:r>
      <w:r>
        <w:rPr>
          <w:rFonts w:hint="eastAsia" w:ascii="宋体" w:hAnsi="宋体" w:cs="宋体"/>
          <w:color w:val="auto"/>
          <w:szCs w:val="21"/>
          <w:highlight w:val="none"/>
        </w:rPr>
        <w:t>。</w:t>
      </w:r>
    </w:p>
    <w:p w14:paraId="776E2A9E">
      <w:pPr>
        <w:shd w:val="clear"/>
        <w:kinsoku/>
        <w:overflowPunct/>
        <w:bidi w:val="0"/>
        <w:spacing w:beforeLines="100" w:afterLines="100" w:line="500" w:lineRule="exact"/>
        <w:ind w:left="0" w:leftChars="0" w:right="0" w:rightChars="0"/>
        <w:jc w:val="center"/>
        <w:rPr>
          <w:rFonts w:ascii="宋体"/>
          <w:b/>
          <w:color w:val="auto"/>
          <w:sz w:val="28"/>
          <w:szCs w:val="28"/>
          <w:highlight w:val="none"/>
        </w:rPr>
      </w:pPr>
      <w:bookmarkStart w:id="62" w:name="_Toc449028874"/>
      <w:r>
        <w:rPr>
          <w:rFonts w:hint="eastAsia" w:ascii="宋体"/>
          <w:b/>
          <w:color w:val="auto"/>
          <w:sz w:val="28"/>
          <w:szCs w:val="28"/>
          <w:highlight w:val="none"/>
        </w:rPr>
        <w:t>（七）纪律和监督</w:t>
      </w:r>
      <w:bookmarkEnd w:id="62"/>
    </w:p>
    <w:p w14:paraId="1E905502">
      <w:pPr>
        <w:shd w:val="clear"/>
        <w:kinsoku/>
        <w:overflowPunct/>
        <w:bidi w:val="0"/>
        <w:spacing w:line="500" w:lineRule="exact"/>
        <w:ind w:left="0" w:leftChars="0" w:right="0" w:rightChars="0" w:firstLine="310" w:firstLineChars="147"/>
        <w:jc w:val="left"/>
        <w:rPr>
          <w:rFonts w:ascii="宋体"/>
          <w:b/>
          <w:color w:val="auto"/>
          <w:szCs w:val="21"/>
          <w:highlight w:val="none"/>
        </w:rPr>
      </w:pPr>
      <w:r>
        <w:rPr>
          <w:rFonts w:hint="eastAsia" w:ascii="宋体"/>
          <w:b/>
          <w:color w:val="auto"/>
          <w:szCs w:val="21"/>
          <w:highlight w:val="none"/>
        </w:rPr>
        <w:t xml:space="preserve">37. 对招标人的纪律要求 </w:t>
      </w:r>
    </w:p>
    <w:p w14:paraId="76DF673A">
      <w:pPr>
        <w:shd w:val="clear"/>
        <w:kinsoku/>
        <w:overflowPunct/>
        <w:bidi w:val="0"/>
        <w:adjustRightInd w:val="0"/>
        <w:snapToGrid w:val="0"/>
        <w:spacing w:line="500" w:lineRule="exact"/>
        <w:ind w:left="0" w:leftChars="0" w:right="0" w:rightChars="0" w:firstLine="315" w:firstLineChars="150"/>
        <w:rPr>
          <w:rFonts w:ascii="宋体"/>
          <w:color w:val="auto"/>
          <w:kern w:val="10"/>
          <w:szCs w:val="21"/>
          <w:highlight w:val="none"/>
        </w:rPr>
      </w:pPr>
      <w:r>
        <w:rPr>
          <w:rFonts w:hint="eastAsia" w:ascii="宋体"/>
          <w:color w:val="auto"/>
          <w:kern w:val="10"/>
          <w:szCs w:val="21"/>
          <w:highlight w:val="none"/>
        </w:rPr>
        <w:t xml:space="preserve">37.1招标人不得泄漏招标投标活动中应当保密的情况和资料，不得与投标人串通损害国家利益，社会公共利益或者他人合法权益。 </w:t>
      </w:r>
    </w:p>
    <w:p w14:paraId="79C1574D">
      <w:pPr>
        <w:shd w:val="clear"/>
        <w:kinsoku/>
        <w:overflowPunct/>
        <w:bidi w:val="0"/>
        <w:spacing w:line="500" w:lineRule="exact"/>
        <w:ind w:left="0" w:leftChars="0" w:right="0" w:rightChars="0" w:firstLine="310" w:firstLineChars="147"/>
        <w:jc w:val="left"/>
        <w:rPr>
          <w:rFonts w:ascii="宋体"/>
          <w:b/>
          <w:color w:val="auto"/>
          <w:szCs w:val="21"/>
          <w:highlight w:val="none"/>
        </w:rPr>
      </w:pPr>
      <w:r>
        <w:rPr>
          <w:rFonts w:hint="eastAsia" w:ascii="宋体"/>
          <w:b/>
          <w:color w:val="auto"/>
          <w:szCs w:val="21"/>
          <w:highlight w:val="none"/>
        </w:rPr>
        <w:t xml:space="preserve">38. 对投标人的纪律要求 </w:t>
      </w:r>
    </w:p>
    <w:p w14:paraId="36BAA937">
      <w:pPr>
        <w:shd w:val="clear"/>
        <w:kinsoku/>
        <w:overflowPunct/>
        <w:bidi w:val="0"/>
        <w:adjustRightInd w:val="0"/>
        <w:snapToGrid w:val="0"/>
        <w:spacing w:line="500" w:lineRule="exact"/>
        <w:ind w:left="0" w:leftChars="0" w:right="0" w:rightChars="0" w:firstLine="315" w:firstLineChars="150"/>
        <w:rPr>
          <w:rFonts w:ascii="宋体"/>
          <w:color w:val="auto"/>
          <w:kern w:val="10"/>
          <w:szCs w:val="21"/>
          <w:highlight w:val="none"/>
        </w:rPr>
      </w:pPr>
      <w:r>
        <w:rPr>
          <w:rFonts w:hint="eastAsia" w:ascii="宋体"/>
          <w:color w:val="auto"/>
          <w:kern w:val="10"/>
          <w:szCs w:val="21"/>
          <w:highlight w:val="none"/>
        </w:rPr>
        <w:t>38.1投标人不得相互串通投标或者与招标人串通投标，不得向招标人或者评标委员会成员行贿谋取中标，不得以他人名义投标或者以其他方式弄虚作假骗取中标；投标人不得以任何方式干扰、影响评标工作。</w:t>
      </w:r>
    </w:p>
    <w:p w14:paraId="6F76A73C">
      <w:pPr>
        <w:shd w:val="clear"/>
        <w:kinsoku/>
        <w:overflowPunct/>
        <w:bidi w:val="0"/>
        <w:spacing w:line="500" w:lineRule="exact"/>
        <w:ind w:left="0" w:leftChars="0" w:right="0" w:rightChars="0" w:firstLine="310" w:firstLineChars="147"/>
        <w:jc w:val="left"/>
        <w:rPr>
          <w:rFonts w:ascii="宋体"/>
          <w:b/>
          <w:color w:val="auto"/>
          <w:szCs w:val="21"/>
          <w:highlight w:val="none"/>
        </w:rPr>
      </w:pPr>
      <w:r>
        <w:rPr>
          <w:rFonts w:hint="eastAsia" w:ascii="宋体"/>
          <w:b/>
          <w:color w:val="auto"/>
          <w:szCs w:val="21"/>
          <w:highlight w:val="none"/>
        </w:rPr>
        <w:t xml:space="preserve">39. 对评标委员会成员的纪律要求 </w:t>
      </w:r>
    </w:p>
    <w:p w14:paraId="3B52DAC7">
      <w:pPr>
        <w:shd w:val="clear"/>
        <w:kinsoku/>
        <w:overflowPunct/>
        <w:bidi w:val="0"/>
        <w:adjustRightInd w:val="0"/>
        <w:snapToGrid w:val="0"/>
        <w:spacing w:line="500" w:lineRule="exact"/>
        <w:ind w:left="0" w:leftChars="0" w:right="0" w:rightChars="0" w:firstLine="315" w:firstLineChars="150"/>
        <w:rPr>
          <w:rFonts w:ascii="宋体"/>
          <w:color w:val="auto"/>
          <w:kern w:val="10"/>
          <w:szCs w:val="21"/>
          <w:highlight w:val="none"/>
        </w:rPr>
      </w:pPr>
      <w:r>
        <w:rPr>
          <w:rFonts w:hint="eastAsia" w:ascii="宋体"/>
          <w:color w:val="auto"/>
          <w:kern w:val="10"/>
          <w:szCs w:val="21"/>
          <w:highlight w:val="none"/>
        </w:rPr>
        <w:t>39.1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220E21CA">
      <w:pPr>
        <w:shd w:val="clear"/>
        <w:kinsoku/>
        <w:overflowPunct/>
        <w:bidi w:val="0"/>
        <w:spacing w:line="500" w:lineRule="exact"/>
        <w:ind w:left="0" w:leftChars="0" w:right="0" w:rightChars="0" w:firstLine="310" w:firstLineChars="147"/>
        <w:jc w:val="left"/>
        <w:rPr>
          <w:rFonts w:ascii="宋体"/>
          <w:b/>
          <w:color w:val="auto"/>
          <w:szCs w:val="21"/>
          <w:highlight w:val="none"/>
        </w:rPr>
      </w:pPr>
      <w:r>
        <w:rPr>
          <w:rFonts w:hint="eastAsia" w:ascii="宋体"/>
          <w:b/>
          <w:color w:val="auto"/>
          <w:szCs w:val="21"/>
          <w:highlight w:val="none"/>
        </w:rPr>
        <w:t xml:space="preserve">40. 对与评标活动有关的工作人员的纪律要求 </w:t>
      </w:r>
    </w:p>
    <w:p w14:paraId="3B52D9D5">
      <w:pPr>
        <w:shd w:val="clear"/>
        <w:kinsoku/>
        <w:overflowPunct/>
        <w:bidi w:val="0"/>
        <w:adjustRightInd w:val="0"/>
        <w:snapToGrid w:val="0"/>
        <w:spacing w:line="500" w:lineRule="exact"/>
        <w:ind w:left="0" w:leftChars="0" w:right="0" w:rightChars="0" w:firstLine="315" w:firstLineChars="150"/>
        <w:rPr>
          <w:rFonts w:ascii="宋体"/>
          <w:color w:val="auto"/>
          <w:kern w:val="10"/>
          <w:szCs w:val="21"/>
          <w:highlight w:val="none"/>
        </w:rPr>
      </w:pPr>
      <w:r>
        <w:rPr>
          <w:rFonts w:hint="eastAsia" w:ascii="宋体"/>
          <w:color w:val="auto"/>
          <w:kern w:val="10"/>
          <w:szCs w:val="21"/>
          <w:highlight w:val="none"/>
        </w:rPr>
        <w:t>40.1与评标活动有关的工作人员不得收受他人的财物或者其他好处，不得向他人透漏对投标文件的评审和比较、中标人的推荐情况以及评标有关的其他情况。在评标活动中，与评标活动有关的工作人员不得擅离职守，影响评标程序正常进行。</w:t>
      </w:r>
    </w:p>
    <w:p w14:paraId="4F26E987">
      <w:pPr>
        <w:shd w:val="clear"/>
        <w:kinsoku/>
        <w:overflowPunct/>
        <w:bidi w:val="0"/>
        <w:spacing w:beforeLines="100" w:afterLines="100" w:line="500" w:lineRule="exact"/>
        <w:ind w:left="0" w:leftChars="0" w:right="0" w:rightChars="0"/>
        <w:jc w:val="center"/>
        <w:rPr>
          <w:rFonts w:ascii="宋体"/>
          <w:b/>
          <w:color w:val="auto"/>
          <w:sz w:val="28"/>
          <w:szCs w:val="28"/>
          <w:highlight w:val="none"/>
        </w:rPr>
      </w:pPr>
      <w:r>
        <w:rPr>
          <w:rFonts w:hint="eastAsia" w:ascii="宋体"/>
          <w:b/>
          <w:color w:val="auto"/>
          <w:sz w:val="28"/>
          <w:szCs w:val="28"/>
          <w:highlight w:val="none"/>
        </w:rPr>
        <w:t>（八）投诉</w:t>
      </w:r>
    </w:p>
    <w:p w14:paraId="52463948">
      <w:pPr>
        <w:shd w:val="clear"/>
        <w:kinsoku/>
        <w:overflowPunct/>
        <w:bidi w:val="0"/>
        <w:spacing w:line="500" w:lineRule="exact"/>
        <w:ind w:left="0" w:leftChars="0" w:right="0" w:rightChars="0" w:firstLine="314" w:firstLineChars="149"/>
        <w:jc w:val="left"/>
        <w:rPr>
          <w:rFonts w:ascii="宋体" w:hAnsi="宋体"/>
          <w:b/>
          <w:color w:val="auto"/>
          <w:szCs w:val="21"/>
          <w:highlight w:val="none"/>
        </w:rPr>
      </w:pPr>
      <w:r>
        <w:rPr>
          <w:rFonts w:hint="eastAsia" w:ascii="宋体" w:hAnsi="宋体"/>
          <w:b/>
          <w:color w:val="auto"/>
          <w:szCs w:val="21"/>
          <w:highlight w:val="none"/>
        </w:rPr>
        <w:t>41. 投诉</w:t>
      </w:r>
    </w:p>
    <w:p w14:paraId="2A112188">
      <w:pPr>
        <w:shd w:val="clear"/>
        <w:kinsoku/>
        <w:overflowPunct/>
        <w:bidi w:val="0"/>
        <w:adjustRightInd w:val="0"/>
        <w:snapToGrid w:val="0"/>
        <w:spacing w:line="500" w:lineRule="exact"/>
        <w:ind w:left="0" w:leftChars="0" w:right="0" w:rightChars="0" w:firstLine="315" w:firstLineChars="150"/>
        <w:rPr>
          <w:rFonts w:ascii="宋体"/>
          <w:color w:val="auto"/>
          <w:kern w:val="10"/>
          <w:szCs w:val="21"/>
          <w:highlight w:val="none"/>
        </w:rPr>
      </w:pPr>
      <w:r>
        <w:rPr>
          <w:rFonts w:hint="eastAsia" w:ascii="宋体"/>
          <w:color w:val="auto"/>
          <w:kern w:val="10"/>
          <w:szCs w:val="21"/>
          <w:highlight w:val="none"/>
        </w:rPr>
        <w:t>41.1投标人或者其他利害关系人认为招标投标活动违反法律、法规和规章规定的，有权向相关行政监督部门投诉。投诉应当有明确的请求和必要的证明材料。</w:t>
      </w:r>
    </w:p>
    <w:p w14:paraId="6E386C47">
      <w:pPr>
        <w:shd w:val="clear"/>
        <w:kinsoku/>
        <w:overflowPunct/>
        <w:bidi w:val="0"/>
        <w:adjustRightInd w:val="0"/>
        <w:snapToGrid w:val="0"/>
        <w:spacing w:line="500" w:lineRule="exact"/>
        <w:ind w:left="0" w:leftChars="0" w:right="0" w:rightChars="0" w:firstLine="315" w:firstLineChars="150"/>
        <w:rPr>
          <w:rFonts w:hint="eastAsia" w:ascii="宋体"/>
          <w:color w:val="auto"/>
          <w:kern w:val="10"/>
          <w:szCs w:val="21"/>
          <w:highlight w:val="none"/>
        </w:rPr>
      </w:pPr>
      <w:r>
        <w:rPr>
          <w:rFonts w:hint="eastAsia" w:ascii="宋体"/>
          <w:color w:val="auto"/>
          <w:kern w:val="10"/>
          <w:szCs w:val="21"/>
          <w:highlight w:val="none"/>
        </w:rPr>
        <w:t>41.2投标人和其他利害关系人对招标文件、开标和评标结果事项投诉的，应当按照投标人须知的规定先向招标人提出异议。异议答复期间不计算在第41.1项规定的期限内。</w:t>
      </w:r>
    </w:p>
    <w:p w14:paraId="16F2407F">
      <w:pPr>
        <w:kinsoku/>
        <w:overflowPunct/>
        <w:bidi w:val="0"/>
        <w:ind w:left="0" w:leftChars="0" w:right="0" w:rightChars="0"/>
        <w:rPr>
          <w:color w:val="auto"/>
          <w:highlight w:val="none"/>
        </w:rPr>
      </w:pPr>
      <w:r>
        <w:rPr>
          <w:color w:val="auto"/>
          <w:highlight w:val="none"/>
        </w:rPr>
        <w:br w:type="page"/>
      </w:r>
    </w:p>
    <w:p w14:paraId="555AC392">
      <w:pPr>
        <w:pStyle w:val="2"/>
        <w:keepNext/>
        <w:keepLines/>
        <w:pageBreakBefore w:val="0"/>
        <w:widowControl w:val="0"/>
        <w:shd w:val="clear"/>
        <w:kinsoku/>
        <w:wordWrap/>
        <w:overflowPunct/>
        <w:topLinePunct w:val="0"/>
        <w:autoSpaceDE/>
        <w:autoSpaceDN/>
        <w:bidi w:val="0"/>
        <w:adjustRightInd/>
        <w:snapToGrid/>
        <w:spacing w:before="0" w:beforeLines="100" w:after="0" w:afterLines="100" w:line="440" w:lineRule="exact"/>
        <w:ind w:left="0" w:leftChars="0" w:right="0" w:rightChars="0"/>
        <w:textAlignment w:val="auto"/>
        <w:rPr>
          <w:rFonts w:ascii="宋体"/>
          <w:b w:val="0"/>
          <w:color w:val="auto"/>
          <w:szCs w:val="32"/>
          <w:highlight w:val="none"/>
        </w:rPr>
      </w:pPr>
      <w:bookmarkStart w:id="63" w:name="_Toc28871"/>
      <w:r>
        <w:rPr>
          <w:rFonts w:hint="eastAsia" w:ascii="宋体"/>
          <w:bCs w:val="0"/>
          <w:color w:val="auto"/>
          <w:szCs w:val="32"/>
          <w:highlight w:val="none"/>
        </w:rPr>
        <w:t>第三章 评标办法（综合评分法）</w:t>
      </w:r>
      <w:bookmarkEnd w:id="63"/>
    </w:p>
    <w:p w14:paraId="7C5C9944">
      <w:pPr>
        <w:shd w:val="clear"/>
        <w:kinsoku/>
        <w:overflowPunct/>
        <w:bidi w:val="0"/>
        <w:spacing w:beforeLines="50" w:afterLines="50" w:line="500" w:lineRule="exact"/>
        <w:ind w:left="0" w:leftChars="0" w:right="0" w:rightChars="0"/>
        <w:jc w:val="center"/>
        <w:outlineLvl w:val="1"/>
        <w:rPr>
          <w:rFonts w:ascii="宋体" w:hAnsi="宋体" w:cs="宋体"/>
          <w:b/>
          <w:color w:val="auto"/>
          <w:sz w:val="28"/>
          <w:szCs w:val="28"/>
          <w:highlight w:val="none"/>
        </w:rPr>
      </w:pPr>
      <w:bookmarkStart w:id="64" w:name="_Toc362983801"/>
      <w:bookmarkStart w:id="65" w:name="_Toc449028877"/>
      <w:bookmarkStart w:id="66" w:name="_Toc58430317"/>
      <w:bookmarkStart w:id="67" w:name="_Toc20697"/>
      <w:bookmarkStart w:id="68" w:name="_Toc267320058"/>
      <w:bookmarkStart w:id="69" w:name="_Toc363135205"/>
      <w:r>
        <w:rPr>
          <w:rFonts w:hint="eastAsia" w:ascii="宋体" w:hAnsi="宋体" w:cs="宋体"/>
          <w:b/>
          <w:color w:val="auto"/>
          <w:sz w:val="28"/>
          <w:szCs w:val="28"/>
          <w:highlight w:val="none"/>
        </w:rPr>
        <w:t>一、总则</w:t>
      </w:r>
      <w:bookmarkEnd w:id="64"/>
      <w:bookmarkEnd w:id="65"/>
      <w:bookmarkEnd w:id="66"/>
      <w:bookmarkEnd w:id="67"/>
    </w:p>
    <w:p w14:paraId="19FAE32C">
      <w:pPr>
        <w:shd w:val="clear"/>
        <w:kinsoku/>
        <w:overflowPunct/>
        <w:bidi w:val="0"/>
        <w:spacing w:line="500" w:lineRule="exact"/>
        <w:ind w:left="0" w:leftChars="0" w:right="0" w:rightChars="0" w:firstLine="316" w:firstLineChars="150"/>
        <w:jc w:val="left"/>
        <w:rPr>
          <w:rFonts w:ascii="宋体" w:hAnsi="宋体" w:cs="宋体"/>
          <w:b/>
          <w:color w:val="auto"/>
          <w:szCs w:val="21"/>
          <w:highlight w:val="none"/>
        </w:rPr>
      </w:pPr>
      <w:r>
        <w:rPr>
          <w:rFonts w:hint="eastAsia" w:ascii="宋体" w:hAnsi="宋体" w:cs="宋体"/>
          <w:b/>
          <w:color w:val="auto"/>
          <w:szCs w:val="21"/>
          <w:highlight w:val="none"/>
        </w:rPr>
        <w:t xml:space="preserve"> 1. 本次评标采用综合评分法</w:t>
      </w:r>
    </w:p>
    <w:p w14:paraId="295779B2">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1.1综合评分法是指投标文件满足招标文件全部实质性要求且按照评审因素的量化指标评审总得分从高到低的供应商为中标候选人的评标方法。</w:t>
      </w:r>
    </w:p>
    <w:p w14:paraId="51EA690E">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1.2综合评分法一般适用于较为复杂、评价指标难以量化且价格为非主要因素的非标准定制商品和非通用服务项目的项目评审。</w:t>
      </w:r>
    </w:p>
    <w:p w14:paraId="2287E9AB">
      <w:pPr>
        <w:shd w:val="clear"/>
        <w:kinsoku/>
        <w:overflowPunct/>
        <w:bidi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2．评标程序</w:t>
      </w:r>
    </w:p>
    <w:p w14:paraId="4CB8B4B0">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2.1投标文件的初审</w:t>
      </w:r>
    </w:p>
    <w:p w14:paraId="2AC6F990">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2.1.1资格性检查。依据法律法规和招标文件的规定，对投标文件中的资格证明、投标保证金等进行审查，以确定投标人是否具备投标资格。 </w:t>
      </w:r>
    </w:p>
    <w:p w14:paraId="0ABA5781">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2.1.2符合性检查。依据招标文件的规定，从投标文件的有效性、完整性和对招标文件的响应程度进行审查，以确定投标人是否对招标文件的实质性要求作出响应。</w:t>
      </w:r>
    </w:p>
    <w:p w14:paraId="43876D05">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2.2投标文件的澄清</w:t>
      </w:r>
    </w:p>
    <w:p w14:paraId="56A452B0">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在评标过程中，评标委员会认为需要，在监督人员在场的情况下，可要求投标人对投标文件中的有关问题进行澄清或提供补充说明及有关资料，投标人应做出书面答复。书面答复中不得变更价格、供货期、自报质量等实质性内容。</w:t>
      </w:r>
    </w:p>
    <w:p w14:paraId="4A2788BA">
      <w:pPr>
        <w:shd w:val="clear"/>
        <w:kinsoku/>
        <w:wordWrap w:val="0"/>
        <w:overflowPunct/>
        <w:bidi w:val="0"/>
        <w:spacing w:line="500" w:lineRule="exact"/>
        <w:ind w:left="0" w:leftChars="0" w:right="0" w:rightChars="0"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本项目采用远程开标，具体操作方法详见服务指南&gt;交易须知&gt;开标大厅远程解密、质疑(异议)及回复以及评标过程中询标流程操作手册。</w:t>
      </w:r>
    </w:p>
    <w:p w14:paraId="0DD936FC">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2.2.2书面答复须经投标人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3AFB1DD2">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2.2.3  招标人不接受投标人主动提出的澄清。</w:t>
      </w:r>
    </w:p>
    <w:p w14:paraId="674B1D2D">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2.3比较与评价</w:t>
      </w:r>
    </w:p>
    <w:p w14:paraId="2043D634">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2．3.1按招标文件中规定的评标方法和标准，对资格性检查和符合性检查合格的投标文件进行资信、商务和技术评估，综合比较与评价。 </w:t>
      </w:r>
    </w:p>
    <w:p w14:paraId="2FFED97C">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2.4推荐中标候选人名单</w:t>
      </w:r>
    </w:p>
    <w:p w14:paraId="65D33EFB">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2.4.1中标候选人数量应当根据采购需要确定，但必须按顺序排列中标候选人。</w:t>
      </w:r>
    </w:p>
    <w:p w14:paraId="31FD5F34">
      <w:pPr>
        <w:shd w:val="clear"/>
        <w:kinsoku/>
        <w:overflowPunct/>
        <w:bidi w:val="0"/>
        <w:spacing w:line="500" w:lineRule="exact"/>
        <w:ind w:left="0" w:leftChars="0" w:right="0" w:rightChars="0" w:firstLine="420" w:firstLineChars="200"/>
        <w:jc w:val="left"/>
        <w:rPr>
          <w:rFonts w:ascii="宋体" w:hAnsi="宋体" w:cs="宋体"/>
          <w:color w:val="auto"/>
          <w:highlight w:val="none"/>
        </w:rPr>
      </w:pPr>
      <w:r>
        <w:rPr>
          <w:rFonts w:hint="eastAsia" w:ascii="宋体" w:hAnsi="宋体" w:cs="宋体"/>
          <w:color w:val="auto"/>
          <w:szCs w:val="21"/>
          <w:highlight w:val="none"/>
        </w:rPr>
        <w:t>2.5在投标文件的审查、澄清、评价和比较以及授予合同过程中，投标人对招标人和评标委员会成员施加影响的任何行为，都将导致取消其中标资格。</w:t>
      </w:r>
      <w:bookmarkStart w:id="70" w:name="_Toc449028878"/>
      <w:bookmarkStart w:id="71" w:name="_Toc362983802"/>
      <w:bookmarkStart w:id="72" w:name="_Toc58430318"/>
    </w:p>
    <w:p w14:paraId="4D7C3DE3">
      <w:pPr>
        <w:shd w:val="clear"/>
        <w:kinsoku/>
        <w:overflowPunct/>
        <w:bidi w:val="0"/>
        <w:spacing w:beforeLines="50" w:afterLines="50" w:line="500" w:lineRule="exact"/>
        <w:ind w:left="0" w:leftChars="0" w:right="0" w:rightChars="0"/>
        <w:jc w:val="center"/>
        <w:outlineLvl w:val="1"/>
        <w:rPr>
          <w:rFonts w:ascii="宋体" w:hAnsi="宋体" w:cs="宋体"/>
          <w:b/>
          <w:color w:val="auto"/>
          <w:sz w:val="28"/>
          <w:szCs w:val="28"/>
          <w:highlight w:val="none"/>
        </w:rPr>
      </w:pPr>
      <w:r>
        <w:rPr>
          <w:rFonts w:hint="eastAsia" w:ascii="宋体" w:hAnsi="宋体" w:cs="宋体"/>
          <w:b/>
          <w:color w:val="auto"/>
          <w:sz w:val="28"/>
          <w:szCs w:val="28"/>
          <w:highlight w:val="none"/>
        </w:rPr>
        <w:t>二、投标文件初审</w:t>
      </w:r>
      <w:bookmarkEnd w:id="70"/>
      <w:bookmarkEnd w:id="71"/>
      <w:bookmarkEnd w:id="72"/>
    </w:p>
    <w:p w14:paraId="2B9AD607">
      <w:pPr>
        <w:shd w:val="clear"/>
        <w:kinsoku/>
        <w:overflowPunct/>
        <w:bidi w:val="0"/>
        <w:spacing w:line="500" w:lineRule="exact"/>
        <w:ind w:left="0" w:leftChars="0" w:right="0" w:rightChars="0" w:firstLine="310" w:firstLineChars="147"/>
        <w:jc w:val="left"/>
        <w:rPr>
          <w:rFonts w:ascii="宋体" w:hAnsi="宋体" w:cs="宋体"/>
          <w:b/>
          <w:color w:val="auto"/>
          <w:szCs w:val="21"/>
          <w:highlight w:val="none"/>
        </w:rPr>
      </w:pPr>
      <w:r>
        <w:rPr>
          <w:rFonts w:hint="eastAsia" w:ascii="宋体" w:hAnsi="宋体" w:cs="宋体"/>
          <w:b/>
          <w:color w:val="auto"/>
          <w:szCs w:val="21"/>
          <w:highlight w:val="none"/>
        </w:rPr>
        <w:t>3.资格性审查:</w:t>
      </w:r>
    </w:p>
    <w:p w14:paraId="3DBD03C5">
      <w:pPr>
        <w:shd w:val="clear"/>
        <w:kinsoku/>
        <w:overflowPunct/>
        <w:bidi w:val="0"/>
        <w:spacing w:line="500" w:lineRule="exact"/>
        <w:ind w:left="0" w:leftChars="0" w:right="0" w:rightChars="0" w:firstLine="308" w:firstLineChars="147"/>
        <w:jc w:val="left"/>
        <w:rPr>
          <w:rFonts w:ascii="宋体" w:hAnsi="宋体" w:cs="宋体"/>
          <w:color w:val="auto"/>
          <w:szCs w:val="21"/>
          <w:highlight w:val="none"/>
        </w:rPr>
      </w:pPr>
      <w:r>
        <w:rPr>
          <w:rFonts w:hint="eastAsia" w:ascii="宋体" w:hAnsi="宋体" w:cs="宋体"/>
          <w:color w:val="auto"/>
          <w:szCs w:val="21"/>
          <w:highlight w:val="none"/>
        </w:rPr>
        <w:t>3.1评审细则</w:t>
      </w:r>
    </w:p>
    <w:tbl>
      <w:tblPr>
        <w:tblStyle w:val="35"/>
        <w:tblW w:w="9359"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090"/>
        <w:gridCol w:w="4859"/>
        <w:gridCol w:w="2644"/>
      </w:tblGrid>
      <w:tr w14:paraId="405D4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66" w:type="dxa"/>
            <w:vAlign w:val="center"/>
          </w:tcPr>
          <w:p w14:paraId="5654966B">
            <w:pPr>
              <w:keepNext w:val="0"/>
              <w:keepLines w:val="0"/>
              <w:pageBreakBefore w:val="0"/>
              <w:shd w:val="clear"/>
              <w:kinsoku/>
              <w:wordWrap/>
              <w:overflowPunct/>
              <w:topLinePunct w:val="0"/>
              <w:autoSpaceDE/>
              <w:autoSpaceDN/>
              <w:bidi w:val="0"/>
              <w:adjustRightInd/>
              <w:snapToGrid/>
              <w:spacing w:line="440" w:lineRule="exact"/>
              <w:ind w:left="0" w:leftChars="0" w:right="0" w:rightChars="0"/>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5949" w:type="dxa"/>
            <w:gridSpan w:val="2"/>
            <w:vAlign w:val="center"/>
          </w:tcPr>
          <w:p w14:paraId="16E09C72">
            <w:pPr>
              <w:keepNext w:val="0"/>
              <w:keepLines w:val="0"/>
              <w:pageBreakBefore w:val="0"/>
              <w:shd w:val="clear"/>
              <w:kinsoku/>
              <w:wordWrap/>
              <w:overflowPunct/>
              <w:topLinePunct w:val="0"/>
              <w:autoSpaceDE/>
              <w:autoSpaceDN/>
              <w:bidi w:val="0"/>
              <w:adjustRightInd/>
              <w:snapToGrid/>
              <w:spacing w:line="440" w:lineRule="exact"/>
              <w:ind w:left="0" w:leftChars="0" w:right="0" w:rightChars="0"/>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评审因素</w:t>
            </w:r>
          </w:p>
        </w:tc>
        <w:tc>
          <w:tcPr>
            <w:tcW w:w="2644" w:type="dxa"/>
            <w:vAlign w:val="center"/>
          </w:tcPr>
          <w:p w14:paraId="23D247B8">
            <w:pPr>
              <w:keepNext w:val="0"/>
              <w:keepLines w:val="0"/>
              <w:pageBreakBefore w:val="0"/>
              <w:shd w:val="clear"/>
              <w:kinsoku/>
              <w:wordWrap/>
              <w:overflowPunct/>
              <w:topLinePunct w:val="0"/>
              <w:autoSpaceDE/>
              <w:autoSpaceDN/>
              <w:bidi w:val="0"/>
              <w:adjustRightInd/>
              <w:snapToGrid/>
              <w:spacing w:line="440" w:lineRule="exact"/>
              <w:ind w:left="0" w:leftChars="0" w:right="0" w:rightChars="0"/>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评审标准</w:t>
            </w:r>
          </w:p>
        </w:tc>
      </w:tr>
      <w:tr w14:paraId="3C227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66" w:type="dxa"/>
            <w:vAlign w:val="center"/>
          </w:tcPr>
          <w:p w14:paraId="5B91F973">
            <w:pPr>
              <w:keepNext w:val="0"/>
              <w:keepLines w:val="0"/>
              <w:pageBreakBefore w:val="0"/>
              <w:shd w:val="clear"/>
              <w:kinsoku/>
              <w:wordWrap/>
              <w:overflowPunct/>
              <w:topLinePunct w:val="0"/>
              <w:autoSpaceDE/>
              <w:autoSpaceDN/>
              <w:bidi w:val="0"/>
              <w:adjustRightInd/>
              <w:snapToGrid/>
              <w:spacing w:line="440" w:lineRule="exact"/>
              <w:ind w:left="0" w:leftChars="0" w:right="0" w:rightChars="0"/>
              <w:jc w:val="center"/>
              <w:textAlignment w:val="auto"/>
              <w:rPr>
                <w:rFonts w:ascii="宋体" w:hAnsi="宋体" w:cs="宋体"/>
                <w:color w:val="auto"/>
                <w:szCs w:val="21"/>
                <w:highlight w:val="none"/>
              </w:rPr>
            </w:pPr>
            <w:r>
              <w:rPr>
                <w:rFonts w:hint="eastAsia" w:ascii="宋体" w:hAnsi="宋体" w:cs="宋体"/>
                <w:color w:val="auto"/>
                <w:szCs w:val="21"/>
                <w:highlight w:val="none"/>
              </w:rPr>
              <w:t>1</w:t>
            </w:r>
          </w:p>
        </w:tc>
        <w:tc>
          <w:tcPr>
            <w:tcW w:w="1090" w:type="dxa"/>
            <w:vAlign w:val="center"/>
          </w:tcPr>
          <w:p w14:paraId="3108D6E0">
            <w:pPr>
              <w:keepNext w:val="0"/>
              <w:keepLines w:val="0"/>
              <w:pageBreakBefore w:val="0"/>
              <w:shd w:val="clear"/>
              <w:kinsoku/>
              <w:wordWrap/>
              <w:overflowPunct/>
              <w:topLinePunct w:val="0"/>
              <w:autoSpaceDE/>
              <w:autoSpaceDN/>
              <w:bidi w:val="0"/>
              <w:adjustRightInd/>
              <w:snapToGrid/>
              <w:spacing w:line="440" w:lineRule="exact"/>
              <w:ind w:left="0" w:leftChars="0" w:right="0" w:rightChars="0"/>
              <w:jc w:val="center"/>
              <w:textAlignment w:val="auto"/>
              <w:rPr>
                <w:rFonts w:ascii="宋体" w:hAnsi="宋体" w:cs="宋体"/>
                <w:color w:val="auto"/>
                <w:szCs w:val="21"/>
                <w:highlight w:val="none"/>
              </w:rPr>
            </w:pPr>
            <w:r>
              <w:rPr>
                <w:rFonts w:hint="eastAsia" w:ascii="宋体" w:hAnsi="宋体" w:cs="宋体"/>
                <w:color w:val="auto"/>
                <w:szCs w:val="21"/>
                <w:highlight w:val="none"/>
              </w:rPr>
              <w:t>重要要求</w:t>
            </w:r>
          </w:p>
        </w:tc>
        <w:tc>
          <w:tcPr>
            <w:tcW w:w="4859" w:type="dxa"/>
            <w:vAlign w:val="center"/>
          </w:tcPr>
          <w:p w14:paraId="3EF6E62D">
            <w:pPr>
              <w:keepNext w:val="0"/>
              <w:keepLines w:val="0"/>
              <w:pageBreakBefore w:val="0"/>
              <w:shd w:val="clear"/>
              <w:kinsoku/>
              <w:wordWrap/>
              <w:overflowPunct/>
              <w:topLinePunct w:val="0"/>
              <w:autoSpaceDE/>
              <w:autoSpaceDN/>
              <w:bidi w:val="0"/>
              <w:adjustRightInd/>
              <w:snapToGrid/>
              <w:spacing w:line="440" w:lineRule="exact"/>
              <w:ind w:left="0" w:leftChars="0" w:right="0" w:rightChars="0"/>
              <w:textAlignment w:val="auto"/>
              <w:rPr>
                <w:rFonts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tc>
        <w:tc>
          <w:tcPr>
            <w:tcW w:w="2644" w:type="dxa"/>
            <w:vAlign w:val="center"/>
          </w:tcPr>
          <w:p w14:paraId="243926E5">
            <w:pPr>
              <w:keepNext w:val="0"/>
              <w:keepLines w:val="0"/>
              <w:pageBreakBefore w:val="0"/>
              <w:shd w:val="clear"/>
              <w:kinsoku/>
              <w:wordWrap/>
              <w:overflowPunct/>
              <w:topLinePunct w:val="0"/>
              <w:autoSpaceDE/>
              <w:autoSpaceDN/>
              <w:bidi w:val="0"/>
              <w:adjustRightInd/>
              <w:snapToGrid/>
              <w:spacing w:line="440" w:lineRule="exact"/>
              <w:ind w:left="0" w:leftChars="0" w:right="0" w:rightChars="0"/>
              <w:jc w:val="left"/>
              <w:textAlignment w:val="auto"/>
              <w:rPr>
                <w:rFonts w:ascii="宋体" w:hAnsi="宋体" w:cs="宋体"/>
                <w:color w:val="auto"/>
                <w:szCs w:val="21"/>
                <w:highlight w:val="none"/>
              </w:rPr>
            </w:pPr>
            <w:r>
              <w:rPr>
                <w:rFonts w:hint="eastAsia" w:ascii="宋体" w:hAnsi="宋体" w:cs="宋体"/>
                <w:color w:val="auto"/>
                <w:szCs w:val="21"/>
                <w:highlight w:val="none"/>
              </w:rPr>
              <w:t>检验电子标书</w:t>
            </w:r>
          </w:p>
        </w:tc>
      </w:tr>
      <w:tr w14:paraId="685F0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766" w:type="dxa"/>
            <w:vMerge w:val="restart"/>
            <w:vAlign w:val="center"/>
          </w:tcPr>
          <w:p w14:paraId="7C7410B2">
            <w:pPr>
              <w:keepNext w:val="0"/>
              <w:keepLines w:val="0"/>
              <w:pageBreakBefore w:val="0"/>
              <w:shd w:val="clear"/>
              <w:kinsoku/>
              <w:wordWrap/>
              <w:overflowPunct/>
              <w:topLinePunct w:val="0"/>
              <w:autoSpaceDE/>
              <w:autoSpaceDN/>
              <w:bidi w:val="0"/>
              <w:adjustRightInd/>
              <w:snapToGrid/>
              <w:spacing w:line="440" w:lineRule="exact"/>
              <w:ind w:left="0" w:leftChars="0" w:right="0" w:rightChars="0"/>
              <w:jc w:val="center"/>
              <w:textAlignment w:val="auto"/>
              <w:rPr>
                <w:rFonts w:ascii="宋体" w:hAnsi="宋体" w:cs="宋体"/>
                <w:color w:val="auto"/>
                <w:szCs w:val="21"/>
                <w:highlight w:val="none"/>
              </w:rPr>
            </w:pPr>
            <w:r>
              <w:rPr>
                <w:rFonts w:hint="eastAsia" w:ascii="宋体" w:hAnsi="宋体" w:cs="宋体"/>
                <w:color w:val="auto"/>
                <w:szCs w:val="21"/>
                <w:highlight w:val="none"/>
              </w:rPr>
              <w:t>2</w:t>
            </w:r>
          </w:p>
        </w:tc>
        <w:tc>
          <w:tcPr>
            <w:tcW w:w="1090" w:type="dxa"/>
            <w:vMerge w:val="restart"/>
            <w:vAlign w:val="center"/>
          </w:tcPr>
          <w:p w14:paraId="614A2110">
            <w:pPr>
              <w:keepNext w:val="0"/>
              <w:keepLines w:val="0"/>
              <w:pageBreakBefore w:val="0"/>
              <w:shd w:val="clear"/>
              <w:kinsoku/>
              <w:wordWrap/>
              <w:overflowPunct/>
              <w:topLinePunct w:val="0"/>
              <w:autoSpaceDE/>
              <w:autoSpaceDN/>
              <w:bidi w:val="0"/>
              <w:adjustRightInd/>
              <w:snapToGrid/>
              <w:spacing w:line="440" w:lineRule="exact"/>
              <w:ind w:left="0" w:leftChars="0" w:right="0" w:rightChars="0"/>
              <w:textAlignment w:val="auto"/>
              <w:rPr>
                <w:rFonts w:ascii="宋体" w:hAnsi="宋体" w:cs="宋体"/>
                <w:color w:val="auto"/>
                <w:szCs w:val="21"/>
                <w:highlight w:val="none"/>
              </w:rPr>
            </w:pPr>
            <w:r>
              <w:rPr>
                <w:rFonts w:hint="eastAsia" w:ascii="宋体" w:hAnsi="宋体" w:cs="宋体"/>
                <w:color w:val="auto"/>
                <w:szCs w:val="21"/>
                <w:highlight w:val="none"/>
              </w:rPr>
              <w:t>投标人应符合的基本资格条件</w:t>
            </w:r>
          </w:p>
        </w:tc>
        <w:tc>
          <w:tcPr>
            <w:tcW w:w="4859" w:type="dxa"/>
            <w:vAlign w:val="center"/>
          </w:tcPr>
          <w:p w14:paraId="4A59AB34">
            <w:pPr>
              <w:keepNext w:val="0"/>
              <w:keepLines w:val="0"/>
              <w:pageBreakBefore w:val="0"/>
              <w:shd w:val="clear"/>
              <w:kinsoku/>
              <w:wordWrap/>
              <w:overflowPunct/>
              <w:topLinePunct w:val="0"/>
              <w:autoSpaceDE/>
              <w:autoSpaceDN/>
              <w:bidi w:val="0"/>
              <w:adjustRightInd/>
              <w:snapToGrid/>
              <w:spacing w:line="440" w:lineRule="exact"/>
              <w:ind w:left="0" w:leftChars="0" w:right="0" w:rightChars="0"/>
              <w:textAlignment w:val="auto"/>
              <w:rPr>
                <w:rFonts w:ascii="宋体" w:hAnsi="宋体" w:cs="宋体"/>
                <w:color w:val="auto"/>
                <w:szCs w:val="21"/>
                <w:highlight w:val="none"/>
              </w:rPr>
            </w:pPr>
            <w:r>
              <w:rPr>
                <w:rFonts w:hint="eastAsia" w:ascii="宋体" w:hAnsi="宋体" w:cs="宋体"/>
                <w:color w:val="auto"/>
                <w:szCs w:val="21"/>
                <w:highlight w:val="none"/>
              </w:rPr>
              <w:t>（2）具有独立承担民事责任的能力</w:t>
            </w:r>
          </w:p>
        </w:tc>
        <w:tc>
          <w:tcPr>
            <w:tcW w:w="2644" w:type="dxa"/>
            <w:vAlign w:val="center"/>
          </w:tcPr>
          <w:p w14:paraId="7E3E3D18">
            <w:pPr>
              <w:keepNext w:val="0"/>
              <w:keepLines w:val="0"/>
              <w:pageBreakBefore w:val="0"/>
              <w:shd w:val="clear"/>
              <w:kinsoku/>
              <w:wordWrap/>
              <w:overflowPunct/>
              <w:topLinePunct w:val="0"/>
              <w:autoSpaceDE/>
              <w:autoSpaceDN/>
              <w:bidi w:val="0"/>
              <w:adjustRightInd/>
              <w:snapToGrid/>
              <w:spacing w:line="440" w:lineRule="exact"/>
              <w:ind w:left="0" w:leftChars="0" w:right="0" w:rightChars="0"/>
              <w:textAlignment w:val="auto"/>
              <w:rPr>
                <w:rFonts w:ascii="宋体" w:hAnsi="宋体" w:cs="宋体"/>
                <w:color w:val="auto"/>
                <w:szCs w:val="21"/>
                <w:highlight w:val="none"/>
              </w:rPr>
            </w:pPr>
            <w:r>
              <w:rPr>
                <w:rFonts w:hint="eastAsia" w:ascii="宋体" w:hAnsi="宋体" w:cs="宋体"/>
                <w:b/>
                <w:color w:val="auto"/>
                <w:szCs w:val="21"/>
                <w:highlight w:val="none"/>
              </w:rPr>
              <w:t>评审核验电子标书中的下列证书、证明材料：</w:t>
            </w:r>
          </w:p>
          <w:p w14:paraId="38B64C41">
            <w:pPr>
              <w:keepNext w:val="0"/>
              <w:keepLines w:val="0"/>
              <w:pageBreakBefore w:val="0"/>
              <w:shd w:val="clear"/>
              <w:kinsoku/>
              <w:wordWrap/>
              <w:overflowPunct/>
              <w:topLinePunct w:val="0"/>
              <w:autoSpaceDE/>
              <w:autoSpaceDN/>
              <w:bidi w:val="0"/>
              <w:adjustRightInd/>
              <w:snapToGrid/>
              <w:spacing w:line="440" w:lineRule="exact"/>
              <w:ind w:left="0" w:leftChars="0" w:right="0" w:rightChars="0"/>
              <w:textAlignment w:val="auto"/>
              <w:rPr>
                <w:rFonts w:ascii="宋体" w:hAnsi="宋体" w:cs="宋体"/>
                <w:color w:val="auto"/>
                <w:szCs w:val="21"/>
                <w:highlight w:val="none"/>
              </w:rPr>
            </w:pPr>
            <w:r>
              <w:rPr>
                <w:rFonts w:hint="eastAsia" w:ascii="宋体" w:hAnsi="宋体" w:cs="宋体"/>
                <w:color w:val="auto"/>
                <w:szCs w:val="21"/>
                <w:highlight w:val="none"/>
              </w:rPr>
              <w:t>投标人有效的营业执照、税务登记证、组织机构码证（或“三证合一证书”）</w:t>
            </w:r>
          </w:p>
        </w:tc>
      </w:tr>
      <w:tr w14:paraId="6F825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766" w:type="dxa"/>
            <w:vMerge w:val="continue"/>
            <w:vAlign w:val="center"/>
          </w:tcPr>
          <w:p w14:paraId="1FAB16BC">
            <w:pPr>
              <w:keepNext w:val="0"/>
              <w:keepLines w:val="0"/>
              <w:pageBreakBefore w:val="0"/>
              <w:shd w:val="clear"/>
              <w:kinsoku/>
              <w:wordWrap/>
              <w:overflowPunct/>
              <w:topLinePunct w:val="0"/>
              <w:autoSpaceDE/>
              <w:autoSpaceDN/>
              <w:bidi w:val="0"/>
              <w:adjustRightInd/>
              <w:snapToGrid/>
              <w:spacing w:line="440" w:lineRule="exact"/>
              <w:ind w:left="0" w:leftChars="0" w:right="0" w:rightChars="0"/>
              <w:jc w:val="center"/>
              <w:textAlignment w:val="auto"/>
              <w:rPr>
                <w:rFonts w:ascii="宋体" w:hAnsi="宋体" w:cs="宋体"/>
                <w:color w:val="auto"/>
                <w:szCs w:val="21"/>
                <w:highlight w:val="none"/>
              </w:rPr>
            </w:pPr>
          </w:p>
        </w:tc>
        <w:tc>
          <w:tcPr>
            <w:tcW w:w="1090" w:type="dxa"/>
            <w:vMerge w:val="continue"/>
            <w:vAlign w:val="center"/>
          </w:tcPr>
          <w:p w14:paraId="7A69D7F7">
            <w:pPr>
              <w:keepNext w:val="0"/>
              <w:keepLines w:val="0"/>
              <w:pageBreakBefore w:val="0"/>
              <w:shd w:val="clear"/>
              <w:kinsoku/>
              <w:wordWrap/>
              <w:overflowPunct/>
              <w:topLinePunct w:val="0"/>
              <w:autoSpaceDE/>
              <w:autoSpaceDN/>
              <w:bidi w:val="0"/>
              <w:adjustRightInd/>
              <w:snapToGrid/>
              <w:spacing w:line="440" w:lineRule="exact"/>
              <w:ind w:left="0" w:leftChars="0" w:right="0" w:rightChars="0"/>
              <w:textAlignment w:val="auto"/>
              <w:rPr>
                <w:rFonts w:ascii="宋体" w:hAnsi="宋体" w:cs="宋体"/>
                <w:color w:val="auto"/>
                <w:szCs w:val="21"/>
                <w:highlight w:val="none"/>
              </w:rPr>
            </w:pPr>
          </w:p>
        </w:tc>
        <w:tc>
          <w:tcPr>
            <w:tcW w:w="4859" w:type="dxa"/>
            <w:vAlign w:val="center"/>
          </w:tcPr>
          <w:p w14:paraId="49AE5D7C">
            <w:pPr>
              <w:keepNext w:val="0"/>
              <w:keepLines w:val="0"/>
              <w:pageBreakBefore w:val="0"/>
              <w:shd w:val="clear"/>
              <w:kinsoku/>
              <w:wordWrap/>
              <w:overflowPunct/>
              <w:topLinePunct w:val="0"/>
              <w:autoSpaceDE/>
              <w:autoSpaceDN/>
              <w:bidi w:val="0"/>
              <w:adjustRightInd/>
              <w:snapToGrid/>
              <w:spacing w:line="440" w:lineRule="exact"/>
              <w:ind w:left="0" w:leftChars="0" w:right="0" w:rightChars="0"/>
              <w:textAlignment w:val="auto"/>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企业资质证书、有效的安全生产许可证</w:t>
            </w:r>
          </w:p>
        </w:tc>
        <w:tc>
          <w:tcPr>
            <w:tcW w:w="2644" w:type="dxa"/>
            <w:vAlign w:val="center"/>
          </w:tcPr>
          <w:p w14:paraId="2584B56E">
            <w:pPr>
              <w:keepNext w:val="0"/>
              <w:keepLines w:val="0"/>
              <w:pageBreakBefore w:val="0"/>
              <w:shd w:val="clear"/>
              <w:kinsoku/>
              <w:wordWrap/>
              <w:overflowPunct/>
              <w:topLinePunct w:val="0"/>
              <w:autoSpaceDE/>
              <w:autoSpaceDN/>
              <w:bidi w:val="0"/>
              <w:adjustRightInd/>
              <w:snapToGrid/>
              <w:spacing w:line="440" w:lineRule="exact"/>
              <w:ind w:left="0" w:leftChars="0" w:right="0" w:rightChars="0"/>
              <w:textAlignment w:val="auto"/>
              <w:rPr>
                <w:rFonts w:ascii="宋体" w:hAnsi="宋体" w:cs="宋体"/>
                <w:color w:val="auto"/>
                <w:szCs w:val="21"/>
                <w:highlight w:val="none"/>
              </w:rPr>
            </w:pPr>
            <w:r>
              <w:rPr>
                <w:rFonts w:hint="eastAsia" w:ascii="宋体" w:hAnsi="宋体" w:cs="宋体"/>
                <w:color w:val="auto"/>
                <w:szCs w:val="21"/>
                <w:highlight w:val="none"/>
              </w:rPr>
              <w:t>检验电子标书</w:t>
            </w:r>
          </w:p>
        </w:tc>
      </w:tr>
      <w:tr w14:paraId="58EAE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766" w:type="dxa"/>
            <w:vMerge w:val="continue"/>
            <w:vAlign w:val="center"/>
          </w:tcPr>
          <w:p w14:paraId="58295B86">
            <w:pPr>
              <w:keepNext w:val="0"/>
              <w:keepLines w:val="0"/>
              <w:pageBreakBefore w:val="0"/>
              <w:shd w:val="clear"/>
              <w:kinsoku/>
              <w:wordWrap/>
              <w:overflowPunct/>
              <w:topLinePunct w:val="0"/>
              <w:autoSpaceDE/>
              <w:autoSpaceDN/>
              <w:bidi w:val="0"/>
              <w:adjustRightInd/>
              <w:snapToGrid/>
              <w:spacing w:line="440" w:lineRule="exact"/>
              <w:ind w:left="0" w:leftChars="0" w:right="0" w:rightChars="0"/>
              <w:jc w:val="center"/>
              <w:textAlignment w:val="auto"/>
              <w:rPr>
                <w:rFonts w:ascii="宋体" w:hAnsi="宋体" w:cs="宋体"/>
                <w:color w:val="auto"/>
                <w:szCs w:val="21"/>
                <w:highlight w:val="none"/>
              </w:rPr>
            </w:pPr>
          </w:p>
        </w:tc>
        <w:tc>
          <w:tcPr>
            <w:tcW w:w="1090" w:type="dxa"/>
            <w:vMerge w:val="continue"/>
            <w:vAlign w:val="center"/>
          </w:tcPr>
          <w:p w14:paraId="07B0523E">
            <w:pPr>
              <w:keepNext w:val="0"/>
              <w:keepLines w:val="0"/>
              <w:pageBreakBefore w:val="0"/>
              <w:shd w:val="clear"/>
              <w:kinsoku/>
              <w:wordWrap/>
              <w:overflowPunct/>
              <w:topLinePunct w:val="0"/>
              <w:autoSpaceDE/>
              <w:autoSpaceDN/>
              <w:bidi w:val="0"/>
              <w:adjustRightInd/>
              <w:snapToGrid/>
              <w:spacing w:line="440" w:lineRule="exact"/>
              <w:ind w:left="0" w:leftChars="0" w:right="0" w:rightChars="0"/>
              <w:textAlignment w:val="auto"/>
              <w:rPr>
                <w:rFonts w:ascii="宋体" w:hAnsi="宋体" w:cs="宋体"/>
                <w:color w:val="auto"/>
                <w:szCs w:val="21"/>
                <w:highlight w:val="none"/>
              </w:rPr>
            </w:pPr>
          </w:p>
        </w:tc>
        <w:tc>
          <w:tcPr>
            <w:tcW w:w="4859" w:type="dxa"/>
            <w:vAlign w:val="center"/>
          </w:tcPr>
          <w:p w14:paraId="037B9A2A">
            <w:pPr>
              <w:keepNext w:val="0"/>
              <w:keepLines w:val="0"/>
              <w:pageBreakBefore w:val="0"/>
              <w:shd w:val="clear"/>
              <w:kinsoku/>
              <w:wordWrap/>
              <w:overflowPunct/>
              <w:topLinePunct w:val="0"/>
              <w:autoSpaceDE/>
              <w:autoSpaceDN/>
              <w:bidi w:val="0"/>
              <w:adjustRightInd/>
              <w:snapToGrid/>
              <w:spacing w:line="440" w:lineRule="exact"/>
              <w:ind w:left="0" w:leftChars="0" w:right="0" w:rightChars="0"/>
              <w:jc w:val="left"/>
              <w:textAlignment w:val="auto"/>
              <w:rPr>
                <w:rFonts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）诚信投标承诺书或公共信用信息报告（无违法违规证明版或核查版）</w:t>
            </w:r>
          </w:p>
        </w:tc>
        <w:tc>
          <w:tcPr>
            <w:tcW w:w="2644" w:type="dxa"/>
            <w:vAlign w:val="center"/>
          </w:tcPr>
          <w:p w14:paraId="44F08D09">
            <w:pPr>
              <w:keepNext w:val="0"/>
              <w:keepLines w:val="0"/>
              <w:pageBreakBefore w:val="0"/>
              <w:shd w:val="clear"/>
              <w:kinsoku/>
              <w:wordWrap/>
              <w:overflowPunct/>
              <w:topLinePunct w:val="0"/>
              <w:autoSpaceDE/>
              <w:autoSpaceDN/>
              <w:bidi w:val="0"/>
              <w:adjustRightInd/>
              <w:snapToGrid/>
              <w:spacing w:line="440" w:lineRule="exact"/>
              <w:ind w:left="0" w:leftChars="0" w:right="0" w:rightChars="0"/>
              <w:jc w:val="left"/>
              <w:textAlignment w:val="auto"/>
              <w:rPr>
                <w:rFonts w:ascii="宋体" w:hAnsi="宋体" w:cs="宋体"/>
                <w:b/>
                <w:color w:val="auto"/>
                <w:szCs w:val="21"/>
                <w:highlight w:val="none"/>
              </w:rPr>
            </w:pPr>
            <w:r>
              <w:rPr>
                <w:rFonts w:hint="eastAsia" w:ascii="宋体" w:hAnsi="宋体" w:cs="宋体"/>
                <w:color w:val="auto"/>
                <w:szCs w:val="21"/>
                <w:highlight w:val="none"/>
              </w:rPr>
              <w:t>格式见附件，检验电子标书</w:t>
            </w:r>
          </w:p>
        </w:tc>
      </w:tr>
    </w:tbl>
    <w:p w14:paraId="0232E946">
      <w:pPr>
        <w:shd w:val="clear"/>
        <w:kinsoku/>
        <w:overflowPunct/>
        <w:bidi w:val="0"/>
        <w:spacing w:line="500" w:lineRule="exact"/>
        <w:ind w:left="0" w:leftChars="0" w:right="0" w:rightChars="0" w:firstLine="508" w:firstLineChars="241"/>
        <w:jc w:val="left"/>
        <w:rPr>
          <w:rFonts w:hint="eastAsia"/>
          <w:color w:val="auto"/>
          <w:highlight w:val="none"/>
        </w:rPr>
      </w:pPr>
      <w:bookmarkStart w:id="73" w:name="_Toc324404866"/>
      <w:bookmarkStart w:id="74" w:name="_Toc60061491"/>
      <w:bookmarkStart w:id="75" w:name="_Toc15058904"/>
      <w:bookmarkStart w:id="76" w:name="_Toc95223394"/>
      <w:bookmarkStart w:id="77" w:name="_Toc506107319"/>
      <w:r>
        <w:rPr>
          <w:rFonts w:hint="eastAsia" w:ascii="宋体" w:hAnsi="宋体" w:eastAsia="宋体" w:cs="宋体"/>
          <w:b/>
          <w:color w:val="auto"/>
          <w:szCs w:val="21"/>
          <w:highlight w:val="none"/>
        </w:rPr>
        <w:t>重要提示：</w:t>
      </w:r>
    </w:p>
    <w:p w14:paraId="37C2517A">
      <w:pPr>
        <w:shd w:val="clear"/>
        <w:kinsoku/>
        <w:overflowPunct/>
        <w:bidi w:val="0"/>
        <w:spacing w:line="500" w:lineRule="exact"/>
        <w:ind w:left="0" w:leftChars="0" w:right="0" w:rightChars="0" w:firstLine="506" w:firstLineChars="24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资格审查材料可以选择①上传到安徽省公共资源交易市场主体库中，制作投标文件时插上CA数字证书，从安徽省公共资源交易市场主体库中挑选相关材料，或按招标文件要求上传至指定位置；若所需材料无对应栏目，则将该材料上传至“其他所需材料”里，做电子投标文件时从“其他所需材料”里获取。请各投标人自行完善安徽省公共资源交易市场主体库中的单位信息，保证信息最新且有效。②或使用国家企业信用信息公示系统和全国建筑市场监管公共服务平台接口获取营业执照、建设工程相关证书等政务数据，投标人自行核验政务数据的准确性，对引用的政务数据承担责任。</w:t>
      </w:r>
    </w:p>
    <w:p w14:paraId="0EF88594">
      <w:pPr>
        <w:shd w:val="clear"/>
        <w:kinsoku/>
        <w:overflowPunct/>
        <w:bidi w:val="0"/>
        <w:spacing w:line="500" w:lineRule="exact"/>
        <w:ind w:left="0" w:leftChars="0" w:right="0" w:rightChars="0" w:firstLine="506" w:firstLineChars="24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（2）评标专家在检验电子投标文件过程中，如果由于投标人自身原因导致评标专家无法查看并检验电子投标文件中相关资料的，视为无效标处理。即使投标人将原件携带至现场的，同样按无效标处理。</w:t>
      </w:r>
    </w:p>
    <w:bookmarkEnd w:id="73"/>
    <w:bookmarkEnd w:id="74"/>
    <w:bookmarkEnd w:id="75"/>
    <w:bookmarkEnd w:id="76"/>
    <w:bookmarkEnd w:id="77"/>
    <w:p w14:paraId="2CF8A050">
      <w:pPr>
        <w:shd w:val="clear"/>
        <w:kinsoku/>
        <w:overflowPunct/>
        <w:bidi w:val="0"/>
        <w:spacing w:line="500" w:lineRule="exact"/>
        <w:ind w:left="0" w:leftChars="0" w:right="0" w:rightChars="0" w:firstLine="310" w:firstLineChars="147"/>
        <w:jc w:val="left"/>
        <w:rPr>
          <w:rFonts w:ascii="宋体" w:hAnsi="宋体" w:cs="宋体"/>
          <w:b/>
          <w:color w:val="auto"/>
          <w:szCs w:val="21"/>
          <w:highlight w:val="none"/>
        </w:rPr>
      </w:pPr>
      <w:r>
        <w:rPr>
          <w:rFonts w:hint="eastAsia" w:ascii="宋体" w:hAnsi="宋体" w:cs="宋体"/>
          <w:b/>
          <w:color w:val="auto"/>
          <w:szCs w:val="21"/>
          <w:highlight w:val="none"/>
        </w:rPr>
        <w:t>4.符合性审查</w:t>
      </w:r>
    </w:p>
    <w:p w14:paraId="55920EC3">
      <w:pPr>
        <w:shd w:val="clear"/>
        <w:kinsoku/>
        <w:overflowPunct/>
        <w:bidi w:val="0"/>
        <w:spacing w:line="500" w:lineRule="exact"/>
        <w:ind w:left="0" w:leftChars="0" w:right="0" w:rightChars="0" w:firstLine="315" w:firstLineChars="150"/>
        <w:jc w:val="left"/>
        <w:rPr>
          <w:rFonts w:ascii="宋体" w:hAnsi="宋体" w:cs="宋体"/>
          <w:color w:val="auto"/>
          <w:szCs w:val="21"/>
          <w:highlight w:val="none"/>
        </w:rPr>
      </w:pPr>
      <w:r>
        <w:rPr>
          <w:rFonts w:hint="eastAsia" w:ascii="宋体" w:hAnsi="宋体" w:cs="宋体"/>
          <w:color w:val="auto"/>
          <w:szCs w:val="21"/>
          <w:highlight w:val="none"/>
        </w:rPr>
        <w:t>4.1评审细则</w:t>
      </w:r>
    </w:p>
    <w:tbl>
      <w:tblPr>
        <w:tblStyle w:val="35"/>
        <w:tblW w:w="9615"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18"/>
        <w:gridCol w:w="2931"/>
        <w:gridCol w:w="4631"/>
      </w:tblGrid>
      <w:tr w14:paraId="5EE82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35" w:type="dxa"/>
            <w:vAlign w:val="center"/>
          </w:tcPr>
          <w:p w14:paraId="12392893">
            <w:pPr>
              <w:shd w:val="clear"/>
              <w:kinsoku/>
              <w:overflowPunct/>
              <w:bidi w:val="0"/>
              <w:spacing w:line="500" w:lineRule="exact"/>
              <w:ind w:left="0" w:leftChars="0" w:right="0" w:rightChars="0"/>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4249" w:type="dxa"/>
            <w:gridSpan w:val="2"/>
            <w:vAlign w:val="center"/>
          </w:tcPr>
          <w:p w14:paraId="545ED4CE">
            <w:pPr>
              <w:shd w:val="clear"/>
              <w:kinsoku/>
              <w:overflowPunct/>
              <w:bidi w:val="0"/>
              <w:spacing w:line="500" w:lineRule="exact"/>
              <w:ind w:left="0" w:leftChars="0" w:right="0" w:rightChars="0"/>
              <w:jc w:val="center"/>
              <w:rPr>
                <w:rFonts w:ascii="宋体" w:hAnsi="宋体" w:cs="宋体"/>
                <w:b/>
                <w:bCs/>
                <w:color w:val="auto"/>
                <w:szCs w:val="21"/>
                <w:highlight w:val="none"/>
              </w:rPr>
            </w:pPr>
            <w:r>
              <w:rPr>
                <w:rFonts w:hint="eastAsia" w:ascii="宋体" w:hAnsi="宋体" w:cs="宋体"/>
                <w:b/>
                <w:bCs/>
                <w:color w:val="auto"/>
                <w:szCs w:val="21"/>
                <w:highlight w:val="none"/>
              </w:rPr>
              <w:t>审查因素</w:t>
            </w:r>
          </w:p>
        </w:tc>
        <w:tc>
          <w:tcPr>
            <w:tcW w:w="4631" w:type="dxa"/>
            <w:vAlign w:val="center"/>
          </w:tcPr>
          <w:p w14:paraId="60659967">
            <w:pPr>
              <w:shd w:val="clear"/>
              <w:kinsoku/>
              <w:overflowPunct/>
              <w:bidi w:val="0"/>
              <w:spacing w:line="500" w:lineRule="exact"/>
              <w:ind w:left="0" w:leftChars="0" w:right="0" w:rightChars="0"/>
              <w:jc w:val="center"/>
              <w:rPr>
                <w:rFonts w:ascii="宋体" w:hAnsi="宋体" w:cs="宋体"/>
                <w:b/>
                <w:bCs/>
                <w:color w:val="auto"/>
                <w:szCs w:val="21"/>
                <w:highlight w:val="none"/>
              </w:rPr>
            </w:pPr>
            <w:r>
              <w:rPr>
                <w:rFonts w:hint="eastAsia" w:ascii="宋体" w:hAnsi="宋体" w:cs="宋体"/>
                <w:b/>
                <w:bCs/>
                <w:color w:val="auto"/>
                <w:szCs w:val="21"/>
                <w:highlight w:val="none"/>
              </w:rPr>
              <w:t>审查内容</w:t>
            </w:r>
          </w:p>
        </w:tc>
      </w:tr>
      <w:tr w14:paraId="6AE87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5" w:type="dxa"/>
            <w:vMerge w:val="restart"/>
            <w:vAlign w:val="center"/>
          </w:tcPr>
          <w:p w14:paraId="794F2509">
            <w:pPr>
              <w:shd w:val="clear"/>
              <w:kinsoku/>
              <w:overflowPunct/>
              <w:bidi w:val="0"/>
              <w:spacing w:line="500" w:lineRule="exact"/>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1</w:t>
            </w:r>
          </w:p>
        </w:tc>
        <w:tc>
          <w:tcPr>
            <w:tcW w:w="1318" w:type="dxa"/>
            <w:vMerge w:val="restart"/>
            <w:vAlign w:val="center"/>
          </w:tcPr>
          <w:p w14:paraId="691BD08C">
            <w:pPr>
              <w:shd w:val="clear"/>
              <w:kinsoku/>
              <w:overflowPunct/>
              <w:bidi w:val="0"/>
              <w:spacing w:line="500" w:lineRule="exact"/>
              <w:ind w:left="0" w:leftChars="0" w:right="0" w:rightChars="0"/>
              <w:jc w:val="center"/>
              <w:rPr>
                <w:rFonts w:ascii="宋体" w:hAnsi="宋体" w:cs="宋体"/>
                <w:color w:val="auto"/>
                <w:szCs w:val="21"/>
                <w:highlight w:val="none"/>
                <w:lang w:val="zh-CN"/>
              </w:rPr>
            </w:pPr>
            <w:r>
              <w:rPr>
                <w:rFonts w:hint="eastAsia" w:ascii="宋体" w:hAnsi="宋体" w:cs="宋体"/>
                <w:color w:val="auto"/>
                <w:szCs w:val="21"/>
                <w:highlight w:val="none"/>
                <w:lang w:val="zh-CN"/>
              </w:rPr>
              <w:t>投标文件的有效性</w:t>
            </w:r>
          </w:p>
        </w:tc>
        <w:tc>
          <w:tcPr>
            <w:tcW w:w="2931" w:type="dxa"/>
            <w:vAlign w:val="center"/>
          </w:tcPr>
          <w:p w14:paraId="1A5751B3">
            <w:pPr>
              <w:shd w:val="clear"/>
              <w:kinsoku/>
              <w:overflowPunct/>
              <w:bidi w:val="0"/>
              <w:spacing w:line="500" w:lineRule="exact"/>
              <w:ind w:left="0" w:leftChars="0" w:right="0" w:rightChars="0"/>
              <w:jc w:val="left"/>
              <w:rPr>
                <w:rFonts w:ascii="宋体" w:hAnsi="宋体" w:cs="宋体"/>
                <w:color w:val="auto"/>
                <w:szCs w:val="21"/>
                <w:highlight w:val="none"/>
                <w:lang w:val="zh-CN"/>
              </w:rPr>
            </w:pPr>
            <w:r>
              <w:rPr>
                <w:rFonts w:hint="eastAsia" w:ascii="宋体" w:hAnsi="宋体" w:cs="宋体"/>
                <w:color w:val="auto"/>
                <w:szCs w:val="21"/>
                <w:highlight w:val="none"/>
                <w:lang w:val="zh-CN"/>
              </w:rPr>
              <w:t>（1）投标文件签署</w:t>
            </w:r>
          </w:p>
        </w:tc>
        <w:tc>
          <w:tcPr>
            <w:tcW w:w="4631" w:type="dxa"/>
            <w:vAlign w:val="center"/>
          </w:tcPr>
          <w:p w14:paraId="57119486">
            <w:pPr>
              <w:shd w:val="clear"/>
              <w:kinsoku/>
              <w:overflowPunct/>
              <w:bidi w:val="0"/>
              <w:spacing w:line="500" w:lineRule="exact"/>
              <w:ind w:left="0" w:leftChars="0" w:right="0" w:rightChars="0"/>
              <w:jc w:val="left"/>
              <w:rPr>
                <w:rFonts w:ascii="宋体" w:hAnsi="宋体" w:cs="宋体"/>
                <w:color w:val="auto"/>
                <w:szCs w:val="21"/>
                <w:highlight w:val="none"/>
                <w:lang w:val="zh-CN"/>
              </w:rPr>
            </w:pPr>
            <w:r>
              <w:rPr>
                <w:rFonts w:hint="eastAsia" w:ascii="宋体" w:hAnsi="宋体" w:cs="宋体"/>
                <w:color w:val="auto"/>
                <w:szCs w:val="21"/>
                <w:highlight w:val="none"/>
                <w:lang w:val="zh-CN"/>
              </w:rPr>
              <w:t>签字、盖章符合要求。</w:t>
            </w:r>
          </w:p>
          <w:p w14:paraId="53A0F930">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b/>
                <w:bCs/>
                <w:color w:val="auto"/>
                <w:szCs w:val="21"/>
                <w:highlight w:val="none"/>
                <w:lang w:val="zh-CN"/>
              </w:rPr>
              <w:t>（</w:t>
            </w:r>
            <w:r>
              <w:rPr>
                <w:rFonts w:hint="eastAsia" w:ascii="宋体" w:hAnsi="宋体" w:cs="宋体"/>
                <w:b/>
                <w:bCs/>
                <w:color w:val="auto"/>
                <w:szCs w:val="21"/>
                <w:highlight w:val="none"/>
              </w:rPr>
              <w:t>注：技术标采用暗标，无需签字、盖章）</w:t>
            </w:r>
          </w:p>
        </w:tc>
      </w:tr>
      <w:tr w14:paraId="711F3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735" w:type="dxa"/>
            <w:vMerge w:val="continue"/>
            <w:vAlign w:val="center"/>
          </w:tcPr>
          <w:p w14:paraId="1DB1A02B">
            <w:pPr>
              <w:shd w:val="clear"/>
              <w:kinsoku/>
              <w:overflowPunct/>
              <w:bidi w:val="0"/>
              <w:spacing w:line="500" w:lineRule="exact"/>
              <w:ind w:left="0" w:leftChars="0" w:right="0" w:rightChars="0"/>
              <w:jc w:val="center"/>
              <w:rPr>
                <w:rFonts w:ascii="宋体" w:hAnsi="宋体" w:cs="宋体"/>
                <w:color w:val="auto"/>
                <w:szCs w:val="21"/>
                <w:highlight w:val="none"/>
              </w:rPr>
            </w:pPr>
          </w:p>
        </w:tc>
        <w:tc>
          <w:tcPr>
            <w:tcW w:w="1318" w:type="dxa"/>
            <w:vMerge w:val="continue"/>
            <w:vAlign w:val="center"/>
          </w:tcPr>
          <w:p w14:paraId="17B080FC">
            <w:pPr>
              <w:shd w:val="clear"/>
              <w:kinsoku/>
              <w:overflowPunct/>
              <w:bidi w:val="0"/>
              <w:spacing w:line="500" w:lineRule="exact"/>
              <w:ind w:left="0" w:leftChars="0" w:right="0" w:rightChars="0"/>
              <w:jc w:val="center"/>
              <w:rPr>
                <w:rFonts w:ascii="宋体" w:hAnsi="宋体" w:cs="宋体"/>
                <w:color w:val="auto"/>
                <w:szCs w:val="21"/>
                <w:highlight w:val="none"/>
              </w:rPr>
            </w:pPr>
          </w:p>
        </w:tc>
        <w:tc>
          <w:tcPr>
            <w:tcW w:w="2931" w:type="dxa"/>
            <w:vAlign w:val="center"/>
          </w:tcPr>
          <w:p w14:paraId="04521C6E">
            <w:pPr>
              <w:shd w:val="clear"/>
              <w:kinsoku/>
              <w:overflowPunct/>
              <w:bidi w:val="0"/>
              <w:spacing w:line="500" w:lineRule="exact"/>
              <w:ind w:left="0" w:leftChars="0" w:right="0" w:rightChars="0"/>
              <w:jc w:val="left"/>
              <w:rPr>
                <w:rFonts w:ascii="宋体" w:hAnsi="宋体" w:cs="宋体"/>
                <w:color w:val="auto"/>
                <w:szCs w:val="21"/>
                <w:highlight w:val="none"/>
                <w:lang w:val="zh-CN"/>
              </w:rPr>
            </w:pPr>
            <w:r>
              <w:rPr>
                <w:rFonts w:hint="eastAsia" w:ascii="宋体" w:hAnsi="宋体" w:cs="宋体"/>
                <w:color w:val="auto"/>
                <w:szCs w:val="21"/>
                <w:highlight w:val="none"/>
                <w:lang w:val="zh-CN"/>
              </w:rPr>
              <w:t>（2）投标方案</w:t>
            </w:r>
          </w:p>
        </w:tc>
        <w:tc>
          <w:tcPr>
            <w:tcW w:w="4631" w:type="dxa"/>
            <w:vAlign w:val="center"/>
          </w:tcPr>
          <w:p w14:paraId="729096D2">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lang w:val="zh-CN"/>
              </w:rPr>
              <w:t>每个分包只能有一个方案投标。</w:t>
            </w:r>
          </w:p>
        </w:tc>
      </w:tr>
      <w:tr w14:paraId="1C6EC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5" w:type="dxa"/>
            <w:vMerge w:val="continue"/>
            <w:vAlign w:val="center"/>
          </w:tcPr>
          <w:p w14:paraId="75C98FD5">
            <w:pPr>
              <w:shd w:val="clear"/>
              <w:kinsoku/>
              <w:overflowPunct/>
              <w:bidi w:val="0"/>
              <w:spacing w:line="500" w:lineRule="exact"/>
              <w:ind w:left="0" w:leftChars="0" w:right="0" w:rightChars="0"/>
              <w:jc w:val="center"/>
              <w:rPr>
                <w:rFonts w:ascii="宋体" w:hAnsi="宋体" w:cs="宋体"/>
                <w:color w:val="auto"/>
                <w:szCs w:val="21"/>
                <w:highlight w:val="none"/>
              </w:rPr>
            </w:pPr>
          </w:p>
        </w:tc>
        <w:tc>
          <w:tcPr>
            <w:tcW w:w="1318" w:type="dxa"/>
            <w:vMerge w:val="continue"/>
            <w:vAlign w:val="center"/>
          </w:tcPr>
          <w:p w14:paraId="3645310E">
            <w:pPr>
              <w:shd w:val="clear"/>
              <w:kinsoku/>
              <w:overflowPunct/>
              <w:bidi w:val="0"/>
              <w:spacing w:line="500" w:lineRule="exact"/>
              <w:ind w:left="0" w:leftChars="0" w:right="0" w:rightChars="0"/>
              <w:jc w:val="center"/>
              <w:rPr>
                <w:rFonts w:ascii="宋体" w:hAnsi="宋体" w:cs="宋体"/>
                <w:color w:val="auto"/>
                <w:szCs w:val="21"/>
                <w:highlight w:val="none"/>
              </w:rPr>
            </w:pPr>
          </w:p>
        </w:tc>
        <w:tc>
          <w:tcPr>
            <w:tcW w:w="2931" w:type="dxa"/>
            <w:vAlign w:val="center"/>
          </w:tcPr>
          <w:p w14:paraId="48E0D8DC">
            <w:pPr>
              <w:shd w:val="clear"/>
              <w:kinsoku/>
              <w:overflowPunct/>
              <w:bidi w:val="0"/>
              <w:spacing w:line="500" w:lineRule="exact"/>
              <w:ind w:left="0" w:leftChars="0" w:right="0" w:rightChars="0"/>
              <w:jc w:val="left"/>
              <w:rPr>
                <w:rFonts w:ascii="宋体" w:hAnsi="宋体" w:cs="宋体"/>
                <w:color w:val="auto"/>
                <w:szCs w:val="21"/>
                <w:highlight w:val="none"/>
                <w:lang w:val="zh-CN"/>
              </w:rPr>
            </w:pPr>
            <w:r>
              <w:rPr>
                <w:rFonts w:hint="eastAsia" w:ascii="宋体" w:hAnsi="宋体" w:cs="宋体"/>
                <w:color w:val="auto"/>
                <w:szCs w:val="21"/>
                <w:highlight w:val="none"/>
              </w:rPr>
              <w:t>（3）报价唯一</w:t>
            </w:r>
          </w:p>
        </w:tc>
        <w:tc>
          <w:tcPr>
            <w:tcW w:w="4631" w:type="dxa"/>
            <w:vAlign w:val="center"/>
          </w:tcPr>
          <w:p w14:paraId="041E4137">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lang w:val="zh-CN"/>
              </w:rPr>
              <w:t>只能在限价范围内报价，</w:t>
            </w:r>
            <w:r>
              <w:rPr>
                <w:rFonts w:hint="eastAsia" w:ascii="宋体" w:hAnsi="宋体" w:cs="宋体"/>
                <w:color w:val="auto"/>
                <w:szCs w:val="21"/>
                <w:highlight w:val="none"/>
              </w:rPr>
              <w:t>只能有一个有效报价，不得提交选择性报价。</w:t>
            </w:r>
          </w:p>
        </w:tc>
      </w:tr>
      <w:tr w14:paraId="4F0EB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735" w:type="dxa"/>
            <w:vMerge w:val="continue"/>
            <w:vAlign w:val="center"/>
          </w:tcPr>
          <w:p w14:paraId="4872439D">
            <w:pPr>
              <w:shd w:val="clear"/>
              <w:kinsoku/>
              <w:overflowPunct/>
              <w:bidi w:val="0"/>
              <w:spacing w:line="500" w:lineRule="exact"/>
              <w:ind w:left="0" w:leftChars="0" w:right="0" w:rightChars="0"/>
              <w:jc w:val="center"/>
              <w:rPr>
                <w:rFonts w:ascii="宋体" w:hAnsi="宋体" w:cs="宋体"/>
                <w:color w:val="auto"/>
                <w:szCs w:val="21"/>
                <w:highlight w:val="none"/>
              </w:rPr>
            </w:pPr>
          </w:p>
        </w:tc>
        <w:tc>
          <w:tcPr>
            <w:tcW w:w="1318" w:type="dxa"/>
            <w:vMerge w:val="continue"/>
            <w:vAlign w:val="center"/>
          </w:tcPr>
          <w:p w14:paraId="7A374555">
            <w:pPr>
              <w:shd w:val="clear"/>
              <w:kinsoku/>
              <w:overflowPunct/>
              <w:bidi w:val="0"/>
              <w:spacing w:line="500" w:lineRule="exact"/>
              <w:ind w:left="0" w:leftChars="0" w:right="0" w:rightChars="0"/>
              <w:jc w:val="center"/>
              <w:rPr>
                <w:rFonts w:ascii="宋体" w:hAnsi="宋体" w:cs="宋体"/>
                <w:color w:val="auto"/>
                <w:szCs w:val="21"/>
                <w:highlight w:val="none"/>
              </w:rPr>
            </w:pPr>
          </w:p>
        </w:tc>
        <w:tc>
          <w:tcPr>
            <w:tcW w:w="2931" w:type="dxa"/>
            <w:vAlign w:val="center"/>
          </w:tcPr>
          <w:p w14:paraId="70545AA5">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 xml:space="preserve"> (4) 投标文件的有效期</w:t>
            </w:r>
          </w:p>
        </w:tc>
        <w:tc>
          <w:tcPr>
            <w:tcW w:w="4631" w:type="dxa"/>
            <w:vAlign w:val="center"/>
          </w:tcPr>
          <w:p w14:paraId="505AF0D1">
            <w:pPr>
              <w:shd w:val="clear"/>
              <w:kinsoku/>
              <w:overflowPunct/>
              <w:bidi w:val="0"/>
              <w:spacing w:line="500" w:lineRule="exact"/>
              <w:ind w:left="0" w:leftChars="0" w:right="0" w:rightChars="0"/>
              <w:jc w:val="left"/>
              <w:rPr>
                <w:rFonts w:ascii="宋体" w:hAnsi="宋体" w:cs="宋体"/>
                <w:color w:val="auto"/>
                <w:szCs w:val="21"/>
                <w:highlight w:val="none"/>
                <w:lang w:val="zh-CN"/>
              </w:rPr>
            </w:pPr>
            <w:r>
              <w:rPr>
                <w:rFonts w:hint="eastAsia" w:ascii="宋体" w:hAnsi="宋体" w:cs="宋体"/>
                <w:color w:val="auto"/>
                <w:szCs w:val="21"/>
                <w:highlight w:val="none"/>
                <w:lang w:val="zh-CN"/>
              </w:rPr>
              <w:t>完全响应。</w:t>
            </w:r>
          </w:p>
        </w:tc>
      </w:tr>
      <w:tr w14:paraId="4C96A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735" w:type="dxa"/>
            <w:vMerge w:val="restart"/>
            <w:vAlign w:val="center"/>
          </w:tcPr>
          <w:p w14:paraId="7670B8F9">
            <w:pPr>
              <w:shd w:val="clear"/>
              <w:kinsoku/>
              <w:overflowPunct/>
              <w:bidi w:val="0"/>
              <w:spacing w:line="500" w:lineRule="exact"/>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2</w:t>
            </w:r>
          </w:p>
        </w:tc>
        <w:tc>
          <w:tcPr>
            <w:tcW w:w="1318" w:type="dxa"/>
            <w:vMerge w:val="restart"/>
            <w:vAlign w:val="center"/>
          </w:tcPr>
          <w:p w14:paraId="08B28408">
            <w:pPr>
              <w:shd w:val="clear"/>
              <w:kinsoku/>
              <w:overflowPunct/>
              <w:bidi w:val="0"/>
              <w:spacing w:line="500" w:lineRule="exact"/>
              <w:ind w:left="0" w:leftChars="0" w:right="0" w:rightChars="0"/>
              <w:jc w:val="center"/>
              <w:rPr>
                <w:rFonts w:ascii="宋体" w:hAnsi="宋体" w:cs="宋体"/>
                <w:color w:val="auto"/>
                <w:szCs w:val="21"/>
                <w:highlight w:val="none"/>
                <w:lang w:val="zh-CN"/>
              </w:rPr>
            </w:pPr>
            <w:r>
              <w:rPr>
                <w:rFonts w:hint="eastAsia" w:ascii="宋体" w:hAnsi="宋体" w:cs="宋体"/>
                <w:color w:val="auto"/>
                <w:szCs w:val="21"/>
                <w:highlight w:val="none"/>
                <w:lang w:val="zh-CN"/>
              </w:rPr>
              <w:t>投标文件的完整性</w:t>
            </w:r>
          </w:p>
        </w:tc>
        <w:tc>
          <w:tcPr>
            <w:tcW w:w="2931" w:type="dxa"/>
            <w:vAlign w:val="center"/>
          </w:tcPr>
          <w:p w14:paraId="70343096">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lang w:val="zh-CN"/>
              </w:rPr>
              <w:t>（5）投标文件份数</w:t>
            </w:r>
          </w:p>
        </w:tc>
        <w:tc>
          <w:tcPr>
            <w:tcW w:w="4631" w:type="dxa"/>
            <w:vAlign w:val="center"/>
          </w:tcPr>
          <w:p w14:paraId="0282894D">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 xml:space="preserve">网上递交的电子投标文件：一份； </w:t>
            </w:r>
          </w:p>
        </w:tc>
      </w:tr>
      <w:tr w14:paraId="3B611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735" w:type="dxa"/>
            <w:vMerge w:val="continue"/>
            <w:vAlign w:val="center"/>
          </w:tcPr>
          <w:p w14:paraId="3FCB2636">
            <w:pPr>
              <w:shd w:val="clear"/>
              <w:kinsoku/>
              <w:overflowPunct/>
              <w:bidi w:val="0"/>
              <w:spacing w:line="500" w:lineRule="exact"/>
              <w:ind w:left="0" w:leftChars="0" w:right="0" w:rightChars="0"/>
              <w:jc w:val="center"/>
              <w:rPr>
                <w:rFonts w:ascii="宋体" w:hAnsi="宋体" w:cs="宋体"/>
                <w:color w:val="auto"/>
                <w:szCs w:val="21"/>
                <w:highlight w:val="none"/>
              </w:rPr>
            </w:pPr>
          </w:p>
        </w:tc>
        <w:tc>
          <w:tcPr>
            <w:tcW w:w="1318" w:type="dxa"/>
            <w:vMerge w:val="continue"/>
            <w:vAlign w:val="center"/>
          </w:tcPr>
          <w:p w14:paraId="0D4078BB">
            <w:pPr>
              <w:shd w:val="clear"/>
              <w:kinsoku/>
              <w:overflowPunct/>
              <w:bidi w:val="0"/>
              <w:spacing w:line="500" w:lineRule="exact"/>
              <w:ind w:left="0" w:leftChars="0" w:right="0" w:rightChars="0"/>
              <w:jc w:val="center"/>
              <w:rPr>
                <w:rFonts w:ascii="宋体" w:hAnsi="宋体" w:cs="宋体"/>
                <w:color w:val="auto"/>
                <w:szCs w:val="21"/>
                <w:highlight w:val="none"/>
              </w:rPr>
            </w:pPr>
          </w:p>
        </w:tc>
        <w:tc>
          <w:tcPr>
            <w:tcW w:w="2931" w:type="dxa"/>
            <w:vAlign w:val="center"/>
          </w:tcPr>
          <w:p w14:paraId="02876D74">
            <w:pPr>
              <w:shd w:val="clear"/>
              <w:kinsoku/>
              <w:overflowPunct/>
              <w:bidi w:val="0"/>
              <w:spacing w:line="500" w:lineRule="exact"/>
              <w:ind w:left="0" w:leftChars="0" w:right="0" w:rightChars="0"/>
              <w:jc w:val="left"/>
              <w:rPr>
                <w:rFonts w:ascii="宋体" w:hAnsi="宋体" w:cs="宋体"/>
                <w:color w:val="auto"/>
                <w:szCs w:val="21"/>
                <w:highlight w:val="none"/>
                <w:lang w:val="zh-CN"/>
              </w:rPr>
            </w:pPr>
            <w:r>
              <w:rPr>
                <w:rFonts w:hint="eastAsia" w:ascii="宋体" w:hAnsi="宋体" w:cs="宋体"/>
                <w:color w:val="auto"/>
                <w:szCs w:val="21"/>
                <w:highlight w:val="none"/>
                <w:lang w:val="zh-CN"/>
              </w:rPr>
              <w:t>（6）投标文件形式内容</w:t>
            </w:r>
          </w:p>
        </w:tc>
        <w:tc>
          <w:tcPr>
            <w:tcW w:w="4631" w:type="dxa"/>
            <w:vAlign w:val="center"/>
          </w:tcPr>
          <w:p w14:paraId="0AE77BD2">
            <w:pPr>
              <w:shd w:val="clear"/>
              <w:kinsoku/>
              <w:overflowPunct/>
              <w:bidi w:val="0"/>
              <w:spacing w:line="500" w:lineRule="exact"/>
              <w:ind w:left="0" w:leftChars="0" w:right="0" w:rightChars="0"/>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投标文件内容清晰、齐全无遗漏。</w:t>
            </w:r>
          </w:p>
        </w:tc>
      </w:tr>
      <w:tr w14:paraId="3113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35" w:type="dxa"/>
            <w:vMerge w:val="restart"/>
            <w:vAlign w:val="center"/>
          </w:tcPr>
          <w:p w14:paraId="3440CC5F">
            <w:pPr>
              <w:shd w:val="clear"/>
              <w:kinsoku/>
              <w:overflowPunct/>
              <w:bidi w:val="0"/>
              <w:spacing w:line="500" w:lineRule="exact"/>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3</w:t>
            </w:r>
          </w:p>
        </w:tc>
        <w:tc>
          <w:tcPr>
            <w:tcW w:w="1318" w:type="dxa"/>
            <w:vMerge w:val="restart"/>
            <w:vAlign w:val="center"/>
          </w:tcPr>
          <w:p w14:paraId="3F6940A1">
            <w:pPr>
              <w:shd w:val="clear"/>
              <w:kinsoku/>
              <w:overflowPunct/>
              <w:bidi w:val="0"/>
              <w:spacing w:line="500" w:lineRule="exact"/>
              <w:ind w:left="0" w:leftChars="0" w:right="0" w:rightChars="0"/>
              <w:jc w:val="center"/>
              <w:rPr>
                <w:rFonts w:ascii="宋体" w:hAnsi="宋体" w:cs="宋体"/>
                <w:color w:val="auto"/>
                <w:szCs w:val="21"/>
                <w:highlight w:val="none"/>
                <w:lang w:val="zh-CN"/>
              </w:rPr>
            </w:pPr>
            <w:r>
              <w:rPr>
                <w:rFonts w:hint="eastAsia" w:ascii="宋体" w:hAnsi="宋体" w:cs="宋体"/>
                <w:color w:val="auto"/>
                <w:szCs w:val="21"/>
                <w:highlight w:val="none"/>
                <w:lang w:val="zh-CN"/>
              </w:rPr>
              <w:t>投标文件的响应程度</w:t>
            </w:r>
          </w:p>
        </w:tc>
        <w:tc>
          <w:tcPr>
            <w:tcW w:w="2931" w:type="dxa"/>
            <w:vAlign w:val="center"/>
          </w:tcPr>
          <w:p w14:paraId="15CB7F31">
            <w:pPr>
              <w:shd w:val="clear"/>
              <w:kinsoku/>
              <w:overflowPunct/>
              <w:bidi w:val="0"/>
              <w:spacing w:line="500" w:lineRule="exact"/>
              <w:ind w:left="0" w:leftChars="0" w:right="0" w:rightChars="0"/>
              <w:jc w:val="left"/>
              <w:rPr>
                <w:rFonts w:ascii="宋体" w:hAnsi="宋体" w:cs="宋体"/>
                <w:color w:val="auto"/>
                <w:szCs w:val="21"/>
                <w:highlight w:val="none"/>
                <w:lang w:val="zh-CN"/>
              </w:rPr>
            </w:pPr>
            <w:r>
              <w:rPr>
                <w:rFonts w:hint="eastAsia" w:ascii="宋体" w:hAnsi="宋体" w:cs="宋体"/>
                <w:color w:val="auto"/>
                <w:szCs w:val="21"/>
                <w:highlight w:val="none"/>
                <w:lang w:val="zh-CN"/>
              </w:rPr>
              <w:t>（7）技术参数响应程度</w:t>
            </w:r>
          </w:p>
        </w:tc>
        <w:tc>
          <w:tcPr>
            <w:tcW w:w="4631" w:type="dxa"/>
            <w:vAlign w:val="center"/>
          </w:tcPr>
          <w:p w14:paraId="32CAD7CB">
            <w:pPr>
              <w:shd w:val="clear"/>
              <w:kinsoku/>
              <w:overflowPunct/>
              <w:bidi w:val="0"/>
              <w:spacing w:line="500" w:lineRule="exact"/>
              <w:ind w:left="0" w:leftChars="0" w:right="0" w:rightChars="0"/>
              <w:jc w:val="left"/>
              <w:rPr>
                <w:rFonts w:ascii="宋体" w:hAnsi="宋体" w:cs="宋体"/>
                <w:color w:val="auto"/>
                <w:highlight w:val="none"/>
              </w:rPr>
            </w:pPr>
            <w:r>
              <w:rPr>
                <w:rFonts w:hint="eastAsia" w:ascii="宋体" w:hAnsi="宋体" w:cs="宋体"/>
                <w:color w:val="auto"/>
                <w:highlight w:val="none"/>
              </w:rPr>
              <w:t>最大限度响应</w:t>
            </w:r>
            <w:r>
              <w:rPr>
                <w:rFonts w:hint="eastAsia" w:ascii="宋体" w:hAnsi="宋体" w:cs="宋体"/>
                <w:color w:val="auto"/>
                <w:highlight w:val="none"/>
                <w:lang w:val="zh-CN"/>
              </w:rPr>
              <w:t>招标文件要求。</w:t>
            </w:r>
          </w:p>
        </w:tc>
      </w:tr>
      <w:tr w14:paraId="033B3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5" w:type="dxa"/>
            <w:vMerge w:val="continue"/>
            <w:vAlign w:val="center"/>
          </w:tcPr>
          <w:p w14:paraId="0AAC77C5">
            <w:pPr>
              <w:shd w:val="clear"/>
              <w:kinsoku/>
              <w:overflowPunct/>
              <w:bidi w:val="0"/>
              <w:spacing w:line="500" w:lineRule="exact"/>
              <w:ind w:left="0" w:leftChars="0" w:right="0" w:rightChars="0"/>
              <w:jc w:val="left"/>
              <w:rPr>
                <w:rFonts w:ascii="宋体" w:hAnsi="宋体" w:cs="宋体"/>
                <w:color w:val="auto"/>
                <w:szCs w:val="21"/>
                <w:highlight w:val="none"/>
              </w:rPr>
            </w:pPr>
          </w:p>
        </w:tc>
        <w:tc>
          <w:tcPr>
            <w:tcW w:w="1318" w:type="dxa"/>
            <w:vMerge w:val="continue"/>
            <w:vAlign w:val="center"/>
          </w:tcPr>
          <w:p w14:paraId="34282EFB">
            <w:pPr>
              <w:shd w:val="clear"/>
              <w:kinsoku/>
              <w:overflowPunct/>
              <w:bidi w:val="0"/>
              <w:spacing w:line="500" w:lineRule="exact"/>
              <w:ind w:left="0" w:leftChars="0" w:right="0" w:rightChars="0"/>
              <w:jc w:val="left"/>
              <w:rPr>
                <w:rFonts w:ascii="宋体" w:hAnsi="宋体" w:cs="宋体"/>
                <w:color w:val="auto"/>
                <w:szCs w:val="21"/>
                <w:highlight w:val="none"/>
              </w:rPr>
            </w:pPr>
          </w:p>
        </w:tc>
        <w:tc>
          <w:tcPr>
            <w:tcW w:w="2931" w:type="dxa"/>
            <w:vAlign w:val="center"/>
          </w:tcPr>
          <w:p w14:paraId="2310ED35">
            <w:pPr>
              <w:shd w:val="clear"/>
              <w:kinsoku/>
              <w:overflowPunct/>
              <w:bidi w:val="0"/>
              <w:spacing w:line="500" w:lineRule="exact"/>
              <w:ind w:left="0" w:leftChars="0" w:right="0" w:rightChars="0"/>
              <w:jc w:val="left"/>
              <w:rPr>
                <w:rFonts w:ascii="宋体" w:hAnsi="宋体" w:cs="宋体"/>
                <w:color w:val="auto"/>
                <w:szCs w:val="21"/>
                <w:highlight w:val="none"/>
                <w:lang w:val="zh-CN"/>
              </w:rPr>
            </w:pPr>
            <w:r>
              <w:rPr>
                <w:rFonts w:hint="eastAsia" w:ascii="宋体" w:hAnsi="宋体" w:cs="宋体"/>
                <w:color w:val="auto"/>
                <w:szCs w:val="21"/>
                <w:highlight w:val="none"/>
                <w:lang w:val="zh-CN"/>
              </w:rPr>
              <w:t>（8）商务条款响应程度（包括不限于业绩、</w:t>
            </w:r>
            <w:r>
              <w:rPr>
                <w:rFonts w:hint="eastAsia" w:ascii="宋体" w:hAnsi="宋体" w:cs="宋体"/>
                <w:color w:val="auto"/>
                <w:szCs w:val="21"/>
                <w:highlight w:val="none"/>
              </w:rPr>
              <w:t>供货</w:t>
            </w:r>
            <w:r>
              <w:rPr>
                <w:rFonts w:hint="eastAsia" w:ascii="宋体" w:hAnsi="宋体" w:cs="宋体"/>
                <w:color w:val="auto"/>
                <w:szCs w:val="21"/>
                <w:highlight w:val="none"/>
                <w:lang w:val="zh-CN"/>
              </w:rPr>
              <w:t>期、售后服务、技术培训等）</w:t>
            </w:r>
          </w:p>
        </w:tc>
        <w:tc>
          <w:tcPr>
            <w:tcW w:w="4631" w:type="dxa"/>
            <w:vAlign w:val="center"/>
          </w:tcPr>
          <w:p w14:paraId="7214EB52">
            <w:pPr>
              <w:shd w:val="clear"/>
              <w:kinsoku/>
              <w:overflowPunct/>
              <w:bidi w:val="0"/>
              <w:spacing w:line="500" w:lineRule="exact"/>
              <w:ind w:left="0" w:leftChars="0" w:right="0" w:rightChars="0"/>
              <w:jc w:val="left"/>
              <w:rPr>
                <w:rFonts w:ascii="宋体" w:hAnsi="宋体" w:cs="宋体"/>
                <w:color w:val="auto"/>
                <w:szCs w:val="21"/>
                <w:highlight w:val="none"/>
                <w:lang w:val="zh-CN"/>
              </w:rPr>
            </w:pPr>
            <w:r>
              <w:rPr>
                <w:rFonts w:hint="eastAsia" w:ascii="宋体" w:hAnsi="宋体" w:cs="宋体"/>
                <w:color w:val="auto"/>
                <w:szCs w:val="21"/>
                <w:highlight w:val="none"/>
                <w:lang w:val="zh-CN"/>
              </w:rPr>
              <w:t>响应招标文件要求。</w:t>
            </w:r>
          </w:p>
        </w:tc>
      </w:tr>
    </w:tbl>
    <w:p w14:paraId="284B09E8">
      <w:pPr>
        <w:shd w:val="clear"/>
        <w:kinsoku/>
        <w:overflowPunct/>
        <w:bidi w:val="0"/>
        <w:spacing w:line="500" w:lineRule="exact"/>
        <w:ind w:left="0" w:leftChars="0" w:right="0" w:rightChars="0" w:firstLine="506" w:firstLineChars="241"/>
        <w:jc w:val="left"/>
        <w:rPr>
          <w:rFonts w:ascii="宋体" w:hAnsi="宋体" w:cs="宋体"/>
          <w:color w:val="auto"/>
          <w:szCs w:val="21"/>
          <w:highlight w:val="none"/>
        </w:rPr>
      </w:pPr>
      <w:r>
        <w:rPr>
          <w:rFonts w:hint="eastAsia" w:ascii="宋体" w:hAnsi="宋体" w:cs="宋体"/>
          <w:color w:val="auto"/>
          <w:szCs w:val="21"/>
          <w:highlight w:val="none"/>
        </w:rPr>
        <w:t>4.2资格审查及评分细则中涉及的有关证明材料及相关证书，电子投标文件中须按招标文件要求上传</w:t>
      </w:r>
      <w:r>
        <w:rPr>
          <w:rFonts w:hint="eastAsia" w:ascii="宋体" w:hAnsi="宋体" w:cs="宋体"/>
          <w:b/>
          <w:color w:val="auto"/>
          <w:szCs w:val="21"/>
          <w:highlight w:val="none"/>
        </w:rPr>
        <w:t>扫描件</w:t>
      </w:r>
      <w:r>
        <w:rPr>
          <w:rFonts w:hint="eastAsia" w:ascii="宋体" w:hAnsi="宋体" w:cs="宋体"/>
          <w:color w:val="auto"/>
          <w:szCs w:val="21"/>
          <w:highlight w:val="none"/>
        </w:rPr>
        <w:t>，以供审查。</w:t>
      </w:r>
    </w:p>
    <w:p w14:paraId="436F29DD">
      <w:pPr>
        <w:shd w:val="clear"/>
        <w:kinsoku/>
        <w:overflowPunct/>
        <w:bidi w:val="0"/>
        <w:spacing w:line="500" w:lineRule="exact"/>
        <w:ind w:left="0" w:leftChars="0" w:right="0" w:rightChars="0" w:firstLine="506" w:firstLineChars="241"/>
        <w:jc w:val="left"/>
        <w:rPr>
          <w:rFonts w:ascii="宋体" w:hAnsi="宋体" w:cs="宋体"/>
          <w:color w:val="auto"/>
          <w:szCs w:val="21"/>
          <w:highlight w:val="none"/>
        </w:rPr>
      </w:pPr>
      <w:r>
        <w:rPr>
          <w:rFonts w:hint="eastAsia" w:ascii="宋体" w:hAnsi="宋体" w:cs="宋体"/>
          <w:color w:val="auto"/>
          <w:szCs w:val="21"/>
          <w:highlight w:val="none"/>
        </w:rPr>
        <w:t>4.3．评标委员会判定投标文件的响应性只根据投标文件本身的内容，而不寻求外部的证据，但投标有不真实不正确的内容时除外。</w:t>
      </w:r>
    </w:p>
    <w:p w14:paraId="436C59C6">
      <w:pPr>
        <w:shd w:val="clear"/>
        <w:kinsoku/>
        <w:overflowPunct/>
        <w:bidi w:val="0"/>
        <w:spacing w:line="500" w:lineRule="exact"/>
        <w:ind w:left="0" w:leftChars="0" w:right="0" w:rightChars="0" w:firstLine="506" w:firstLineChars="241"/>
        <w:jc w:val="left"/>
        <w:rPr>
          <w:rFonts w:ascii="宋体" w:hAnsi="宋体" w:cs="宋体"/>
          <w:color w:val="auto"/>
          <w:szCs w:val="21"/>
          <w:highlight w:val="none"/>
        </w:rPr>
      </w:pPr>
      <w:r>
        <w:rPr>
          <w:rFonts w:hint="eastAsia" w:ascii="宋体" w:hAnsi="宋体" w:cs="宋体"/>
          <w:color w:val="auto"/>
          <w:szCs w:val="21"/>
          <w:highlight w:val="none"/>
        </w:rPr>
        <w:t>4.4如果投标文件实质上没有响应招标文件的要求，评标委员会将予以拒绝，投标人不得通过修正或撤销不符合要求的偏离或保留，而使其投标成为实质上响应的投标。</w:t>
      </w:r>
    </w:p>
    <w:p w14:paraId="3D87CFA9">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4.5投标人可在现场20分钟内对评标委员会的评审结论提出质疑，评标委员会根据招标文件及有关规定对投标人的质疑进行复议。</w:t>
      </w:r>
    </w:p>
    <w:p w14:paraId="7C189174">
      <w:pPr>
        <w:shd w:val="clear"/>
        <w:kinsoku/>
        <w:overflowPunct/>
        <w:bidi w:val="0"/>
        <w:spacing w:line="500" w:lineRule="exact"/>
        <w:ind w:left="0" w:leftChars="0" w:right="0" w:rightChars="0" w:firstLine="525" w:firstLineChars="250"/>
        <w:jc w:val="left"/>
        <w:rPr>
          <w:rFonts w:ascii="宋体" w:hAnsi="宋体" w:cs="宋体"/>
          <w:color w:val="auto"/>
          <w:szCs w:val="21"/>
          <w:highlight w:val="none"/>
        </w:rPr>
      </w:pPr>
      <w:r>
        <w:rPr>
          <w:rFonts w:hint="eastAsia" w:ascii="宋体" w:hAnsi="宋体" w:cs="宋体"/>
          <w:color w:val="auto"/>
          <w:szCs w:val="21"/>
          <w:highlight w:val="none"/>
        </w:rPr>
        <w:t>4.6只有通过初审的投标人才能进入下一步程序。</w:t>
      </w:r>
    </w:p>
    <w:p w14:paraId="628441A4">
      <w:pPr>
        <w:shd w:val="clear"/>
        <w:kinsoku/>
        <w:overflowPunct/>
        <w:bidi w:val="0"/>
        <w:spacing w:line="500" w:lineRule="exact"/>
        <w:ind w:left="0" w:leftChars="0" w:right="0" w:rightChars="0"/>
        <w:jc w:val="left"/>
        <w:rPr>
          <w:rFonts w:ascii="宋体" w:hAnsi="宋体" w:cs="宋体"/>
          <w:b/>
          <w:color w:val="auto"/>
          <w:szCs w:val="21"/>
          <w:highlight w:val="none"/>
        </w:rPr>
      </w:pPr>
      <w:r>
        <w:rPr>
          <w:rFonts w:hint="eastAsia" w:ascii="宋体" w:hAnsi="宋体" w:cs="宋体"/>
          <w:b/>
          <w:color w:val="auto"/>
          <w:szCs w:val="21"/>
          <w:highlight w:val="none"/>
        </w:rPr>
        <w:t>温馨提示：1.请各投标人自行完善安徽省公共资源交易市场主体库中的单位基本信息，保证信息最新且有效。</w:t>
      </w:r>
    </w:p>
    <w:p w14:paraId="5444A671">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b/>
          <w:color w:val="auto"/>
          <w:szCs w:val="21"/>
          <w:highlight w:val="none"/>
        </w:rPr>
        <w:t>2.投标文件资格审查资料请精心准备,如评标专家在检验电子投标文件过程中，如果由于投标人自身原因导致评标专家无法查看并检验电子投标文件中以上相关资料的，按无效投标处理。即使投标人将原件携带至现场的，同样按无效投标处理。</w:t>
      </w:r>
    </w:p>
    <w:p w14:paraId="3259ED9E">
      <w:pPr>
        <w:shd w:val="clear"/>
        <w:kinsoku/>
        <w:overflowPunct/>
        <w:bidi w:val="0"/>
        <w:spacing w:beforeLines="50" w:afterLines="50"/>
        <w:ind w:left="0" w:leftChars="0" w:right="0" w:rightChars="0"/>
        <w:jc w:val="center"/>
        <w:outlineLvl w:val="1"/>
        <w:rPr>
          <w:rFonts w:ascii="宋体"/>
          <w:b/>
          <w:color w:val="auto"/>
          <w:sz w:val="28"/>
          <w:szCs w:val="28"/>
          <w:highlight w:val="none"/>
        </w:rPr>
      </w:pPr>
      <w:bookmarkStart w:id="78" w:name="_Toc449028879"/>
      <w:bookmarkStart w:id="79" w:name="_Toc58430319"/>
      <w:bookmarkStart w:id="80" w:name="_Toc362983803"/>
      <w:bookmarkStart w:id="81" w:name="_Toc14002"/>
      <w:r>
        <w:rPr>
          <w:rFonts w:hint="eastAsia" w:ascii="宋体"/>
          <w:b/>
          <w:color w:val="auto"/>
          <w:sz w:val="28"/>
          <w:szCs w:val="28"/>
          <w:highlight w:val="none"/>
        </w:rPr>
        <w:t>三、投标文件的澄清和补正</w:t>
      </w:r>
      <w:bookmarkEnd w:id="78"/>
      <w:bookmarkEnd w:id="79"/>
      <w:bookmarkEnd w:id="80"/>
      <w:bookmarkEnd w:id="81"/>
    </w:p>
    <w:p w14:paraId="7EDE1843">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5.1评审阶段，评委可能会要求有关投标人就其投标文件中含义不明确、同类问题表述不一致或者有明显文字和计算错误的内容进行澄清。投标人必须在规定时间内进行回复，</w:t>
      </w:r>
      <w:r>
        <w:rPr>
          <w:rFonts w:hint="eastAsia" w:ascii="宋体" w:hAnsi="宋体" w:cs="宋体"/>
          <w:b/>
          <w:bCs/>
          <w:color w:val="auto"/>
          <w:szCs w:val="21"/>
          <w:highlight w:val="none"/>
        </w:rPr>
        <w:t>如因投标人未参加开标导致开评标过程中无法澄清、说明或补正的，视同投标人放弃该权利。</w:t>
      </w:r>
    </w:p>
    <w:p w14:paraId="0E8CB8DF">
      <w:pPr>
        <w:shd w:val="clear"/>
        <w:kinsoku/>
        <w:overflowPunct/>
        <w:bidi w:val="0"/>
        <w:spacing w:line="500" w:lineRule="exact"/>
        <w:ind w:left="0" w:leftChars="0" w:right="0" w:rightChars="0" w:firstLine="525" w:firstLineChars="250"/>
        <w:jc w:val="left"/>
        <w:rPr>
          <w:rFonts w:ascii="宋体" w:hAnsi="宋体" w:cs="宋体"/>
          <w:color w:val="auto"/>
          <w:szCs w:val="21"/>
          <w:highlight w:val="none"/>
        </w:rPr>
      </w:pPr>
      <w:r>
        <w:rPr>
          <w:rFonts w:hint="eastAsia" w:ascii="宋体" w:hAnsi="宋体" w:cs="宋体"/>
          <w:color w:val="auto"/>
          <w:szCs w:val="21"/>
          <w:highlight w:val="none"/>
        </w:rPr>
        <w:t>5.2本项目采用远程开标，投标人的澄清、说明或者补正应当在系统进行，但不得超出投标书的范围或者改变投标书的实质性内容。具体操作方法详见服务指南&gt;交易须知&gt;开标大厅远程解密、质疑(异议)及回复以及评标过程中询标流程操作手册。</w:t>
      </w:r>
    </w:p>
    <w:p w14:paraId="18226FA5">
      <w:pPr>
        <w:shd w:val="clear"/>
        <w:kinsoku/>
        <w:overflowPunct/>
        <w:bidi w:val="0"/>
        <w:spacing w:line="500" w:lineRule="exact"/>
        <w:ind w:left="0" w:leftChars="0" w:right="0" w:rightChars="0" w:firstLine="525" w:firstLineChars="250"/>
        <w:jc w:val="left"/>
        <w:rPr>
          <w:rFonts w:ascii="宋体" w:hAnsi="宋体" w:cs="宋体"/>
          <w:color w:val="auto"/>
          <w:szCs w:val="21"/>
          <w:highlight w:val="none"/>
        </w:rPr>
      </w:pPr>
      <w:r>
        <w:rPr>
          <w:rFonts w:hint="eastAsia" w:ascii="宋体" w:hAnsi="宋体" w:cs="宋体"/>
          <w:color w:val="auto"/>
          <w:szCs w:val="21"/>
          <w:highlight w:val="none"/>
        </w:rPr>
        <w:t>5.3评委会修正错误的原则：</w:t>
      </w:r>
    </w:p>
    <w:p w14:paraId="6C0ADB4F">
      <w:pPr>
        <w:shd w:val="clear"/>
        <w:kinsoku/>
        <w:overflowPunct/>
        <w:bidi w:val="0"/>
        <w:spacing w:line="500" w:lineRule="exact"/>
        <w:ind w:left="0" w:leftChars="0" w:right="0" w:rightChars="0" w:firstLine="525" w:firstLineChars="250"/>
        <w:jc w:val="left"/>
        <w:rPr>
          <w:rFonts w:ascii="宋体" w:hAnsi="宋体" w:cs="宋体"/>
          <w:color w:val="auto"/>
          <w:szCs w:val="21"/>
          <w:highlight w:val="none"/>
        </w:rPr>
      </w:pPr>
      <w:r>
        <w:rPr>
          <w:rFonts w:hint="eastAsia" w:ascii="宋体" w:hAnsi="宋体" w:cs="宋体"/>
          <w:color w:val="auto"/>
          <w:szCs w:val="21"/>
          <w:highlight w:val="none"/>
        </w:rPr>
        <w:t>5.3.1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6CC05701">
      <w:pPr>
        <w:shd w:val="clear"/>
        <w:kinsoku/>
        <w:overflowPunct/>
        <w:bidi w:val="0"/>
        <w:spacing w:line="500" w:lineRule="exact"/>
        <w:ind w:left="0" w:leftChars="0" w:right="0" w:rightChars="0" w:firstLine="525" w:firstLineChars="250"/>
        <w:jc w:val="left"/>
        <w:rPr>
          <w:rFonts w:ascii="宋体" w:hAnsi="宋体" w:cs="宋体"/>
          <w:color w:val="auto"/>
          <w:szCs w:val="21"/>
          <w:highlight w:val="none"/>
        </w:rPr>
      </w:pPr>
      <w:r>
        <w:rPr>
          <w:rFonts w:hint="eastAsia" w:ascii="宋体" w:hAnsi="宋体" w:cs="宋体"/>
          <w:color w:val="auto"/>
          <w:szCs w:val="21"/>
          <w:highlight w:val="none"/>
        </w:rPr>
        <w:t>5.3.2如果单价与数量的乘积和总价不一致，以单价为准，修正总价及开标一览表；当单价小数点有明显的错位时，评委会将以总价为准，并修正其单价；投标的数量与招标的数量不一致时，以招标数量为准。</w:t>
      </w:r>
    </w:p>
    <w:p w14:paraId="051D43F2">
      <w:pPr>
        <w:shd w:val="clear"/>
        <w:kinsoku/>
        <w:overflowPunct/>
        <w:bidi w:val="0"/>
        <w:spacing w:line="500" w:lineRule="exact"/>
        <w:ind w:left="0" w:leftChars="0" w:right="0" w:rightChars="0" w:firstLine="403" w:firstLineChars="192"/>
        <w:jc w:val="left"/>
        <w:rPr>
          <w:rFonts w:ascii="宋体" w:hAnsi="宋体" w:cs="宋体"/>
          <w:color w:val="auto"/>
          <w:szCs w:val="21"/>
          <w:highlight w:val="none"/>
        </w:rPr>
      </w:pPr>
      <w:r>
        <w:rPr>
          <w:rFonts w:hint="eastAsia" w:ascii="宋体" w:hAnsi="宋体" w:cs="宋体"/>
          <w:color w:val="auto"/>
          <w:szCs w:val="21"/>
          <w:highlight w:val="none"/>
        </w:rPr>
        <w:t xml:space="preserve"> 5.4评委会将按上述修正错误的方法调整投标文件中的投标报价，调整后的价格应对投标人具有约束力。无论投标人是接受或是拒绝调整后的价格，都应当由法定代表人（或委托代理人）签字予以书面确认。投标人拒绝对投标文件出现的错漏按上述原则进行修正、澄清、说明，评标委员会应当否决其投标。</w:t>
      </w:r>
    </w:p>
    <w:bookmarkEnd w:id="68"/>
    <w:p w14:paraId="2F8BD6B4">
      <w:pPr>
        <w:shd w:val="clear"/>
        <w:kinsoku/>
        <w:overflowPunct/>
        <w:bidi w:val="0"/>
        <w:spacing w:beforeLines="50" w:afterLines="50"/>
        <w:ind w:left="0" w:leftChars="0" w:right="0" w:rightChars="0"/>
        <w:jc w:val="center"/>
        <w:outlineLvl w:val="1"/>
        <w:rPr>
          <w:rFonts w:ascii="宋体"/>
          <w:b/>
          <w:color w:val="auto"/>
          <w:sz w:val="28"/>
          <w:szCs w:val="28"/>
          <w:highlight w:val="none"/>
        </w:rPr>
      </w:pPr>
      <w:bookmarkStart w:id="82" w:name="_Toc3630"/>
      <w:bookmarkStart w:id="83" w:name="_Toc449028880"/>
      <w:bookmarkStart w:id="84" w:name="_Toc58430320"/>
      <w:bookmarkStart w:id="85" w:name="_Hlk101517174"/>
      <w:r>
        <w:rPr>
          <w:rFonts w:hint="eastAsia" w:ascii="宋体"/>
          <w:b/>
          <w:color w:val="auto"/>
          <w:sz w:val="28"/>
          <w:szCs w:val="28"/>
          <w:highlight w:val="none"/>
        </w:rPr>
        <w:t>四、比较与评价</w:t>
      </w:r>
      <w:bookmarkEnd w:id="82"/>
      <w:bookmarkEnd w:id="83"/>
      <w:bookmarkEnd w:id="84"/>
    </w:p>
    <w:p w14:paraId="1DB08AAF">
      <w:pPr>
        <w:shd w:val="clear"/>
        <w:kinsoku/>
        <w:overflowPunct/>
        <w:bidi w:val="0"/>
        <w:spacing w:line="500" w:lineRule="exact"/>
        <w:ind w:left="0" w:leftChars="0" w:right="0" w:rightChars="0" w:firstLine="417" w:firstLineChars="198"/>
        <w:jc w:val="left"/>
        <w:rPr>
          <w:rFonts w:ascii="宋体" w:hAnsi="宋体" w:cs="宋体"/>
          <w:b/>
          <w:color w:val="auto"/>
          <w:szCs w:val="21"/>
          <w:highlight w:val="none"/>
        </w:rPr>
      </w:pPr>
      <w:r>
        <w:rPr>
          <w:rFonts w:hint="eastAsia" w:ascii="宋体" w:hAnsi="宋体" w:cs="宋体"/>
          <w:b/>
          <w:color w:val="auto"/>
          <w:szCs w:val="21"/>
          <w:highlight w:val="none"/>
        </w:rPr>
        <w:t xml:space="preserve"> 6.</w:t>
      </w:r>
      <w:bookmarkStart w:id="86" w:name="_Toc362983805"/>
      <w:r>
        <w:rPr>
          <w:rFonts w:hint="eastAsia" w:ascii="宋体" w:hAnsi="宋体" w:cs="宋体"/>
          <w:b/>
          <w:color w:val="auto"/>
          <w:szCs w:val="21"/>
          <w:highlight w:val="none"/>
        </w:rPr>
        <w:t>详细评审即按招标文件中规定的评标方法和标准，评标委员会将对通过初审的投标文件，进行资信、技术和商务部分评估、综合比较与评价。</w:t>
      </w:r>
    </w:p>
    <w:p w14:paraId="0BDBA3A7">
      <w:pPr>
        <w:shd w:val="clear"/>
        <w:kinsoku/>
        <w:overflowPunct/>
        <w:bidi w:val="0"/>
        <w:spacing w:line="500" w:lineRule="exact"/>
        <w:ind w:left="0" w:leftChars="0" w:right="0" w:rightChars="0"/>
        <w:jc w:val="left"/>
        <w:rPr>
          <w:rFonts w:ascii="宋体" w:hAnsi="宋体" w:cs="宋体"/>
          <w:b/>
          <w:bCs/>
          <w:color w:val="auto"/>
          <w:szCs w:val="21"/>
          <w:highlight w:val="none"/>
        </w:rPr>
      </w:pPr>
      <w:r>
        <w:rPr>
          <w:rFonts w:hint="eastAsia" w:ascii="宋体" w:hAnsi="宋体" w:cs="宋体"/>
          <w:b/>
          <w:bCs/>
          <w:color w:val="auto"/>
          <w:szCs w:val="21"/>
          <w:highlight w:val="none"/>
        </w:rPr>
        <w:t>6.1资信标评分细则（</w:t>
      </w:r>
      <w:r>
        <w:rPr>
          <w:rFonts w:hint="eastAsia" w:ascii="宋体" w:hAnsi="宋体" w:cs="宋体"/>
          <w:b/>
          <w:bCs/>
          <w:color w:val="auto"/>
          <w:szCs w:val="21"/>
          <w:highlight w:val="none"/>
          <w:lang w:val="en-US" w:eastAsia="zh-CN"/>
        </w:rPr>
        <w:t>10</w:t>
      </w:r>
      <w:r>
        <w:rPr>
          <w:rFonts w:hint="eastAsia" w:ascii="宋体" w:hAnsi="宋体" w:cs="宋体"/>
          <w:b/>
          <w:bCs/>
          <w:color w:val="auto"/>
          <w:szCs w:val="21"/>
          <w:highlight w:val="none"/>
        </w:rPr>
        <w:t>分）</w:t>
      </w:r>
    </w:p>
    <w:tbl>
      <w:tblPr>
        <w:tblStyle w:val="35"/>
        <w:tblW w:w="9616"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151"/>
        <w:gridCol w:w="766"/>
        <w:gridCol w:w="7002"/>
      </w:tblGrid>
      <w:tr w14:paraId="029FF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1D2C357C">
            <w:pPr>
              <w:shd w:val="clear"/>
              <w:kinsoku/>
              <w:overflowPunct/>
              <w:bidi w:val="0"/>
              <w:spacing w:line="500" w:lineRule="exact"/>
              <w:ind w:left="0" w:leftChars="0" w:right="0" w:rightChars="0"/>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151" w:type="dxa"/>
            <w:vAlign w:val="center"/>
          </w:tcPr>
          <w:p w14:paraId="659503FA">
            <w:pPr>
              <w:shd w:val="clear"/>
              <w:kinsoku/>
              <w:overflowPunct/>
              <w:bidi w:val="0"/>
              <w:spacing w:line="500" w:lineRule="exact"/>
              <w:ind w:left="0" w:leftChars="0" w:right="0" w:rightChars="0"/>
              <w:jc w:val="center"/>
              <w:rPr>
                <w:rFonts w:ascii="宋体" w:hAnsi="宋体" w:cs="宋体"/>
                <w:b/>
                <w:bCs/>
                <w:color w:val="auto"/>
                <w:szCs w:val="21"/>
                <w:highlight w:val="none"/>
              </w:rPr>
            </w:pPr>
            <w:r>
              <w:rPr>
                <w:rFonts w:hint="eastAsia" w:ascii="宋体" w:hAnsi="宋体" w:cs="宋体"/>
                <w:b/>
                <w:bCs/>
                <w:color w:val="auto"/>
                <w:szCs w:val="21"/>
                <w:highlight w:val="none"/>
              </w:rPr>
              <w:t>评分因素</w:t>
            </w:r>
          </w:p>
        </w:tc>
        <w:tc>
          <w:tcPr>
            <w:tcW w:w="766" w:type="dxa"/>
            <w:vAlign w:val="center"/>
          </w:tcPr>
          <w:p w14:paraId="123FACEB">
            <w:pPr>
              <w:shd w:val="clear"/>
              <w:kinsoku/>
              <w:overflowPunct/>
              <w:bidi w:val="0"/>
              <w:spacing w:line="500" w:lineRule="exact"/>
              <w:ind w:left="0" w:leftChars="0" w:right="0" w:rightChars="0"/>
              <w:jc w:val="center"/>
              <w:rPr>
                <w:rFonts w:ascii="宋体" w:hAnsi="宋体" w:cs="宋体"/>
                <w:b/>
                <w:bCs/>
                <w:color w:val="auto"/>
                <w:szCs w:val="21"/>
                <w:highlight w:val="none"/>
              </w:rPr>
            </w:pPr>
            <w:r>
              <w:rPr>
                <w:rFonts w:hint="eastAsia" w:ascii="宋体" w:hAnsi="宋体" w:cs="宋体"/>
                <w:b/>
                <w:bCs/>
                <w:color w:val="auto"/>
                <w:szCs w:val="21"/>
                <w:highlight w:val="none"/>
              </w:rPr>
              <w:t>分值</w:t>
            </w:r>
          </w:p>
        </w:tc>
        <w:tc>
          <w:tcPr>
            <w:tcW w:w="7002" w:type="dxa"/>
            <w:vAlign w:val="center"/>
          </w:tcPr>
          <w:p w14:paraId="40B4FA68">
            <w:pPr>
              <w:shd w:val="clear"/>
              <w:kinsoku/>
              <w:overflowPunct/>
              <w:bidi w:val="0"/>
              <w:spacing w:line="500" w:lineRule="exact"/>
              <w:ind w:left="0" w:leftChars="0" w:right="0" w:rightChars="0"/>
              <w:jc w:val="center"/>
              <w:rPr>
                <w:rFonts w:ascii="宋体" w:hAnsi="宋体" w:cs="宋体"/>
                <w:b/>
                <w:bCs/>
                <w:color w:val="auto"/>
                <w:szCs w:val="21"/>
                <w:highlight w:val="none"/>
              </w:rPr>
            </w:pPr>
            <w:r>
              <w:rPr>
                <w:rFonts w:hint="eastAsia" w:ascii="宋体" w:hAnsi="宋体" w:cs="宋体"/>
                <w:b/>
                <w:bCs/>
                <w:color w:val="auto"/>
                <w:szCs w:val="21"/>
                <w:highlight w:val="none"/>
              </w:rPr>
              <w:t>评审细则</w:t>
            </w:r>
          </w:p>
        </w:tc>
      </w:tr>
      <w:tr w14:paraId="50809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441ED176">
            <w:pPr>
              <w:pStyle w:val="14"/>
              <w:shd w:val="clear"/>
              <w:kinsoku/>
              <w:overflowPunct/>
              <w:bidi w:val="0"/>
              <w:spacing w:line="500" w:lineRule="exact"/>
              <w:ind w:left="0" w:leftChars="0" w:right="0" w:rightChars="0"/>
              <w:jc w:val="center"/>
              <w:rPr>
                <w:rFonts w:ascii="宋体" w:hAnsi="宋体" w:cs="宋体"/>
                <w:b/>
                <w:bCs/>
                <w:color w:val="auto"/>
                <w:highlight w:val="none"/>
              </w:rPr>
            </w:pPr>
            <w:r>
              <w:rPr>
                <w:rFonts w:hint="eastAsia" w:ascii="宋体" w:hAnsi="宋体" w:cs="宋体"/>
                <w:b/>
                <w:bCs/>
                <w:color w:val="auto"/>
                <w:highlight w:val="none"/>
              </w:rPr>
              <w:t>1</w:t>
            </w:r>
          </w:p>
        </w:tc>
        <w:tc>
          <w:tcPr>
            <w:tcW w:w="1151" w:type="dxa"/>
            <w:vAlign w:val="center"/>
          </w:tcPr>
          <w:p w14:paraId="1FEB370B">
            <w:pPr>
              <w:shd w:val="clear"/>
              <w:kinsoku/>
              <w:overflowPunct/>
              <w:bidi w:val="0"/>
              <w:spacing w:line="500" w:lineRule="exact"/>
              <w:ind w:left="0" w:leftChars="0" w:right="0" w:rightChars="0"/>
              <w:jc w:val="center"/>
              <w:rPr>
                <w:rFonts w:ascii="宋体" w:hAnsi="宋体" w:cs="宋体"/>
                <w:b/>
                <w:bCs/>
                <w:color w:val="auto"/>
                <w:szCs w:val="21"/>
                <w:highlight w:val="none"/>
              </w:rPr>
            </w:pPr>
            <w:r>
              <w:rPr>
                <w:rFonts w:hint="eastAsia" w:ascii="宋体" w:hAnsi="宋体" w:cs="宋体"/>
                <w:b/>
                <w:bCs/>
                <w:color w:val="auto"/>
                <w:szCs w:val="21"/>
                <w:highlight w:val="none"/>
              </w:rPr>
              <w:t>企业业绩</w:t>
            </w:r>
          </w:p>
        </w:tc>
        <w:tc>
          <w:tcPr>
            <w:tcW w:w="766" w:type="dxa"/>
            <w:vAlign w:val="center"/>
          </w:tcPr>
          <w:p w14:paraId="737449D3">
            <w:pPr>
              <w:shd w:val="clear"/>
              <w:kinsoku/>
              <w:overflowPunct/>
              <w:bidi w:val="0"/>
              <w:spacing w:line="500" w:lineRule="exact"/>
              <w:ind w:left="0" w:leftChars="0" w:right="0" w:rightChars="0"/>
              <w:jc w:val="center"/>
              <w:rPr>
                <w:rFonts w:ascii="宋体" w:hAnsi="宋体" w:cs="宋体"/>
                <w:b/>
                <w:bCs/>
                <w:color w:val="auto"/>
                <w:szCs w:val="21"/>
                <w:highlight w:val="none"/>
              </w:rPr>
            </w:pP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分</w:t>
            </w:r>
          </w:p>
        </w:tc>
        <w:tc>
          <w:tcPr>
            <w:tcW w:w="7002" w:type="dxa"/>
            <w:vAlign w:val="center"/>
          </w:tcPr>
          <w:p w14:paraId="72C128C2">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rightChars="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自2020年1月1日至投标截止时间（以合同签订时间为准）投标人具有高压设备巡检维护项目业绩的得5分，本项最高得5分。</w:t>
            </w:r>
          </w:p>
          <w:p w14:paraId="0FB721A2">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rightChars="0"/>
              <w:jc w:val="left"/>
              <w:textAlignment w:val="auto"/>
              <w:rPr>
                <w:rFonts w:hint="eastAsia" w:ascii="宋体" w:hAnsi="宋体" w:cs="宋体"/>
                <w:b/>
                <w:bCs/>
                <w:color w:val="auto"/>
                <w:szCs w:val="21"/>
                <w:highlight w:val="none"/>
                <w:lang w:val="en-US" w:eastAsia="zh-CN"/>
              </w:rPr>
            </w:pPr>
            <w:r>
              <w:rPr>
                <w:rFonts w:hint="eastAsia" w:ascii="宋体" w:hAnsi="宋体" w:cs="宋体"/>
                <w:b/>
                <w:bCs/>
                <w:color w:val="auto"/>
                <w:highlight w:val="none"/>
              </w:rPr>
              <w:t>注：</w:t>
            </w:r>
            <w:r>
              <w:rPr>
                <w:rFonts w:hint="eastAsia" w:ascii="宋体" w:hAnsi="宋体" w:cs="宋体"/>
                <w:b/>
                <w:bCs/>
                <w:color w:val="auto"/>
                <w:szCs w:val="21"/>
                <w:highlight w:val="none"/>
                <w:lang w:val="en-US" w:eastAsia="zh-CN"/>
              </w:rPr>
              <w:t>投标文件中提供业绩合同，若合同反映不出业绩内容的还须另外提供业主（合同甲方）盖章的证明材料。</w:t>
            </w:r>
          </w:p>
          <w:p w14:paraId="7335D714">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rightChars="0"/>
              <w:jc w:val="left"/>
              <w:textAlignment w:val="auto"/>
              <w:rPr>
                <w:color w:val="auto"/>
                <w:highlight w:val="none"/>
              </w:rPr>
            </w:pPr>
            <w:r>
              <w:rPr>
                <w:rFonts w:hint="eastAsia" w:ascii="宋体" w:hAnsi="宋体" w:eastAsia="宋体" w:cs="宋体"/>
                <w:b/>
                <w:bCs/>
                <w:color w:val="auto"/>
                <w:highlight w:val="none"/>
                <w:lang w:val="en-US" w:eastAsia="zh-CN"/>
              </w:rPr>
              <w:t>企业业绩和项目负责人业绩不可为同一业绩</w:t>
            </w:r>
            <w:r>
              <w:rPr>
                <w:rFonts w:hint="eastAsia" w:ascii="宋体" w:hAnsi="宋体" w:cs="宋体"/>
                <w:b/>
                <w:bCs/>
                <w:color w:val="auto"/>
                <w:highlight w:val="none"/>
                <w:lang w:val="en-US" w:eastAsia="zh-CN"/>
              </w:rPr>
              <w:t>，为同一业绩的不重复计分，仅计取一次得分</w:t>
            </w:r>
            <w:r>
              <w:rPr>
                <w:rFonts w:hint="eastAsia" w:ascii="宋体" w:hAnsi="宋体" w:eastAsia="宋体" w:cs="宋体"/>
                <w:b/>
                <w:bCs/>
                <w:color w:val="auto"/>
                <w:highlight w:val="none"/>
                <w:lang w:val="en-US" w:eastAsia="zh-CN"/>
              </w:rPr>
              <w:t>。同一单位的不同年份的续签合同，仅计取一次。</w:t>
            </w:r>
          </w:p>
        </w:tc>
      </w:tr>
      <w:tr w14:paraId="2755B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35DB60B7">
            <w:pPr>
              <w:pStyle w:val="14"/>
              <w:shd w:val="clear"/>
              <w:kinsoku/>
              <w:overflowPunct/>
              <w:bidi w:val="0"/>
              <w:spacing w:line="500" w:lineRule="exact"/>
              <w:ind w:left="0" w:leftChars="0" w:right="0" w:rightChars="0"/>
              <w:jc w:val="center"/>
              <w:rPr>
                <w:rFonts w:hint="eastAsia"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2</w:t>
            </w:r>
          </w:p>
        </w:tc>
        <w:tc>
          <w:tcPr>
            <w:tcW w:w="1151" w:type="dxa"/>
            <w:vAlign w:val="center"/>
          </w:tcPr>
          <w:p w14:paraId="087CCA23">
            <w:pPr>
              <w:shd w:val="clear"/>
              <w:kinsoku/>
              <w:overflowPunct/>
              <w:bidi w:val="0"/>
              <w:spacing w:line="500" w:lineRule="exact"/>
              <w:ind w:left="0" w:leftChars="0" w:right="0" w:rightChars="0"/>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项目负责人业绩</w:t>
            </w:r>
          </w:p>
        </w:tc>
        <w:tc>
          <w:tcPr>
            <w:tcW w:w="766" w:type="dxa"/>
            <w:vAlign w:val="center"/>
          </w:tcPr>
          <w:p w14:paraId="4FEC6402">
            <w:pPr>
              <w:shd w:val="clear"/>
              <w:kinsoku/>
              <w:overflowPunct/>
              <w:bidi w:val="0"/>
              <w:spacing w:line="500" w:lineRule="exact"/>
              <w:ind w:left="0" w:leftChars="0" w:right="0" w:rightChars="0"/>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分</w:t>
            </w:r>
          </w:p>
        </w:tc>
        <w:tc>
          <w:tcPr>
            <w:tcW w:w="7002" w:type="dxa"/>
            <w:vAlign w:val="center"/>
          </w:tcPr>
          <w:p w14:paraId="0621F2BF">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rightChars="0"/>
              <w:jc w:val="left"/>
              <w:textAlignment w:val="auto"/>
              <w:rPr>
                <w:rFonts w:ascii="宋体" w:hAnsi="宋体" w:cs="宋体"/>
                <w:b/>
                <w:bCs/>
                <w:color w:val="auto"/>
                <w:highlight w:val="none"/>
              </w:rPr>
            </w:pPr>
            <w:r>
              <w:rPr>
                <w:rFonts w:hint="eastAsia" w:ascii="宋体" w:hAnsi="宋体" w:cs="宋体"/>
                <w:color w:val="auto"/>
                <w:szCs w:val="21"/>
                <w:highlight w:val="none"/>
                <w:lang w:val="en-US" w:eastAsia="zh-CN"/>
              </w:rPr>
              <w:t>自2020年1月1日至投标截止时间（以合同签订时间为准）项目负责人具有高压设备巡检维护项目业绩的得5分，本项最高得5分。</w:t>
            </w:r>
          </w:p>
          <w:p w14:paraId="18E931BC">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rightChars="0"/>
              <w:jc w:val="left"/>
              <w:textAlignment w:val="auto"/>
              <w:rPr>
                <w:rFonts w:hint="eastAsia" w:ascii="宋体" w:hAnsi="宋体" w:cs="宋体"/>
                <w:b/>
                <w:color w:val="auto"/>
                <w:szCs w:val="21"/>
                <w:highlight w:val="none"/>
                <w:lang w:eastAsia="zh-CN"/>
              </w:rPr>
            </w:pPr>
            <w:r>
              <w:rPr>
                <w:rFonts w:hint="eastAsia" w:ascii="宋体" w:hAnsi="宋体" w:cs="宋体"/>
                <w:b/>
                <w:bCs/>
                <w:color w:val="auto"/>
                <w:highlight w:val="none"/>
              </w:rPr>
              <w:t>注：</w:t>
            </w:r>
            <w:r>
              <w:rPr>
                <w:rFonts w:hint="eastAsia" w:ascii="宋体" w:hAnsi="宋体" w:cs="宋体"/>
                <w:b/>
                <w:bCs/>
                <w:color w:val="auto"/>
                <w:szCs w:val="21"/>
                <w:highlight w:val="none"/>
                <w:lang w:val="en-US" w:eastAsia="zh-CN"/>
              </w:rPr>
              <w:t>投标文件中提供业绩合同，若合同反映不出业绩内容的还须另外提供业主（合同甲方）盖章的证明材料</w:t>
            </w:r>
            <w:r>
              <w:rPr>
                <w:rFonts w:hint="eastAsia" w:ascii="宋体" w:hAnsi="宋体" w:cs="宋体"/>
                <w:b/>
                <w:color w:val="auto"/>
                <w:szCs w:val="21"/>
                <w:highlight w:val="none"/>
                <w:lang w:eastAsia="zh-CN"/>
              </w:rPr>
              <w:t>。</w:t>
            </w:r>
          </w:p>
          <w:p w14:paraId="1B610A3F">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rightChars="0"/>
              <w:jc w:val="lef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项目负责人以合同中约定姓名为准，且必须以项目负责人身份参与的，其他身份参与的不予认可。</w:t>
            </w:r>
          </w:p>
          <w:p w14:paraId="0EC8F517">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rightChars="0"/>
              <w:jc w:val="left"/>
              <w:textAlignment w:val="auto"/>
              <w:rPr>
                <w:rFonts w:hint="eastAsia" w:ascii="宋体" w:hAnsi="宋体" w:cs="宋体"/>
                <w:b/>
                <w:bCs/>
                <w:color w:val="auto"/>
                <w:highlight w:val="none"/>
                <w:lang w:val="en-US" w:eastAsia="zh-CN"/>
              </w:rPr>
            </w:pPr>
            <w:r>
              <w:rPr>
                <w:rFonts w:hint="eastAsia" w:ascii="宋体" w:hAnsi="宋体" w:eastAsia="宋体" w:cs="宋体"/>
                <w:b/>
                <w:bCs/>
                <w:color w:val="auto"/>
                <w:highlight w:val="none"/>
                <w:lang w:val="en-US" w:eastAsia="zh-CN"/>
              </w:rPr>
              <w:t>企业业绩和项目负责人业绩不可为同一业绩</w:t>
            </w:r>
            <w:r>
              <w:rPr>
                <w:rFonts w:hint="eastAsia" w:ascii="宋体" w:hAnsi="宋体" w:cs="宋体"/>
                <w:b/>
                <w:bCs/>
                <w:color w:val="auto"/>
                <w:highlight w:val="none"/>
                <w:lang w:val="en-US" w:eastAsia="zh-CN"/>
              </w:rPr>
              <w:t>，为同一业绩的不重复计分，仅计取一次得分</w:t>
            </w:r>
            <w:r>
              <w:rPr>
                <w:rFonts w:hint="eastAsia" w:ascii="宋体" w:hAnsi="宋体" w:eastAsia="宋体" w:cs="宋体"/>
                <w:b/>
                <w:bCs/>
                <w:color w:val="auto"/>
                <w:highlight w:val="none"/>
                <w:lang w:val="en-US" w:eastAsia="zh-CN"/>
              </w:rPr>
              <w:t>。同一单位的不同年份的续签合同，仅计取一次。</w:t>
            </w:r>
          </w:p>
        </w:tc>
      </w:tr>
      <w:bookmarkEnd w:id="85"/>
    </w:tbl>
    <w:p w14:paraId="432336AC">
      <w:pPr>
        <w:shd w:val="clear"/>
        <w:kinsoku/>
        <w:overflowPunct/>
        <w:bidi w:val="0"/>
        <w:adjustRightInd w:val="0"/>
        <w:snapToGrid w:val="0"/>
        <w:spacing w:line="500" w:lineRule="exact"/>
        <w:ind w:left="0" w:leftChars="0" w:right="0" w:rightChars="0"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6.2技术标评审细则（</w:t>
      </w:r>
      <w:r>
        <w:rPr>
          <w:rFonts w:hint="eastAsia" w:ascii="宋体" w:hAnsi="宋体" w:cs="宋体"/>
          <w:b/>
          <w:bCs/>
          <w:color w:val="auto"/>
          <w:szCs w:val="21"/>
          <w:highlight w:val="none"/>
          <w:lang w:val="en-US" w:eastAsia="zh-CN"/>
        </w:rPr>
        <w:t>50</w:t>
      </w:r>
      <w:r>
        <w:rPr>
          <w:rFonts w:hint="eastAsia" w:ascii="宋体" w:hAnsi="宋体" w:cs="宋体"/>
          <w:b/>
          <w:bCs/>
          <w:color w:val="auto"/>
          <w:szCs w:val="21"/>
          <w:highlight w:val="none"/>
        </w:rPr>
        <w:t>分）</w:t>
      </w:r>
    </w:p>
    <w:tbl>
      <w:tblPr>
        <w:tblStyle w:val="35"/>
        <w:tblW w:w="9579"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127"/>
        <w:gridCol w:w="778"/>
        <w:gridCol w:w="6977"/>
      </w:tblGrid>
      <w:tr w14:paraId="1A35B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6AA9F3FD">
            <w:pPr>
              <w:shd w:val="clear"/>
              <w:kinsoku/>
              <w:overflowPunct/>
              <w:bidi w:val="0"/>
              <w:spacing w:line="500" w:lineRule="exact"/>
              <w:ind w:left="0" w:leftChars="0" w:right="0" w:rightChars="0"/>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127" w:type="dxa"/>
            <w:vAlign w:val="center"/>
          </w:tcPr>
          <w:p w14:paraId="63091A04">
            <w:pPr>
              <w:shd w:val="clear"/>
              <w:kinsoku/>
              <w:overflowPunct/>
              <w:bidi w:val="0"/>
              <w:spacing w:line="500" w:lineRule="exact"/>
              <w:ind w:left="0" w:leftChars="0" w:right="0" w:rightChars="0"/>
              <w:jc w:val="center"/>
              <w:rPr>
                <w:rFonts w:ascii="宋体" w:hAnsi="宋体" w:cs="宋体"/>
                <w:b/>
                <w:bCs/>
                <w:color w:val="auto"/>
                <w:szCs w:val="21"/>
                <w:highlight w:val="none"/>
              </w:rPr>
            </w:pPr>
            <w:r>
              <w:rPr>
                <w:rFonts w:hint="eastAsia" w:ascii="宋体" w:hAnsi="宋体" w:cs="宋体"/>
                <w:b/>
                <w:bCs/>
                <w:color w:val="auto"/>
                <w:szCs w:val="21"/>
                <w:highlight w:val="none"/>
              </w:rPr>
              <w:t>评分因素</w:t>
            </w:r>
          </w:p>
        </w:tc>
        <w:tc>
          <w:tcPr>
            <w:tcW w:w="778" w:type="dxa"/>
            <w:vAlign w:val="center"/>
          </w:tcPr>
          <w:p w14:paraId="507B021E">
            <w:pPr>
              <w:shd w:val="clear"/>
              <w:kinsoku/>
              <w:overflowPunct/>
              <w:bidi w:val="0"/>
              <w:spacing w:line="500" w:lineRule="exact"/>
              <w:ind w:left="0" w:leftChars="0" w:right="0" w:rightChars="0"/>
              <w:jc w:val="center"/>
              <w:rPr>
                <w:rFonts w:ascii="宋体" w:hAnsi="宋体" w:cs="宋体"/>
                <w:b/>
                <w:bCs/>
                <w:color w:val="auto"/>
                <w:szCs w:val="21"/>
                <w:highlight w:val="none"/>
              </w:rPr>
            </w:pPr>
            <w:r>
              <w:rPr>
                <w:rFonts w:hint="eastAsia" w:ascii="宋体" w:hAnsi="宋体" w:cs="宋体"/>
                <w:b/>
                <w:bCs/>
                <w:color w:val="auto"/>
                <w:szCs w:val="21"/>
                <w:highlight w:val="none"/>
              </w:rPr>
              <w:t>分值</w:t>
            </w:r>
          </w:p>
        </w:tc>
        <w:tc>
          <w:tcPr>
            <w:tcW w:w="6977" w:type="dxa"/>
            <w:vAlign w:val="center"/>
          </w:tcPr>
          <w:p w14:paraId="10BDE574">
            <w:pPr>
              <w:shd w:val="clear"/>
              <w:kinsoku/>
              <w:overflowPunct/>
              <w:bidi w:val="0"/>
              <w:spacing w:line="500" w:lineRule="exact"/>
              <w:ind w:left="0" w:leftChars="0" w:right="0" w:rightChars="0"/>
              <w:jc w:val="center"/>
              <w:rPr>
                <w:rFonts w:ascii="宋体" w:hAnsi="宋体" w:cs="宋体"/>
                <w:b/>
                <w:bCs/>
                <w:color w:val="auto"/>
                <w:szCs w:val="21"/>
                <w:highlight w:val="none"/>
              </w:rPr>
            </w:pPr>
            <w:r>
              <w:rPr>
                <w:rFonts w:hint="eastAsia" w:ascii="宋体" w:hAnsi="宋体" w:cs="宋体"/>
                <w:b/>
                <w:bCs/>
                <w:color w:val="auto"/>
                <w:szCs w:val="21"/>
                <w:highlight w:val="none"/>
              </w:rPr>
              <w:t>评审细则</w:t>
            </w:r>
          </w:p>
        </w:tc>
      </w:tr>
      <w:tr w14:paraId="6C49F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2C62AFE3">
            <w:pPr>
              <w:pStyle w:val="14"/>
              <w:shd w:val="clear"/>
              <w:kinsoku/>
              <w:overflowPunct/>
              <w:bidi w:val="0"/>
              <w:spacing w:after="0" w:line="500" w:lineRule="exact"/>
              <w:ind w:left="0" w:leftChars="0" w:right="0" w:rightChars="0"/>
              <w:jc w:val="center"/>
              <w:rPr>
                <w:rFonts w:ascii="宋体" w:hAnsi="宋体" w:cs="宋体"/>
                <w:b/>
                <w:bCs/>
                <w:color w:val="auto"/>
                <w:szCs w:val="21"/>
                <w:highlight w:val="none"/>
              </w:rPr>
            </w:pPr>
            <w:r>
              <w:rPr>
                <w:rFonts w:hint="eastAsia" w:ascii="宋体" w:hAnsi="宋体" w:cs="宋体"/>
                <w:b/>
                <w:bCs/>
                <w:color w:val="auto"/>
                <w:szCs w:val="21"/>
                <w:highlight w:val="none"/>
              </w:rPr>
              <w:t>1</w:t>
            </w:r>
          </w:p>
        </w:tc>
        <w:tc>
          <w:tcPr>
            <w:tcW w:w="1127" w:type="dxa"/>
            <w:vAlign w:val="center"/>
          </w:tcPr>
          <w:p w14:paraId="3C54220C">
            <w:pPr>
              <w:widowControl/>
              <w:shd w:val="clear"/>
              <w:kinsoku/>
              <w:overflowPunct/>
              <w:bidi w:val="0"/>
              <w:spacing w:line="440" w:lineRule="exact"/>
              <w:ind w:left="0" w:leftChars="0" w:right="0" w:rightChars="0"/>
              <w:jc w:val="center"/>
              <w:rPr>
                <w:rFonts w:ascii="宋体" w:hAnsi="宋体" w:cs="宋体"/>
                <w:b/>
                <w:bCs/>
                <w:color w:val="auto"/>
                <w:szCs w:val="21"/>
                <w:highlight w:val="none"/>
              </w:rPr>
            </w:pPr>
            <w:r>
              <w:rPr>
                <w:rFonts w:hint="eastAsia" w:ascii="宋体" w:hAnsi="宋体" w:cs="宋体"/>
                <w:b/>
                <w:bCs/>
                <w:color w:val="auto"/>
                <w:szCs w:val="21"/>
                <w:highlight w:val="none"/>
                <w:lang w:val="en-US" w:eastAsia="zh-CN"/>
              </w:rPr>
              <w:t>维护实施方案</w:t>
            </w:r>
          </w:p>
        </w:tc>
        <w:tc>
          <w:tcPr>
            <w:tcW w:w="778" w:type="dxa"/>
            <w:vAlign w:val="center"/>
          </w:tcPr>
          <w:p w14:paraId="1CB4C3AE">
            <w:pPr>
              <w:shd w:val="clear"/>
              <w:kinsoku/>
              <w:overflowPunct/>
              <w:bidi w:val="0"/>
              <w:spacing w:line="500" w:lineRule="exact"/>
              <w:ind w:left="0" w:leftChars="0" w:right="0" w:rightChars="0"/>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10分</w:t>
            </w:r>
          </w:p>
        </w:tc>
        <w:tc>
          <w:tcPr>
            <w:tcW w:w="6977" w:type="dxa"/>
            <w:vAlign w:val="center"/>
          </w:tcPr>
          <w:p w14:paraId="5C450529">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根据各投标人提供的针对本项目实际情况制定的维护实施方案</w:t>
            </w:r>
            <w:r>
              <w:rPr>
                <w:rFonts w:hint="eastAsia" w:ascii="宋体" w:hAnsi="宋体" w:cs="宋体"/>
                <w:color w:val="auto"/>
                <w:kern w:val="0"/>
                <w:szCs w:val="21"/>
                <w:highlight w:val="none"/>
                <w:lang w:val="en-US" w:eastAsia="zh-CN"/>
              </w:rPr>
              <w:t>，包括但不限于</w:t>
            </w:r>
            <w:r>
              <w:rPr>
                <w:rFonts w:hint="eastAsia" w:ascii="宋体" w:hAnsi="宋体" w:eastAsia="宋体" w:cs="宋体"/>
                <w:color w:val="auto"/>
                <w:kern w:val="0"/>
                <w:szCs w:val="21"/>
                <w:highlight w:val="none"/>
                <w:lang w:val="en-US" w:eastAsia="zh-CN"/>
              </w:rPr>
              <w:t>日常维护方案（如每日巡检流程、突发故障响应机制、设备外观检查标准等）</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月计划维护方案（如月度设备性能检测、线路隐患排查、零部件损耗评估等）</w:t>
            </w:r>
            <w:r>
              <w:rPr>
                <w:rFonts w:hint="eastAsia" w:ascii="宋体" w:hAnsi="宋体" w:cs="宋体"/>
                <w:color w:val="auto"/>
                <w:kern w:val="0"/>
                <w:szCs w:val="21"/>
                <w:highlight w:val="none"/>
                <w:lang w:val="en-US" w:eastAsia="zh-CN"/>
              </w:rPr>
              <w:t>、维修方法、安装环境、实施路径的完整性、可行性、针对性等综合评分，</w:t>
            </w:r>
            <w:r>
              <w:rPr>
                <w:rFonts w:hint="eastAsia" w:ascii="宋体" w:hAnsi="宋体" w:cs="宋体"/>
                <w:color w:val="auto"/>
                <w:szCs w:val="21"/>
                <w:highlight w:val="none"/>
                <w:lang w:val="en-US" w:eastAsia="zh-CN"/>
              </w:rPr>
              <w:t>优秀</w:t>
            </w:r>
            <w:r>
              <w:rPr>
                <w:rFonts w:hint="eastAsia" w:ascii="宋体" w:hAnsi="宋体" w:cs="宋体"/>
                <w:color w:val="auto"/>
                <w:szCs w:val="21"/>
                <w:highlight w:val="none"/>
              </w:rPr>
              <w:t>的得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分；良</w:t>
            </w:r>
            <w:r>
              <w:rPr>
                <w:rFonts w:hint="eastAsia" w:ascii="宋体" w:hAnsi="宋体" w:cs="宋体"/>
                <w:color w:val="auto"/>
                <w:szCs w:val="21"/>
                <w:highlight w:val="none"/>
                <w:lang w:val="en-US" w:eastAsia="zh-CN"/>
              </w:rPr>
              <w:t>好</w:t>
            </w:r>
            <w:r>
              <w:rPr>
                <w:rFonts w:hint="eastAsia" w:ascii="宋体" w:hAnsi="宋体" w:cs="宋体"/>
                <w:color w:val="auto"/>
                <w:szCs w:val="21"/>
                <w:highlight w:val="none"/>
              </w:rPr>
              <w:t>的得</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分；一般的得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r>
              <w:rPr>
                <w:rFonts w:hint="eastAsia" w:ascii="宋体" w:hAnsi="宋体" w:cs="宋体"/>
                <w:color w:val="auto"/>
                <w:szCs w:val="21"/>
                <w:highlight w:val="none"/>
                <w:lang w:val="en-US" w:eastAsia="zh-CN"/>
              </w:rPr>
              <w:t>不合格或</w:t>
            </w:r>
            <w:r>
              <w:rPr>
                <w:rFonts w:hint="eastAsia" w:ascii="宋体" w:hAnsi="宋体" w:cs="宋体"/>
                <w:color w:val="auto"/>
                <w:szCs w:val="21"/>
                <w:highlight w:val="none"/>
              </w:rPr>
              <w:t>未提供的不得分。</w:t>
            </w:r>
          </w:p>
          <w:p w14:paraId="3E44BE7B">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rightChars="0"/>
              <w:textAlignment w:val="auto"/>
              <w:rPr>
                <w:rFonts w:ascii="宋体" w:hAnsi="宋体" w:cs="宋体"/>
                <w:color w:val="auto"/>
                <w:szCs w:val="21"/>
                <w:highlight w:val="none"/>
              </w:rPr>
            </w:pPr>
            <w:r>
              <w:rPr>
                <w:rFonts w:hint="eastAsia" w:ascii="宋体" w:hAnsi="宋体" w:eastAsia="宋体" w:cs="宋体"/>
                <w:color w:val="auto"/>
                <w:kern w:val="0"/>
                <w:szCs w:val="21"/>
                <w:highlight w:val="none"/>
                <w:lang w:val="en-US" w:eastAsia="zh-CN"/>
              </w:rPr>
              <w:t>【技术标中须能充分反映出本评分项内容】</w:t>
            </w:r>
          </w:p>
        </w:tc>
      </w:tr>
      <w:tr w14:paraId="4B18B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4D8877E3">
            <w:pPr>
              <w:pStyle w:val="14"/>
              <w:shd w:val="clear"/>
              <w:kinsoku/>
              <w:overflowPunct/>
              <w:bidi w:val="0"/>
              <w:spacing w:after="0" w:line="500" w:lineRule="exact"/>
              <w:ind w:left="0" w:leftChars="0" w:right="0" w:rightChars="0"/>
              <w:jc w:val="center"/>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2</w:t>
            </w:r>
          </w:p>
        </w:tc>
        <w:tc>
          <w:tcPr>
            <w:tcW w:w="1127" w:type="dxa"/>
            <w:vAlign w:val="center"/>
          </w:tcPr>
          <w:p w14:paraId="2A20B67B">
            <w:pPr>
              <w:widowControl/>
              <w:shd w:val="clear"/>
              <w:kinsoku/>
              <w:overflowPunct/>
              <w:bidi w:val="0"/>
              <w:spacing w:line="440" w:lineRule="exact"/>
              <w:ind w:left="0" w:leftChars="0" w:right="0" w:rightChars="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维护日志与记录</w:t>
            </w:r>
          </w:p>
        </w:tc>
        <w:tc>
          <w:tcPr>
            <w:tcW w:w="778" w:type="dxa"/>
            <w:vAlign w:val="center"/>
          </w:tcPr>
          <w:p w14:paraId="26A5CA94">
            <w:pPr>
              <w:shd w:val="clear"/>
              <w:kinsoku/>
              <w:overflowPunct/>
              <w:bidi w:val="0"/>
              <w:spacing w:line="500" w:lineRule="exact"/>
              <w:ind w:left="0" w:leftChars="0" w:right="0" w:rightChars="0"/>
              <w:jc w:val="center"/>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10</w:t>
            </w:r>
            <w:r>
              <w:rPr>
                <w:rFonts w:hint="eastAsia" w:ascii="宋体" w:hAnsi="宋体" w:eastAsia="宋体" w:cs="宋体"/>
                <w:b/>
                <w:bCs/>
                <w:color w:val="auto"/>
                <w:szCs w:val="21"/>
                <w:highlight w:val="none"/>
                <w:lang w:val="en-US" w:eastAsia="zh-CN"/>
              </w:rPr>
              <w:t>分</w:t>
            </w:r>
          </w:p>
        </w:tc>
        <w:tc>
          <w:tcPr>
            <w:tcW w:w="6977" w:type="dxa"/>
            <w:vAlign w:val="center"/>
          </w:tcPr>
          <w:p w14:paraId="02D3B10B">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color w:val="auto"/>
                <w:kern w:val="0"/>
                <w:szCs w:val="21"/>
                <w:highlight w:val="none"/>
                <w:lang w:val="en-US" w:eastAsia="zh-CN"/>
              </w:rPr>
            </w:pPr>
            <w:r>
              <w:rPr>
                <w:rFonts w:ascii="Segoe UI" w:hAnsi="Segoe UI" w:eastAsia="Segoe UI" w:cs="Segoe UI"/>
                <w:i w:val="0"/>
                <w:iCs w:val="0"/>
                <w:caps w:val="0"/>
                <w:color w:val="auto"/>
                <w:spacing w:val="0"/>
                <w:sz w:val="20"/>
                <w:szCs w:val="20"/>
                <w:highlight w:val="none"/>
              </w:rPr>
              <w:t>根据各投标人提供的针对本项目实际情况制定的维护日志与记录方案，包括但不限于日志记录内容（如维护时间、维护部位、维护人员、维护操作详情等）、记录规范（如填写标准、归档流程、查阅机制等</w:t>
            </w:r>
            <w:r>
              <w:rPr>
                <w:rFonts w:hint="eastAsia" w:ascii="宋体" w:hAnsi="宋体" w:cs="宋体"/>
                <w:color w:val="auto"/>
                <w:szCs w:val="21"/>
                <w:highlight w:val="none"/>
              </w:rPr>
              <w:t>）、记录完整性（如无关键信息缺失、无时间断层）、准确性、可追溯性等综合评分，</w:t>
            </w:r>
            <w:r>
              <w:rPr>
                <w:rFonts w:hint="eastAsia" w:ascii="宋体" w:hAnsi="宋体" w:cs="宋体"/>
                <w:color w:val="auto"/>
                <w:szCs w:val="21"/>
                <w:highlight w:val="none"/>
                <w:lang w:val="en-US" w:eastAsia="zh-CN"/>
              </w:rPr>
              <w:t>优秀</w:t>
            </w:r>
            <w:r>
              <w:rPr>
                <w:rFonts w:hint="eastAsia" w:ascii="宋体" w:hAnsi="宋体" w:cs="宋体"/>
                <w:color w:val="auto"/>
                <w:szCs w:val="21"/>
                <w:highlight w:val="none"/>
              </w:rPr>
              <w:t>的得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分；良</w:t>
            </w:r>
            <w:r>
              <w:rPr>
                <w:rFonts w:hint="eastAsia" w:ascii="宋体" w:hAnsi="宋体" w:cs="宋体"/>
                <w:color w:val="auto"/>
                <w:szCs w:val="21"/>
                <w:highlight w:val="none"/>
                <w:lang w:val="en-US" w:eastAsia="zh-CN"/>
              </w:rPr>
              <w:t>好</w:t>
            </w:r>
            <w:r>
              <w:rPr>
                <w:rFonts w:hint="eastAsia" w:ascii="宋体" w:hAnsi="宋体" w:cs="宋体"/>
                <w:color w:val="auto"/>
                <w:szCs w:val="21"/>
                <w:highlight w:val="none"/>
              </w:rPr>
              <w:t>的得</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分；一般的得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r>
              <w:rPr>
                <w:rFonts w:hint="eastAsia" w:ascii="宋体" w:hAnsi="宋体" w:cs="宋体"/>
                <w:color w:val="auto"/>
                <w:szCs w:val="21"/>
                <w:highlight w:val="none"/>
                <w:lang w:val="en-US" w:eastAsia="zh-CN"/>
              </w:rPr>
              <w:t>不合格或</w:t>
            </w:r>
            <w:r>
              <w:rPr>
                <w:rFonts w:hint="eastAsia" w:ascii="宋体" w:hAnsi="宋体" w:cs="宋体"/>
                <w:color w:val="auto"/>
                <w:szCs w:val="21"/>
                <w:highlight w:val="none"/>
              </w:rPr>
              <w:t>未提供的不得分。</w:t>
            </w:r>
          </w:p>
          <w:p w14:paraId="389216B4">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rightChars="0"/>
              <w:textAlignment w:val="auto"/>
              <w:rPr>
                <w:rFonts w:hint="eastAsia" w:ascii="宋体" w:hAnsi="宋体" w:cs="宋体"/>
                <w:b/>
                <w:bCs/>
                <w:color w:val="auto"/>
                <w:kern w:val="0"/>
                <w:szCs w:val="21"/>
                <w:highlight w:val="none"/>
              </w:rPr>
            </w:pPr>
            <w:r>
              <w:rPr>
                <w:rFonts w:hint="default" w:ascii="Segoe UI" w:hAnsi="Segoe UI" w:eastAsia="Segoe UI" w:cs="Segoe UI"/>
                <w:i w:val="0"/>
                <w:iCs w:val="0"/>
                <w:caps w:val="0"/>
                <w:color w:val="auto"/>
                <w:spacing w:val="0"/>
                <w:sz w:val="20"/>
                <w:szCs w:val="20"/>
                <w:highlight w:val="none"/>
              </w:rPr>
              <w:t>【技术标中须能充分反映出本评分项内容】</w:t>
            </w:r>
          </w:p>
        </w:tc>
      </w:tr>
      <w:tr w14:paraId="13363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04489E16">
            <w:pPr>
              <w:pStyle w:val="14"/>
              <w:shd w:val="clear"/>
              <w:kinsoku/>
              <w:overflowPunct/>
              <w:bidi w:val="0"/>
              <w:spacing w:after="0" w:line="500" w:lineRule="exact"/>
              <w:ind w:left="0" w:leftChars="0" w:right="0" w:rightChars="0"/>
              <w:jc w:val="center"/>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3</w:t>
            </w:r>
          </w:p>
        </w:tc>
        <w:tc>
          <w:tcPr>
            <w:tcW w:w="1127" w:type="dxa"/>
            <w:vAlign w:val="center"/>
          </w:tcPr>
          <w:p w14:paraId="0D3177B4">
            <w:pPr>
              <w:widowControl/>
              <w:shd w:val="clear"/>
              <w:kinsoku/>
              <w:overflowPunct/>
              <w:bidi w:val="0"/>
              <w:spacing w:line="440" w:lineRule="exact"/>
              <w:ind w:left="0" w:leftChars="0" w:right="0" w:rightChars="0"/>
              <w:jc w:val="center"/>
              <w:rPr>
                <w:rFonts w:hint="eastAsia" w:ascii="宋体" w:hAnsi="宋体" w:cs="宋体"/>
                <w:b/>
                <w:bCs/>
                <w:color w:val="auto"/>
                <w:kern w:val="0"/>
                <w:szCs w:val="21"/>
                <w:highlight w:val="none"/>
              </w:rPr>
            </w:pPr>
            <w:r>
              <w:rPr>
                <w:rFonts w:hint="eastAsia" w:ascii="宋体" w:hAnsi="宋体" w:eastAsia="宋体" w:cs="宋体"/>
                <w:b/>
                <w:bCs/>
                <w:color w:val="auto"/>
                <w:kern w:val="0"/>
                <w:szCs w:val="21"/>
                <w:highlight w:val="none"/>
              </w:rPr>
              <w:t>特殊情况恢复方案</w:t>
            </w:r>
          </w:p>
        </w:tc>
        <w:tc>
          <w:tcPr>
            <w:tcW w:w="778" w:type="dxa"/>
            <w:vAlign w:val="center"/>
          </w:tcPr>
          <w:p w14:paraId="7759431D">
            <w:pPr>
              <w:shd w:val="clear"/>
              <w:kinsoku/>
              <w:overflowPunct/>
              <w:bidi w:val="0"/>
              <w:spacing w:line="500" w:lineRule="exact"/>
              <w:ind w:left="0" w:leftChars="0" w:right="0" w:rightChars="0"/>
              <w:jc w:val="center"/>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10</w:t>
            </w:r>
            <w:r>
              <w:rPr>
                <w:rFonts w:hint="eastAsia" w:ascii="宋体" w:hAnsi="宋体" w:eastAsia="宋体" w:cs="宋体"/>
                <w:b/>
                <w:bCs/>
                <w:color w:val="auto"/>
                <w:szCs w:val="21"/>
                <w:highlight w:val="none"/>
                <w:lang w:val="en-US" w:eastAsia="zh-CN"/>
              </w:rPr>
              <w:t>分</w:t>
            </w:r>
          </w:p>
        </w:tc>
        <w:tc>
          <w:tcPr>
            <w:tcW w:w="6977" w:type="dxa"/>
            <w:vAlign w:val="top"/>
          </w:tcPr>
          <w:p w14:paraId="1D18533C">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color w:val="auto"/>
                <w:kern w:val="0"/>
                <w:szCs w:val="21"/>
                <w:highlight w:val="none"/>
                <w:lang w:val="en-US" w:eastAsia="zh-CN"/>
              </w:rPr>
            </w:pPr>
            <w:r>
              <w:rPr>
                <w:rFonts w:ascii="Segoe UI" w:hAnsi="Segoe UI" w:eastAsia="Segoe UI" w:cs="Segoe UI"/>
                <w:i w:val="0"/>
                <w:iCs w:val="0"/>
                <w:caps w:val="0"/>
                <w:color w:val="auto"/>
                <w:spacing w:val="0"/>
                <w:sz w:val="20"/>
                <w:szCs w:val="20"/>
                <w:highlight w:val="none"/>
              </w:rPr>
              <w:t>根据各投标人提供的针对本项目实际情况制定的特殊情况恢复方案，包括但不限于重大活动保障计划（如设施提前检修、人员值守安排等）、防汛抗台预案（如设备防护加固、排水疏导方案等）、雨雪灾害天气应对策略（如除冰除雪措施、设备防冻保护等）、重大节假日保障方案（如高频巡检计划</w:t>
            </w:r>
            <w:r>
              <w:rPr>
                <w:rFonts w:hint="eastAsia" w:ascii="宋体" w:hAnsi="宋体" w:cs="宋体"/>
                <w:color w:val="auto"/>
                <w:szCs w:val="21"/>
                <w:highlight w:val="none"/>
              </w:rPr>
              <w:t>、应急抢修准备等）、方案针对性、与项目实际贴合度、可操作性等综合评分，</w:t>
            </w:r>
            <w:r>
              <w:rPr>
                <w:rFonts w:hint="eastAsia" w:ascii="宋体" w:hAnsi="宋体" w:cs="宋体"/>
                <w:color w:val="auto"/>
                <w:szCs w:val="21"/>
                <w:highlight w:val="none"/>
                <w:lang w:val="en-US" w:eastAsia="zh-CN"/>
              </w:rPr>
              <w:t>优秀</w:t>
            </w:r>
            <w:r>
              <w:rPr>
                <w:rFonts w:hint="eastAsia" w:ascii="宋体" w:hAnsi="宋体" w:cs="宋体"/>
                <w:color w:val="auto"/>
                <w:szCs w:val="21"/>
                <w:highlight w:val="none"/>
              </w:rPr>
              <w:t>的得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分；良</w:t>
            </w:r>
            <w:r>
              <w:rPr>
                <w:rFonts w:hint="eastAsia" w:ascii="宋体" w:hAnsi="宋体" w:cs="宋体"/>
                <w:color w:val="auto"/>
                <w:szCs w:val="21"/>
                <w:highlight w:val="none"/>
                <w:lang w:val="en-US" w:eastAsia="zh-CN"/>
              </w:rPr>
              <w:t>好</w:t>
            </w:r>
            <w:r>
              <w:rPr>
                <w:rFonts w:hint="eastAsia" w:ascii="宋体" w:hAnsi="宋体" w:cs="宋体"/>
                <w:color w:val="auto"/>
                <w:szCs w:val="21"/>
                <w:highlight w:val="none"/>
              </w:rPr>
              <w:t>的得</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分；一般的得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r>
              <w:rPr>
                <w:rFonts w:hint="eastAsia" w:ascii="宋体" w:hAnsi="宋体" w:cs="宋体"/>
                <w:color w:val="auto"/>
                <w:szCs w:val="21"/>
                <w:highlight w:val="none"/>
                <w:lang w:val="en-US" w:eastAsia="zh-CN"/>
              </w:rPr>
              <w:t>不合格或</w:t>
            </w:r>
            <w:r>
              <w:rPr>
                <w:rFonts w:hint="eastAsia" w:ascii="宋体" w:hAnsi="宋体" w:cs="宋体"/>
                <w:color w:val="auto"/>
                <w:szCs w:val="21"/>
                <w:highlight w:val="none"/>
              </w:rPr>
              <w:t>未提供的不得分。</w:t>
            </w:r>
          </w:p>
          <w:p w14:paraId="4C3C7C35">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rightChars="0"/>
              <w:textAlignment w:val="auto"/>
              <w:rPr>
                <w:rFonts w:hint="eastAsia" w:ascii="宋体" w:hAnsi="宋体" w:cs="宋体"/>
                <w:b/>
                <w:bCs/>
                <w:color w:val="auto"/>
                <w:kern w:val="0"/>
                <w:szCs w:val="21"/>
                <w:highlight w:val="none"/>
              </w:rPr>
            </w:pPr>
            <w:r>
              <w:rPr>
                <w:rFonts w:hint="default" w:ascii="Segoe UI" w:hAnsi="Segoe UI" w:eastAsia="Segoe UI" w:cs="Segoe UI"/>
                <w:i w:val="0"/>
                <w:iCs w:val="0"/>
                <w:caps w:val="0"/>
                <w:color w:val="auto"/>
                <w:spacing w:val="0"/>
                <w:sz w:val="20"/>
                <w:szCs w:val="20"/>
                <w:highlight w:val="none"/>
              </w:rPr>
              <w:t>【技术标中须能充分反映出本评分项内容】</w:t>
            </w:r>
          </w:p>
        </w:tc>
      </w:tr>
      <w:tr w14:paraId="1448F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5221F742">
            <w:pPr>
              <w:widowControl/>
              <w:shd w:val="clear"/>
              <w:kinsoku/>
              <w:overflowPunct/>
              <w:bidi w:val="0"/>
              <w:spacing w:line="440" w:lineRule="exact"/>
              <w:ind w:left="0" w:leftChars="0" w:right="0" w:rightChars="0"/>
              <w:jc w:val="center"/>
              <w:rPr>
                <w:rFonts w:hint="eastAsia"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4</w:t>
            </w:r>
          </w:p>
        </w:tc>
        <w:tc>
          <w:tcPr>
            <w:tcW w:w="1127" w:type="dxa"/>
            <w:vAlign w:val="center"/>
          </w:tcPr>
          <w:p w14:paraId="62CC59C0">
            <w:pPr>
              <w:widowControl/>
              <w:shd w:val="clear"/>
              <w:kinsoku/>
              <w:overflowPunct/>
              <w:bidi w:val="0"/>
              <w:spacing w:line="440" w:lineRule="exact"/>
              <w:ind w:left="0" w:leftChars="0" w:right="0" w:rightChars="0"/>
              <w:jc w:val="center"/>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安全文明  作业方案</w:t>
            </w:r>
          </w:p>
        </w:tc>
        <w:tc>
          <w:tcPr>
            <w:tcW w:w="778" w:type="dxa"/>
            <w:vAlign w:val="center"/>
          </w:tcPr>
          <w:p w14:paraId="38C8CCE8">
            <w:pPr>
              <w:widowControl/>
              <w:shd w:val="clear"/>
              <w:kinsoku/>
              <w:overflowPunct/>
              <w:bidi w:val="0"/>
              <w:spacing w:line="440" w:lineRule="exact"/>
              <w:ind w:left="0" w:leftChars="0" w:right="0" w:rightChars="0"/>
              <w:jc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val="en-US" w:eastAsia="zh-CN"/>
              </w:rPr>
              <w:t>10</w:t>
            </w:r>
            <w:r>
              <w:rPr>
                <w:rFonts w:hint="eastAsia" w:ascii="宋体" w:hAnsi="宋体" w:eastAsia="宋体" w:cs="宋体"/>
                <w:b/>
                <w:bCs/>
                <w:color w:val="auto"/>
                <w:kern w:val="0"/>
                <w:szCs w:val="21"/>
                <w:highlight w:val="none"/>
                <w:lang w:val="en-US" w:eastAsia="zh-CN"/>
              </w:rPr>
              <w:t>分</w:t>
            </w:r>
          </w:p>
        </w:tc>
        <w:tc>
          <w:tcPr>
            <w:tcW w:w="6977" w:type="dxa"/>
            <w:vAlign w:val="top"/>
          </w:tcPr>
          <w:p w14:paraId="1E7A9761">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color w:val="auto"/>
                <w:kern w:val="0"/>
                <w:szCs w:val="21"/>
                <w:highlight w:val="none"/>
                <w:lang w:val="en-US" w:eastAsia="zh-CN"/>
              </w:rPr>
            </w:pPr>
            <w:r>
              <w:rPr>
                <w:rFonts w:ascii="Segoe UI" w:hAnsi="Segoe UI" w:eastAsia="Segoe UI" w:cs="Segoe UI"/>
                <w:i w:val="0"/>
                <w:iCs w:val="0"/>
                <w:caps w:val="0"/>
                <w:color w:val="auto"/>
                <w:spacing w:val="0"/>
                <w:sz w:val="20"/>
                <w:szCs w:val="20"/>
                <w:highlight w:val="none"/>
              </w:rPr>
              <w:t>根据各投标人提供的针对本项目实际情况制定的安全文明作业方案，包括但不限于道路作业安全保障措施（如警示标识设置、交通疏导方案等）</w:t>
            </w:r>
            <w:r>
              <w:rPr>
                <w:rFonts w:hint="eastAsia" w:ascii="宋体" w:hAnsi="宋体" w:cs="宋体"/>
                <w:color w:val="auto"/>
                <w:szCs w:val="21"/>
                <w:highlight w:val="none"/>
              </w:rPr>
              <w:t>、人员服装规范（如统一工装标准、安全防护装备要求等）、方案全面性、措施合理性、与项目现场适配性等综合评分，</w:t>
            </w:r>
            <w:r>
              <w:rPr>
                <w:rFonts w:hint="eastAsia" w:ascii="宋体" w:hAnsi="宋体" w:cs="宋体"/>
                <w:color w:val="auto"/>
                <w:szCs w:val="21"/>
                <w:highlight w:val="none"/>
                <w:lang w:val="en-US" w:eastAsia="zh-CN"/>
              </w:rPr>
              <w:t>优秀</w:t>
            </w:r>
            <w:r>
              <w:rPr>
                <w:rFonts w:hint="eastAsia" w:ascii="宋体" w:hAnsi="宋体" w:cs="宋体"/>
                <w:color w:val="auto"/>
                <w:szCs w:val="21"/>
                <w:highlight w:val="none"/>
              </w:rPr>
              <w:t>的得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分；良</w:t>
            </w:r>
            <w:r>
              <w:rPr>
                <w:rFonts w:hint="eastAsia" w:ascii="宋体" w:hAnsi="宋体" w:cs="宋体"/>
                <w:color w:val="auto"/>
                <w:szCs w:val="21"/>
                <w:highlight w:val="none"/>
                <w:lang w:val="en-US" w:eastAsia="zh-CN"/>
              </w:rPr>
              <w:t>好</w:t>
            </w:r>
            <w:r>
              <w:rPr>
                <w:rFonts w:hint="eastAsia" w:ascii="宋体" w:hAnsi="宋体" w:cs="宋体"/>
                <w:color w:val="auto"/>
                <w:szCs w:val="21"/>
                <w:highlight w:val="none"/>
              </w:rPr>
              <w:t>的得</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分；一般的得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r>
              <w:rPr>
                <w:rFonts w:hint="eastAsia" w:ascii="宋体" w:hAnsi="宋体" w:cs="宋体"/>
                <w:color w:val="auto"/>
                <w:szCs w:val="21"/>
                <w:highlight w:val="none"/>
                <w:lang w:val="en-US" w:eastAsia="zh-CN"/>
              </w:rPr>
              <w:t>不合格或</w:t>
            </w:r>
            <w:r>
              <w:rPr>
                <w:rFonts w:hint="eastAsia" w:ascii="宋体" w:hAnsi="宋体" w:cs="宋体"/>
                <w:color w:val="auto"/>
                <w:szCs w:val="21"/>
                <w:highlight w:val="none"/>
              </w:rPr>
              <w:t>未提供的不得分。</w:t>
            </w:r>
          </w:p>
          <w:p w14:paraId="0437CABA">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rightChars="0"/>
              <w:textAlignment w:val="auto"/>
              <w:rPr>
                <w:rFonts w:hint="eastAsia" w:ascii="宋体" w:hAnsi="宋体" w:cs="宋体"/>
                <w:b/>
                <w:bCs/>
                <w:color w:val="auto"/>
                <w:kern w:val="0"/>
                <w:szCs w:val="21"/>
                <w:highlight w:val="none"/>
              </w:rPr>
            </w:pPr>
            <w:r>
              <w:rPr>
                <w:rFonts w:hint="default" w:ascii="Segoe UI" w:hAnsi="Segoe UI" w:eastAsia="Segoe UI" w:cs="Segoe UI"/>
                <w:i w:val="0"/>
                <w:iCs w:val="0"/>
                <w:caps w:val="0"/>
                <w:color w:val="auto"/>
                <w:spacing w:val="0"/>
                <w:sz w:val="20"/>
                <w:szCs w:val="20"/>
                <w:highlight w:val="none"/>
              </w:rPr>
              <w:t>【技术标中须能充分反映出本评分项内容】</w:t>
            </w:r>
          </w:p>
        </w:tc>
      </w:tr>
      <w:tr w14:paraId="5FB39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2C36C6AA">
            <w:pPr>
              <w:widowControl/>
              <w:shd w:val="clear"/>
              <w:kinsoku/>
              <w:overflowPunct/>
              <w:bidi w:val="0"/>
              <w:spacing w:line="440" w:lineRule="exact"/>
              <w:ind w:left="0" w:leftChars="0" w:right="0" w:rightChars="0"/>
              <w:jc w:val="center"/>
              <w:rPr>
                <w:rFonts w:hint="eastAsia"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5</w:t>
            </w:r>
          </w:p>
        </w:tc>
        <w:tc>
          <w:tcPr>
            <w:tcW w:w="1127" w:type="dxa"/>
            <w:vAlign w:val="center"/>
          </w:tcPr>
          <w:p w14:paraId="3EE3C8EE">
            <w:pPr>
              <w:widowControl/>
              <w:shd w:val="clear"/>
              <w:kinsoku/>
              <w:overflowPunct/>
              <w:bidi w:val="0"/>
              <w:spacing w:line="440" w:lineRule="exact"/>
              <w:ind w:left="0" w:leftChars="0" w:right="0" w:rightChars="0"/>
              <w:jc w:val="center"/>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人员管理和培训方 案</w:t>
            </w:r>
          </w:p>
        </w:tc>
        <w:tc>
          <w:tcPr>
            <w:tcW w:w="778" w:type="dxa"/>
            <w:vAlign w:val="center"/>
          </w:tcPr>
          <w:p w14:paraId="72DC98F8">
            <w:pPr>
              <w:widowControl/>
              <w:shd w:val="clear"/>
              <w:kinsoku/>
              <w:overflowPunct/>
              <w:bidi w:val="0"/>
              <w:spacing w:line="440" w:lineRule="exact"/>
              <w:ind w:left="0" w:leftChars="0" w:right="0" w:rightChars="0"/>
              <w:jc w:val="center"/>
              <w:rPr>
                <w:rFonts w:hint="eastAsia"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10</w:t>
            </w:r>
            <w:r>
              <w:rPr>
                <w:rFonts w:hint="eastAsia" w:ascii="宋体" w:hAnsi="宋体" w:eastAsia="宋体" w:cs="宋体"/>
                <w:b/>
                <w:bCs/>
                <w:color w:val="auto"/>
                <w:kern w:val="0"/>
                <w:szCs w:val="21"/>
                <w:highlight w:val="none"/>
                <w:lang w:val="en-US" w:eastAsia="zh-CN"/>
              </w:rPr>
              <w:t>分</w:t>
            </w:r>
          </w:p>
        </w:tc>
        <w:tc>
          <w:tcPr>
            <w:tcW w:w="6977" w:type="dxa"/>
            <w:vAlign w:val="top"/>
          </w:tcPr>
          <w:p w14:paraId="65432828">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color w:val="auto"/>
                <w:kern w:val="0"/>
                <w:szCs w:val="21"/>
                <w:highlight w:val="none"/>
                <w:lang w:val="en-US" w:eastAsia="zh-CN"/>
              </w:rPr>
            </w:pPr>
            <w:r>
              <w:rPr>
                <w:rFonts w:hint="eastAsia" w:ascii="Segoe UI" w:hAnsi="Segoe UI" w:eastAsia="Segoe UI" w:cs="Segoe UI"/>
                <w:i w:val="0"/>
                <w:iCs w:val="0"/>
                <w:caps w:val="0"/>
                <w:color w:val="auto"/>
                <w:spacing w:val="0"/>
                <w:sz w:val="20"/>
                <w:szCs w:val="20"/>
                <w:highlight w:val="none"/>
              </w:rPr>
              <w:t>根据各投标人提供的针对本项目实际情况制定的人员管理和培训方案，包括但不限于人员培训计划（如培训周期、培训内容模块等）、培训方式（如线上理论教学、线下实操演练等）、培训目标（如技能达标要求等）、人员行为规范（如作业操作准则、沟通服务规范等）、录用与考核机制（如招聘标准、绩效评估办法等）、淘</w:t>
            </w:r>
            <w:r>
              <w:rPr>
                <w:rFonts w:hint="eastAsia" w:ascii="宋体" w:hAnsi="宋体" w:cs="宋体"/>
                <w:color w:val="auto"/>
                <w:szCs w:val="21"/>
                <w:highlight w:val="none"/>
              </w:rPr>
              <w:t>汰与奖罚制度（如末位淘汰规则、奖惩等级设定等）、方案完整性、针对性、可行性等综合评分，</w:t>
            </w:r>
            <w:r>
              <w:rPr>
                <w:rFonts w:hint="eastAsia" w:ascii="宋体" w:hAnsi="宋体" w:cs="宋体"/>
                <w:color w:val="auto"/>
                <w:szCs w:val="21"/>
                <w:highlight w:val="none"/>
                <w:lang w:val="en-US" w:eastAsia="zh-CN"/>
              </w:rPr>
              <w:t>优秀</w:t>
            </w:r>
            <w:r>
              <w:rPr>
                <w:rFonts w:hint="eastAsia" w:ascii="宋体" w:hAnsi="宋体" w:cs="宋体"/>
                <w:color w:val="auto"/>
                <w:szCs w:val="21"/>
                <w:highlight w:val="none"/>
              </w:rPr>
              <w:t>的得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分；良</w:t>
            </w:r>
            <w:r>
              <w:rPr>
                <w:rFonts w:hint="eastAsia" w:ascii="宋体" w:hAnsi="宋体" w:cs="宋体"/>
                <w:color w:val="auto"/>
                <w:szCs w:val="21"/>
                <w:highlight w:val="none"/>
                <w:lang w:val="en-US" w:eastAsia="zh-CN"/>
              </w:rPr>
              <w:t>好</w:t>
            </w:r>
            <w:r>
              <w:rPr>
                <w:rFonts w:hint="eastAsia" w:ascii="宋体" w:hAnsi="宋体" w:cs="宋体"/>
                <w:color w:val="auto"/>
                <w:szCs w:val="21"/>
                <w:highlight w:val="none"/>
              </w:rPr>
              <w:t>的得</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分；一般的得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r>
              <w:rPr>
                <w:rFonts w:hint="eastAsia" w:ascii="宋体" w:hAnsi="宋体" w:cs="宋体"/>
                <w:color w:val="auto"/>
                <w:szCs w:val="21"/>
                <w:highlight w:val="none"/>
                <w:lang w:val="en-US" w:eastAsia="zh-CN"/>
              </w:rPr>
              <w:t>不合格或</w:t>
            </w:r>
            <w:r>
              <w:rPr>
                <w:rFonts w:hint="eastAsia" w:ascii="宋体" w:hAnsi="宋体" w:cs="宋体"/>
                <w:color w:val="auto"/>
                <w:szCs w:val="21"/>
                <w:highlight w:val="none"/>
              </w:rPr>
              <w:t>未提供的不得分。</w:t>
            </w:r>
          </w:p>
          <w:p w14:paraId="052D340F">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left="0" w:leftChars="0" w:right="0" w:rightChars="0"/>
              <w:textAlignment w:val="auto"/>
              <w:rPr>
                <w:rFonts w:hint="eastAsia" w:ascii="宋体" w:hAnsi="宋体" w:cs="宋体"/>
                <w:b/>
                <w:bCs/>
                <w:color w:val="auto"/>
                <w:kern w:val="0"/>
                <w:szCs w:val="21"/>
                <w:highlight w:val="none"/>
              </w:rPr>
            </w:pPr>
            <w:r>
              <w:rPr>
                <w:rFonts w:hint="eastAsia" w:ascii="Segoe UI" w:hAnsi="Segoe UI" w:eastAsia="Segoe UI" w:cs="Segoe UI"/>
                <w:i w:val="0"/>
                <w:iCs w:val="0"/>
                <w:caps w:val="0"/>
                <w:color w:val="auto"/>
                <w:spacing w:val="0"/>
                <w:sz w:val="20"/>
                <w:szCs w:val="20"/>
                <w:highlight w:val="none"/>
              </w:rPr>
              <w:t>【技术标中须能充分反映出本评分项内容】</w:t>
            </w:r>
          </w:p>
        </w:tc>
      </w:tr>
      <w:tr w14:paraId="0CE5E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79" w:type="dxa"/>
            <w:gridSpan w:val="4"/>
            <w:vAlign w:val="center"/>
          </w:tcPr>
          <w:p w14:paraId="6BDBAEAB">
            <w:pPr>
              <w:widowControl/>
              <w:shd w:val="clear"/>
              <w:kinsoku/>
              <w:overflowPunct/>
              <w:bidi w:val="0"/>
              <w:spacing w:line="500" w:lineRule="exact"/>
              <w:ind w:left="0" w:leftChars="0" w:right="0" w:rightChars="0"/>
              <w:jc w:val="left"/>
              <w:rPr>
                <w:rFonts w:ascii="宋体" w:hAnsi="宋体" w:cs="宋体"/>
                <w:color w:val="auto"/>
                <w:kern w:val="0"/>
                <w:szCs w:val="21"/>
                <w:highlight w:val="none"/>
              </w:rPr>
            </w:pPr>
            <w:r>
              <w:rPr>
                <w:rFonts w:hint="eastAsia" w:ascii="宋体" w:hAnsi="宋体" w:cs="宋体"/>
                <w:color w:val="auto"/>
                <w:kern w:val="0"/>
                <w:szCs w:val="21"/>
                <w:highlight w:val="none"/>
              </w:rPr>
              <w:t>注：1.各投标人技术标总得分为各评委评分的平均值为最终得分。取两位小数，小数点后第三位四舍五入。</w:t>
            </w:r>
          </w:p>
          <w:p w14:paraId="318A0434">
            <w:pPr>
              <w:widowControl/>
              <w:shd w:val="clear"/>
              <w:kinsoku/>
              <w:overflowPunct/>
              <w:bidi w:val="0"/>
              <w:spacing w:line="500" w:lineRule="exact"/>
              <w:ind w:left="0" w:leftChars="0" w:right="0" w:rightChars="0"/>
              <w:jc w:val="left"/>
              <w:rPr>
                <w:rFonts w:ascii="宋体" w:hAnsi="宋体" w:cs="宋体"/>
                <w:color w:val="auto"/>
                <w:kern w:val="0"/>
                <w:szCs w:val="21"/>
                <w:highlight w:val="none"/>
              </w:rPr>
            </w:pPr>
            <w:r>
              <w:rPr>
                <w:rFonts w:hint="eastAsia" w:ascii="宋体" w:hAnsi="宋体" w:cs="宋体"/>
                <w:color w:val="auto"/>
                <w:kern w:val="0"/>
                <w:szCs w:val="21"/>
                <w:highlight w:val="none"/>
              </w:rPr>
              <w:t>2.该项目技术标为暗标横向评审，暗标横向评审技术标不设目录，评审前系统自动对所有投标人的技术标及各评分点分别进行编号；投标企业制作的技术标部分不得出现可能泄露投标人单位及个人信息的文字、图片、图表（技术标部分不得签章）等有关表述，否则该评分点作零分处理。</w:t>
            </w:r>
          </w:p>
          <w:p w14:paraId="61FB2E5C">
            <w:pPr>
              <w:widowControl/>
              <w:shd w:val="clear"/>
              <w:kinsoku/>
              <w:overflowPunct/>
              <w:bidi w:val="0"/>
              <w:spacing w:line="500" w:lineRule="exact"/>
              <w:ind w:left="0" w:leftChars="0" w:right="0" w:rightChars="0"/>
              <w:jc w:val="left"/>
              <w:rPr>
                <w:rFonts w:ascii="宋体" w:hAnsi="宋体" w:cs="宋体"/>
                <w:color w:val="auto"/>
                <w:kern w:val="0"/>
                <w:szCs w:val="21"/>
                <w:highlight w:val="none"/>
              </w:rPr>
            </w:pPr>
            <w:r>
              <w:rPr>
                <w:rFonts w:hint="eastAsia" w:ascii="宋体" w:hAnsi="宋体" w:cs="宋体"/>
                <w:color w:val="auto"/>
                <w:kern w:val="0"/>
                <w:szCs w:val="21"/>
                <w:highlight w:val="none"/>
              </w:rPr>
              <w:t>2.1 技术标暗标不设空白页。技术标投标文件封面不出现投标人、法定代表人签章内容，格式以系统设置为准。正文必须按招标文件要求的顺序进行排版；</w:t>
            </w:r>
          </w:p>
          <w:p w14:paraId="0DC0614F">
            <w:pPr>
              <w:widowControl/>
              <w:shd w:val="clear"/>
              <w:kinsoku/>
              <w:overflowPunct/>
              <w:bidi w:val="0"/>
              <w:spacing w:line="500" w:lineRule="exact"/>
              <w:ind w:left="0" w:leftChars="0" w:right="0" w:rightChars="0"/>
              <w:jc w:val="left"/>
              <w:rPr>
                <w:rFonts w:ascii="宋体" w:hAnsi="宋体" w:cs="宋体"/>
                <w:color w:val="auto"/>
                <w:kern w:val="0"/>
                <w:szCs w:val="21"/>
                <w:highlight w:val="none"/>
              </w:rPr>
            </w:pPr>
            <w:r>
              <w:rPr>
                <w:rFonts w:hint="eastAsia" w:ascii="宋体" w:hAnsi="宋体" w:cs="宋体"/>
                <w:color w:val="auto"/>
                <w:kern w:val="0"/>
                <w:szCs w:val="21"/>
                <w:highlight w:val="none"/>
              </w:rPr>
              <w:t>2.2技术标暗标正文文字排版统一使用中文宋体字体，文字为白底黑色，图表采用黑白灰色（不得采用彩色）；文字部分不得插入任何图表（可以用“见附图x”或“见附表x”说明）。所有附图、附表必须依次附在各章对应评分点内容的文末，计算在页数要求内；</w:t>
            </w:r>
          </w:p>
          <w:p w14:paraId="5186B820">
            <w:pPr>
              <w:widowControl/>
              <w:shd w:val="clear"/>
              <w:kinsoku/>
              <w:overflowPunct/>
              <w:bidi w:val="0"/>
              <w:spacing w:line="500" w:lineRule="exact"/>
              <w:ind w:left="0" w:leftChars="0" w:right="0" w:rightChars="0"/>
              <w:jc w:val="left"/>
              <w:rPr>
                <w:rFonts w:ascii="宋体" w:hAnsi="宋体" w:cs="宋体"/>
                <w:color w:val="auto"/>
                <w:kern w:val="0"/>
                <w:szCs w:val="21"/>
                <w:highlight w:val="none"/>
              </w:rPr>
            </w:pPr>
            <w:r>
              <w:rPr>
                <w:rFonts w:hint="eastAsia" w:ascii="宋体" w:hAnsi="宋体" w:cs="宋体"/>
                <w:color w:val="auto"/>
                <w:kern w:val="0"/>
                <w:szCs w:val="21"/>
                <w:highlight w:val="none"/>
              </w:rPr>
              <w:t>2.3 正文采用宋体四号常规字，字符间距设为标准值，行距为单倍行距，不勾选“如果定义了文档网格，则对齐到网格”；正文统一设为左对齐，章、节标题、及段落首行缩进2个汉字，段落前后不设空行；正文版面不加页眉、页脚、边框、下划线等标志，正文页码用小五号阿拉伯数字，居中。单位符号中有上下角标要求的，必须在相应位置做角标；</w:t>
            </w:r>
          </w:p>
          <w:p w14:paraId="2BE34F38">
            <w:pPr>
              <w:widowControl/>
              <w:shd w:val="clear"/>
              <w:kinsoku/>
              <w:overflowPunct/>
              <w:bidi w:val="0"/>
              <w:spacing w:line="500" w:lineRule="exact"/>
              <w:ind w:left="0" w:leftChars="0" w:right="0" w:rightChars="0"/>
              <w:jc w:val="left"/>
              <w:rPr>
                <w:rFonts w:ascii="宋体" w:hAnsi="宋体" w:cs="宋体"/>
                <w:color w:val="auto"/>
                <w:kern w:val="0"/>
                <w:szCs w:val="21"/>
                <w:highlight w:val="none"/>
              </w:rPr>
            </w:pPr>
            <w:r>
              <w:rPr>
                <w:rFonts w:hint="eastAsia" w:ascii="宋体" w:hAnsi="宋体" w:cs="宋体"/>
                <w:color w:val="auto"/>
                <w:kern w:val="0"/>
                <w:szCs w:val="21"/>
                <w:highlight w:val="none"/>
              </w:rPr>
              <w:t>3.技术标暗标文件的格式、制作不符合上述要求的，每一分项扣0.2分。技术标实行暗标的，对技术标（暗标）部分不予澄清、说明或者补正。</w:t>
            </w:r>
          </w:p>
          <w:p w14:paraId="5B9B1474">
            <w:pPr>
              <w:widowControl/>
              <w:shd w:val="clear"/>
              <w:kinsoku/>
              <w:overflowPunct/>
              <w:bidi w:val="0"/>
              <w:spacing w:line="500" w:lineRule="exact"/>
              <w:ind w:left="0" w:leftChars="0" w:right="0" w:rightChars="0"/>
              <w:jc w:val="left"/>
              <w:rPr>
                <w:rFonts w:ascii="宋体" w:hAnsi="宋体" w:cs="宋体"/>
                <w:color w:val="auto"/>
                <w:kern w:val="0"/>
                <w:szCs w:val="21"/>
                <w:highlight w:val="none"/>
              </w:rPr>
            </w:pPr>
            <w:r>
              <w:rPr>
                <w:rFonts w:hint="eastAsia" w:ascii="宋体" w:hAnsi="宋体" w:cs="宋体"/>
                <w:color w:val="auto"/>
                <w:kern w:val="0"/>
                <w:szCs w:val="21"/>
                <w:highlight w:val="none"/>
              </w:rPr>
              <w:t>4.</w:t>
            </w:r>
            <w:r>
              <w:rPr>
                <w:rFonts w:hint="eastAsia" w:ascii="宋体" w:hAnsi="宋体" w:cs="宋体"/>
                <w:b/>
                <w:bCs/>
                <w:color w:val="auto"/>
                <w:kern w:val="0"/>
                <w:szCs w:val="21"/>
                <w:highlight w:val="none"/>
              </w:rPr>
              <w:t>技术标的</w:t>
            </w:r>
            <w:r>
              <w:rPr>
                <w:rFonts w:hint="eastAsia" w:ascii="宋体" w:hAnsi="宋体" w:cs="宋体"/>
                <w:b/>
                <w:bCs/>
                <w:color w:val="auto"/>
                <w:kern w:val="0"/>
                <w:szCs w:val="21"/>
                <w:highlight w:val="none"/>
                <w:lang w:val="en-US" w:eastAsia="zh-CN"/>
              </w:rPr>
              <w:t>每个评分点</w:t>
            </w:r>
            <w:r>
              <w:rPr>
                <w:rFonts w:hint="eastAsia" w:ascii="宋体" w:hAnsi="宋体" w:cs="宋体"/>
                <w:b/>
                <w:bCs/>
                <w:color w:val="auto"/>
                <w:kern w:val="0"/>
                <w:szCs w:val="21"/>
                <w:highlight w:val="none"/>
              </w:rPr>
              <w:t>页数不多于</w:t>
            </w:r>
            <w:r>
              <w:rPr>
                <w:rFonts w:hint="eastAsia" w:ascii="宋体" w:hAnsi="宋体" w:cs="宋体"/>
                <w:b/>
                <w:bCs/>
                <w:color w:val="auto"/>
                <w:kern w:val="0"/>
                <w:szCs w:val="21"/>
                <w:highlight w:val="none"/>
                <w:lang w:val="en-US" w:eastAsia="zh-CN"/>
              </w:rPr>
              <w:t>30</w:t>
            </w:r>
            <w:r>
              <w:rPr>
                <w:rFonts w:hint="eastAsia" w:ascii="宋体" w:hAnsi="宋体" w:cs="宋体"/>
                <w:b/>
                <w:bCs/>
                <w:color w:val="auto"/>
                <w:kern w:val="0"/>
                <w:szCs w:val="21"/>
                <w:highlight w:val="none"/>
              </w:rPr>
              <w:t>页</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含附图、附表</w:t>
            </w:r>
            <w:r>
              <w:rPr>
                <w:rFonts w:hint="eastAsia" w:ascii="宋体" w:hAnsi="宋体" w:cs="宋体"/>
                <w:b/>
                <w:bCs/>
                <w:color w:val="auto"/>
                <w:kern w:val="0"/>
                <w:szCs w:val="21"/>
                <w:highlight w:val="none"/>
                <w:lang w:eastAsia="zh-CN"/>
              </w:rPr>
              <w:t>）</w:t>
            </w:r>
            <w:r>
              <w:rPr>
                <w:rFonts w:hint="eastAsia" w:ascii="宋体" w:hAnsi="宋体" w:cs="宋体"/>
                <w:color w:val="auto"/>
                <w:kern w:val="0"/>
                <w:szCs w:val="21"/>
                <w:highlight w:val="none"/>
              </w:rPr>
              <w:t>。</w:t>
            </w:r>
            <w:r>
              <w:rPr>
                <w:rFonts w:hint="eastAsia" w:ascii="宋体" w:hAnsi="宋体"/>
                <w:color w:val="auto"/>
                <w:szCs w:val="21"/>
                <w:highlight w:val="none"/>
              </w:rPr>
              <w:t>具体篇幅(字数)要求及扣分标准（扣分值为0.</w:t>
            </w:r>
            <w:r>
              <w:rPr>
                <w:rFonts w:hint="eastAsia" w:ascii="宋体" w:hAnsi="宋体"/>
                <w:color w:val="auto"/>
                <w:szCs w:val="21"/>
                <w:highlight w:val="none"/>
                <w:lang w:val="en-US" w:eastAsia="zh-CN"/>
              </w:rPr>
              <w:t>5</w:t>
            </w:r>
            <w:r>
              <w:rPr>
                <w:rFonts w:hint="eastAsia" w:ascii="宋体" w:hAnsi="宋体"/>
                <w:color w:val="auto"/>
                <w:szCs w:val="21"/>
                <w:highlight w:val="none"/>
              </w:rPr>
              <w:t>分）。偏离规定标准的，评标委员会应酌情扣分。</w:t>
            </w:r>
          </w:p>
          <w:p w14:paraId="3A7D6C52">
            <w:pPr>
              <w:widowControl/>
              <w:shd w:val="clear"/>
              <w:kinsoku/>
              <w:overflowPunct/>
              <w:bidi w:val="0"/>
              <w:spacing w:line="500" w:lineRule="exact"/>
              <w:ind w:left="0" w:leftChars="0" w:right="0" w:rightChars="0"/>
              <w:jc w:val="left"/>
              <w:rPr>
                <w:rFonts w:ascii="宋体" w:hAnsi="宋体" w:cs="宋体"/>
                <w:color w:val="auto"/>
                <w:kern w:val="0"/>
                <w:szCs w:val="21"/>
                <w:highlight w:val="none"/>
              </w:rPr>
            </w:pPr>
            <w:r>
              <w:rPr>
                <w:rFonts w:hint="eastAsia" w:ascii="宋体" w:hAnsi="宋体" w:cs="宋体"/>
                <w:color w:val="auto"/>
                <w:kern w:val="0"/>
                <w:szCs w:val="21"/>
                <w:highlight w:val="none"/>
              </w:rPr>
              <w:t>5.</w:t>
            </w:r>
            <w:r>
              <w:rPr>
                <w:rFonts w:hint="eastAsia" w:ascii="宋体" w:hAnsi="宋体" w:cs="宋体"/>
                <w:color w:val="auto"/>
                <w:szCs w:val="21"/>
                <w:highlight w:val="none"/>
              </w:rPr>
              <w:t>暗标评审仅限评标环节。评标结束后，如出现质疑、投诉、举报等，经认定评标错误的，由评标委员会纠正错误或重新评分，此时不再受暗标评审约束，但在纠正错误或重新评分中发现投标企业技术标出现可能泄露投标人单位及个人信息的文字、图片、图表（技术标不得签章）等有关表述的，对应技术标评分点仍按零分处理。</w:t>
            </w:r>
          </w:p>
          <w:p w14:paraId="19140C7C">
            <w:pPr>
              <w:shd w:val="clear"/>
              <w:kinsoku/>
              <w:overflowPunct/>
              <w:bidi w:val="0"/>
              <w:spacing w:line="500" w:lineRule="exact"/>
              <w:ind w:left="0" w:leftChars="0" w:right="0" w:rightChars="0"/>
              <w:jc w:val="left"/>
              <w:rPr>
                <w:rFonts w:ascii="宋体" w:hAnsi="宋体" w:cs="宋体"/>
                <w:b/>
                <w:bCs/>
                <w:color w:val="auto"/>
                <w:szCs w:val="21"/>
                <w:highlight w:val="none"/>
              </w:rPr>
            </w:pPr>
            <w:r>
              <w:rPr>
                <w:rFonts w:hint="eastAsia" w:ascii="宋体" w:hAnsi="宋体" w:cs="宋体"/>
                <w:color w:val="auto"/>
                <w:kern w:val="0"/>
                <w:szCs w:val="21"/>
                <w:highlight w:val="none"/>
              </w:rPr>
              <w:t>6.</w:t>
            </w:r>
            <w:r>
              <w:rPr>
                <w:rFonts w:hint="eastAsia" w:ascii="宋体" w:hAnsi="宋体" w:cs="宋体"/>
                <w:color w:val="auto"/>
                <w:szCs w:val="21"/>
                <w:highlight w:val="none"/>
              </w:rPr>
              <w:t>如所有投标企业技术标都出现能反映企业信息等相关内容的，该项目流标。</w:t>
            </w:r>
          </w:p>
        </w:tc>
      </w:tr>
    </w:tbl>
    <w:p w14:paraId="3C023600">
      <w:pPr>
        <w:shd w:val="clear"/>
        <w:kinsoku/>
        <w:overflowPunct/>
        <w:bidi w:val="0"/>
        <w:adjustRightInd w:val="0"/>
        <w:snapToGrid w:val="0"/>
        <w:spacing w:line="500" w:lineRule="exact"/>
        <w:ind w:left="0" w:leftChars="0" w:right="0" w:rightChars="0"/>
        <w:jc w:val="left"/>
        <w:rPr>
          <w:rFonts w:ascii="宋体" w:hAnsi="宋体" w:cs="宋体"/>
          <w:b/>
          <w:bCs/>
          <w:color w:val="auto"/>
          <w:szCs w:val="21"/>
          <w:highlight w:val="none"/>
        </w:rPr>
      </w:pPr>
      <w:r>
        <w:rPr>
          <w:rFonts w:hint="eastAsia" w:ascii="宋体" w:hAnsi="宋体" w:cs="宋体"/>
          <w:b/>
          <w:bCs/>
          <w:color w:val="auto"/>
          <w:szCs w:val="21"/>
          <w:highlight w:val="none"/>
        </w:rPr>
        <w:t>6.3商务标评审细则（</w:t>
      </w:r>
      <w:r>
        <w:rPr>
          <w:rFonts w:hint="eastAsia" w:ascii="宋体" w:hAnsi="宋体" w:cs="宋体"/>
          <w:b/>
          <w:bCs/>
          <w:color w:val="auto"/>
          <w:szCs w:val="21"/>
          <w:highlight w:val="none"/>
          <w:lang w:val="en-US" w:eastAsia="zh-CN"/>
        </w:rPr>
        <w:t>40</w:t>
      </w:r>
      <w:r>
        <w:rPr>
          <w:rFonts w:hint="eastAsia" w:ascii="宋体" w:hAnsi="宋体" w:cs="宋体"/>
          <w:b/>
          <w:bCs/>
          <w:color w:val="auto"/>
          <w:szCs w:val="21"/>
          <w:highlight w:val="none"/>
        </w:rPr>
        <w:t>分）</w:t>
      </w:r>
    </w:p>
    <w:tbl>
      <w:tblPr>
        <w:tblStyle w:val="35"/>
        <w:tblW w:w="9929" w:type="dxa"/>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584"/>
      </w:tblGrid>
      <w:tr w14:paraId="01D96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14:paraId="6E94CD9D">
            <w:pPr>
              <w:shd w:val="clear"/>
              <w:kinsoku/>
              <w:overflowPunct/>
              <w:bidi w:val="0"/>
              <w:spacing w:line="500" w:lineRule="exact"/>
              <w:ind w:left="0" w:leftChars="0" w:right="0" w:rightChars="0"/>
              <w:jc w:val="center"/>
              <w:rPr>
                <w:rFonts w:ascii="宋体" w:hAnsi="宋体" w:cs="宋体"/>
                <w:b/>
                <w:bCs/>
                <w:color w:val="auto"/>
                <w:highlight w:val="none"/>
              </w:rPr>
            </w:pPr>
            <w:bookmarkStart w:id="87" w:name="_Toc449028881"/>
            <w:bookmarkStart w:id="88" w:name="_Toc23311"/>
            <w:bookmarkStart w:id="89" w:name="_Toc58430321"/>
            <w:r>
              <w:rPr>
                <w:rFonts w:hint="eastAsia" w:ascii="宋体" w:hAnsi="宋体" w:cs="宋体"/>
                <w:b/>
                <w:bCs/>
                <w:color w:val="auto"/>
                <w:highlight w:val="none"/>
              </w:rPr>
              <w:t>评分因素</w:t>
            </w:r>
          </w:p>
        </w:tc>
        <w:tc>
          <w:tcPr>
            <w:tcW w:w="8584" w:type="dxa"/>
            <w:vAlign w:val="center"/>
          </w:tcPr>
          <w:p w14:paraId="7C74BBB5">
            <w:pPr>
              <w:shd w:val="clear"/>
              <w:kinsoku/>
              <w:overflowPunct/>
              <w:bidi w:val="0"/>
              <w:spacing w:line="500" w:lineRule="exact"/>
              <w:ind w:left="0" w:leftChars="0" w:right="0" w:rightChars="0"/>
              <w:jc w:val="center"/>
              <w:rPr>
                <w:rFonts w:ascii="宋体" w:hAnsi="宋体" w:cs="宋体"/>
                <w:b/>
                <w:bCs/>
                <w:color w:val="auto"/>
                <w:highlight w:val="none"/>
              </w:rPr>
            </w:pPr>
            <w:r>
              <w:rPr>
                <w:rFonts w:hint="eastAsia" w:ascii="宋体" w:hAnsi="宋体" w:cs="宋体"/>
                <w:b/>
                <w:bCs/>
                <w:color w:val="auto"/>
                <w:highlight w:val="none"/>
              </w:rPr>
              <w:t>评审细则</w:t>
            </w:r>
          </w:p>
        </w:tc>
      </w:tr>
      <w:tr w14:paraId="22444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345" w:type="dxa"/>
            <w:vAlign w:val="center"/>
          </w:tcPr>
          <w:p w14:paraId="3F6F80B0">
            <w:pPr>
              <w:shd w:val="clear"/>
              <w:kinsoku/>
              <w:overflowPunct/>
              <w:bidi w:val="0"/>
              <w:spacing w:line="500" w:lineRule="exact"/>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商务标</w:t>
            </w:r>
          </w:p>
          <w:p w14:paraId="114B7101">
            <w:pPr>
              <w:shd w:val="clear"/>
              <w:kinsoku/>
              <w:overflowPunct/>
              <w:bidi w:val="0"/>
              <w:spacing w:line="500" w:lineRule="exact"/>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40</w:t>
            </w:r>
            <w:r>
              <w:rPr>
                <w:rFonts w:hint="eastAsia" w:ascii="宋体" w:hAnsi="宋体" w:cs="宋体"/>
                <w:color w:val="auto"/>
                <w:szCs w:val="21"/>
                <w:highlight w:val="none"/>
              </w:rPr>
              <w:t>分）</w:t>
            </w:r>
          </w:p>
        </w:tc>
        <w:tc>
          <w:tcPr>
            <w:tcW w:w="8584" w:type="dxa"/>
          </w:tcPr>
          <w:p w14:paraId="70110B44">
            <w:pPr>
              <w:shd w:val="clear"/>
              <w:tabs>
                <w:tab w:val="left" w:pos="1080"/>
              </w:tabs>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招标人设置投标报价最高限价，各投标人有效报价不得高于最高限价，否则，其投标文件按无效标处理。</w:t>
            </w:r>
          </w:p>
          <w:p w14:paraId="2DEC4737">
            <w:pPr>
              <w:shd w:val="clear"/>
              <w:tabs>
                <w:tab w:val="left" w:pos="1080"/>
              </w:tabs>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1、评审基准价=所有有效投标人的最低报价；其得分为</w:t>
            </w:r>
            <w:r>
              <w:rPr>
                <w:rFonts w:hint="eastAsia" w:ascii="宋体" w:hAnsi="宋体" w:cs="宋体"/>
                <w:color w:val="auto"/>
                <w:szCs w:val="21"/>
                <w:highlight w:val="none"/>
                <w:lang w:val="en-US" w:eastAsia="zh-CN"/>
              </w:rPr>
              <w:t>40分</w:t>
            </w:r>
            <w:r>
              <w:rPr>
                <w:rFonts w:hint="eastAsia" w:ascii="宋体" w:hAnsi="宋体" w:cs="宋体"/>
                <w:color w:val="auto"/>
                <w:szCs w:val="21"/>
                <w:highlight w:val="none"/>
              </w:rPr>
              <w:t>；</w:t>
            </w:r>
          </w:p>
          <w:p w14:paraId="62047AB0">
            <w:pPr>
              <w:shd w:val="clear"/>
              <w:tabs>
                <w:tab w:val="left" w:pos="1080"/>
              </w:tabs>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2、其它报价得分=评审基准价/投标报价*</w:t>
            </w:r>
            <w:r>
              <w:rPr>
                <w:rFonts w:hint="eastAsia" w:ascii="宋体" w:hAnsi="宋体" w:cs="宋体"/>
                <w:color w:val="auto"/>
                <w:szCs w:val="21"/>
                <w:highlight w:val="none"/>
                <w:lang w:val="en-US" w:eastAsia="zh-CN"/>
              </w:rPr>
              <w:t>40</w:t>
            </w:r>
            <w:r>
              <w:rPr>
                <w:rFonts w:hint="eastAsia" w:ascii="宋体" w:hAnsi="宋体" w:cs="宋体"/>
                <w:color w:val="auto"/>
                <w:szCs w:val="21"/>
                <w:highlight w:val="none"/>
              </w:rPr>
              <w:t>，小数点后保留两位小数，第三位四舍五入；</w:t>
            </w:r>
          </w:p>
          <w:p w14:paraId="3FAA775C">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3、本项分值由评审委员会负责组织计算。</w:t>
            </w:r>
          </w:p>
        </w:tc>
      </w:tr>
    </w:tbl>
    <w:p w14:paraId="61653210">
      <w:pPr>
        <w:shd w:val="clear"/>
        <w:kinsoku/>
        <w:overflowPunct/>
        <w:bidi w:val="0"/>
        <w:spacing w:beforeLines="50" w:afterLines="50" w:line="500" w:lineRule="exact"/>
        <w:ind w:left="0" w:leftChars="0" w:right="0" w:rightChars="0"/>
        <w:jc w:val="center"/>
        <w:outlineLvl w:val="1"/>
        <w:rPr>
          <w:rFonts w:ascii="宋体" w:hAnsi="宋体" w:cs="宋体"/>
          <w:b/>
          <w:color w:val="auto"/>
          <w:sz w:val="28"/>
          <w:szCs w:val="28"/>
          <w:highlight w:val="none"/>
        </w:rPr>
      </w:pPr>
      <w:r>
        <w:rPr>
          <w:rFonts w:hint="eastAsia" w:ascii="宋体" w:hAnsi="宋体" w:cs="宋体"/>
          <w:b/>
          <w:color w:val="auto"/>
          <w:sz w:val="28"/>
          <w:szCs w:val="28"/>
          <w:highlight w:val="none"/>
        </w:rPr>
        <w:t>五、推荐中标候选人</w:t>
      </w:r>
      <w:bookmarkEnd w:id="86"/>
      <w:bookmarkEnd w:id="87"/>
      <w:bookmarkEnd w:id="88"/>
      <w:bookmarkEnd w:id="89"/>
    </w:p>
    <w:p w14:paraId="6C11D8F6">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7.评标委员会按资信、技术及商务三部分得分之和从高到低按顺序，推荐3名中标候选人。 </w:t>
      </w:r>
    </w:p>
    <w:p w14:paraId="4A477A61">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7.1总得分相同的，按报价由低到高顺序排列。总得分且报价相同的并列，由招标人现场采取随机摇号的方式确定中标候选人。</w:t>
      </w:r>
    </w:p>
    <w:p w14:paraId="77C96248">
      <w:pPr>
        <w:shd w:val="clear"/>
        <w:kinsoku/>
        <w:overflowPunct/>
        <w:bidi w:val="0"/>
        <w:snapToGrid w:val="0"/>
        <w:spacing w:line="500" w:lineRule="exact"/>
        <w:ind w:left="0" w:leftChars="0" w:right="0" w:rightChars="0" w:firstLine="420" w:firstLineChars="200"/>
        <w:jc w:val="left"/>
        <w:rPr>
          <w:rFonts w:hint="eastAsia" w:ascii="宋体" w:hAnsi="宋体" w:cs="宋体"/>
          <w:b/>
          <w:color w:val="auto"/>
          <w:szCs w:val="21"/>
          <w:highlight w:val="none"/>
        </w:rPr>
      </w:pPr>
      <w:r>
        <w:rPr>
          <w:rFonts w:hint="eastAsia" w:ascii="宋体" w:hAnsi="宋体" w:cs="宋体"/>
          <w:color w:val="auto"/>
          <w:szCs w:val="21"/>
          <w:highlight w:val="none"/>
        </w:rPr>
        <w:t>7.2</w:t>
      </w:r>
      <w:r>
        <w:rPr>
          <w:rFonts w:hint="eastAsia" w:ascii="宋体" w:hAnsi="宋体" w:cs="宋体"/>
          <w:b/>
          <w:color w:val="auto"/>
          <w:szCs w:val="21"/>
          <w:highlight w:val="none"/>
        </w:rPr>
        <w:t>在专家评审结束后，根据评标委员会评审初步结论，招标人（代理机构）将对推荐的中标候选人、法定代表人及其项目负责人是否存在联合惩戒失信行为进行网上核查（网上查询要求及渠道按附件1执行）。若核查结果与投标人承诺不一致，则提交评标委员会取消其预中标候选人资格，依次替补，并再次对替补单位进行核查。核查结果不改变原评标基准值。</w:t>
      </w:r>
    </w:p>
    <w:p w14:paraId="2A30D6FF">
      <w:pPr>
        <w:shd w:val="clear"/>
        <w:kinsoku/>
        <w:overflowPunct/>
        <w:bidi w:val="0"/>
        <w:snapToGrid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8.无效投标条款</w:t>
      </w:r>
    </w:p>
    <w:p w14:paraId="4C4D3125">
      <w:pPr>
        <w:shd w:val="clear"/>
        <w:kinsoku/>
        <w:overflowPunct/>
        <w:bidi w:val="0"/>
        <w:snapToGrid w:val="0"/>
        <w:spacing w:line="500" w:lineRule="exact"/>
        <w:ind w:left="0" w:leftChars="0" w:right="0" w:rightChars="0"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8.1投标文件有下列情形之一的,其投标文件拒收</w:t>
      </w:r>
      <w:r>
        <w:rPr>
          <w:rFonts w:hint="eastAsia" w:ascii="宋体" w:hAnsi="宋体" w:cs="宋体"/>
          <w:color w:val="auto"/>
          <w:szCs w:val="21"/>
          <w:highlight w:val="none"/>
          <w:lang w:eastAsia="zh-CN"/>
        </w:rPr>
        <w:t>：</w:t>
      </w:r>
    </w:p>
    <w:p w14:paraId="25486316">
      <w:pPr>
        <w:shd w:val="clear"/>
        <w:kinsoku/>
        <w:overflowPunct/>
        <w:bidi w:val="0"/>
        <w:spacing w:line="500" w:lineRule="exact"/>
        <w:ind w:left="0" w:leftChars="0" w:right="0" w:rightChars="0"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）未在开标截止时间前通过网上招标投标系统递交有效电子投标文件的，开标系统不予接收，投标将被拒绝。</w:t>
      </w:r>
    </w:p>
    <w:p w14:paraId="032F384C">
      <w:pPr>
        <w:shd w:val="clear"/>
        <w:kinsoku/>
        <w:overflowPunct/>
        <w:bidi w:val="0"/>
        <w:spacing w:line="500" w:lineRule="exact"/>
        <w:ind w:left="0" w:leftChars="0" w:right="0" w:rightChars="0"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投标企业接到远程解密指令后，须在规定时间内解密。因投标人自身原因导致投标文件在规定时间内未能解密、解密失败或解密超时，投标文件无效；解密时间：从本项目网上招投标系统解密倒计时开始，至完成投标文件解密时间，不得超过60分钟，否则投标文件将被拒绝。</w:t>
      </w:r>
    </w:p>
    <w:p w14:paraId="461058F3">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8.2投标人有下列情形之一的,资格审查后其投标作无效投标处理：</w:t>
      </w:r>
    </w:p>
    <w:p w14:paraId="26225DDB">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w:t>
      </w:r>
      <w:r>
        <w:rPr>
          <w:rFonts w:hint="eastAsia" w:ascii="宋体" w:hAnsi="宋体" w:cs="宋体"/>
          <w:color w:val="auto"/>
          <w:szCs w:val="21"/>
          <w:highlight w:val="none"/>
        </w:rPr>
        <w:t>投标人为本项目提供招标代理服务的；</w:t>
      </w:r>
    </w:p>
    <w:p w14:paraId="08311410">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（2）</w:t>
      </w:r>
      <w:r>
        <w:rPr>
          <w:rFonts w:hint="eastAsia" w:ascii="宋体" w:hAnsi="宋体" w:cs="宋体"/>
          <w:color w:val="auto"/>
          <w:szCs w:val="21"/>
          <w:highlight w:val="none"/>
        </w:rPr>
        <w:t>投标人与在本项目代理机构存在相互任职或工作的；</w:t>
      </w:r>
    </w:p>
    <w:p w14:paraId="70D39988">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w:t>
      </w:r>
      <w:r>
        <w:rPr>
          <w:rFonts w:hint="eastAsia" w:ascii="宋体" w:hAnsi="宋体" w:cs="宋体"/>
          <w:color w:val="auto"/>
          <w:szCs w:val="21"/>
          <w:highlight w:val="none"/>
        </w:rPr>
        <w:t>评标专家无法查看并检验电子投标文件中相关资料的；</w:t>
      </w:r>
    </w:p>
    <w:p w14:paraId="27F561E6">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w:t>
      </w:r>
      <w:r>
        <w:rPr>
          <w:rFonts w:hint="eastAsia" w:ascii="宋体" w:hAnsi="宋体" w:cs="宋体"/>
          <w:color w:val="auto"/>
          <w:szCs w:val="21"/>
          <w:highlight w:val="none"/>
        </w:rPr>
        <w:t>联合体投标未提交联合体协议的；</w:t>
      </w:r>
    </w:p>
    <w:p w14:paraId="50439052">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w:t>
      </w:r>
      <w:r>
        <w:rPr>
          <w:rFonts w:hint="eastAsia" w:ascii="宋体" w:hAnsi="宋体" w:cs="宋体"/>
          <w:color w:val="auto"/>
          <w:szCs w:val="21"/>
          <w:highlight w:val="none"/>
        </w:rPr>
        <w:t>被暂停营业的；</w:t>
      </w:r>
    </w:p>
    <w:p w14:paraId="73833E48">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w:t>
      </w:r>
      <w:r>
        <w:rPr>
          <w:rFonts w:hint="eastAsia" w:ascii="宋体" w:hAnsi="宋体" w:cs="宋体"/>
          <w:color w:val="auto"/>
          <w:szCs w:val="21"/>
          <w:highlight w:val="none"/>
        </w:rPr>
        <w:t>被暂停或取消投标资格的；</w:t>
      </w:r>
    </w:p>
    <w:p w14:paraId="23280C9F">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w:t>
      </w:r>
      <w:r>
        <w:rPr>
          <w:rFonts w:hint="eastAsia" w:ascii="宋体" w:hAnsi="宋体" w:cs="宋体"/>
          <w:color w:val="auto"/>
          <w:szCs w:val="21"/>
          <w:highlight w:val="none"/>
        </w:rPr>
        <w:t>财产被接管或冻结的；</w:t>
      </w:r>
    </w:p>
    <w:p w14:paraId="4F7C9B48">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w:t>
      </w:r>
      <w:r>
        <w:rPr>
          <w:rFonts w:hint="eastAsia" w:ascii="宋体" w:hAnsi="宋体" w:cs="宋体"/>
          <w:color w:val="auto"/>
          <w:szCs w:val="21"/>
          <w:highlight w:val="none"/>
        </w:rPr>
        <w:t>投标人单位负责人为同一人或者存在控股、管理关系的不同单位的；</w:t>
      </w:r>
    </w:p>
    <w:p w14:paraId="79DA9B42">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9</w:t>
      </w:r>
      <w:r>
        <w:rPr>
          <w:rFonts w:hint="eastAsia" w:ascii="宋体" w:hAnsi="宋体" w:cs="宋体"/>
          <w:bCs/>
          <w:color w:val="auto"/>
          <w:szCs w:val="21"/>
          <w:highlight w:val="none"/>
        </w:rPr>
        <w:t>）</w:t>
      </w:r>
      <w:r>
        <w:rPr>
          <w:rFonts w:hint="eastAsia" w:ascii="宋体" w:hAnsi="宋体" w:cs="宋体"/>
          <w:color w:val="auto"/>
          <w:szCs w:val="21"/>
          <w:highlight w:val="none"/>
        </w:rPr>
        <w:t>保证金不按第二章“投标人须知”及其前附表要求提交投标保证金的；</w:t>
      </w:r>
    </w:p>
    <w:p w14:paraId="55AACE0C">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w:t>
      </w:r>
      <w:r>
        <w:rPr>
          <w:rFonts w:hint="eastAsia" w:ascii="宋体" w:hAnsi="宋体" w:cs="宋体"/>
          <w:color w:val="auto"/>
          <w:szCs w:val="21"/>
          <w:highlight w:val="none"/>
        </w:rPr>
        <w:t>投标人未办理省主体库登记入库手续的；</w:t>
      </w:r>
    </w:p>
    <w:p w14:paraId="071CA905">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11</w:t>
      </w:r>
      <w:r>
        <w:rPr>
          <w:rFonts w:hint="eastAsia" w:ascii="宋体" w:hAnsi="宋体" w:cs="宋体"/>
          <w:bCs/>
          <w:color w:val="auto"/>
          <w:szCs w:val="21"/>
          <w:highlight w:val="none"/>
        </w:rPr>
        <w:t>）</w:t>
      </w:r>
      <w:r>
        <w:rPr>
          <w:rFonts w:hint="eastAsia" w:ascii="宋体" w:hAnsi="宋体" w:cs="宋体"/>
          <w:color w:val="auto"/>
          <w:szCs w:val="21"/>
          <w:highlight w:val="none"/>
        </w:rPr>
        <w:t>投标人申请开具电子保函 MAC 地址一致的；</w:t>
      </w:r>
    </w:p>
    <w:p w14:paraId="182FFAD7">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12</w:t>
      </w:r>
      <w:r>
        <w:rPr>
          <w:rFonts w:hint="eastAsia" w:ascii="宋体" w:hAnsi="宋体" w:cs="宋体"/>
          <w:bCs/>
          <w:color w:val="auto"/>
          <w:szCs w:val="21"/>
          <w:highlight w:val="none"/>
        </w:rPr>
        <w:t>）</w:t>
      </w:r>
      <w:r>
        <w:rPr>
          <w:rFonts w:hint="eastAsia" w:ascii="宋体" w:hAnsi="宋体" w:cs="宋体"/>
          <w:color w:val="auto"/>
          <w:szCs w:val="21"/>
          <w:highlight w:val="none"/>
        </w:rPr>
        <w:t>投标人基本资格条件和特定资格条件中有一项及以上不符合要求的；</w:t>
      </w:r>
    </w:p>
    <w:p w14:paraId="06E7FC54">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13</w:t>
      </w:r>
      <w:r>
        <w:rPr>
          <w:rFonts w:hint="eastAsia" w:ascii="宋体" w:hAnsi="宋体" w:cs="宋体"/>
          <w:bCs/>
          <w:color w:val="auto"/>
          <w:szCs w:val="21"/>
          <w:highlight w:val="none"/>
        </w:rPr>
        <w:t>）</w:t>
      </w:r>
      <w:r>
        <w:rPr>
          <w:rFonts w:hint="eastAsia" w:ascii="宋体" w:hAnsi="宋体" w:cs="宋体"/>
          <w:color w:val="auto"/>
          <w:szCs w:val="21"/>
          <w:highlight w:val="none"/>
        </w:rPr>
        <w:t>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6617352C">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14</w:t>
      </w:r>
      <w:r>
        <w:rPr>
          <w:rFonts w:hint="eastAsia" w:ascii="宋体" w:hAnsi="宋体" w:cs="宋体"/>
          <w:bCs/>
          <w:color w:val="auto"/>
          <w:szCs w:val="21"/>
          <w:highlight w:val="none"/>
        </w:rPr>
        <w:t>）</w:t>
      </w:r>
      <w:r>
        <w:rPr>
          <w:rFonts w:hint="eastAsia" w:ascii="宋体" w:hAnsi="宋体" w:cs="宋体"/>
          <w:color w:val="auto"/>
          <w:szCs w:val="21"/>
          <w:highlight w:val="none"/>
        </w:rPr>
        <w:t>其它情形，经评标委员会委提出按无效投标处理，并经公共资源交易监督部门核准的；</w:t>
      </w:r>
    </w:p>
    <w:p w14:paraId="5AB02555">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15</w:t>
      </w:r>
      <w:r>
        <w:rPr>
          <w:rFonts w:hint="eastAsia" w:ascii="宋体" w:hAnsi="宋体" w:cs="宋体"/>
          <w:bCs/>
          <w:color w:val="auto"/>
          <w:szCs w:val="21"/>
          <w:highlight w:val="none"/>
        </w:rPr>
        <w:t>）</w:t>
      </w:r>
      <w:r>
        <w:rPr>
          <w:rFonts w:hint="eastAsia" w:ascii="宋体" w:hAnsi="宋体" w:cs="宋体"/>
          <w:color w:val="auto"/>
          <w:szCs w:val="21"/>
          <w:highlight w:val="none"/>
        </w:rPr>
        <w:t>投标人投标MAC地址或投标人联系人或联系电话相同的，由评标委员会否决其投标，并报告监管部门作不良行为处理和进一步调查；</w:t>
      </w:r>
    </w:p>
    <w:p w14:paraId="2F4BF5B8">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16</w:t>
      </w:r>
      <w:r>
        <w:rPr>
          <w:rFonts w:hint="eastAsia" w:ascii="宋体" w:hAnsi="宋体" w:cs="宋体"/>
          <w:bCs/>
          <w:color w:val="auto"/>
          <w:szCs w:val="21"/>
          <w:highlight w:val="none"/>
        </w:rPr>
        <w:t>）</w:t>
      </w:r>
      <w:r>
        <w:rPr>
          <w:rFonts w:hint="eastAsia" w:ascii="宋体" w:hAnsi="宋体" w:cs="宋体"/>
          <w:color w:val="auto"/>
          <w:szCs w:val="21"/>
          <w:highlight w:val="none"/>
        </w:rPr>
        <w:t>投标人单方面出现其他投标人材料的；</w:t>
      </w:r>
    </w:p>
    <w:p w14:paraId="04069147">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(17)招标文件规定的其它无效投标情形。</w:t>
      </w:r>
    </w:p>
    <w:p w14:paraId="0AAE80AD">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8.3 投标人有下列情形之一的,符合性审查后其投标按无效投标处理：</w:t>
      </w:r>
    </w:p>
    <w:p w14:paraId="4D7856AC">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）投标文件签字、盖章不全，经评标委员会一致认定对开评标内容有实质性影响并经公共资源交易监督部门核准的；</w:t>
      </w:r>
    </w:p>
    <w:p w14:paraId="7D0DA2D7">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）未按规定的格式填写导致实质性内容不全以及实质上不响应，或者关键字迹模糊、无法辨认； 经公共资源交易监督部门核准的；</w:t>
      </w:r>
    </w:p>
    <w:p w14:paraId="3B6D0276">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）同一投标人提交两个以上不同的投标文件或者投标报价，但招标文件规定提交备选方案的除外；</w:t>
      </w:r>
    </w:p>
    <w:p w14:paraId="2F2F2D1C">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）投标文件没有对招标文件的实质性要求和条件作出响应;</w:t>
      </w:r>
    </w:p>
    <w:p w14:paraId="1EEEB9EF">
      <w:pPr>
        <w:shd w:val="clear"/>
        <w:kinsoku/>
        <w:overflowPunct/>
        <w:bidi w:val="0"/>
        <w:spacing w:line="500" w:lineRule="exact"/>
        <w:ind w:left="0" w:leftChars="0" w:right="0" w:rightChars="0" w:firstLine="420" w:firstLineChars="200"/>
        <w:jc w:val="left"/>
        <w:rPr>
          <w:rFonts w:ascii="宋体" w:hAnsi="宋体" w:cs="宋体"/>
          <w:b/>
          <w:bCs/>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）投标报价超出规定的投标限价或公布的采购预算的或投标人的投标报价各项单价高于招标文件给定的单价最高限价；</w:t>
      </w:r>
    </w:p>
    <w:p w14:paraId="6E19B42B">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）不按评标委员会要求澄清、说明或补正的，或者评标委员会根据招标文件的规定对招标文件的计算错误进行修正后，投标人不接受修正的投标报价的。</w:t>
      </w:r>
    </w:p>
    <w:p w14:paraId="74AC2049">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）其它情形，经评标委员会委提出按无效投标处理，并经公共资源交易监督部门核准的；</w:t>
      </w:r>
    </w:p>
    <w:p w14:paraId="37212B76">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）投标文件含有招标人不能接受的附加条件的;</w:t>
      </w:r>
    </w:p>
    <w:p w14:paraId="337C06DE">
      <w:pPr>
        <w:shd w:val="clear"/>
        <w:tabs>
          <w:tab w:val="left" w:pos="1123"/>
        </w:tabs>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（9）招标文件规定的其它无效投标情形。</w:t>
      </w:r>
    </w:p>
    <w:p w14:paraId="1B889E95">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8.4 投标人有下列情形之一的, 详细评审后其投标按无效投标处理：</w:t>
      </w:r>
    </w:p>
    <w:p w14:paraId="0EE79332">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）投标产品不符合必须强制执行的国家标准的；</w:t>
      </w:r>
    </w:p>
    <w:p w14:paraId="3B243CBF">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）投标人有串通投标、弄虚作假、行贿等违法行为；</w:t>
      </w:r>
    </w:p>
    <w:p w14:paraId="1D104C0A">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）投标文件含有违反国家法律、法规的内容，或附有招标人不能接受的条件的；</w:t>
      </w:r>
    </w:p>
    <w:p w14:paraId="192F2D38">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（4）报价明显低于其他投标人，且不能证明报价合理性的投标无效；</w:t>
      </w:r>
    </w:p>
    <w:p w14:paraId="37F07218">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（5）拒不确认评标委员会评审修正的投标无效；</w:t>
      </w:r>
    </w:p>
    <w:p w14:paraId="442AAE7D">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（6）其它情形，经评标委员会委提出按无效投标处理，并经公共资源交易监督部门核准的；</w:t>
      </w:r>
    </w:p>
    <w:p w14:paraId="1358FED2">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）招标文件规定的其它无效投标情形。</w:t>
      </w:r>
    </w:p>
    <w:bookmarkEnd w:id="69"/>
    <w:p w14:paraId="5037E0B5">
      <w:pPr>
        <w:numPr>
          <w:ilvl w:val="0"/>
          <w:numId w:val="0"/>
        </w:numPr>
        <w:shd w:val="clear"/>
        <w:kinsoku/>
        <w:overflowPunct/>
        <w:bidi w:val="0"/>
        <w:snapToGrid w:val="0"/>
        <w:spacing w:line="440" w:lineRule="exact"/>
        <w:ind w:left="0" w:leftChars="0" w:right="0" w:rightChars="0" w:firstLine="14" w:firstLineChars="0"/>
        <w:jc w:val="center"/>
        <w:outlineLvl w:val="0"/>
        <w:rPr>
          <w:rFonts w:hint="eastAsia" w:ascii="宋体"/>
          <w:b/>
          <w:color w:val="auto"/>
          <w:sz w:val="32"/>
          <w:szCs w:val="32"/>
          <w:highlight w:val="none"/>
          <w:lang w:val="en-US" w:eastAsia="zh-CN"/>
        </w:rPr>
      </w:pPr>
      <w:bookmarkStart w:id="90" w:name="_Toc30417"/>
      <w:bookmarkStart w:id="91" w:name="_Toc449028945"/>
      <w:bookmarkStart w:id="92" w:name="_Toc22340"/>
    </w:p>
    <w:p w14:paraId="4D0AFE36">
      <w:pPr>
        <w:numPr>
          <w:ilvl w:val="0"/>
          <w:numId w:val="0"/>
        </w:numPr>
        <w:shd w:val="clear"/>
        <w:kinsoku/>
        <w:overflowPunct/>
        <w:bidi w:val="0"/>
        <w:snapToGrid w:val="0"/>
        <w:spacing w:line="440" w:lineRule="exact"/>
        <w:ind w:left="0" w:leftChars="0" w:right="0" w:rightChars="0" w:firstLine="14" w:firstLineChars="0"/>
        <w:jc w:val="center"/>
        <w:outlineLvl w:val="0"/>
        <w:rPr>
          <w:rFonts w:hint="eastAsia" w:ascii="宋体"/>
          <w:b/>
          <w:color w:val="auto"/>
          <w:sz w:val="32"/>
          <w:szCs w:val="32"/>
          <w:highlight w:val="none"/>
          <w:lang w:val="en-US" w:eastAsia="zh-CN"/>
        </w:rPr>
      </w:pPr>
    </w:p>
    <w:p w14:paraId="1B20C00F">
      <w:pPr>
        <w:numPr>
          <w:ilvl w:val="0"/>
          <w:numId w:val="0"/>
        </w:numPr>
        <w:shd w:val="clear"/>
        <w:kinsoku/>
        <w:overflowPunct/>
        <w:bidi w:val="0"/>
        <w:snapToGrid w:val="0"/>
        <w:spacing w:line="440" w:lineRule="exact"/>
        <w:ind w:left="0" w:leftChars="0" w:right="0" w:rightChars="0" w:firstLine="14" w:firstLineChars="0"/>
        <w:jc w:val="center"/>
        <w:outlineLvl w:val="0"/>
        <w:rPr>
          <w:rFonts w:hint="eastAsia" w:ascii="宋体"/>
          <w:b/>
          <w:color w:val="auto"/>
          <w:sz w:val="32"/>
          <w:szCs w:val="32"/>
          <w:highlight w:val="none"/>
          <w:lang w:val="en-US" w:eastAsia="zh-CN"/>
        </w:rPr>
      </w:pPr>
    </w:p>
    <w:p w14:paraId="6ED8D5D1">
      <w:pPr>
        <w:numPr>
          <w:ilvl w:val="0"/>
          <w:numId w:val="0"/>
        </w:numPr>
        <w:shd w:val="clear"/>
        <w:kinsoku/>
        <w:overflowPunct/>
        <w:bidi w:val="0"/>
        <w:snapToGrid w:val="0"/>
        <w:spacing w:line="440" w:lineRule="exact"/>
        <w:ind w:left="0" w:leftChars="0" w:right="0" w:rightChars="0" w:firstLine="14" w:firstLineChars="0"/>
        <w:jc w:val="center"/>
        <w:outlineLvl w:val="0"/>
        <w:rPr>
          <w:rFonts w:hint="eastAsia" w:ascii="宋体"/>
          <w:b/>
          <w:color w:val="auto"/>
          <w:sz w:val="32"/>
          <w:szCs w:val="32"/>
          <w:highlight w:val="none"/>
          <w:lang w:val="en-US" w:eastAsia="zh-CN"/>
        </w:rPr>
      </w:pPr>
    </w:p>
    <w:p w14:paraId="3669F67D">
      <w:pPr>
        <w:numPr>
          <w:ilvl w:val="0"/>
          <w:numId w:val="0"/>
        </w:numPr>
        <w:shd w:val="clear"/>
        <w:kinsoku/>
        <w:overflowPunct/>
        <w:bidi w:val="0"/>
        <w:snapToGrid w:val="0"/>
        <w:spacing w:line="440" w:lineRule="exact"/>
        <w:ind w:left="0" w:leftChars="0" w:right="0" w:rightChars="0" w:firstLine="14" w:firstLineChars="0"/>
        <w:jc w:val="center"/>
        <w:outlineLvl w:val="0"/>
        <w:rPr>
          <w:rFonts w:hint="eastAsia" w:ascii="宋体"/>
          <w:b/>
          <w:color w:val="auto"/>
          <w:sz w:val="32"/>
          <w:szCs w:val="32"/>
          <w:highlight w:val="none"/>
          <w:lang w:val="en-US" w:eastAsia="zh-CN"/>
        </w:rPr>
      </w:pPr>
    </w:p>
    <w:p w14:paraId="548B81E2">
      <w:pPr>
        <w:numPr>
          <w:ilvl w:val="0"/>
          <w:numId w:val="0"/>
        </w:numPr>
        <w:shd w:val="clear"/>
        <w:kinsoku/>
        <w:overflowPunct/>
        <w:bidi w:val="0"/>
        <w:snapToGrid w:val="0"/>
        <w:spacing w:line="440" w:lineRule="exact"/>
        <w:ind w:left="0" w:leftChars="0" w:right="0" w:rightChars="0" w:firstLine="14" w:firstLineChars="0"/>
        <w:jc w:val="center"/>
        <w:outlineLvl w:val="0"/>
        <w:rPr>
          <w:rFonts w:hint="eastAsia" w:ascii="宋体"/>
          <w:b/>
          <w:color w:val="auto"/>
          <w:sz w:val="32"/>
          <w:szCs w:val="32"/>
          <w:highlight w:val="none"/>
          <w:lang w:val="en-US" w:eastAsia="zh-CN"/>
        </w:rPr>
      </w:pPr>
    </w:p>
    <w:p w14:paraId="41AAD168">
      <w:pPr>
        <w:numPr>
          <w:ilvl w:val="0"/>
          <w:numId w:val="0"/>
        </w:numPr>
        <w:shd w:val="clear"/>
        <w:kinsoku/>
        <w:overflowPunct/>
        <w:bidi w:val="0"/>
        <w:snapToGrid w:val="0"/>
        <w:spacing w:line="440" w:lineRule="exact"/>
        <w:ind w:left="0" w:leftChars="0" w:right="0" w:rightChars="0" w:firstLine="14" w:firstLineChars="0"/>
        <w:jc w:val="center"/>
        <w:outlineLvl w:val="0"/>
        <w:rPr>
          <w:rFonts w:hint="eastAsia" w:ascii="宋体"/>
          <w:b/>
          <w:color w:val="auto"/>
          <w:sz w:val="32"/>
          <w:szCs w:val="32"/>
          <w:highlight w:val="none"/>
          <w:lang w:val="en-US" w:eastAsia="zh-CN"/>
        </w:rPr>
      </w:pPr>
    </w:p>
    <w:p w14:paraId="5D09A85C">
      <w:pPr>
        <w:numPr>
          <w:ilvl w:val="0"/>
          <w:numId w:val="0"/>
        </w:numPr>
        <w:shd w:val="clear"/>
        <w:kinsoku/>
        <w:overflowPunct/>
        <w:bidi w:val="0"/>
        <w:snapToGrid w:val="0"/>
        <w:spacing w:line="440" w:lineRule="exact"/>
        <w:ind w:left="0" w:leftChars="0" w:right="0" w:rightChars="0" w:firstLine="14" w:firstLineChars="0"/>
        <w:jc w:val="center"/>
        <w:outlineLvl w:val="0"/>
        <w:rPr>
          <w:rFonts w:hint="eastAsia" w:ascii="宋体"/>
          <w:b/>
          <w:color w:val="auto"/>
          <w:sz w:val="32"/>
          <w:szCs w:val="32"/>
          <w:highlight w:val="none"/>
          <w:lang w:val="en-US" w:eastAsia="zh-CN"/>
        </w:rPr>
      </w:pPr>
    </w:p>
    <w:p w14:paraId="33366208">
      <w:pPr>
        <w:numPr>
          <w:ilvl w:val="0"/>
          <w:numId w:val="0"/>
        </w:numPr>
        <w:shd w:val="clear"/>
        <w:kinsoku/>
        <w:overflowPunct/>
        <w:bidi w:val="0"/>
        <w:snapToGrid w:val="0"/>
        <w:spacing w:line="440" w:lineRule="exact"/>
        <w:ind w:left="0" w:leftChars="0" w:right="0" w:rightChars="0" w:firstLine="14" w:firstLineChars="0"/>
        <w:jc w:val="center"/>
        <w:outlineLvl w:val="0"/>
        <w:rPr>
          <w:rFonts w:hint="eastAsia" w:ascii="宋体"/>
          <w:b/>
          <w:color w:val="auto"/>
          <w:sz w:val="32"/>
          <w:szCs w:val="32"/>
          <w:highlight w:val="none"/>
          <w:lang w:val="en-US" w:eastAsia="zh-CN"/>
        </w:rPr>
      </w:pPr>
    </w:p>
    <w:p w14:paraId="5FE44EA1">
      <w:pPr>
        <w:numPr>
          <w:ilvl w:val="0"/>
          <w:numId w:val="0"/>
        </w:numPr>
        <w:shd w:val="clear"/>
        <w:kinsoku/>
        <w:overflowPunct/>
        <w:bidi w:val="0"/>
        <w:snapToGrid w:val="0"/>
        <w:spacing w:line="440" w:lineRule="exact"/>
        <w:ind w:left="0" w:leftChars="0" w:right="0" w:rightChars="0" w:firstLine="14" w:firstLineChars="0"/>
        <w:jc w:val="center"/>
        <w:outlineLvl w:val="0"/>
        <w:rPr>
          <w:rFonts w:hint="eastAsia" w:ascii="宋体"/>
          <w:b/>
          <w:color w:val="auto"/>
          <w:sz w:val="32"/>
          <w:szCs w:val="32"/>
          <w:highlight w:val="none"/>
          <w:lang w:val="en-US" w:eastAsia="zh-CN"/>
        </w:rPr>
      </w:pPr>
    </w:p>
    <w:p w14:paraId="73EE4575">
      <w:pPr>
        <w:numPr>
          <w:ilvl w:val="0"/>
          <w:numId w:val="0"/>
        </w:numPr>
        <w:shd w:val="clear"/>
        <w:kinsoku/>
        <w:overflowPunct/>
        <w:bidi w:val="0"/>
        <w:snapToGrid w:val="0"/>
        <w:spacing w:line="440" w:lineRule="exact"/>
        <w:ind w:left="0" w:leftChars="0" w:right="0" w:rightChars="0" w:firstLine="14" w:firstLineChars="0"/>
        <w:jc w:val="center"/>
        <w:outlineLvl w:val="0"/>
        <w:rPr>
          <w:rFonts w:hAnsi="宋体"/>
          <w:b/>
          <w:bCs/>
          <w:color w:val="auto"/>
          <w:sz w:val="32"/>
          <w:szCs w:val="32"/>
          <w:highlight w:val="none"/>
        </w:rPr>
      </w:pPr>
      <w:r>
        <w:rPr>
          <w:rFonts w:hint="eastAsia" w:ascii="宋体"/>
          <w:b/>
          <w:color w:val="auto"/>
          <w:sz w:val="32"/>
          <w:szCs w:val="32"/>
          <w:highlight w:val="none"/>
          <w:lang w:val="en-US" w:eastAsia="zh-CN"/>
        </w:rPr>
        <w:t>第四章</w:t>
      </w:r>
      <w:r>
        <w:rPr>
          <w:rFonts w:hint="eastAsia" w:ascii="宋体"/>
          <w:b/>
          <w:color w:val="auto"/>
          <w:sz w:val="32"/>
          <w:szCs w:val="32"/>
          <w:highlight w:val="none"/>
        </w:rPr>
        <w:t xml:space="preserve"> </w:t>
      </w:r>
      <w:r>
        <w:rPr>
          <w:rFonts w:hint="eastAsia" w:ascii="宋体"/>
          <w:b/>
          <w:color w:val="auto"/>
          <w:sz w:val="32"/>
          <w:szCs w:val="32"/>
          <w:highlight w:val="none"/>
          <w:lang w:val="en-US" w:eastAsia="zh-CN"/>
        </w:rPr>
        <w:t>服务内容及技术要</w:t>
      </w:r>
      <w:r>
        <w:rPr>
          <w:rFonts w:hint="eastAsia" w:hAnsi="宋体"/>
          <w:b/>
          <w:bCs/>
          <w:color w:val="auto"/>
          <w:sz w:val="32"/>
          <w:szCs w:val="32"/>
          <w:highlight w:val="none"/>
        </w:rPr>
        <w:t>求</w:t>
      </w:r>
      <w:bookmarkEnd w:id="90"/>
    </w:p>
    <w:p w14:paraId="29F61579">
      <w:pPr>
        <w:pStyle w:val="14"/>
        <w:keepNext w:val="0"/>
        <w:keepLines w:val="0"/>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480" w:lineRule="exact"/>
        <w:ind w:left="0" w:leftChars="0" w:right="0" w:rightChars="0"/>
        <w:textAlignment w:val="auto"/>
        <w:rPr>
          <w:rFonts w:hint="eastAsia" w:ascii="Times New Roman" w:hAnsi="宋体" w:eastAsia="宋体" w:cs="Times New Roman"/>
          <w:b/>
          <w:bCs/>
          <w:color w:val="auto"/>
          <w:kern w:val="2"/>
          <w:sz w:val="28"/>
          <w:szCs w:val="28"/>
          <w:highlight w:val="none"/>
          <w:lang w:val="en-US" w:eastAsia="zh-CN" w:bidi="ar-SA"/>
        </w:rPr>
      </w:pPr>
      <w:r>
        <w:rPr>
          <w:rFonts w:hint="eastAsia" w:ascii="Times New Roman" w:hAnsi="宋体" w:eastAsia="宋体" w:cs="Times New Roman"/>
          <w:b/>
          <w:bCs/>
          <w:color w:val="auto"/>
          <w:kern w:val="2"/>
          <w:sz w:val="28"/>
          <w:szCs w:val="28"/>
          <w:highlight w:val="none"/>
          <w:lang w:val="en-US" w:eastAsia="zh-CN" w:bidi="ar-SA"/>
        </w:rPr>
        <w:t>一、项目概况</w:t>
      </w:r>
    </w:p>
    <w:p w14:paraId="4159673A">
      <w:pPr>
        <w:pStyle w:val="52"/>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420" w:firstLineChars="200"/>
        <w:textAlignment w:val="auto"/>
        <w:rPr>
          <w:rFonts w:hint="eastAsia"/>
          <w:b w:val="0"/>
          <w:bCs w:val="0"/>
          <w:color w:val="auto"/>
          <w:highlight w:val="none"/>
        </w:rPr>
      </w:pPr>
      <w:r>
        <w:rPr>
          <w:rFonts w:hint="eastAsia"/>
          <w:b w:val="0"/>
          <w:bCs w:val="0"/>
          <w:color w:val="auto"/>
          <w:highlight w:val="none"/>
          <w:lang w:val="en-US" w:eastAsia="zh-CN"/>
        </w:rPr>
        <w:t>为保障滁州工投新能源开发有限公司旗下运营的光伏电站及电动汽车充电站的高压配电设施安全、稳定、高效的运行，现公开招标巡检维护服务单位。服务范围涵盖所有场站内的环网柜、箱变及其内部全部设施，以及高压下火线至环网柜、箱变段的高压配电设施。</w:t>
      </w:r>
    </w:p>
    <w:p w14:paraId="0DD7098B">
      <w:pPr>
        <w:pStyle w:val="14"/>
        <w:keepNext w:val="0"/>
        <w:keepLines w:val="0"/>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480" w:lineRule="exact"/>
        <w:ind w:left="0" w:leftChars="0" w:right="0" w:rightChars="0"/>
        <w:textAlignment w:val="auto"/>
        <w:rPr>
          <w:rFonts w:hint="eastAsia" w:ascii="Times New Roman" w:hAnsi="宋体" w:eastAsia="宋体" w:cs="Times New Roman"/>
          <w:b/>
          <w:bCs/>
          <w:color w:val="auto"/>
          <w:kern w:val="2"/>
          <w:sz w:val="28"/>
          <w:szCs w:val="28"/>
          <w:highlight w:val="none"/>
          <w:lang w:val="en-US" w:eastAsia="zh-CN" w:bidi="ar-SA"/>
        </w:rPr>
      </w:pPr>
      <w:r>
        <w:rPr>
          <w:rFonts w:hint="eastAsia" w:ascii="Times New Roman" w:hAnsi="宋体" w:eastAsia="宋体" w:cs="Times New Roman"/>
          <w:b/>
          <w:bCs/>
          <w:color w:val="auto"/>
          <w:kern w:val="2"/>
          <w:sz w:val="28"/>
          <w:szCs w:val="28"/>
          <w:highlight w:val="none"/>
          <w:lang w:val="en-US" w:eastAsia="zh-CN" w:bidi="ar-SA"/>
        </w:rPr>
        <w:t>二、工作内容</w:t>
      </w:r>
    </w:p>
    <w:p w14:paraId="72C52CF5">
      <w:pPr>
        <w:keepNext w:val="0"/>
        <w:keepLines w:val="0"/>
        <w:pageBreakBefore w:val="0"/>
        <w:kinsoku/>
        <w:wordWrap/>
        <w:overflowPunct/>
        <w:topLinePunct w:val="0"/>
        <w:autoSpaceDE/>
        <w:autoSpaceDN/>
        <w:bidi w:val="0"/>
        <w:adjustRightInd/>
        <w:snapToGrid w:val="0"/>
        <w:spacing w:line="400" w:lineRule="exact"/>
        <w:ind w:left="0" w:leftChars="0" w:right="0" w:rightChars="0" w:firstLine="422" w:firstLineChars="200"/>
        <w:textAlignment w:val="auto"/>
        <w:rPr>
          <w:rFonts w:hint="eastAsia" w:ascii="宋体" w:hAnsi="宋体" w:cs="宋体"/>
          <w:b w:val="0"/>
          <w:bCs/>
          <w:color w:val="auto"/>
          <w:szCs w:val="21"/>
          <w:highlight w:val="none"/>
          <w:lang w:val="en-US" w:eastAsia="zh-CN"/>
        </w:rPr>
      </w:pPr>
      <w:r>
        <w:rPr>
          <w:rFonts w:hint="eastAsia" w:ascii="宋体" w:hAnsi="宋体" w:cs="宋体"/>
          <w:b/>
          <w:bCs w:val="0"/>
          <w:color w:val="auto"/>
          <w:szCs w:val="21"/>
          <w:highlight w:val="none"/>
          <w:lang w:val="en-US" w:eastAsia="zh-CN"/>
        </w:rPr>
        <w:t>1、工作范围：</w:t>
      </w:r>
      <w:r>
        <w:rPr>
          <w:rFonts w:hint="eastAsia" w:ascii="宋体" w:hAnsi="宋体" w:eastAsia="宋体" w:cs="宋体"/>
          <w:color w:val="auto"/>
          <w:szCs w:val="21"/>
          <w:highlight w:val="none"/>
          <w:shd w:val="clear" w:color="auto" w:fill="auto"/>
          <w:lang w:val="en-US" w:eastAsia="zh-CN"/>
        </w:rPr>
        <w:t>具体以《工程量清单》所列场站及设备为准。</w:t>
      </w:r>
    </w:p>
    <w:p w14:paraId="614494CB">
      <w:pPr>
        <w:shd w:val="clear"/>
        <w:kinsoku/>
        <w:overflowPunct/>
        <w:bidi w:val="0"/>
        <w:snapToGrid w:val="0"/>
        <w:spacing w:line="500" w:lineRule="exact"/>
        <w:ind w:left="0" w:leftChars="0" w:right="0" w:rightChars="0" w:firstLine="422" w:firstLineChars="200"/>
        <w:jc w:val="left"/>
        <w:rPr>
          <w:rFonts w:hint="eastAsia" w:ascii="宋体" w:hAnsi="宋体" w:eastAsia="宋体" w:cs="宋体"/>
          <w:color w:val="auto"/>
          <w:szCs w:val="21"/>
          <w:highlight w:val="none"/>
          <w:shd w:val="clear" w:color="auto" w:fill="auto"/>
          <w:lang w:val="en-US" w:eastAsia="zh-CN"/>
        </w:rPr>
      </w:pPr>
      <w:r>
        <w:rPr>
          <w:rFonts w:hint="eastAsia" w:ascii="宋体" w:hAnsi="宋体" w:cs="宋体"/>
          <w:b/>
          <w:bCs w:val="0"/>
          <w:color w:val="auto"/>
          <w:szCs w:val="21"/>
          <w:highlight w:val="none"/>
          <w:lang w:val="en-US" w:eastAsia="zh-CN"/>
        </w:rPr>
        <w:t>2、巡检维护内容：</w:t>
      </w:r>
      <w:r>
        <w:rPr>
          <w:rFonts w:hint="eastAsia" w:ascii="宋体" w:hAnsi="宋体" w:eastAsia="宋体" w:cs="宋体"/>
          <w:color w:val="auto"/>
          <w:szCs w:val="21"/>
          <w:highlight w:val="none"/>
          <w:shd w:val="clear" w:color="auto" w:fill="auto"/>
          <w:lang w:val="en-US" w:eastAsia="zh-CN"/>
        </w:rPr>
        <w:t>包括但不限于以下项目的检查、测试、记录与必要维护：</w:t>
      </w:r>
    </w:p>
    <w:p w14:paraId="62AEB64B">
      <w:pPr>
        <w:pStyle w:val="98"/>
        <w:keepNext w:val="0"/>
        <w:keepLines w:val="0"/>
        <w:pageBreakBefore w:val="0"/>
        <w:numPr>
          <w:ilvl w:val="0"/>
          <w:numId w:val="0"/>
        </w:numPr>
        <w:kinsoku/>
        <w:wordWrap/>
        <w:overflowPunct/>
        <w:topLinePunct w:val="0"/>
        <w:autoSpaceDE/>
        <w:autoSpaceDN/>
        <w:bidi w:val="0"/>
        <w:adjustRightInd/>
        <w:snapToGrid/>
        <w:spacing w:line="420" w:lineRule="exact"/>
        <w:ind w:left="0" w:leftChars="0" w:right="0" w:rightChars="0"/>
        <w:rPr>
          <w:rFonts w:hint="default"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检查配电柜及柜上的电气元件名称、标志、编号是否正确，开关柜上的操作把手、按钮按键等。位置是否与实际情况一致，固定是否牢固，操作是否灵活。</w:t>
      </w:r>
    </w:p>
    <w:p w14:paraId="07622F04">
      <w:pPr>
        <w:pStyle w:val="98"/>
        <w:keepNext w:val="0"/>
        <w:keepLines w:val="0"/>
        <w:pageBreakBefore w:val="0"/>
        <w:kinsoku/>
        <w:wordWrap/>
        <w:overflowPunct/>
        <w:topLinePunct w:val="0"/>
        <w:autoSpaceDE/>
        <w:autoSpaceDN/>
        <w:bidi w:val="0"/>
        <w:adjustRightInd/>
        <w:snapToGrid/>
        <w:spacing w:line="420" w:lineRule="exact"/>
        <w:ind w:left="0" w:leftChars="0" w:right="0" w:rightChars="0" w:firstLine="63" w:firstLineChars="3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配电柜上表示“合闸”、“分闸”的按钮是否牢靠，操作是否灵活。</w:t>
      </w:r>
    </w:p>
    <w:p w14:paraId="16CDC704">
      <w:pPr>
        <w:pStyle w:val="98"/>
        <w:keepNext w:val="0"/>
        <w:keepLines w:val="0"/>
        <w:pageBreakBefore w:val="0"/>
        <w:kinsoku/>
        <w:wordWrap/>
        <w:overflowPunct/>
        <w:topLinePunct w:val="0"/>
        <w:autoSpaceDE/>
        <w:autoSpaceDN/>
        <w:bidi w:val="0"/>
        <w:adjustRightInd/>
        <w:snapToGrid/>
        <w:spacing w:line="420" w:lineRule="exact"/>
        <w:ind w:left="0" w:leftChars="0" w:right="0" w:rightChars="0" w:firstLine="63" w:firstLineChars="3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隔离开关、断路器、熔断器和互感器等的触点是否牢靠，有无过热、变色现象。</w:t>
      </w:r>
    </w:p>
    <w:p w14:paraId="0054DD13">
      <w:pPr>
        <w:pStyle w:val="98"/>
        <w:keepNext w:val="0"/>
        <w:keepLines w:val="0"/>
        <w:pageBreakBefore w:val="0"/>
        <w:kinsoku/>
        <w:wordWrap/>
        <w:overflowPunct/>
        <w:topLinePunct w:val="0"/>
        <w:autoSpaceDE/>
        <w:autoSpaceDN/>
        <w:bidi w:val="0"/>
        <w:adjustRightInd/>
        <w:snapToGrid/>
        <w:spacing w:line="420" w:lineRule="exact"/>
        <w:ind w:left="0" w:leftChars="0" w:right="0" w:rightChars="0" w:firstLine="63" w:firstLineChars="3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二次回路导线的绝缘是否破损、老化。</w:t>
      </w:r>
    </w:p>
    <w:p w14:paraId="5C0E9F9A">
      <w:pPr>
        <w:pStyle w:val="98"/>
        <w:keepNext w:val="0"/>
        <w:keepLines w:val="0"/>
        <w:pageBreakBefore w:val="0"/>
        <w:kinsoku/>
        <w:wordWrap/>
        <w:overflowPunct/>
        <w:topLinePunct w:val="0"/>
        <w:autoSpaceDE/>
        <w:autoSpaceDN/>
        <w:bidi w:val="0"/>
        <w:adjustRightInd/>
        <w:snapToGrid/>
        <w:spacing w:line="420" w:lineRule="exact"/>
        <w:ind w:left="0" w:leftChars="0" w:right="0" w:rightChars="0" w:firstLine="63" w:firstLineChars="3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开关柜上标的操作模拟板与电气设备运行状态是否对应。</w:t>
      </w:r>
    </w:p>
    <w:p w14:paraId="62E8AAC0">
      <w:pPr>
        <w:pStyle w:val="98"/>
        <w:keepNext w:val="0"/>
        <w:keepLines w:val="0"/>
        <w:pageBreakBefore w:val="0"/>
        <w:kinsoku/>
        <w:wordWrap/>
        <w:overflowPunct/>
        <w:topLinePunct w:val="0"/>
        <w:autoSpaceDE/>
        <w:autoSpaceDN/>
        <w:bidi w:val="0"/>
        <w:adjustRightInd/>
        <w:snapToGrid/>
        <w:spacing w:line="420" w:lineRule="exact"/>
        <w:ind w:left="0" w:leftChars="0" w:right="0" w:rightChars="0" w:firstLine="63" w:firstLineChars="3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仪表或表盘内玻璃是否松动，仪表指示是否正确。</w:t>
      </w:r>
    </w:p>
    <w:p w14:paraId="0F9C3B12">
      <w:pPr>
        <w:pStyle w:val="98"/>
        <w:keepNext w:val="0"/>
        <w:keepLines w:val="0"/>
        <w:pageBreakBefore w:val="0"/>
        <w:kinsoku/>
        <w:wordWrap/>
        <w:overflowPunct/>
        <w:topLinePunct w:val="0"/>
        <w:autoSpaceDE/>
        <w:autoSpaceDN/>
        <w:bidi w:val="0"/>
        <w:adjustRightInd/>
        <w:snapToGrid/>
        <w:spacing w:line="420" w:lineRule="exact"/>
        <w:ind w:left="0" w:leftChars="0" w:right="0" w:rightChars="0" w:firstLine="63" w:firstLineChars="3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箱变内照明灯具是否完好，亮度是否均匀，观察仪表时有无眩光。</w:t>
      </w:r>
    </w:p>
    <w:p w14:paraId="1B9D3FA2">
      <w:pPr>
        <w:pStyle w:val="98"/>
        <w:keepNext w:val="0"/>
        <w:keepLines w:val="0"/>
        <w:pageBreakBefore w:val="0"/>
        <w:kinsoku/>
        <w:wordWrap/>
        <w:overflowPunct/>
        <w:topLinePunct w:val="0"/>
        <w:autoSpaceDE/>
        <w:autoSpaceDN/>
        <w:bidi w:val="0"/>
        <w:adjustRightInd/>
        <w:snapToGrid/>
        <w:spacing w:line="420" w:lineRule="exact"/>
        <w:ind w:left="0" w:leftChars="0" w:right="0" w:rightChars="0" w:firstLine="63" w:firstLineChars="3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巡视检查中发现的问题要及时处理，并做好记录。</w:t>
      </w:r>
    </w:p>
    <w:p w14:paraId="1519EC31">
      <w:pPr>
        <w:pStyle w:val="14"/>
        <w:keepNext w:val="0"/>
        <w:keepLines w:val="0"/>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480" w:lineRule="exact"/>
        <w:ind w:left="0" w:leftChars="0" w:right="0" w:rightChars="0"/>
        <w:textAlignment w:val="auto"/>
        <w:rPr>
          <w:rFonts w:hint="eastAsia" w:ascii="Times New Roman" w:hAnsi="宋体" w:eastAsia="宋体" w:cs="Times New Roman"/>
          <w:b/>
          <w:bCs/>
          <w:color w:val="auto"/>
          <w:kern w:val="2"/>
          <w:sz w:val="28"/>
          <w:szCs w:val="28"/>
          <w:highlight w:val="none"/>
          <w:lang w:val="en-US" w:eastAsia="zh-CN" w:bidi="ar-SA"/>
        </w:rPr>
      </w:pPr>
      <w:r>
        <w:rPr>
          <w:rFonts w:hint="eastAsia" w:ascii="Times New Roman" w:hAnsi="宋体" w:eastAsia="宋体" w:cs="Times New Roman"/>
          <w:b/>
          <w:bCs/>
          <w:color w:val="auto"/>
          <w:kern w:val="2"/>
          <w:sz w:val="28"/>
          <w:szCs w:val="28"/>
          <w:highlight w:val="none"/>
          <w:lang w:val="en-US" w:eastAsia="zh-CN" w:bidi="ar-SA"/>
        </w:rPr>
        <w:t>三、服务标准与要求</w:t>
      </w:r>
    </w:p>
    <w:p w14:paraId="1BD1ECF5">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422" w:firstLineChars="200"/>
        <w:jc w:val="left"/>
        <w:textAlignment w:val="center"/>
        <w:rPr>
          <w:rFonts w:hint="default" w:ascii="宋体" w:hAnsi="宋体" w:cs="宋体"/>
          <w:b/>
          <w:bCs w:val="0"/>
          <w:color w:val="auto"/>
          <w:kern w:val="2"/>
          <w:sz w:val="21"/>
          <w:szCs w:val="21"/>
          <w:highlight w:val="none"/>
          <w:lang w:val="en-US" w:eastAsia="zh-CN" w:bidi="ar-SA"/>
        </w:rPr>
      </w:pPr>
      <w:r>
        <w:rPr>
          <w:rFonts w:hint="eastAsia" w:ascii="宋体" w:hAnsi="宋体" w:cs="宋体"/>
          <w:b/>
          <w:bCs w:val="0"/>
          <w:color w:val="auto"/>
          <w:kern w:val="2"/>
          <w:sz w:val="21"/>
          <w:szCs w:val="21"/>
          <w:highlight w:val="none"/>
          <w:lang w:val="en-US" w:eastAsia="zh-CN" w:bidi="ar-SA"/>
        </w:rPr>
        <w:t>1、定期巡检维护</w:t>
      </w:r>
    </w:p>
    <w:p w14:paraId="32D3EC8C">
      <w:pPr>
        <w:keepNext w:val="0"/>
        <w:keepLines w:val="0"/>
        <w:pageBreakBefore w:val="0"/>
        <w:kinsoku/>
        <w:wordWrap/>
        <w:overflowPunct/>
        <w:topLinePunct w:val="0"/>
        <w:autoSpaceDE/>
        <w:autoSpaceDN/>
        <w:bidi w:val="0"/>
        <w:adjustRightInd/>
        <w:snapToGrid w:val="0"/>
        <w:spacing w:line="500" w:lineRule="exact"/>
        <w:ind w:left="0" w:leftChars="0" w:right="0" w:rightChars="0" w:firstLine="422" w:firstLineChars="200"/>
        <w:textAlignment w:val="auto"/>
        <w:rPr>
          <w:rFonts w:hint="eastAsia" w:ascii="宋体" w:hAnsi="宋体" w:cs="宋体"/>
          <w:b w:val="0"/>
          <w:bCs/>
          <w:color w:val="auto"/>
          <w:szCs w:val="21"/>
          <w:highlight w:val="none"/>
          <w:lang w:val="en-US" w:eastAsia="zh-CN"/>
        </w:rPr>
      </w:pPr>
      <w:r>
        <w:rPr>
          <w:rFonts w:hint="eastAsia" w:ascii="宋体" w:hAnsi="宋体" w:cs="宋体"/>
          <w:b/>
          <w:bCs w:val="0"/>
          <w:color w:val="auto"/>
          <w:szCs w:val="21"/>
          <w:highlight w:val="none"/>
          <w:lang w:val="en-US" w:eastAsia="zh-CN"/>
        </w:rPr>
        <w:t>频率</w:t>
      </w:r>
      <w:r>
        <w:rPr>
          <w:rFonts w:hint="default" w:ascii="宋体" w:hAnsi="宋体" w:cs="宋体"/>
          <w:b/>
          <w:bCs w:val="0"/>
          <w:color w:val="auto"/>
          <w:szCs w:val="21"/>
          <w:highlight w:val="none"/>
          <w:lang w:val="en-US" w:eastAsia="zh-CN"/>
        </w:rPr>
        <w:t>：</w:t>
      </w:r>
      <w:r>
        <w:rPr>
          <w:rFonts w:hint="default" w:ascii="宋体" w:hAnsi="宋体" w:cs="宋体"/>
          <w:b w:val="0"/>
          <w:bCs/>
          <w:color w:val="auto"/>
          <w:szCs w:val="21"/>
          <w:highlight w:val="none"/>
          <w:lang w:val="en-US" w:eastAsia="zh-CN"/>
        </w:rPr>
        <w:t>每季度一次，全年共四次。</w:t>
      </w:r>
    </w:p>
    <w:p w14:paraId="63731500">
      <w:pPr>
        <w:keepNext w:val="0"/>
        <w:keepLines w:val="0"/>
        <w:pageBreakBefore w:val="0"/>
        <w:kinsoku/>
        <w:wordWrap/>
        <w:overflowPunct/>
        <w:topLinePunct w:val="0"/>
        <w:autoSpaceDE/>
        <w:autoSpaceDN/>
        <w:bidi w:val="0"/>
        <w:adjustRightInd/>
        <w:snapToGrid w:val="0"/>
        <w:spacing w:line="500" w:lineRule="exact"/>
        <w:ind w:left="0" w:leftChars="0" w:right="0" w:rightChars="0" w:firstLine="422" w:firstLineChars="200"/>
        <w:textAlignment w:val="auto"/>
        <w:rPr>
          <w:rFonts w:hint="eastAsia" w:ascii="宋体" w:hAnsi="宋体" w:cs="宋体"/>
          <w:b w:val="0"/>
          <w:bCs/>
          <w:color w:val="auto"/>
          <w:szCs w:val="21"/>
          <w:highlight w:val="none"/>
          <w:lang w:val="en-US" w:eastAsia="zh-CN"/>
        </w:rPr>
      </w:pPr>
      <w:r>
        <w:rPr>
          <w:rFonts w:hint="default" w:ascii="宋体" w:hAnsi="宋体" w:cs="宋体"/>
          <w:b/>
          <w:bCs w:val="0"/>
          <w:color w:val="auto"/>
          <w:szCs w:val="21"/>
          <w:highlight w:val="none"/>
          <w:lang w:val="en-US" w:eastAsia="zh-CN"/>
        </w:rPr>
        <w:t>内容：</w:t>
      </w:r>
      <w:r>
        <w:rPr>
          <w:rFonts w:hint="default" w:ascii="宋体" w:hAnsi="宋体" w:cs="宋体"/>
          <w:b w:val="0"/>
          <w:bCs/>
          <w:color w:val="auto"/>
          <w:szCs w:val="21"/>
          <w:highlight w:val="none"/>
          <w:lang w:val="en-US" w:eastAsia="zh-CN"/>
        </w:rPr>
        <w:t>包括但不限于——柜内异响（</w:t>
      </w:r>
      <w:r>
        <w:rPr>
          <w:rFonts w:hint="eastAsia" w:ascii="宋体" w:hAnsi="宋体" w:cs="宋体"/>
          <w:b w:val="0"/>
          <w:bCs/>
          <w:color w:val="auto"/>
          <w:szCs w:val="21"/>
          <w:highlight w:val="none"/>
          <w:lang w:val="en-US" w:eastAsia="zh-CN"/>
        </w:rPr>
        <w:t>满足《</w:t>
      </w:r>
      <w:bookmarkStart w:id="93" w:name="OLE_LINK3"/>
      <w:r>
        <w:rPr>
          <w:rFonts w:hint="eastAsia" w:ascii="宋体" w:hAnsi="宋体" w:cs="宋体"/>
          <w:b w:val="0"/>
          <w:bCs/>
          <w:color w:val="auto"/>
          <w:szCs w:val="21"/>
          <w:highlight w:val="none"/>
          <w:lang w:val="en-US" w:eastAsia="zh-CN"/>
        </w:rPr>
        <w:t>城市区域噪音标准》GB3096-2008</w:t>
      </w:r>
      <w:bookmarkEnd w:id="93"/>
      <w:r>
        <w:rPr>
          <w:rFonts w:hint="default" w:ascii="宋体" w:hAnsi="宋体" w:cs="宋体"/>
          <w:b w:val="0"/>
          <w:bCs/>
          <w:color w:val="auto"/>
          <w:szCs w:val="21"/>
          <w:highlight w:val="none"/>
          <w:lang w:val="en-US" w:eastAsia="zh-CN"/>
        </w:rPr>
        <w:t>）与异味检测；设备积尘清理；电柜温湿度测量；变压器渗油检查与定期加油保养；</w:t>
      </w:r>
      <w:r>
        <w:rPr>
          <w:rFonts w:hint="eastAsia" w:ascii="宋体" w:hAnsi="宋体" w:cs="宋体"/>
          <w:b w:val="0"/>
          <w:bCs/>
          <w:color w:val="auto"/>
          <w:szCs w:val="21"/>
          <w:highlight w:val="none"/>
        </w:rPr>
        <w:t>隔离开关、断路器、熔断器和互感器</w:t>
      </w:r>
      <w:r>
        <w:rPr>
          <w:rFonts w:hint="eastAsia" w:ascii="宋体" w:hAnsi="宋体" w:cs="宋体"/>
          <w:b w:val="0"/>
          <w:bCs/>
          <w:color w:val="auto"/>
          <w:szCs w:val="21"/>
          <w:highlight w:val="none"/>
          <w:lang w:val="en-US" w:eastAsia="zh-CN"/>
        </w:rPr>
        <w:t>工作状态；</w:t>
      </w:r>
      <w:r>
        <w:rPr>
          <w:rFonts w:hint="default" w:ascii="宋体" w:hAnsi="宋体" w:cs="宋体"/>
          <w:b w:val="0"/>
          <w:bCs/>
          <w:color w:val="auto"/>
          <w:szCs w:val="21"/>
          <w:highlight w:val="none"/>
          <w:lang w:val="en-US" w:eastAsia="zh-CN"/>
        </w:rPr>
        <w:t>设备外观完整性检查；防小动物设施（如挡板）有效性检查；高低压信号灯状态检查；计量装置铅封完好性检查；电容柜无功补偿器工作状态及电容器外观（鼓胀、漏油）检查；场站积水抽除与周边杂草清除。</w:t>
      </w:r>
    </w:p>
    <w:p w14:paraId="67398642">
      <w:pPr>
        <w:kinsoku/>
        <w:overflowPunct/>
        <w:bidi w:val="0"/>
        <w:spacing w:line="360" w:lineRule="auto"/>
        <w:ind w:left="0" w:leftChars="0" w:right="0" w:rightChars="0" w:firstLine="435"/>
        <w:rPr>
          <w:rFonts w:hint="default" w:ascii="宋体" w:hAnsi="宋体" w:eastAsia="宋体" w:cs="宋体"/>
          <w:b w:val="0"/>
          <w:bCs/>
          <w:color w:val="auto"/>
          <w:szCs w:val="21"/>
          <w:highlight w:val="none"/>
          <w:lang w:val="en-US" w:eastAsia="zh-CN"/>
        </w:rPr>
      </w:pPr>
      <w:r>
        <w:rPr>
          <w:rFonts w:hint="default" w:ascii="宋体" w:hAnsi="宋体" w:cs="宋体"/>
          <w:b/>
          <w:bCs w:val="0"/>
          <w:color w:val="auto"/>
          <w:szCs w:val="21"/>
          <w:highlight w:val="none"/>
          <w:lang w:val="en-US" w:eastAsia="zh-CN"/>
        </w:rPr>
        <w:t>费用说明：</w:t>
      </w:r>
      <w:r>
        <w:rPr>
          <w:rFonts w:hint="default" w:ascii="宋体" w:hAnsi="宋体" w:cs="宋体"/>
          <w:b w:val="0"/>
          <w:bCs/>
          <w:color w:val="auto"/>
          <w:szCs w:val="21"/>
          <w:highlight w:val="none"/>
          <w:lang w:val="en-US" w:eastAsia="zh-CN"/>
        </w:rPr>
        <w:t>单次服务中，若仅涉及人工、普通工具及低值耗材，且总费用在人民币</w:t>
      </w:r>
      <w:r>
        <w:rPr>
          <w:rFonts w:hint="eastAsia" w:ascii="宋体" w:hAnsi="宋体" w:cs="宋体"/>
          <w:b w:val="0"/>
          <w:bCs/>
          <w:color w:val="auto"/>
          <w:szCs w:val="21"/>
          <w:highlight w:val="none"/>
          <w:lang w:val="en-US" w:eastAsia="zh-CN"/>
        </w:rPr>
        <w:t>2</w:t>
      </w:r>
      <w:r>
        <w:rPr>
          <w:rFonts w:hint="default" w:ascii="宋体" w:hAnsi="宋体" w:cs="宋体"/>
          <w:b w:val="0"/>
          <w:bCs/>
          <w:color w:val="auto"/>
          <w:szCs w:val="21"/>
          <w:highlight w:val="none"/>
          <w:lang w:val="en-US" w:eastAsia="zh-CN"/>
        </w:rPr>
        <w:t>000元（含）以下，由中标单位承担。</w:t>
      </w:r>
      <w:r>
        <w:rPr>
          <w:rFonts w:hint="default" w:ascii="宋体" w:hAnsi="宋体" w:eastAsia="宋体" w:cs="宋体"/>
          <w:b w:val="0"/>
          <w:bCs/>
          <w:color w:val="auto"/>
          <w:szCs w:val="21"/>
          <w:highlight w:val="none"/>
          <w:lang w:val="en-US" w:eastAsia="zh-CN"/>
        </w:rPr>
        <w:t>超出人民币2000元，设备更换的，主要材料及设备由甲方提供。本项目所有人工服务费用含在综合报价中。</w:t>
      </w:r>
    </w:p>
    <w:p w14:paraId="2ED3E34A">
      <w:pPr>
        <w:keepNext w:val="0"/>
        <w:keepLines w:val="0"/>
        <w:pageBreakBefore w:val="0"/>
        <w:numPr>
          <w:ilvl w:val="0"/>
          <w:numId w:val="0"/>
        </w:numPr>
        <w:kinsoku/>
        <w:wordWrap/>
        <w:overflowPunct/>
        <w:topLinePunct w:val="0"/>
        <w:autoSpaceDE/>
        <w:autoSpaceDN/>
        <w:bidi w:val="0"/>
        <w:adjustRightInd/>
        <w:snapToGrid/>
        <w:spacing w:line="500" w:lineRule="exact"/>
        <w:ind w:left="0" w:leftChars="0" w:right="0" w:rightChars="0" w:firstLine="422" w:firstLineChars="200"/>
        <w:rPr>
          <w:rFonts w:hint="eastAsia" w:ascii="宋体" w:hAnsi="宋体" w:cs="宋体"/>
          <w:b w:val="0"/>
          <w:bCs/>
          <w:i w:val="0"/>
          <w:color w:val="auto"/>
          <w:kern w:val="0"/>
          <w:sz w:val="21"/>
          <w:szCs w:val="21"/>
          <w:highlight w:val="none"/>
          <w:u w:val="none"/>
          <w:lang w:val="en-US" w:eastAsia="zh-CN" w:bidi="ar"/>
        </w:rPr>
      </w:pPr>
      <w:r>
        <w:rPr>
          <w:rFonts w:hint="eastAsia" w:ascii="宋体" w:hAnsi="宋体" w:eastAsia="宋体" w:cs="宋体"/>
          <w:b/>
          <w:bCs w:val="0"/>
          <w:i w:val="0"/>
          <w:color w:val="auto"/>
          <w:kern w:val="0"/>
          <w:sz w:val="21"/>
          <w:szCs w:val="21"/>
          <w:highlight w:val="none"/>
          <w:u w:val="none"/>
          <w:lang w:val="en-US" w:eastAsia="zh-CN" w:bidi="ar"/>
        </w:rPr>
        <w:t>2、年度预防性试验</w:t>
      </w:r>
    </w:p>
    <w:p w14:paraId="3D798A8B">
      <w:pPr>
        <w:keepNext w:val="0"/>
        <w:keepLines w:val="0"/>
        <w:pageBreakBefore w:val="0"/>
        <w:numPr>
          <w:ilvl w:val="0"/>
          <w:numId w:val="0"/>
        </w:numPr>
        <w:kinsoku/>
        <w:wordWrap/>
        <w:overflowPunct/>
        <w:topLinePunct w:val="0"/>
        <w:autoSpaceDE/>
        <w:autoSpaceDN/>
        <w:bidi w:val="0"/>
        <w:adjustRightInd/>
        <w:snapToGrid/>
        <w:spacing w:line="500" w:lineRule="exact"/>
        <w:ind w:left="0" w:leftChars="0" w:right="0" w:rightChars="0" w:firstLine="422" w:firstLineChars="200"/>
        <w:rPr>
          <w:rFonts w:hint="eastAsia" w:ascii="宋体" w:hAnsi="宋体" w:cs="宋体"/>
          <w:b w:val="0"/>
          <w:bCs/>
          <w:i w:val="0"/>
          <w:color w:val="auto"/>
          <w:kern w:val="0"/>
          <w:sz w:val="21"/>
          <w:szCs w:val="21"/>
          <w:highlight w:val="none"/>
          <w:u w:val="none"/>
          <w:lang w:val="en-US" w:eastAsia="zh-CN" w:bidi="ar"/>
        </w:rPr>
      </w:pPr>
      <w:r>
        <w:rPr>
          <w:rFonts w:hint="eastAsia" w:ascii="宋体" w:hAnsi="宋体" w:cs="宋体"/>
          <w:b/>
          <w:bCs w:val="0"/>
          <w:i w:val="0"/>
          <w:color w:val="auto"/>
          <w:kern w:val="0"/>
          <w:sz w:val="21"/>
          <w:szCs w:val="21"/>
          <w:highlight w:val="none"/>
          <w:u w:val="none"/>
          <w:lang w:val="en-US" w:eastAsia="zh-CN" w:bidi="ar"/>
        </w:rPr>
        <w:t>频率：</w:t>
      </w:r>
      <w:r>
        <w:rPr>
          <w:rFonts w:hint="eastAsia" w:ascii="宋体" w:hAnsi="宋体" w:cs="宋体"/>
          <w:b w:val="0"/>
          <w:bCs/>
          <w:i w:val="0"/>
          <w:color w:val="auto"/>
          <w:kern w:val="0"/>
          <w:sz w:val="21"/>
          <w:szCs w:val="21"/>
          <w:highlight w:val="none"/>
          <w:u w:val="none"/>
          <w:lang w:val="en-US" w:eastAsia="zh-CN" w:bidi="ar"/>
        </w:rPr>
        <w:t>每年一次。</w:t>
      </w:r>
    </w:p>
    <w:p w14:paraId="4946FC28">
      <w:pPr>
        <w:keepNext w:val="0"/>
        <w:keepLines w:val="0"/>
        <w:pageBreakBefore w:val="0"/>
        <w:numPr>
          <w:ilvl w:val="0"/>
          <w:numId w:val="0"/>
        </w:numPr>
        <w:kinsoku/>
        <w:wordWrap/>
        <w:overflowPunct/>
        <w:topLinePunct w:val="0"/>
        <w:autoSpaceDE/>
        <w:autoSpaceDN/>
        <w:bidi w:val="0"/>
        <w:adjustRightInd/>
        <w:snapToGrid/>
        <w:spacing w:line="500" w:lineRule="exact"/>
        <w:ind w:left="0" w:leftChars="0" w:right="0" w:rightChars="0" w:firstLine="422" w:firstLineChars="200"/>
        <w:rPr>
          <w:rFonts w:hint="eastAsia" w:ascii="宋体" w:hAnsi="宋体" w:cs="宋体"/>
          <w:b w:val="0"/>
          <w:bCs/>
          <w:i w:val="0"/>
          <w:color w:val="auto"/>
          <w:kern w:val="0"/>
          <w:sz w:val="21"/>
          <w:szCs w:val="21"/>
          <w:highlight w:val="none"/>
          <w:u w:val="none"/>
          <w:lang w:val="en-US" w:eastAsia="zh-CN" w:bidi="ar"/>
        </w:rPr>
      </w:pPr>
      <w:r>
        <w:rPr>
          <w:rFonts w:hint="eastAsia" w:ascii="宋体" w:hAnsi="宋体" w:cs="宋体"/>
          <w:b/>
          <w:bCs w:val="0"/>
          <w:i w:val="0"/>
          <w:color w:val="auto"/>
          <w:kern w:val="0"/>
          <w:sz w:val="21"/>
          <w:szCs w:val="21"/>
          <w:highlight w:val="none"/>
          <w:u w:val="none"/>
          <w:lang w:val="en-US" w:eastAsia="zh-CN" w:bidi="ar"/>
        </w:rPr>
        <w:t>内容：</w:t>
      </w:r>
      <w:r>
        <w:rPr>
          <w:rFonts w:hint="eastAsia" w:ascii="宋体" w:hAnsi="宋体" w:cs="宋体"/>
          <w:b w:val="0"/>
          <w:bCs/>
          <w:i w:val="0"/>
          <w:color w:val="auto"/>
          <w:kern w:val="0"/>
          <w:sz w:val="21"/>
          <w:szCs w:val="21"/>
          <w:highlight w:val="none"/>
          <w:u w:val="none"/>
          <w:lang w:val="en-US" w:eastAsia="zh-CN" w:bidi="ar"/>
        </w:rPr>
        <w:t>包括但不限于——变压器、10kV高压电缆、10kV避雷器、电流/电压互感器、真空断路器（或六氟化硫断路器）的预防性试验；全部配电设备的清扫检查；高低压系统检查；“五防”功能验证；瓷绝缘部件状况检查；连接点腐蚀与过热检查；六氟化硫断路器压力值检查；进线电源及计量系统检查；变压器及接线端异常检查；接地电阻测试。</w:t>
      </w:r>
    </w:p>
    <w:p w14:paraId="51D12E2B">
      <w:pPr>
        <w:kinsoku/>
        <w:overflowPunct/>
        <w:bidi w:val="0"/>
        <w:spacing w:line="360" w:lineRule="auto"/>
        <w:ind w:left="0" w:leftChars="0" w:right="0" w:rightChars="0" w:firstLine="435"/>
        <w:rPr>
          <w:rFonts w:hint="default" w:ascii="宋体" w:hAnsi="宋体" w:eastAsia="宋体" w:cs="宋体"/>
          <w:b w:val="0"/>
          <w:bCs/>
          <w:color w:val="auto"/>
          <w:szCs w:val="21"/>
          <w:highlight w:val="none"/>
          <w:lang w:val="en-US" w:eastAsia="zh-CN"/>
        </w:rPr>
      </w:pPr>
      <w:r>
        <w:rPr>
          <w:rFonts w:hint="eastAsia" w:ascii="宋体" w:hAnsi="宋体" w:cs="宋体"/>
          <w:b/>
          <w:bCs w:val="0"/>
          <w:i w:val="0"/>
          <w:color w:val="auto"/>
          <w:kern w:val="0"/>
          <w:sz w:val="21"/>
          <w:szCs w:val="21"/>
          <w:highlight w:val="none"/>
          <w:u w:val="none"/>
          <w:lang w:val="en-US" w:eastAsia="zh-CN" w:bidi="ar"/>
        </w:rPr>
        <w:t>费用说明：</w:t>
      </w:r>
      <w:r>
        <w:rPr>
          <w:rFonts w:hint="default" w:ascii="宋体" w:hAnsi="宋体" w:cs="宋体"/>
          <w:b w:val="0"/>
          <w:bCs/>
          <w:color w:val="auto"/>
          <w:szCs w:val="21"/>
          <w:highlight w:val="none"/>
          <w:lang w:val="en-US" w:eastAsia="zh-CN"/>
        </w:rPr>
        <w:t>服务中，若仅涉及人工、普通工具及低值耗材，且总费用在人民币</w:t>
      </w:r>
      <w:r>
        <w:rPr>
          <w:rFonts w:hint="eastAsia" w:ascii="宋体" w:hAnsi="宋体" w:cs="宋体"/>
          <w:b w:val="0"/>
          <w:bCs/>
          <w:color w:val="auto"/>
          <w:szCs w:val="21"/>
          <w:highlight w:val="none"/>
          <w:lang w:val="en-US" w:eastAsia="zh-CN"/>
        </w:rPr>
        <w:t>2</w:t>
      </w:r>
      <w:r>
        <w:rPr>
          <w:rFonts w:hint="default" w:ascii="宋体" w:hAnsi="宋体" w:cs="宋体"/>
          <w:b w:val="0"/>
          <w:bCs/>
          <w:color w:val="auto"/>
          <w:szCs w:val="21"/>
          <w:highlight w:val="none"/>
          <w:lang w:val="en-US" w:eastAsia="zh-CN"/>
        </w:rPr>
        <w:t>000元（含）以下，由中标单位承担。</w:t>
      </w:r>
      <w:r>
        <w:rPr>
          <w:rFonts w:hint="eastAsia" w:ascii="宋体" w:hAnsi="宋体" w:eastAsia="宋体" w:cs="宋体"/>
          <w:b w:val="0"/>
          <w:bCs/>
          <w:color w:val="auto"/>
          <w:szCs w:val="21"/>
          <w:highlight w:val="none"/>
          <w:lang w:val="en-US" w:eastAsia="zh-CN"/>
        </w:rPr>
        <w:t>超出</w:t>
      </w:r>
      <w:r>
        <w:rPr>
          <w:rFonts w:hint="default" w:ascii="宋体" w:hAnsi="宋体" w:eastAsia="宋体" w:cs="宋体"/>
          <w:b w:val="0"/>
          <w:bCs/>
          <w:color w:val="auto"/>
          <w:szCs w:val="21"/>
          <w:highlight w:val="none"/>
          <w:lang w:val="en-US" w:eastAsia="zh-CN"/>
        </w:rPr>
        <w:t>人民币</w:t>
      </w:r>
      <w:r>
        <w:rPr>
          <w:rFonts w:hint="eastAsia" w:ascii="宋体" w:hAnsi="宋体" w:eastAsia="宋体" w:cs="宋体"/>
          <w:b w:val="0"/>
          <w:bCs/>
          <w:color w:val="auto"/>
          <w:szCs w:val="21"/>
          <w:highlight w:val="none"/>
          <w:lang w:val="en-US" w:eastAsia="zh-CN"/>
        </w:rPr>
        <w:t>2</w:t>
      </w:r>
      <w:r>
        <w:rPr>
          <w:rFonts w:hint="default" w:ascii="宋体" w:hAnsi="宋体" w:eastAsia="宋体" w:cs="宋体"/>
          <w:b w:val="0"/>
          <w:bCs/>
          <w:color w:val="auto"/>
          <w:szCs w:val="21"/>
          <w:highlight w:val="none"/>
          <w:lang w:val="en-US" w:eastAsia="zh-CN"/>
        </w:rPr>
        <w:t>000元</w:t>
      </w:r>
      <w:r>
        <w:rPr>
          <w:rFonts w:hint="eastAsia" w:ascii="宋体" w:hAnsi="宋体" w:eastAsia="宋体" w:cs="宋体"/>
          <w:b w:val="0"/>
          <w:bCs/>
          <w:color w:val="auto"/>
          <w:szCs w:val="21"/>
          <w:highlight w:val="none"/>
          <w:lang w:val="en-US" w:eastAsia="zh-CN"/>
        </w:rPr>
        <w:t>，</w:t>
      </w:r>
      <w:r>
        <w:rPr>
          <w:rFonts w:hint="default" w:ascii="宋体" w:hAnsi="宋体" w:eastAsia="宋体" w:cs="宋体"/>
          <w:b w:val="0"/>
          <w:bCs/>
          <w:color w:val="auto"/>
          <w:szCs w:val="21"/>
          <w:highlight w:val="none"/>
          <w:lang w:val="en-US" w:eastAsia="zh-CN"/>
        </w:rPr>
        <w:t>设备更换的，主要材料及设备由</w:t>
      </w:r>
      <w:r>
        <w:rPr>
          <w:rFonts w:hint="eastAsia" w:ascii="宋体" w:hAnsi="宋体" w:eastAsia="宋体" w:cs="宋体"/>
          <w:b w:val="0"/>
          <w:bCs/>
          <w:color w:val="auto"/>
          <w:szCs w:val="21"/>
          <w:highlight w:val="none"/>
          <w:lang w:val="en-US" w:eastAsia="zh-CN"/>
        </w:rPr>
        <w:t>甲方</w:t>
      </w:r>
      <w:r>
        <w:rPr>
          <w:rFonts w:hint="default" w:ascii="宋体" w:hAnsi="宋体" w:eastAsia="宋体" w:cs="宋体"/>
          <w:b w:val="0"/>
          <w:bCs/>
          <w:color w:val="auto"/>
          <w:szCs w:val="21"/>
          <w:highlight w:val="none"/>
          <w:lang w:val="en-US" w:eastAsia="zh-CN"/>
        </w:rPr>
        <w:t>提供</w:t>
      </w:r>
      <w:r>
        <w:rPr>
          <w:rFonts w:hint="eastAsia" w:ascii="宋体" w:hAnsi="宋体" w:eastAsia="宋体" w:cs="宋体"/>
          <w:b w:val="0"/>
          <w:bCs/>
          <w:color w:val="auto"/>
          <w:szCs w:val="21"/>
          <w:highlight w:val="none"/>
          <w:lang w:val="en-US" w:eastAsia="zh-CN"/>
        </w:rPr>
        <w:t>。</w:t>
      </w:r>
      <w:r>
        <w:rPr>
          <w:rFonts w:hint="eastAsia" w:ascii="宋体" w:hAnsi="宋体" w:cs="宋体"/>
          <w:b w:val="0"/>
          <w:bCs/>
          <w:color w:val="auto"/>
          <w:szCs w:val="21"/>
          <w:highlight w:val="none"/>
          <w:lang w:val="en-US" w:eastAsia="zh-CN"/>
        </w:rPr>
        <w:t>本项目所有人工服务费用含在综合报价中。</w:t>
      </w:r>
    </w:p>
    <w:p w14:paraId="775C00B1">
      <w:pPr>
        <w:keepNext w:val="0"/>
        <w:keepLines w:val="0"/>
        <w:pageBreakBefore w:val="0"/>
        <w:numPr>
          <w:ilvl w:val="0"/>
          <w:numId w:val="0"/>
        </w:numPr>
        <w:kinsoku/>
        <w:wordWrap/>
        <w:overflowPunct/>
        <w:topLinePunct w:val="0"/>
        <w:autoSpaceDE/>
        <w:autoSpaceDN/>
        <w:bidi w:val="0"/>
        <w:adjustRightInd/>
        <w:snapToGrid/>
        <w:spacing w:line="500" w:lineRule="exact"/>
        <w:ind w:left="0" w:leftChars="0" w:right="0" w:rightChars="0" w:firstLine="422" w:firstLineChars="200"/>
        <w:rPr>
          <w:rFonts w:hint="eastAsia" w:ascii="宋体" w:hAnsi="宋体" w:eastAsia="宋体" w:cs="宋体"/>
          <w:b/>
          <w:bCs w:val="0"/>
          <w:i w:val="0"/>
          <w:color w:val="auto"/>
          <w:kern w:val="0"/>
          <w:sz w:val="21"/>
          <w:szCs w:val="21"/>
          <w:highlight w:val="none"/>
          <w:u w:val="none"/>
          <w:lang w:val="en-US" w:eastAsia="zh-CN" w:bidi="ar"/>
        </w:rPr>
      </w:pPr>
      <w:r>
        <w:rPr>
          <w:rFonts w:hint="eastAsia" w:ascii="宋体" w:hAnsi="宋体" w:eastAsia="宋体" w:cs="宋体"/>
          <w:b/>
          <w:bCs w:val="0"/>
          <w:i w:val="0"/>
          <w:color w:val="auto"/>
          <w:kern w:val="0"/>
          <w:sz w:val="21"/>
          <w:szCs w:val="21"/>
          <w:highlight w:val="none"/>
          <w:u w:val="none"/>
          <w:lang w:val="en-US" w:eastAsia="zh-CN" w:bidi="ar"/>
        </w:rPr>
        <w:t>3、应急抢修服务</w:t>
      </w:r>
    </w:p>
    <w:p w14:paraId="1D32FD8F">
      <w:pPr>
        <w:keepNext w:val="0"/>
        <w:keepLines w:val="0"/>
        <w:pageBreakBefore w:val="0"/>
        <w:numPr>
          <w:ilvl w:val="0"/>
          <w:numId w:val="0"/>
        </w:numPr>
        <w:kinsoku/>
        <w:wordWrap/>
        <w:overflowPunct/>
        <w:topLinePunct w:val="0"/>
        <w:autoSpaceDE/>
        <w:autoSpaceDN/>
        <w:bidi w:val="0"/>
        <w:adjustRightInd/>
        <w:snapToGrid/>
        <w:spacing w:line="500" w:lineRule="exact"/>
        <w:ind w:left="0" w:leftChars="0" w:right="0" w:rightChars="0" w:firstLine="422" w:firstLineChars="200"/>
        <w:rPr>
          <w:rFonts w:hint="default" w:ascii="宋体" w:hAnsi="宋体" w:cs="宋体"/>
          <w:b w:val="0"/>
          <w:bCs/>
          <w:i w:val="0"/>
          <w:color w:val="auto"/>
          <w:kern w:val="0"/>
          <w:sz w:val="21"/>
          <w:szCs w:val="21"/>
          <w:highlight w:val="none"/>
          <w:u w:val="none"/>
          <w:lang w:val="en-US" w:eastAsia="zh-CN" w:bidi="ar"/>
        </w:rPr>
      </w:pPr>
      <w:r>
        <w:rPr>
          <w:rFonts w:hint="default" w:ascii="宋体" w:hAnsi="宋体" w:cs="宋体"/>
          <w:b/>
          <w:bCs w:val="0"/>
          <w:i w:val="0"/>
          <w:color w:val="auto"/>
          <w:kern w:val="0"/>
          <w:sz w:val="21"/>
          <w:szCs w:val="21"/>
          <w:highlight w:val="none"/>
          <w:u w:val="none"/>
          <w:lang w:val="en-US" w:eastAsia="zh-CN" w:bidi="ar"/>
        </w:rPr>
        <w:t>响应：</w:t>
      </w:r>
      <w:r>
        <w:rPr>
          <w:rFonts w:hint="default" w:ascii="宋体" w:hAnsi="宋体" w:cs="宋体"/>
          <w:b w:val="0"/>
          <w:bCs/>
          <w:i w:val="0"/>
          <w:color w:val="auto"/>
          <w:kern w:val="0"/>
          <w:sz w:val="21"/>
          <w:szCs w:val="21"/>
          <w:highlight w:val="none"/>
          <w:u w:val="none"/>
          <w:lang w:val="en-US" w:eastAsia="zh-CN" w:bidi="ar"/>
        </w:rPr>
        <w:t xml:space="preserve">提供7×24小时应急抢修服务。 </w:t>
      </w:r>
    </w:p>
    <w:p w14:paraId="21AE5299">
      <w:pPr>
        <w:keepNext w:val="0"/>
        <w:keepLines w:val="0"/>
        <w:pageBreakBefore w:val="0"/>
        <w:numPr>
          <w:ilvl w:val="0"/>
          <w:numId w:val="0"/>
        </w:numPr>
        <w:kinsoku/>
        <w:wordWrap/>
        <w:overflowPunct/>
        <w:topLinePunct w:val="0"/>
        <w:autoSpaceDE/>
        <w:autoSpaceDN/>
        <w:bidi w:val="0"/>
        <w:adjustRightInd/>
        <w:snapToGrid/>
        <w:spacing w:line="500" w:lineRule="exact"/>
        <w:ind w:left="0" w:leftChars="0" w:right="0" w:rightChars="0" w:firstLine="422" w:firstLineChars="200"/>
        <w:rPr>
          <w:rFonts w:hint="default" w:ascii="宋体" w:hAnsi="宋体" w:cs="宋体"/>
          <w:b w:val="0"/>
          <w:bCs/>
          <w:i w:val="0"/>
          <w:color w:val="auto"/>
          <w:kern w:val="0"/>
          <w:sz w:val="21"/>
          <w:szCs w:val="21"/>
          <w:highlight w:val="none"/>
          <w:u w:val="none"/>
          <w:lang w:val="en-US" w:eastAsia="zh-CN" w:bidi="ar"/>
        </w:rPr>
      </w:pPr>
      <w:r>
        <w:rPr>
          <w:rFonts w:hint="default" w:ascii="宋体" w:hAnsi="宋体" w:cs="宋体"/>
          <w:b/>
          <w:bCs w:val="0"/>
          <w:i w:val="0"/>
          <w:color w:val="auto"/>
          <w:kern w:val="0"/>
          <w:sz w:val="21"/>
          <w:szCs w:val="21"/>
          <w:highlight w:val="none"/>
          <w:u w:val="none"/>
          <w:lang w:val="en-US" w:eastAsia="zh-CN" w:bidi="ar"/>
        </w:rPr>
        <w:t>到达时限：</w:t>
      </w:r>
      <w:r>
        <w:rPr>
          <w:rFonts w:hint="default" w:ascii="宋体" w:hAnsi="宋体" w:cs="宋体"/>
          <w:b w:val="0"/>
          <w:bCs/>
          <w:i w:val="0"/>
          <w:color w:val="auto"/>
          <w:kern w:val="0"/>
          <w:sz w:val="21"/>
          <w:szCs w:val="21"/>
          <w:highlight w:val="none"/>
          <w:u w:val="none"/>
          <w:lang w:val="en-US" w:eastAsia="zh-CN" w:bidi="ar"/>
        </w:rPr>
        <w:t>接到故障通知</w:t>
      </w:r>
      <w:r>
        <w:rPr>
          <w:rFonts w:hint="default" w:ascii="宋体" w:hAnsi="宋体" w:eastAsia="宋体" w:cs="宋体"/>
          <w:b w:val="0"/>
          <w:bCs/>
          <w:i w:val="0"/>
          <w:color w:val="auto"/>
          <w:kern w:val="0"/>
          <w:sz w:val="21"/>
          <w:szCs w:val="21"/>
          <w:highlight w:val="none"/>
          <w:u w:val="none"/>
          <w:lang w:val="en-US" w:eastAsia="zh-CN" w:bidi="ar"/>
        </w:rPr>
        <w:t>后</w:t>
      </w:r>
      <w:r>
        <w:rPr>
          <w:rFonts w:hint="default" w:ascii="宋体" w:hAnsi="宋体" w:eastAsia="宋体" w:cs="宋体"/>
          <w:bCs/>
          <w:color w:val="auto"/>
          <w:kern w:val="0"/>
          <w:sz w:val="21"/>
          <w:szCs w:val="21"/>
          <w:highlight w:val="none"/>
          <w:u w:val="none"/>
          <w:lang w:val="en-US" w:eastAsia="zh-CN" w:bidi="ar"/>
        </w:rPr>
        <w:t>市区范围内1小时、郊区范围内2小时内到达现场</w:t>
      </w:r>
      <w:r>
        <w:rPr>
          <w:rFonts w:hint="default" w:ascii="宋体" w:hAnsi="宋体" w:eastAsia="宋体" w:cs="宋体"/>
          <w:b w:val="0"/>
          <w:bCs/>
          <w:i w:val="0"/>
          <w:color w:val="auto"/>
          <w:kern w:val="0"/>
          <w:sz w:val="21"/>
          <w:szCs w:val="21"/>
          <w:highlight w:val="none"/>
          <w:u w:val="none"/>
          <w:lang w:val="en-US" w:eastAsia="zh-CN" w:bidi="ar"/>
        </w:rPr>
        <w:t>，维</w:t>
      </w:r>
      <w:r>
        <w:rPr>
          <w:rFonts w:hint="default" w:ascii="宋体" w:hAnsi="宋体" w:cs="宋体"/>
          <w:b w:val="0"/>
          <w:bCs/>
          <w:i w:val="0"/>
          <w:color w:val="auto"/>
          <w:kern w:val="0"/>
          <w:sz w:val="21"/>
          <w:szCs w:val="21"/>
          <w:highlight w:val="none"/>
          <w:u w:val="none"/>
          <w:lang w:val="en-US" w:eastAsia="zh-CN" w:bidi="ar"/>
        </w:rPr>
        <w:t>护人员携带工具抵达现场。</w:t>
      </w:r>
    </w:p>
    <w:p w14:paraId="6188F89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textAlignment w:val="auto"/>
        <w:rPr>
          <w:rFonts w:hint="eastAsia" w:ascii="宋体" w:hAnsi="宋体" w:cs="宋体"/>
          <w:b w:val="0"/>
          <w:bCs/>
          <w:i w:val="0"/>
          <w:color w:val="auto"/>
          <w:kern w:val="0"/>
          <w:sz w:val="21"/>
          <w:szCs w:val="21"/>
          <w:highlight w:val="none"/>
          <w:u w:val="none"/>
          <w:lang w:val="en-US" w:eastAsia="zh-CN" w:bidi="ar"/>
        </w:rPr>
      </w:pPr>
      <w:r>
        <w:rPr>
          <w:rFonts w:hint="default" w:ascii="宋体" w:hAnsi="宋体" w:cs="宋体"/>
          <w:b/>
          <w:bCs w:val="0"/>
          <w:i w:val="0"/>
          <w:color w:val="auto"/>
          <w:kern w:val="0"/>
          <w:sz w:val="21"/>
          <w:szCs w:val="21"/>
          <w:highlight w:val="none"/>
          <w:u w:val="none"/>
          <w:lang w:val="en-US" w:eastAsia="zh-CN" w:bidi="ar"/>
        </w:rPr>
        <w:t>修复时限：</w:t>
      </w:r>
      <w:r>
        <w:rPr>
          <w:rFonts w:hint="default" w:ascii="宋体" w:hAnsi="宋体" w:cs="宋体"/>
          <w:b w:val="0"/>
          <w:bCs/>
          <w:i w:val="0"/>
          <w:color w:val="auto"/>
          <w:kern w:val="0"/>
          <w:sz w:val="21"/>
          <w:szCs w:val="21"/>
          <w:highlight w:val="none"/>
          <w:u w:val="none"/>
          <w:lang w:val="en-US" w:eastAsia="zh-CN" w:bidi="ar"/>
        </w:rPr>
        <w:t>高压线路（设备）故障，原则上24小时内修复；复杂情况需向招标方报告并获批准</w:t>
      </w:r>
      <w:r>
        <w:rPr>
          <w:rFonts w:hint="eastAsia" w:ascii="宋体" w:hAnsi="宋体" w:cs="宋体"/>
          <w:b w:val="0"/>
          <w:bCs/>
          <w:i w:val="0"/>
          <w:color w:val="auto"/>
          <w:kern w:val="0"/>
          <w:sz w:val="21"/>
          <w:szCs w:val="21"/>
          <w:highlight w:val="none"/>
          <w:u w:val="none"/>
          <w:lang w:val="en-US" w:eastAsia="zh-CN" w:bidi="ar"/>
        </w:rPr>
        <w:t>。</w:t>
      </w:r>
    </w:p>
    <w:p w14:paraId="4229625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22" w:firstLineChars="200"/>
        <w:textAlignment w:val="auto"/>
        <w:rPr>
          <w:rFonts w:hint="default" w:ascii="宋体" w:hAnsi="宋体" w:eastAsia="宋体" w:cs="宋体"/>
          <w:b w:val="0"/>
          <w:bCs/>
          <w:color w:val="auto"/>
          <w:szCs w:val="21"/>
          <w:highlight w:val="none"/>
          <w:lang w:val="en-US" w:eastAsia="zh-CN"/>
        </w:rPr>
      </w:pPr>
      <w:r>
        <w:rPr>
          <w:rFonts w:hint="default" w:ascii="宋体" w:hAnsi="宋体" w:cs="宋体"/>
          <w:b/>
          <w:bCs w:val="0"/>
          <w:i w:val="0"/>
          <w:color w:val="auto"/>
          <w:kern w:val="0"/>
          <w:sz w:val="21"/>
          <w:szCs w:val="21"/>
          <w:highlight w:val="none"/>
          <w:u w:val="none"/>
          <w:lang w:val="en-US" w:eastAsia="zh-CN" w:bidi="ar"/>
        </w:rPr>
        <w:t>费用说明</w:t>
      </w:r>
      <w:r>
        <w:rPr>
          <w:rFonts w:hint="default" w:ascii="宋体" w:hAnsi="宋体" w:cs="宋体"/>
          <w:b w:val="0"/>
          <w:bCs/>
          <w:i w:val="0"/>
          <w:color w:val="auto"/>
          <w:kern w:val="0"/>
          <w:sz w:val="21"/>
          <w:szCs w:val="21"/>
          <w:highlight w:val="none"/>
          <w:u w:val="none"/>
          <w:lang w:val="en-US" w:eastAsia="zh-CN" w:bidi="ar"/>
        </w:rPr>
        <w:t>：</w:t>
      </w:r>
      <w:r>
        <w:rPr>
          <w:rFonts w:hint="eastAsia" w:ascii="宋体" w:hAnsi="宋体" w:cs="宋体"/>
          <w:b w:val="0"/>
          <w:bCs/>
          <w:i w:val="0"/>
          <w:color w:val="auto"/>
          <w:kern w:val="0"/>
          <w:sz w:val="21"/>
          <w:szCs w:val="21"/>
          <w:highlight w:val="none"/>
          <w:u w:val="none"/>
          <w:lang w:val="en-US" w:eastAsia="zh-CN" w:bidi="ar"/>
        </w:rPr>
        <w:t>每次</w:t>
      </w:r>
      <w:r>
        <w:rPr>
          <w:rFonts w:hint="default" w:ascii="宋体" w:hAnsi="宋体" w:cs="宋体"/>
          <w:b w:val="0"/>
          <w:bCs/>
          <w:i w:val="0"/>
          <w:color w:val="auto"/>
          <w:kern w:val="0"/>
          <w:sz w:val="21"/>
          <w:szCs w:val="21"/>
          <w:highlight w:val="none"/>
          <w:u w:val="none"/>
          <w:lang w:val="en-US" w:eastAsia="zh-CN" w:bidi="ar"/>
        </w:rPr>
        <w:t>抢修服务中，若仅涉及人工、普通工具及低值耗材，且总费用在人民币</w:t>
      </w:r>
      <w:r>
        <w:rPr>
          <w:rFonts w:hint="eastAsia" w:ascii="宋体" w:hAnsi="宋体" w:cs="宋体"/>
          <w:b w:val="0"/>
          <w:bCs/>
          <w:i w:val="0"/>
          <w:color w:val="auto"/>
          <w:kern w:val="0"/>
          <w:sz w:val="21"/>
          <w:szCs w:val="21"/>
          <w:highlight w:val="none"/>
          <w:u w:val="none"/>
          <w:lang w:val="en-US" w:eastAsia="zh-CN" w:bidi="ar"/>
        </w:rPr>
        <w:t>2</w:t>
      </w:r>
      <w:r>
        <w:rPr>
          <w:rFonts w:hint="default" w:ascii="宋体" w:hAnsi="宋体" w:cs="宋体"/>
          <w:b w:val="0"/>
          <w:bCs/>
          <w:i w:val="0"/>
          <w:color w:val="auto"/>
          <w:kern w:val="0"/>
          <w:sz w:val="21"/>
          <w:szCs w:val="21"/>
          <w:highlight w:val="none"/>
          <w:u w:val="none"/>
          <w:lang w:val="en-US" w:eastAsia="zh-CN" w:bidi="ar"/>
        </w:rPr>
        <w:t>000元（含）以下，由中标单位承担。</w:t>
      </w:r>
      <w:r>
        <w:rPr>
          <w:rFonts w:hint="default" w:ascii="宋体" w:hAnsi="宋体" w:eastAsia="宋体" w:cs="宋体"/>
          <w:b w:val="0"/>
          <w:bCs/>
          <w:color w:val="auto"/>
          <w:szCs w:val="21"/>
          <w:highlight w:val="none"/>
          <w:lang w:val="en-US" w:eastAsia="zh-CN"/>
        </w:rPr>
        <w:t>超出人民币2000元，设备更换的，主要材料及设备由甲方提供。本项目所有人工服务费用含在综合报价中。</w:t>
      </w:r>
    </w:p>
    <w:p w14:paraId="7858D9A1">
      <w:pPr>
        <w:keepNext w:val="0"/>
        <w:keepLines w:val="0"/>
        <w:pageBreakBefore w:val="0"/>
        <w:numPr>
          <w:ilvl w:val="0"/>
          <w:numId w:val="0"/>
        </w:numPr>
        <w:kinsoku/>
        <w:wordWrap/>
        <w:overflowPunct/>
        <w:topLinePunct w:val="0"/>
        <w:autoSpaceDE/>
        <w:autoSpaceDN/>
        <w:bidi w:val="0"/>
        <w:adjustRightInd/>
        <w:snapToGrid/>
        <w:spacing w:line="500" w:lineRule="exact"/>
        <w:ind w:left="0" w:leftChars="0" w:right="0" w:rightChars="0" w:firstLine="422" w:firstLineChars="200"/>
        <w:rPr>
          <w:rFonts w:hint="eastAsia" w:ascii="宋体" w:hAnsi="宋体" w:eastAsia="宋体" w:cs="宋体"/>
          <w:b/>
          <w:bCs w:val="0"/>
          <w:i w:val="0"/>
          <w:color w:val="auto"/>
          <w:kern w:val="0"/>
          <w:sz w:val="21"/>
          <w:szCs w:val="21"/>
          <w:highlight w:val="none"/>
          <w:u w:val="none"/>
          <w:lang w:val="en-US" w:eastAsia="zh-CN" w:bidi="ar"/>
        </w:rPr>
      </w:pPr>
      <w:r>
        <w:rPr>
          <w:rFonts w:hint="eastAsia" w:ascii="宋体" w:hAnsi="宋体" w:eastAsia="宋体" w:cs="宋体"/>
          <w:b/>
          <w:bCs w:val="0"/>
          <w:i w:val="0"/>
          <w:color w:val="auto"/>
          <w:kern w:val="0"/>
          <w:sz w:val="21"/>
          <w:szCs w:val="21"/>
          <w:highlight w:val="none"/>
          <w:u w:val="none"/>
          <w:lang w:val="en-US" w:eastAsia="zh-CN" w:bidi="ar"/>
        </w:rPr>
        <w:t>4、问题报告与方案确认</w:t>
      </w:r>
    </w:p>
    <w:p w14:paraId="3520AF20">
      <w:pPr>
        <w:keepNext w:val="0"/>
        <w:keepLines w:val="0"/>
        <w:pageBreakBefore w:val="0"/>
        <w:kinsoku/>
        <w:wordWrap/>
        <w:overflowPunct/>
        <w:topLinePunct w:val="0"/>
        <w:autoSpaceDE/>
        <w:autoSpaceDN/>
        <w:bidi w:val="0"/>
        <w:adjustRightInd/>
        <w:snapToGrid/>
        <w:spacing w:line="500" w:lineRule="exact"/>
        <w:ind w:left="0" w:leftChars="0" w:right="0" w:rightChars="0" w:firstLine="420"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中标单位须在服务初期及后续巡检中，全面勘查现场，对需更换或整改的设备编制清单及建议方案，提交招标人确认后实施。</w:t>
      </w:r>
    </w:p>
    <w:p w14:paraId="1B45F4D2">
      <w:pPr>
        <w:keepNext w:val="0"/>
        <w:keepLines w:val="0"/>
        <w:pageBreakBefore w:val="0"/>
        <w:numPr>
          <w:ilvl w:val="0"/>
          <w:numId w:val="0"/>
        </w:numPr>
        <w:kinsoku/>
        <w:wordWrap/>
        <w:overflowPunct/>
        <w:topLinePunct w:val="0"/>
        <w:autoSpaceDE/>
        <w:autoSpaceDN/>
        <w:bidi w:val="0"/>
        <w:adjustRightInd/>
        <w:snapToGrid/>
        <w:spacing w:line="500" w:lineRule="exact"/>
        <w:ind w:left="0" w:leftChars="0" w:right="0" w:rightChars="0" w:firstLine="422" w:firstLineChars="200"/>
        <w:rPr>
          <w:rFonts w:hint="eastAsia" w:ascii="宋体" w:hAnsi="宋体" w:eastAsia="宋体" w:cs="宋体"/>
          <w:b/>
          <w:bCs w:val="0"/>
          <w:i w:val="0"/>
          <w:color w:val="auto"/>
          <w:kern w:val="0"/>
          <w:sz w:val="21"/>
          <w:szCs w:val="21"/>
          <w:highlight w:val="none"/>
          <w:u w:val="none"/>
          <w:lang w:val="en-US" w:eastAsia="zh-CN" w:bidi="ar"/>
        </w:rPr>
      </w:pPr>
      <w:r>
        <w:rPr>
          <w:rFonts w:hint="eastAsia" w:ascii="宋体" w:hAnsi="宋体" w:eastAsia="宋体" w:cs="宋体"/>
          <w:b/>
          <w:bCs w:val="0"/>
          <w:i w:val="0"/>
          <w:color w:val="auto"/>
          <w:kern w:val="0"/>
          <w:sz w:val="21"/>
          <w:szCs w:val="21"/>
          <w:highlight w:val="none"/>
          <w:u w:val="none"/>
          <w:lang w:val="en-US" w:eastAsia="zh-CN" w:bidi="ar"/>
        </w:rPr>
        <w:t>5、手续办理</w:t>
      </w:r>
    </w:p>
    <w:p w14:paraId="138D3293">
      <w:pPr>
        <w:keepNext w:val="0"/>
        <w:keepLines w:val="0"/>
        <w:pageBreakBefore w:val="0"/>
        <w:kinsoku/>
        <w:wordWrap/>
        <w:overflowPunct/>
        <w:topLinePunct w:val="0"/>
        <w:autoSpaceDE/>
        <w:autoSpaceDN/>
        <w:bidi w:val="0"/>
        <w:adjustRightInd/>
        <w:snapToGrid/>
        <w:spacing w:line="500" w:lineRule="exact"/>
        <w:ind w:left="0" w:leftChars="0" w:right="0" w:rightChars="0" w:firstLine="420"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涉及高低压用电、停电等手续，中标单位负责办理，办理周期不超过一周。</w:t>
      </w:r>
    </w:p>
    <w:p w14:paraId="60A09413">
      <w:pPr>
        <w:keepNext w:val="0"/>
        <w:keepLines w:val="0"/>
        <w:pageBreakBefore w:val="0"/>
        <w:numPr>
          <w:ilvl w:val="0"/>
          <w:numId w:val="0"/>
        </w:numPr>
        <w:kinsoku/>
        <w:wordWrap/>
        <w:overflowPunct/>
        <w:topLinePunct w:val="0"/>
        <w:autoSpaceDE/>
        <w:autoSpaceDN/>
        <w:bidi w:val="0"/>
        <w:adjustRightInd/>
        <w:snapToGrid/>
        <w:spacing w:line="500" w:lineRule="exact"/>
        <w:ind w:left="0" w:leftChars="0" w:right="0" w:rightChars="0" w:firstLine="422" w:firstLineChars="200"/>
        <w:rPr>
          <w:rFonts w:hint="eastAsia" w:ascii="宋体" w:hAnsi="宋体" w:eastAsia="宋体" w:cs="宋体"/>
          <w:b/>
          <w:bCs w:val="0"/>
          <w:i w:val="0"/>
          <w:color w:val="auto"/>
          <w:kern w:val="0"/>
          <w:sz w:val="21"/>
          <w:szCs w:val="21"/>
          <w:highlight w:val="none"/>
          <w:u w:val="none"/>
          <w:lang w:val="en-US" w:eastAsia="zh-CN" w:bidi="ar"/>
        </w:rPr>
      </w:pPr>
      <w:r>
        <w:rPr>
          <w:rFonts w:hint="eastAsia" w:ascii="宋体" w:hAnsi="宋体" w:eastAsia="宋体" w:cs="宋体"/>
          <w:b/>
          <w:bCs w:val="0"/>
          <w:i w:val="0"/>
          <w:color w:val="auto"/>
          <w:kern w:val="0"/>
          <w:sz w:val="21"/>
          <w:szCs w:val="21"/>
          <w:highlight w:val="none"/>
          <w:u w:val="none"/>
          <w:lang w:val="en-US" w:eastAsia="zh-CN" w:bidi="ar"/>
        </w:rPr>
        <w:t>6、关键操作管理</w:t>
      </w:r>
    </w:p>
    <w:p w14:paraId="0B84B00D">
      <w:pPr>
        <w:keepNext w:val="0"/>
        <w:keepLines w:val="0"/>
        <w:pageBreakBefore w:val="0"/>
        <w:kinsoku/>
        <w:wordWrap/>
        <w:overflowPunct/>
        <w:topLinePunct w:val="0"/>
        <w:autoSpaceDE/>
        <w:autoSpaceDN/>
        <w:bidi w:val="0"/>
        <w:adjustRightInd/>
        <w:snapToGrid/>
        <w:spacing w:line="500" w:lineRule="exact"/>
        <w:ind w:left="0" w:leftChars="0" w:right="0" w:rightChars="0" w:firstLine="420"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重要设备的维修、更换，须在招标方代表现场监督或书面批准后方可进行，并留存完整的施工过程证明材料。</w:t>
      </w:r>
    </w:p>
    <w:p w14:paraId="70FFFEBF">
      <w:pPr>
        <w:keepNext w:val="0"/>
        <w:keepLines w:val="0"/>
        <w:pageBreakBefore w:val="0"/>
        <w:numPr>
          <w:ilvl w:val="0"/>
          <w:numId w:val="0"/>
        </w:numPr>
        <w:kinsoku/>
        <w:wordWrap/>
        <w:overflowPunct/>
        <w:topLinePunct w:val="0"/>
        <w:autoSpaceDE/>
        <w:autoSpaceDN/>
        <w:bidi w:val="0"/>
        <w:adjustRightInd/>
        <w:snapToGrid/>
        <w:spacing w:line="500" w:lineRule="exact"/>
        <w:ind w:left="0" w:leftChars="0" w:right="0" w:rightChars="0" w:firstLine="422" w:firstLineChars="200"/>
        <w:rPr>
          <w:rFonts w:hint="eastAsia" w:ascii="宋体" w:hAnsi="宋体" w:eastAsia="宋体" w:cs="宋体"/>
          <w:b/>
          <w:bCs w:val="0"/>
          <w:i w:val="0"/>
          <w:color w:val="auto"/>
          <w:kern w:val="0"/>
          <w:sz w:val="21"/>
          <w:szCs w:val="21"/>
          <w:highlight w:val="none"/>
          <w:u w:val="none"/>
          <w:lang w:val="en-US" w:eastAsia="zh-CN" w:bidi="ar"/>
        </w:rPr>
      </w:pPr>
      <w:r>
        <w:rPr>
          <w:rFonts w:hint="eastAsia" w:ascii="宋体" w:hAnsi="宋体" w:eastAsia="宋体" w:cs="宋体"/>
          <w:b/>
          <w:bCs w:val="0"/>
          <w:i w:val="0"/>
          <w:color w:val="auto"/>
          <w:kern w:val="0"/>
          <w:sz w:val="21"/>
          <w:szCs w:val="21"/>
          <w:highlight w:val="none"/>
          <w:u w:val="none"/>
          <w:lang w:val="en-US" w:eastAsia="zh-CN" w:bidi="ar"/>
        </w:rPr>
        <w:t>7、质量保证与整改</w:t>
      </w:r>
    </w:p>
    <w:p w14:paraId="320A89AC">
      <w:pPr>
        <w:keepNext w:val="0"/>
        <w:keepLines w:val="0"/>
        <w:pageBreakBefore w:val="0"/>
        <w:kinsoku/>
        <w:wordWrap/>
        <w:overflowPunct/>
        <w:topLinePunct w:val="0"/>
        <w:autoSpaceDE/>
        <w:autoSpaceDN/>
        <w:bidi w:val="0"/>
        <w:adjustRightInd/>
        <w:snapToGrid/>
        <w:spacing w:line="500" w:lineRule="exact"/>
        <w:ind w:left="0" w:leftChars="0" w:right="0" w:rightChars="0" w:firstLine="420"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维护质量须完全符合本文件要求及国家、行业相关标准规范。</w:t>
      </w:r>
    </w:p>
    <w:p w14:paraId="7ED2AA18">
      <w:pPr>
        <w:keepNext w:val="0"/>
        <w:keepLines w:val="0"/>
        <w:pageBreakBefore w:val="0"/>
        <w:kinsoku/>
        <w:wordWrap/>
        <w:overflowPunct/>
        <w:topLinePunct w:val="0"/>
        <w:autoSpaceDE/>
        <w:autoSpaceDN/>
        <w:bidi w:val="0"/>
        <w:adjustRightInd/>
        <w:snapToGrid/>
        <w:spacing w:line="500" w:lineRule="exact"/>
        <w:ind w:left="0" w:leftChars="0" w:right="0" w:rightChars="0" w:firstLine="420"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若招标方检查或测试发现质量不合格，中标单位须无条件立即整改，并承担由此产生的一切费用。</w:t>
      </w:r>
    </w:p>
    <w:p w14:paraId="297AB62C">
      <w:pPr>
        <w:keepNext w:val="0"/>
        <w:keepLines w:val="0"/>
        <w:pageBreakBefore w:val="0"/>
        <w:numPr>
          <w:ilvl w:val="0"/>
          <w:numId w:val="0"/>
        </w:numPr>
        <w:kinsoku/>
        <w:wordWrap/>
        <w:overflowPunct/>
        <w:topLinePunct w:val="0"/>
        <w:autoSpaceDE/>
        <w:autoSpaceDN/>
        <w:bidi w:val="0"/>
        <w:adjustRightInd/>
        <w:snapToGrid/>
        <w:spacing w:line="500" w:lineRule="exact"/>
        <w:ind w:left="0" w:leftChars="0" w:right="0" w:rightChars="0" w:firstLine="422" w:firstLineChars="200"/>
        <w:rPr>
          <w:rFonts w:hint="eastAsia" w:ascii="宋体" w:hAnsi="宋体" w:eastAsia="宋体" w:cs="宋体"/>
          <w:b/>
          <w:bCs w:val="0"/>
          <w:i w:val="0"/>
          <w:color w:val="auto"/>
          <w:kern w:val="0"/>
          <w:sz w:val="21"/>
          <w:szCs w:val="21"/>
          <w:highlight w:val="none"/>
          <w:u w:val="none"/>
          <w:lang w:val="en-US" w:eastAsia="zh-CN" w:bidi="ar"/>
        </w:rPr>
      </w:pPr>
      <w:r>
        <w:rPr>
          <w:rFonts w:hint="eastAsia" w:ascii="宋体" w:hAnsi="宋体" w:eastAsia="宋体" w:cs="宋体"/>
          <w:b/>
          <w:bCs w:val="0"/>
          <w:i w:val="0"/>
          <w:color w:val="auto"/>
          <w:kern w:val="0"/>
          <w:sz w:val="21"/>
          <w:szCs w:val="21"/>
          <w:highlight w:val="none"/>
          <w:u w:val="none"/>
          <w:lang w:val="en-US" w:eastAsia="zh-CN" w:bidi="ar"/>
        </w:rPr>
        <w:t>8、资产保全责任</w:t>
      </w:r>
    </w:p>
    <w:p w14:paraId="4DC3FD25">
      <w:pPr>
        <w:keepNext w:val="0"/>
        <w:keepLines w:val="0"/>
        <w:pageBreakBefore w:val="0"/>
        <w:kinsoku/>
        <w:wordWrap/>
        <w:overflowPunct/>
        <w:topLinePunct w:val="0"/>
        <w:autoSpaceDE/>
        <w:autoSpaceDN/>
        <w:bidi w:val="0"/>
        <w:adjustRightInd/>
        <w:snapToGrid/>
        <w:spacing w:line="500" w:lineRule="exact"/>
        <w:ind w:left="0" w:leftChars="0" w:right="0" w:rightChars="0" w:firstLine="420"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服务期间，中标单位对</w:t>
      </w:r>
      <w:r>
        <w:rPr>
          <w:rFonts w:hint="eastAsia" w:ascii="宋体" w:hAnsi="宋体" w:cs="宋体"/>
          <w:b w:val="0"/>
          <w:bCs/>
          <w:color w:val="auto"/>
          <w:szCs w:val="21"/>
          <w:highlight w:val="none"/>
          <w:lang w:val="en-US" w:eastAsia="zh-CN"/>
        </w:rPr>
        <w:t>维护</w:t>
      </w:r>
      <w:r>
        <w:rPr>
          <w:rFonts w:hint="eastAsia" w:ascii="宋体" w:hAnsi="宋体" w:eastAsia="宋体" w:cs="宋体"/>
          <w:b w:val="0"/>
          <w:bCs/>
          <w:color w:val="auto"/>
          <w:szCs w:val="21"/>
          <w:highlight w:val="none"/>
          <w:lang w:val="en-US" w:eastAsia="zh-CN"/>
        </w:rPr>
        <w:t>范围内的设备、材料负有保管责任，因维护、巡检不及时或管理不善导致的损坏、丢失，由中标单位承担修复或赔偿责任。</w:t>
      </w:r>
    </w:p>
    <w:p w14:paraId="3B3C36DE">
      <w:pPr>
        <w:keepNext w:val="0"/>
        <w:keepLines w:val="0"/>
        <w:pageBreakBefore w:val="0"/>
        <w:numPr>
          <w:ilvl w:val="0"/>
          <w:numId w:val="0"/>
        </w:numPr>
        <w:kinsoku/>
        <w:wordWrap/>
        <w:overflowPunct/>
        <w:topLinePunct w:val="0"/>
        <w:autoSpaceDE/>
        <w:autoSpaceDN/>
        <w:bidi w:val="0"/>
        <w:adjustRightInd/>
        <w:snapToGrid/>
        <w:spacing w:line="500" w:lineRule="exact"/>
        <w:ind w:left="0" w:leftChars="0" w:right="0" w:rightChars="0" w:firstLine="422" w:firstLineChars="200"/>
        <w:rPr>
          <w:rFonts w:hint="eastAsia" w:ascii="宋体" w:hAnsi="宋体" w:eastAsia="宋体" w:cs="宋体"/>
          <w:b/>
          <w:bCs w:val="0"/>
          <w:i w:val="0"/>
          <w:color w:val="auto"/>
          <w:kern w:val="0"/>
          <w:sz w:val="21"/>
          <w:szCs w:val="21"/>
          <w:highlight w:val="none"/>
          <w:u w:val="none"/>
          <w:lang w:val="en-US" w:eastAsia="zh-CN" w:bidi="ar"/>
        </w:rPr>
      </w:pPr>
      <w:r>
        <w:rPr>
          <w:rFonts w:hint="eastAsia" w:ascii="宋体" w:hAnsi="宋体" w:eastAsia="宋体" w:cs="宋体"/>
          <w:b/>
          <w:bCs w:val="0"/>
          <w:i w:val="0"/>
          <w:color w:val="auto"/>
          <w:kern w:val="0"/>
          <w:sz w:val="21"/>
          <w:szCs w:val="21"/>
          <w:highlight w:val="none"/>
          <w:u w:val="none"/>
          <w:lang w:val="en-US" w:eastAsia="zh-CN" w:bidi="ar"/>
        </w:rPr>
        <w:t>9、服务期满交接</w:t>
      </w:r>
    </w:p>
    <w:p w14:paraId="65F0AF37">
      <w:pPr>
        <w:keepNext w:val="0"/>
        <w:keepLines w:val="0"/>
        <w:pageBreakBefore w:val="0"/>
        <w:kinsoku/>
        <w:wordWrap/>
        <w:overflowPunct/>
        <w:topLinePunct w:val="0"/>
        <w:autoSpaceDE/>
        <w:autoSpaceDN/>
        <w:bidi w:val="0"/>
        <w:adjustRightInd/>
        <w:snapToGrid/>
        <w:spacing w:line="500" w:lineRule="exact"/>
        <w:ind w:left="0" w:leftChars="0" w:right="0" w:rightChars="0" w:firstLine="420"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若服务期满未续约，中标单位须无条件积极配合与新服务单位的全部交接工作，确保设施设备完好移交，不得以任何理由阻碍或拖延。</w:t>
      </w:r>
    </w:p>
    <w:p w14:paraId="221BEC70">
      <w:pPr>
        <w:keepNext w:val="0"/>
        <w:keepLines w:val="0"/>
        <w:pageBreakBefore w:val="0"/>
        <w:numPr>
          <w:ilvl w:val="0"/>
          <w:numId w:val="0"/>
        </w:numPr>
        <w:kinsoku/>
        <w:wordWrap/>
        <w:overflowPunct/>
        <w:topLinePunct w:val="0"/>
        <w:autoSpaceDE/>
        <w:autoSpaceDN/>
        <w:bidi w:val="0"/>
        <w:adjustRightInd/>
        <w:snapToGrid/>
        <w:spacing w:line="500" w:lineRule="exact"/>
        <w:ind w:left="0" w:leftChars="0" w:right="0" w:rightChars="0" w:firstLine="422" w:firstLineChars="200"/>
        <w:rPr>
          <w:rFonts w:hint="eastAsia" w:ascii="宋体" w:hAnsi="宋体" w:eastAsia="宋体" w:cs="宋体"/>
          <w:b/>
          <w:bCs w:val="0"/>
          <w:i w:val="0"/>
          <w:color w:val="auto"/>
          <w:kern w:val="0"/>
          <w:sz w:val="21"/>
          <w:szCs w:val="21"/>
          <w:highlight w:val="none"/>
          <w:u w:val="none"/>
          <w:lang w:val="en-US" w:eastAsia="zh-CN" w:bidi="ar"/>
        </w:rPr>
      </w:pPr>
      <w:r>
        <w:rPr>
          <w:rFonts w:hint="eastAsia" w:ascii="宋体" w:hAnsi="宋体" w:eastAsia="宋体" w:cs="宋体"/>
          <w:b/>
          <w:bCs w:val="0"/>
          <w:i w:val="0"/>
          <w:color w:val="auto"/>
          <w:kern w:val="0"/>
          <w:sz w:val="21"/>
          <w:szCs w:val="21"/>
          <w:highlight w:val="none"/>
          <w:u w:val="none"/>
          <w:lang w:val="en-US" w:eastAsia="zh-CN" w:bidi="ar"/>
        </w:rPr>
        <w:t>10、安全生产与法律责任</w:t>
      </w:r>
    </w:p>
    <w:p w14:paraId="17BB0C79">
      <w:pPr>
        <w:keepNext w:val="0"/>
        <w:keepLines w:val="0"/>
        <w:pageBreakBefore w:val="0"/>
        <w:kinsoku/>
        <w:wordWrap/>
        <w:overflowPunct/>
        <w:topLinePunct w:val="0"/>
        <w:autoSpaceDE/>
        <w:autoSpaceDN/>
        <w:bidi w:val="0"/>
        <w:adjustRightInd/>
        <w:snapToGrid/>
        <w:spacing w:line="500" w:lineRule="exact"/>
        <w:ind w:left="0" w:leftChars="0" w:right="0" w:rightChars="0" w:firstLine="420"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中标单位必须严格遵守安全生产法律法规及《电力安全工作规程》等标准，落实全部安全措施。</w:t>
      </w:r>
    </w:p>
    <w:p w14:paraId="7241756F">
      <w:pPr>
        <w:keepNext w:val="0"/>
        <w:keepLines w:val="0"/>
        <w:pageBreakBefore w:val="0"/>
        <w:kinsoku/>
        <w:wordWrap/>
        <w:overflowPunct/>
        <w:topLinePunct w:val="0"/>
        <w:autoSpaceDE/>
        <w:autoSpaceDN/>
        <w:bidi w:val="0"/>
        <w:adjustRightInd/>
        <w:snapToGrid/>
        <w:spacing w:line="500" w:lineRule="exact"/>
        <w:ind w:left="0" w:leftChars="0" w:right="0" w:rightChars="0" w:firstLine="420"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服务期内，中标单位的人员安全有中标单位自行负责，并为本项目的服务人员购买</w:t>
      </w:r>
      <w:r>
        <w:rPr>
          <w:rFonts w:hint="eastAsia" w:ascii="宋体" w:hAnsi="宋体" w:cs="宋体"/>
          <w:b w:val="0"/>
          <w:bCs/>
          <w:color w:val="auto"/>
          <w:szCs w:val="21"/>
          <w:highlight w:val="none"/>
          <w:lang w:val="en-US" w:eastAsia="zh-CN"/>
        </w:rPr>
        <w:t>人身保险</w:t>
      </w:r>
      <w:r>
        <w:rPr>
          <w:rFonts w:hint="eastAsia" w:ascii="宋体" w:hAnsi="宋体" w:eastAsia="宋体" w:cs="宋体"/>
          <w:b w:val="0"/>
          <w:bCs/>
          <w:color w:val="auto"/>
          <w:szCs w:val="21"/>
          <w:highlight w:val="none"/>
          <w:lang w:val="en-US" w:eastAsia="zh-CN"/>
        </w:rPr>
        <w:t>。</w:t>
      </w:r>
    </w:p>
    <w:p w14:paraId="7BCD2F55">
      <w:pPr>
        <w:keepNext w:val="0"/>
        <w:keepLines w:val="0"/>
        <w:pageBreakBefore w:val="0"/>
        <w:kinsoku/>
        <w:wordWrap/>
        <w:overflowPunct/>
        <w:topLinePunct w:val="0"/>
        <w:autoSpaceDE/>
        <w:autoSpaceDN/>
        <w:bidi w:val="0"/>
        <w:adjustRightInd/>
        <w:snapToGrid/>
        <w:spacing w:line="500" w:lineRule="exact"/>
        <w:ind w:left="0" w:leftChars="0" w:right="0" w:rightChars="0" w:firstLine="420"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服务期内，因中标单位原因（包括但不限于作业安全、治安、交通、防火、劳资纠纷、违法乱纪等）造成的一切人员伤亡、财产损失或第三方损失，全部法律责任和经济赔偿责任由中标单位独立承担，招标</w:t>
      </w:r>
      <w:r>
        <w:rPr>
          <w:rFonts w:hint="eastAsia" w:ascii="宋体" w:hAnsi="宋体" w:cs="宋体"/>
          <w:b w:val="0"/>
          <w:bCs/>
          <w:color w:val="auto"/>
          <w:szCs w:val="21"/>
          <w:highlight w:val="none"/>
          <w:lang w:val="en-US" w:eastAsia="zh-CN"/>
        </w:rPr>
        <w:t>人</w:t>
      </w:r>
      <w:r>
        <w:rPr>
          <w:rFonts w:hint="eastAsia" w:ascii="宋体" w:hAnsi="宋体" w:eastAsia="宋体" w:cs="宋体"/>
          <w:b w:val="0"/>
          <w:bCs/>
          <w:color w:val="auto"/>
          <w:szCs w:val="21"/>
          <w:highlight w:val="none"/>
          <w:lang w:val="en-US" w:eastAsia="zh-CN"/>
        </w:rPr>
        <w:t>不承担任何连带责任。</w:t>
      </w:r>
    </w:p>
    <w:p w14:paraId="191BD908">
      <w:pPr>
        <w:keepNext w:val="0"/>
        <w:keepLines w:val="0"/>
        <w:pageBreakBefore w:val="0"/>
        <w:kinsoku/>
        <w:wordWrap/>
        <w:overflowPunct/>
        <w:topLinePunct w:val="0"/>
        <w:autoSpaceDE/>
        <w:autoSpaceDN/>
        <w:bidi w:val="0"/>
        <w:adjustRightInd/>
        <w:snapToGrid/>
        <w:spacing w:line="500" w:lineRule="exact"/>
        <w:ind w:left="0" w:leftChars="0" w:right="0" w:rightChars="0" w:firstLine="420"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若因巡检维护不及时、不到位引发安全事故或负面曝光，招标方有权委托第三方紧急处理，所产生费用由中标单位承担。</w:t>
      </w:r>
    </w:p>
    <w:p w14:paraId="4508940F">
      <w:pPr>
        <w:keepNext w:val="0"/>
        <w:keepLines w:val="0"/>
        <w:pageBreakBefore w:val="0"/>
        <w:numPr>
          <w:ilvl w:val="0"/>
          <w:numId w:val="0"/>
        </w:numPr>
        <w:kinsoku/>
        <w:wordWrap/>
        <w:overflowPunct/>
        <w:topLinePunct w:val="0"/>
        <w:autoSpaceDE/>
        <w:autoSpaceDN/>
        <w:bidi w:val="0"/>
        <w:adjustRightInd/>
        <w:snapToGrid/>
        <w:spacing w:line="500" w:lineRule="exact"/>
        <w:ind w:left="0" w:leftChars="0" w:right="0" w:rightChars="0" w:firstLine="422" w:firstLineChars="200"/>
        <w:rPr>
          <w:rFonts w:hint="eastAsia" w:ascii="宋体" w:hAnsi="宋体" w:eastAsia="宋体" w:cs="宋体"/>
          <w:b/>
          <w:bCs w:val="0"/>
          <w:i w:val="0"/>
          <w:color w:val="auto"/>
          <w:kern w:val="0"/>
          <w:sz w:val="21"/>
          <w:szCs w:val="21"/>
          <w:highlight w:val="none"/>
          <w:u w:val="none"/>
          <w:lang w:val="en-US" w:eastAsia="zh-CN" w:bidi="ar"/>
        </w:rPr>
      </w:pPr>
      <w:r>
        <w:rPr>
          <w:rFonts w:hint="eastAsia" w:ascii="宋体" w:hAnsi="宋体" w:eastAsia="宋体" w:cs="宋体"/>
          <w:b/>
          <w:bCs w:val="0"/>
          <w:i w:val="0"/>
          <w:color w:val="auto"/>
          <w:kern w:val="0"/>
          <w:sz w:val="21"/>
          <w:szCs w:val="21"/>
          <w:highlight w:val="none"/>
          <w:u w:val="none"/>
          <w:lang w:val="en-US" w:eastAsia="zh-CN" w:bidi="ar"/>
        </w:rPr>
        <w:t>11、服务报告与支付</w:t>
      </w:r>
    </w:p>
    <w:p w14:paraId="60E8FB2B">
      <w:pPr>
        <w:keepNext w:val="0"/>
        <w:keepLines w:val="0"/>
        <w:pageBreakBefore w:val="0"/>
        <w:kinsoku/>
        <w:wordWrap/>
        <w:overflowPunct/>
        <w:topLinePunct w:val="0"/>
        <w:autoSpaceDE/>
        <w:autoSpaceDN/>
        <w:bidi w:val="0"/>
        <w:adjustRightInd/>
        <w:snapToGrid/>
        <w:spacing w:line="500" w:lineRule="exact"/>
        <w:ind w:left="0" w:leftChars="0" w:right="0" w:rightChars="0" w:firstLine="420"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报告要求：每季度提交《</w:t>
      </w:r>
      <w:r>
        <w:rPr>
          <w:rFonts w:hint="eastAsia" w:ascii="宋体" w:hAnsi="宋体" w:cs="宋体"/>
          <w:b w:val="0"/>
          <w:bCs/>
          <w:color w:val="auto"/>
          <w:szCs w:val="21"/>
          <w:highlight w:val="none"/>
          <w:lang w:val="en-US" w:eastAsia="zh-CN"/>
        </w:rPr>
        <w:t>季度</w:t>
      </w:r>
      <w:r>
        <w:rPr>
          <w:rFonts w:hint="eastAsia" w:ascii="宋体" w:hAnsi="宋体" w:eastAsia="宋体" w:cs="宋体"/>
          <w:b w:val="0"/>
          <w:bCs/>
          <w:color w:val="auto"/>
          <w:szCs w:val="21"/>
          <w:highlight w:val="none"/>
          <w:lang w:val="en-US" w:eastAsia="zh-CN"/>
        </w:rPr>
        <w:t>巡检</w:t>
      </w:r>
      <w:r>
        <w:rPr>
          <w:rFonts w:hint="eastAsia" w:ascii="宋体" w:hAnsi="宋体" w:cs="宋体"/>
          <w:b w:val="0"/>
          <w:bCs/>
          <w:color w:val="auto"/>
          <w:szCs w:val="21"/>
          <w:highlight w:val="none"/>
          <w:lang w:val="en-US" w:eastAsia="zh-CN"/>
        </w:rPr>
        <w:t>维护</w:t>
      </w:r>
      <w:r>
        <w:rPr>
          <w:rFonts w:hint="eastAsia" w:ascii="宋体" w:hAnsi="宋体" w:eastAsia="宋体" w:cs="宋体"/>
          <w:b w:val="0"/>
          <w:bCs/>
          <w:color w:val="auto"/>
          <w:szCs w:val="21"/>
          <w:highlight w:val="none"/>
          <w:lang w:val="en-US" w:eastAsia="zh-CN"/>
        </w:rPr>
        <w:t>报告》；每年</w:t>
      </w:r>
      <w:r>
        <w:rPr>
          <w:rFonts w:hint="eastAsia" w:ascii="宋体" w:hAnsi="宋体" w:cs="宋体"/>
          <w:b w:val="0"/>
          <w:bCs/>
          <w:color w:val="auto"/>
          <w:szCs w:val="21"/>
          <w:highlight w:val="none"/>
          <w:lang w:val="en-US" w:eastAsia="zh-CN"/>
        </w:rPr>
        <w:t>末</w:t>
      </w:r>
      <w:r>
        <w:rPr>
          <w:rFonts w:hint="eastAsia" w:ascii="宋体" w:hAnsi="宋体" w:eastAsia="宋体" w:cs="宋体"/>
          <w:b w:val="0"/>
          <w:bCs/>
          <w:color w:val="auto"/>
          <w:szCs w:val="21"/>
          <w:highlight w:val="none"/>
          <w:lang w:val="en-US" w:eastAsia="zh-CN"/>
        </w:rPr>
        <w:t>提交《年度预防性试验报告》、《年度巡检</w:t>
      </w:r>
      <w:r>
        <w:rPr>
          <w:rFonts w:hint="eastAsia" w:ascii="宋体" w:hAnsi="宋体" w:cs="宋体"/>
          <w:b w:val="0"/>
          <w:bCs/>
          <w:color w:val="auto"/>
          <w:szCs w:val="21"/>
          <w:highlight w:val="none"/>
          <w:lang w:val="en-US" w:eastAsia="zh-CN"/>
        </w:rPr>
        <w:t>维护</w:t>
      </w:r>
      <w:r>
        <w:rPr>
          <w:rFonts w:hint="eastAsia" w:ascii="宋体" w:hAnsi="宋体" w:eastAsia="宋体" w:cs="宋体"/>
          <w:b w:val="0"/>
          <w:bCs/>
          <w:color w:val="auto"/>
          <w:szCs w:val="21"/>
          <w:highlight w:val="none"/>
          <w:lang w:val="en-US" w:eastAsia="zh-CN"/>
        </w:rPr>
        <w:t>报告》。报告需详细记录检查结果、维护数据及改进建议，并由</w:t>
      </w:r>
      <w:r>
        <w:rPr>
          <w:rFonts w:hint="eastAsia" w:ascii="宋体" w:hAnsi="宋体" w:cs="宋体"/>
          <w:b w:val="0"/>
          <w:bCs/>
          <w:color w:val="auto"/>
          <w:szCs w:val="21"/>
          <w:highlight w:val="none"/>
          <w:lang w:val="en-US" w:eastAsia="zh-CN"/>
        </w:rPr>
        <w:t>中标单位</w:t>
      </w:r>
      <w:r>
        <w:rPr>
          <w:rFonts w:hint="eastAsia" w:ascii="宋体" w:hAnsi="宋体" w:eastAsia="宋体" w:cs="宋体"/>
          <w:b w:val="0"/>
          <w:bCs/>
          <w:color w:val="auto"/>
          <w:szCs w:val="21"/>
          <w:highlight w:val="none"/>
          <w:lang w:val="en-US" w:eastAsia="zh-CN"/>
        </w:rPr>
        <w:t>盖章确认。</w:t>
      </w:r>
    </w:p>
    <w:p w14:paraId="1019E82C">
      <w:pPr>
        <w:keepNext w:val="0"/>
        <w:keepLines w:val="0"/>
        <w:pageBreakBefore w:val="0"/>
        <w:kinsoku/>
        <w:wordWrap/>
        <w:overflowPunct/>
        <w:topLinePunct w:val="0"/>
        <w:autoSpaceDE/>
        <w:autoSpaceDN/>
        <w:bidi w:val="0"/>
        <w:adjustRightInd/>
        <w:snapToGrid/>
        <w:spacing w:line="500" w:lineRule="exact"/>
        <w:ind w:left="0" w:leftChars="0" w:right="0" w:rightChars="0" w:firstLine="420"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支付凭证：经招标</w:t>
      </w:r>
      <w:r>
        <w:rPr>
          <w:rFonts w:hint="eastAsia" w:ascii="宋体" w:hAnsi="宋体" w:cs="宋体"/>
          <w:b w:val="0"/>
          <w:bCs/>
          <w:color w:val="auto"/>
          <w:szCs w:val="21"/>
          <w:highlight w:val="none"/>
          <w:lang w:val="en-US" w:eastAsia="zh-CN"/>
        </w:rPr>
        <w:t>人</w:t>
      </w:r>
      <w:r>
        <w:rPr>
          <w:rFonts w:hint="eastAsia" w:ascii="宋体" w:hAnsi="宋体" w:eastAsia="宋体" w:cs="宋体"/>
          <w:b w:val="0"/>
          <w:bCs/>
          <w:color w:val="auto"/>
          <w:szCs w:val="21"/>
          <w:highlight w:val="none"/>
          <w:lang w:val="en-US" w:eastAsia="zh-CN"/>
        </w:rPr>
        <w:t>确认的《</w:t>
      </w:r>
      <w:r>
        <w:rPr>
          <w:rFonts w:hint="eastAsia" w:ascii="宋体" w:hAnsi="宋体" w:cs="宋体"/>
          <w:b w:val="0"/>
          <w:bCs/>
          <w:color w:val="auto"/>
          <w:szCs w:val="21"/>
          <w:highlight w:val="none"/>
          <w:lang w:val="en-US" w:eastAsia="zh-CN"/>
        </w:rPr>
        <w:t>季度</w:t>
      </w:r>
      <w:r>
        <w:rPr>
          <w:rFonts w:hint="eastAsia" w:ascii="宋体" w:hAnsi="宋体" w:eastAsia="宋体" w:cs="宋体"/>
          <w:b w:val="0"/>
          <w:bCs/>
          <w:color w:val="auto"/>
          <w:szCs w:val="21"/>
          <w:highlight w:val="none"/>
          <w:lang w:val="en-US" w:eastAsia="zh-CN"/>
        </w:rPr>
        <w:t>巡检</w:t>
      </w:r>
      <w:r>
        <w:rPr>
          <w:rFonts w:hint="eastAsia" w:ascii="宋体" w:hAnsi="宋体" w:cs="宋体"/>
          <w:b w:val="0"/>
          <w:bCs/>
          <w:color w:val="auto"/>
          <w:szCs w:val="21"/>
          <w:highlight w:val="none"/>
          <w:lang w:val="en-US" w:eastAsia="zh-CN"/>
        </w:rPr>
        <w:t>维护</w:t>
      </w:r>
      <w:r>
        <w:rPr>
          <w:rFonts w:hint="eastAsia" w:ascii="宋体" w:hAnsi="宋体" w:eastAsia="宋体" w:cs="宋体"/>
          <w:b w:val="0"/>
          <w:bCs/>
          <w:color w:val="auto"/>
          <w:szCs w:val="21"/>
          <w:highlight w:val="none"/>
          <w:lang w:val="en-US" w:eastAsia="zh-CN"/>
        </w:rPr>
        <w:t>报告》、《年度预防性试验报告》、《年度巡检</w:t>
      </w:r>
      <w:r>
        <w:rPr>
          <w:rFonts w:hint="eastAsia" w:ascii="宋体" w:hAnsi="宋体" w:cs="宋体"/>
          <w:b w:val="0"/>
          <w:bCs/>
          <w:color w:val="auto"/>
          <w:szCs w:val="21"/>
          <w:highlight w:val="none"/>
          <w:lang w:val="en-US" w:eastAsia="zh-CN"/>
        </w:rPr>
        <w:t>维护</w:t>
      </w:r>
      <w:r>
        <w:rPr>
          <w:rFonts w:hint="eastAsia" w:ascii="宋体" w:hAnsi="宋体" w:eastAsia="宋体" w:cs="宋体"/>
          <w:b w:val="0"/>
          <w:bCs/>
          <w:color w:val="auto"/>
          <w:szCs w:val="21"/>
          <w:highlight w:val="none"/>
          <w:lang w:val="en-US" w:eastAsia="zh-CN"/>
        </w:rPr>
        <w:t>报告》是支付相应运维费用的唯一依据。</w:t>
      </w:r>
    </w:p>
    <w:p w14:paraId="685A0B3F">
      <w:pPr>
        <w:pStyle w:val="14"/>
        <w:keepNext w:val="0"/>
        <w:keepLines w:val="0"/>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480" w:lineRule="exact"/>
        <w:ind w:left="0" w:leftChars="0" w:right="0" w:rightChars="0"/>
        <w:textAlignment w:val="auto"/>
        <w:rPr>
          <w:rFonts w:hint="eastAsia" w:ascii="Times New Roman" w:hAnsi="宋体" w:eastAsia="宋体" w:cs="Times New Roman"/>
          <w:b/>
          <w:bCs/>
          <w:color w:val="auto"/>
          <w:kern w:val="2"/>
          <w:sz w:val="28"/>
          <w:szCs w:val="28"/>
          <w:highlight w:val="none"/>
          <w:lang w:val="en-US" w:eastAsia="zh-CN" w:bidi="ar-SA"/>
        </w:rPr>
      </w:pPr>
      <w:r>
        <w:rPr>
          <w:rFonts w:hint="eastAsia" w:ascii="Times New Roman" w:hAnsi="宋体" w:eastAsia="宋体" w:cs="Times New Roman"/>
          <w:b/>
          <w:bCs/>
          <w:color w:val="auto"/>
          <w:kern w:val="2"/>
          <w:sz w:val="28"/>
          <w:szCs w:val="28"/>
          <w:highlight w:val="none"/>
          <w:lang w:val="en-US" w:eastAsia="zh-CN" w:bidi="ar-SA"/>
        </w:rPr>
        <w:t>四、技术标准和规范</w:t>
      </w:r>
    </w:p>
    <w:p w14:paraId="73457A40">
      <w:pPr>
        <w:keepNext w:val="0"/>
        <w:keepLines w:val="0"/>
        <w:pageBreakBefore w:val="0"/>
        <w:numPr>
          <w:ilvl w:val="0"/>
          <w:numId w:val="0"/>
        </w:numPr>
        <w:kinsoku/>
        <w:wordWrap/>
        <w:overflowPunct/>
        <w:topLinePunct w:val="0"/>
        <w:autoSpaceDE/>
        <w:autoSpaceDN/>
        <w:bidi w:val="0"/>
        <w:adjustRightInd/>
        <w:snapToGrid w:val="0"/>
        <w:spacing w:line="500" w:lineRule="exact"/>
        <w:ind w:left="0" w:leftChars="0" w:right="0" w:rightChars="0" w:firstLine="420" w:firstLineChars="200"/>
        <w:textAlignment w:val="auto"/>
        <w:rPr>
          <w:rFonts w:hint="eastAsia" w:ascii="宋体" w:hAnsi="宋体" w:eastAsia="宋体" w:cs="宋体"/>
          <w:b w:val="0"/>
          <w:bCs w:val="0"/>
          <w:color w:val="auto"/>
          <w:szCs w:val="21"/>
          <w:highlight w:val="none"/>
          <w:lang w:val="en-US" w:eastAsia="zh-CN"/>
        </w:rPr>
      </w:pPr>
      <w:r>
        <w:rPr>
          <w:rFonts w:ascii="Segoe UI" w:hAnsi="Segoe UI" w:eastAsia="Segoe UI" w:cs="Segoe UI"/>
          <w:i w:val="0"/>
          <w:iCs w:val="0"/>
          <w:caps w:val="0"/>
          <w:color w:val="auto"/>
          <w:spacing w:val="0"/>
          <w:sz w:val="21"/>
          <w:szCs w:val="21"/>
          <w:highlight w:val="none"/>
          <w:shd w:val="clear" w:fill="FFFFFF"/>
        </w:rPr>
        <w:t>服务工作必须遵循（包括但不限于）以下最新版本的标准和规范：</w:t>
      </w:r>
    </w:p>
    <w:p w14:paraId="22F51A7C">
      <w:pPr>
        <w:keepNext w:val="0"/>
        <w:keepLines w:val="0"/>
        <w:pageBreakBefore w:val="0"/>
        <w:numPr>
          <w:ilvl w:val="0"/>
          <w:numId w:val="0"/>
        </w:numPr>
        <w:kinsoku/>
        <w:wordWrap/>
        <w:overflowPunct/>
        <w:topLinePunct w:val="0"/>
        <w:autoSpaceDE/>
        <w:autoSpaceDN/>
        <w:bidi w:val="0"/>
        <w:adjustRightInd/>
        <w:snapToGrid w:val="0"/>
        <w:spacing w:line="500" w:lineRule="exact"/>
        <w:ind w:left="0" w:leftChars="0" w:right="0" w:rightChars="0"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DL/T409-2023《电力安全工作规程电力线路部分》</w:t>
      </w:r>
    </w:p>
    <w:p w14:paraId="4635D61A">
      <w:pPr>
        <w:keepNext w:val="0"/>
        <w:keepLines w:val="0"/>
        <w:pageBreakBefore w:val="0"/>
        <w:numPr>
          <w:ilvl w:val="0"/>
          <w:numId w:val="0"/>
        </w:numPr>
        <w:kinsoku/>
        <w:wordWrap/>
        <w:overflowPunct/>
        <w:topLinePunct w:val="0"/>
        <w:autoSpaceDE/>
        <w:autoSpaceDN/>
        <w:bidi w:val="0"/>
        <w:adjustRightInd/>
        <w:snapToGrid w:val="0"/>
        <w:spacing w:line="500" w:lineRule="exact"/>
        <w:ind w:left="0" w:leftChars="0" w:right="0" w:rightChars="0"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GB50150-2016《电气装置安装工程电气设备交接试验标准》</w:t>
      </w:r>
    </w:p>
    <w:p w14:paraId="23A3A218">
      <w:pPr>
        <w:keepNext w:val="0"/>
        <w:keepLines w:val="0"/>
        <w:pageBreakBefore w:val="0"/>
        <w:numPr>
          <w:ilvl w:val="0"/>
          <w:numId w:val="0"/>
        </w:numPr>
        <w:kinsoku/>
        <w:wordWrap/>
        <w:overflowPunct/>
        <w:topLinePunct w:val="0"/>
        <w:autoSpaceDE/>
        <w:autoSpaceDN/>
        <w:bidi w:val="0"/>
        <w:adjustRightInd/>
        <w:snapToGrid w:val="0"/>
        <w:spacing w:line="500" w:lineRule="exact"/>
        <w:ind w:left="0" w:leftChars="0" w:right="0" w:rightChars="0"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GB26860-2011《电力安全工作规程发电厂和变电站电气部分》</w:t>
      </w:r>
    </w:p>
    <w:p w14:paraId="7CEB729B">
      <w:pPr>
        <w:keepNext w:val="0"/>
        <w:keepLines w:val="0"/>
        <w:pageBreakBefore w:val="0"/>
        <w:numPr>
          <w:ilvl w:val="0"/>
          <w:numId w:val="0"/>
        </w:numPr>
        <w:kinsoku/>
        <w:wordWrap/>
        <w:overflowPunct/>
        <w:topLinePunct w:val="0"/>
        <w:autoSpaceDE/>
        <w:autoSpaceDN/>
        <w:bidi w:val="0"/>
        <w:adjustRightInd/>
        <w:snapToGrid w:val="0"/>
        <w:spacing w:line="500" w:lineRule="exact"/>
        <w:ind w:left="0" w:leftChars="0" w:right="0" w:rightChars="0"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GB26859-2011《电力安全工作规程电力线路部分》</w:t>
      </w:r>
    </w:p>
    <w:p w14:paraId="13D12859">
      <w:pPr>
        <w:keepNext w:val="0"/>
        <w:keepLines w:val="0"/>
        <w:pageBreakBefore w:val="0"/>
        <w:numPr>
          <w:ilvl w:val="0"/>
          <w:numId w:val="0"/>
        </w:numPr>
        <w:kinsoku/>
        <w:wordWrap/>
        <w:overflowPunct/>
        <w:topLinePunct w:val="0"/>
        <w:autoSpaceDE/>
        <w:autoSpaceDN/>
        <w:bidi w:val="0"/>
        <w:adjustRightInd/>
        <w:snapToGrid w:val="0"/>
        <w:spacing w:line="500" w:lineRule="exact"/>
        <w:ind w:left="0" w:leftChars="0" w:right="0" w:rightChars="0"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GB/T29319-2024《光伏发电系统接入配电网技术规定》</w:t>
      </w:r>
    </w:p>
    <w:p w14:paraId="678FD3CF">
      <w:pPr>
        <w:pStyle w:val="14"/>
        <w:keepNext w:val="0"/>
        <w:keepLines w:val="0"/>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480" w:lineRule="exact"/>
        <w:ind w:left="0" w:leftChars="0" w:right="0" w:rightChars="0"/>
        <w:textAlignment w:val="auto"/>
        <w:rPr>
          <w:rFonts w:hint="eastAsia" w:ascii="Times New Roman" w:hAnsi="宋体" w:eastAsia="宋体" w:cs="Times New Roman"/>
          <w:b/>
          <w:bCs/>
          <w:color w:val="auto"/>
          <w:kern w:val="2"/>
          <w:sz w:val="28"/>
          <w:szCs w:val="28"/>
          <w:highlight w:val="none"/>
          <w:lang w:val="en-US" w:eastAsia="zh-CN" w:bidi="ar-SA"/>
        </w:rPr>
      </w:pPr>
      <w:r>
        <w:rPr>
          <w:rFonts w:hint="eastAsia" w:ascii="Times New Roman" w:hAnsi="宋体" w:eastAsia="宋体" w:cs="Times New Roman"/>
          <w:b/>
          <w:bCs/>
          <w:color w:val="auto"/>
          <w:kern w:val="2"/>
          <w:sz w:val="28"/>
          <w:szCs w:val="28"/>
          <w:highlight w:val="none"/>
          <w:lang w:val="en-US" w:eastAsia="zh-CN" w:bidi="ar-SA"/>
        </w:rPr>
        <w:t>五、人员及机械设备要求</w:t>
      </w:r>
    </w:p>
    <w:p w14:paraId="4111464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right="0" w:rightChars="0" w:firstLine="422" w:firstLineChars="200"/>
        <w:textAlignment w:val="auto"/>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w:t>
      </w:r>
      <w:r>
        <w:rPr>
          <w:rFonts w:hint="default" w:ascii="宋体" w:hAnsi="宋体" w:eastAsia="宋体" w:cs="宋体"/>
          <w:b/>
          <w:bCs/>
          <w:color w:val="auto"/>
          <w:szCs w:val="21"/>
          <w:highlight w:val="none"/>
          <w:lang w:val="en-US" w:eastAsia="zh-CN"/>
        </w:rPr>
        <w:t>项目团队</w:t>
      </w:r>
    </w:p>
    <w:p w14:paraId="1002EDA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right="0" w:rightChars="0" w:firstLine="420" w:firstLineChars="200"/>
        <w:textAlignment w:val="auto"/>
        <w:rPr>
          <w:rFonts w:hint="default" w:ascii="宋体" w:hAnsi="宋体" w:eastAsia="宋体" w:cs="宋体"/>
          <w:b w:val="0"/>
          <w:bCs w:val="0"/>
          <w:color w:val="auto"/>
          <w:szCs w:val="21"/>
          <w:highlight w:val="none"/>
          <w:lang w:val="en-US" w:eastAsia="zh-CN"/>
        </w:rPr>
      </w:pPr>
      <w:r>
        <w:rPr>
          <w:rFonts w:hint="default" w:ascii="宋体" w:hAnsi="宋体" w:eastAsia="宋体" w:cs="宋体"/>
          <w:b w:val="0"/>
          <w:bCs w:val="0"/>
          <w:color w:val="auto"/>
          <w:szCs w:val="21"/>
          <w:highlight w:val="none"/>
          <w:lang w:val="en-US" w:eastAsia="zh-CN"/>
        </w:rPr>
        <w:t>项目负责人：1名，需具备电力工程师证及有效的“高压电工作业”特种作业操作证</w:t>
      </w:r>
      <w:r>
        <w:rPr>
          <w:rFonts w:hint="eastAsia" w:ascii="宋体" w:hAnsi="宋体" w:eastAsia="宋体" w:cs="宋体"/>
          <w:b/>
          <w:bCs/>
          <w:color w:val="auto"/>
          <w:szCs w:val="21"/>
          <w:highlight w:val="none"/>
          <w:lang w:val="en-US" w:eastAsia="zh-CN"/>
        </w:rPr>
        <w:t>（投标时提供人员名单和证书）</w:t>
      </w:r>
    </w:p>
    <w:p w14:paraId="33049F2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right="0" w:rightChars="0" w:firstLine="420" w:firstLineChars="200"/>
        <w:textAlignment w:val="auto"/>
        <w:rPr>
          <w:rFonts w:hint="eastAsia" w:ascii="宋体" w:hAnsi="宋体" w:eastAsia="宋体" w:cs="宋体"/>
          <w:b/>
          <w:bCs/>
          <w:color w:val="auto"/>
          <w:szCs w:val="21"/>
          <w:highlight w:val="none"/>
          <w:lang w:val="en-US" w:eastAsia="zh-CN"/>
        </w:rPr>
      </w:pPr>
      <w:r>
        <w:rPr>
          <w:rFonts w:hint="default" w:ascii="宋体" w:hAnsi="宋体" w:eastAsia="宋体" w:cs="宋体"/>
          <w:b w:val="0"/>
          <w:bCs w:val="0"/>
          <w:color w:val="auto"/>
          <w:szCs w:val="21"/>
          <w:highlight w:val="none"/>
          <w:lang w:val="en-US" w:eastAsia="zh-CN"/>
        </w:rPr>
        <w:t>维护人员：至少2名，均须持有效的“高压电工作业”特种作业操作证。</w:t>
      </w:r>
      <w:r>
        <w:rPr>
          <w:rFonts w:hint="eastAsia" w:ascii="宋体" w:hAnsi="宋体" w:eastAsia="宋体" w:cs="宋体"/>
          <w:b/>
          <w:bCs/>
          <w:color w:val="auto"/>
          <w:szCs w:val="21"/>
          <w:highlight w:val="none"/>
          <w:lang w:val="en-US" w:eastAsia="zh-CN"/>
        </w:rPr>
        <w:t>（投标时提供人员名单和证书）</w:t>
      </w:r>
    </w:p>
    <w:p w14:paraId="2FD1D8D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right="0" w:rightChars="0" w:firstLine="420" w:firstLineChars="200"/>
        <w:textAlignment w:val="auto"/>
        <w:rPr>
          <w:rFonts w:hint="default" w:ascii="宋体" w:hAnsi="宋体" w:eastAsia="宋体" w:cs="宋体"/>
          <w:b/>
          <w:bCs/>
          <w:color w:val="auto"/>
          <w:szCs w:val="21"/>
          <w:highlight w:val="none"/>
          <w:lang w:val="en-US" w:eastAsia="zh-CN"/>
        </w:rPr>
      </w:pPr>
      <w:r>
        <w:rPr>
          <w:rFonts w:hint="eastAsia" w:ascii="宋体" w:hAnsi="宋体" w:eastAsia="宋体" w:cs="宋体"/>
          <w:b w:val="0"/>
          <w:bCs w:val="0"/>
          <w:color w:val="auto"/>
          <w:szCs w:val="21"/>
          <w:highlight w:val="none"/>
          <w:lang w:val="en-US" w:eastAsia="zh-CN"/>
        </w:rPr>
        <w:t>以上人员为最低配备标准，如遇特殊情况需要</w:t>
      </w:r>
      <w:r>
        <w:rPr>
          <w:rFonts w:hint="default" w:ascii="宋体" w:hAnsi="宋体" w:eastAsia="宋体" w:cs="宋体"/>
          <w:b w:val="0"/>
          <w:bCs w:val="0"/>
          <w:color w:val="auto"/>
          <w:szCs w:val="21"/>
          <w:highlight w:val="none"/>
          <w:lang w:val="en-US" w:eastAsia="zh-CN"/>
        </w:rPr>
        <w:t>增派人员</w:t>
      </w:r>
      <w:r>
        <w:rPr>
          <w:rFonts w:hint="eastAsia" w:ascii="宋体" w:hAnsi="宋体" w:eastAsia="宋体" w:cs="宋体"/>
          <w:b w:val="0"/>
          <w:bCs w:val="0"/>
          <w:color w:val="auto"/>
          <w:szCs w:val="21"/>
          <w:highlight w:val="none"/>
          <w:lang w:val="en-US" w:eastAsia="zh-CN"/>
        </w:rPr>
        <w:t>得，中标人应自行配备相应人员，费用包含在投标报价中，招标人不再另行支付费用</w:t>
      </w:r>
      <w:r>
        <w:rPr>
          <w:rFonts w:hint="default" w:ascii="宋体" w:hAnsi="宋体" w:eastAsia="宋体" w:cs="宋体"/>
          <w:b w:val="0"/>
          <w:bCs w:val="0"/>
          <w:color w:val="auto"/>
          <w:szCs w:val="21"/>
          <w:highlight w:val="none"/>
          <w:lang w:val="en-US" w:eastAsia="zh-CN"/>
        </w:rPr>
        <w:t>。</w:t>
      </w:r>
    </w:p>
    <w:p w14:paraId="3F52E5B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right="0" w:rightChars="0" w:firstLine="420" w:firstLineChars="200"/>
        <w:textAlignment w:val="auto"/>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2、</w:t>
      </w:r>
      <w:r>
        <w:rPr>
          <w:rFonts w:hint="default" w:ascii="宋体" w:hAnsi="宋体" w:eastAsia="宋体" w:cs="宋体"/>
          <w:b w:val="0"/>
          <w:bCs w:val="0"/>
          <w:color w:val="auto"/>
          <w:szCs w:val="21"/>
          <w:highlight w:val="none"/>
          <w:lang w:val="en-US" w:eastAsia="zh-CN"/>
        </w:rPr>
        <w:t>机械设备</w:t>
      </w:r>
    </w:p>
    <w:p w14:paraId="6EB94FB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right="0" w:rightChars="0" w:firstLine="420" w:firstLineChars="200"/>
        <w:textAlignment w:val="auto"/>
        <w:rPr>
          <w:rFonts w:hint="default" w:ascii="宋体" w:hAnsi="宋体" w:eastAsia="宋体" w:cs="宋体"/>
          <w:b w:val="0"/>
          <w:bCs w:val="0"/>
          <w:color w:val="auto"/>
          <w:szCs w:val="21"/>
          <w:highlight w:val="none"/>
          <w:lang w:val="en-US" w:eastAsia="zh-CN"/>
        </w:rPr>
      </w:pPr>
      <w:r>
        <w:rPr>
          <w:rFonts w:hint="default" w:ascii="宋体" w:hAnsi="宋体" w:eastAsia="宋体" w:cs="宋体"/>
          <w:b w:val="0"/>
          <w:bCs w:val="0"/>
          <w:color w:val="auto"/>
          <w:szCs w:val="21"/>
          <w:highlight w:val="none"/>
          <w:lang w:val="en-US" w:eastAsia="zh-CN"/>
        </w:rPr>
        <w:t>配备数量充足、种类合适的维护、检测及试验设备，以满足维保工作需要。</w:t>
      </w:r>
    </w:p>
    <w:p w14:paraId="0940390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right="0" w:rightChars="0" w:firstLine="420" w:firstLineChars="200"/>
        <w:textAlignment w:val="auto"/>
        <w:rPr>
          <w:rFonts w:hint="default" w:ascii="宋体" w:hAnsi="宋体" w:eastAsia="宋体" w:cs="宋体"/>
          <w:b w:val="0"/>
          <w:bCs w:val="0"/>
          <w:color w:val="auto"/>
          <w:szCs w:val="21"/>
          <w:highlight w:val="none"/>
          <w:lang w:val="en-US" w:eastAsia="zh-CN"/>
        </w:rPr>
      </w:pPr>
      <w:r>
        <w:rPr>
          <w:rFonts w:hint="default" w:ascii="宋体" w:hAnsi="宋体" w:eastAsia="宋体" w:cs="宋体"/>
          <w:b w:val="0"/>
          <w:bCs w:val="0"/>
          <w:color w:val="auto"/>
          <w:szCs w:val="21"/>
          <w:highlight w:val="none"/>
          <w:lang w:val="en-US" w:eastAsia="zh-CN"/>
        </w:rPr>
        <w:t>至少提供1辆专用巡查车辆，用于日常维护及应急响应。</w:t>
      </w:r>
      <w:r>
        <w:rPr>
          <w:rFonts w:hint="eastAsia" w:ascii="宋体" w:hAnsi="宋体" w:eastAsia="宋体" w:cs="宋体"/>
          <w:b/>
          <w:bCs/>
          <w:color w:val="auto"/>
          <w:szCs w:val="21"/>
          <w:highlight w:val="none"/>
          <w:lang w:val="en-US" w:eastAsia="zh-CN"/>
        </w:rPr>
        <w:t>（投标</w:t>
      </w:r>
      <w:r>
        <w:rPr>
          <w:rFonts w:hint="eastAsia" w:ascii="宋体" w:hAnsi="宋体" w:cs="宋体"/>
          <w:b/>
          <w:bCs/>
          <w:color w:val="auto"/>
          <w:szCs w:val="21"/>
          <w:highlight w:val="none"/>
          <w:lang w:val="en-US" w:eastAsia="zh-CN"/>
        </w:rPr>
        <w:t>时</w:t>
      </w:r>
      <w:r>
        <w:rPr>
          <w:rFonts w:hint="eastAsia" w:ascii="宋体" w:hAnsi="宋体" w:eastAsia="宋体" w:cs="宋体"/>
          <w:b/>
          <w:bCs/>
          <w:color w:val="auto"/>
          <w:szCs w:val="21"/>
          <w:highlight w:val="none"/>
          <w:lang w:val="en-US" w:eastAsia="zh-CN"/>
        </w:rPr>
        <w:t>无需提供证明材料，中标后进场前按要求配备，否则视为虚假响应）</w:t>
      </w:r>
    </w:p>
    <w:p w14:paraId="2A85B33D">
      <w:pPr>
        <w:pStyle w:val="14"/>
        <w:keepNext w:val="0"/>
        <w:keepLines w:val="0"/>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480" w:lineRule="exact"/>
        <w:ind w:left="0" w:leftChars="0" w:right="0" w:rightChars="0"/>
        <w:textAlignment w:val="auto"/>
        <w:rPr>
          <w:rFonts w:hint="eastAsia" w:ascii="Times New Roman" w:hAnsi="宋体" w:eastAsia="宋体" w:cs="Times New Roman"/>
          <w:b/>
          <w:bCs/>
          <w:color w:val="auto"/>
          <w:kern w:val="2"/>
          <w:sz w:val="28"/>
          <w:szCs w:val="28"/>
          <w:highlight w:val="none"/>
          <w:lang w:val="en-US" w:eastAsia="zh-CN" w:bidi="ar-SA"/>
        </w:rPr>
      </w:pPr>
      <w:r>
        <w:rPr>
          <w:rFonts w:hint="eastAsia" w:ascii="Times New Roman" w:hAnsi="宋体" w:eastAsia="宋体" w:cs="Times New Roman"/>
          <w:b/>
          <w:bCs/>
          <w:color w:val="auto"/>
          <w:kern w:val="2"/>
          <w:sz w:val="28"/>
          <w:szCs w:val="28"/>
          <w:highlight w:val="none"/>
          <w:lang w:val="en-US" w:eastAsia="zh-CN" w:bidi="ar-SA"/>
        </w:rPr>
        <w:t>六、报价要求</w:t>
      </w:r>
    </w:p>
    <w:p w14:paraId="24EC2973">
      <w:pPr>
        <w:pStyle w:val="14"/>
        <w:keepNext w:val="0"/>
        <w:keepLines w:val="0"/>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480" w:lineRule="exact"/>
        <w:ind w:left="0" w:leftChars="0"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Segoe UI" w:hAnsi="Segoe UI" w:eastAsia="Segoe UI" w:cs="Segoe UI"/>
          <w:i w:val="0"/>
          <w:iCs w:val="0"/>
          <w:caps w:val="0"/>
          <w:color w:val="auto"/>
          <w:spacing w:val="0"/>
          <w:sz w:val="21"/>
          <w:szCs w:val="21"/>
          <w:highlight w:val="none"/>
          <w:shd w:val="clear" w:fill="FFFFFF"/>
          <w:lang w:val="en-US" w:eastAsia="zh-CN"/>
        </w:rPr>
        <w:t>投标报价应为完成</w:t>
      </w:r>
      <w:r>
        <w:rPr>
          <w:rFonts w:ascii="Segoe UI" w:hAnsi="Segoe UI" w:eastAsia="Segoe UI" w:cs="Segoe UI"/>
          <w:i w:val="0"/>
          <w:iCs w:val="0"/>
          <w:caps w:val="0"/>
          <w:color w:val="auto"/>
          <w:spacing w:val="0"/>
          <w:sz w:val="21"/>
          <w:szCs w:val="21"/>
          <w:highlight w:val="none"/>
          <w:shd w:val="clear" w:fill="FFFFFF"/>
        </w:rPr>
        <w:t>本项目所有服务内容按清单计算的固定单价。报价须涵盖人员薪酬、社会保险、工具耗材、维修配件、企业管理、利润、税金、风险及合同明示或暗示的一切费用。合同期内价格不因任何因素调整</w:t>
      </w:r>
      <w:r>
        <w:rPr>
          <w:rFonts w:hint="eastAsia" w:ascii="宋体" w:hAnsi="宋体" w:eastAsia="宋体" w:cs="宋体"/>
          <w:color w:val="auto"/>
          <w:szCs w:val="21"/>
          <w:highlight w:val="none"/>
          <w:lang w:val="en-US" w:eastAsia="zh-CN"/>
        </w:rPr>
        <w:t>。</w:t>
      </w:r>
    </w:p>
    <w:p w14:paraId="2411AD3F">
      <w:pPr>
        <w:pStyle w:val="14"/>
        <w:keepNext w:val="0"/>
        <w:keepLines w:val="0"/>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480" w:lineRule="exact"/>
        <w:ind w:left="0" w:leftChars="0" w:right="0" w:rightChars="0"/>
        <w:textAlignment w:val="auto"/>
        <w:rPr>
          <w:rFonts w:hint="eastAsia" w:ascii="Times New Roman" w:hAnsi="宋体" w:eastAsia="宋体" w:cs="Times New Roman"/>
          <w:b/>
          <w:bCs/>
          <w:color w:val="auto"/>
          <w:kern w:val="2"/>
          <w:sz w:val="28"/>
          <w:szCs w:val="28"/>
          <w:highlight w:val="none"/>
          <w:lang w:val="en-US" w:eastAsia="zh-CN" w:bidi="ar-SA"/>
        </w:rPr>
      </w:pPr>
      <w:r>
        <w:rPr>
          <w:rFonts w:hint="eastAsia" w:ascii="Times New Roman" w:hAnsi="宋体" w:eastAsia="宋体" w:cs="Times New Roman"/>
          <w:b/>
          <w:bCs/>
          <w:color w:val="auto"/>
          <w:kern w:val="2"/>
          <w:sz w:val="28"/>
          <w:szCs w:val="28"/>
          <w:highlight w:val="none"/>
          <w:lang w:val="en-US" w:eastAsia="zh-CN" w:bidi="ar-SA"/>
        </w:rPr>
        <w:t>七、工程量清单</w:t>
      </w:r>
    </w:p>
    <w:p w14:paraId="2EA0B5BB">
      <w:pPr>
        <w:pStyle w:val="14"/>
        <w:keepNext w:val="0"/>
        <w:keepLines w:val="0"/>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480" w:lineRule="exact"/>
        <w:ind w:left="0" w:leftChars="0" w:right="0" w:rightChars="0"/>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以下工程量仅为当前已运营和预估，具体以服务期内实际工程量为准。</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2540"/>
        <w:gridCol w:w="2387"/>
        <w:gridCol w:w="1549"/>
        <w:gridCol w:w="1069"/>
        <w:gridCol w:w="1324"/>
      </w:tblGrid>
      <w:tr w14:paraId="526A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6054B2E2">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Times New Roman" w:hAnsi="Times New Roman" w:eastAsia="宋体" w:cs="Times New Roman"/>
                <w:b/>
                <w:bCs/>
                <w:caps/>
                <w:color w:val="auto"/>
                <w:kern w:val="2"/>
                <w:sz w:val="20"/>
                <w:szCs w:val="20"/>
                <w:highlight w:val="none"/>
                <w:vertAlign w:val="baseline"/>
                <w:lang w:val="en-US" w:eastAsia="zh-CN" w:bidi="ar-SA"/>
              </w:rPr>
            </w:pPr>
            <w:r>
              <w:rPr>
                <w:rFonts w:hint="eastAsia" w:ascii="Times New Roman" w:hAnsi="Times New Roman" w:eastAsia="宋体" w:cs="Times New Roman"/>
                <w:b/>
                <w:bCs/>
                <w:caps/>
                <w:color w:val="auto"/>
                <w:kern w:val="2"/>
                <w:sz w:val="20"/>
                <w:szCs w:val="20"/>
                <w:highlight w:val="none"/>
                <w:vertAlign w:val="baseline"/>
                <w:lang w:val="en-US" w:eastAsia="zh-CN" w:bidi="ar-SA"/>
              </w:rPr>
              <w:t>序号</w:t>
            </w:r>
          </w:p>
        </w:tc>
        <w:tc>
          <w:tcPr>
            <w:tcW w:w="2540" w:type="dxa"/>
            <w:vAlign w:val="center"/>
          </w:tcPr>
          <w:p w14:paraId="5940D835">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Times New Roman" w:hAnsi="Times New Roman" w:eastAsia="宋体" w:cs="Times New Roman"/>
                <w:b/>
                <w:bCs/>
                <w:caps/>
                <w:color w:val="auto"/>
                <w:kern w:val="2"/>
                <w:sz w:val="20"/>
                <w:szCs w:val="20"/>
                <w:highlight w:val="none"/>
                <w:vertAlign w:val="baseline"/>
                <w:lang w:val="en-US" w:eastAsia="zh-CN" w:bidi="ar-SA"/>
              </w:rPr>
            </w:pPr>
            <w:r>
              <w:rPr>
                <w:rFonts w:hint="eastAsia" w:ascii="Times New Roman" w:hAnsi="Times New Roman" w:eastAsia="宋体" w:cs="Times New Roman"/>
                <w:b/>
                <w:bCs/>
                <w:caps/>
                <w:color w:val="auto"/>
                <w:kern w:val="2"/>
                <w:sz w:val="20"/>
                <w:szCs w:val="20"/>
                <w:highlight w:val="none"/>
                <w:vertAlign w:val="baseline"/>
                <w:lang w:val="en-US" w:eastAsia="zh-CN" w:bidi="ar-SA"/>
              </w:rPr>
              <w:t>场站名称</w:t>
            </w:r>
          </w:p>
        </w:tc>
        <w:tc>
          <w:tcPr>
            <w:tcW w:w="2387" w:type="dxa"/>
            <w:vAlign w:val="center"/>
          </w:tcPr>
          <w:p w14:paraId="1E16263D">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Times New Roman" w:hAnsi="Times New Roman" w:eastAsia="宋体" w:cs="Times New Roman"/>
                <w:b/>
                <w:bCs/>
                <w:caps/>
                <w:color w:val="auto"/>
                <w:kern w:val="2"/>
                <w:sz w:val="20"/>
                <w:szCs w:val="20"/>
                <w:highlight w:val="none"/>
                <w:vertAlign w:val="baseline"/>
                <w:lang w:val="en-US" w:eastAsia="zh-CN" w:bidi="ar-SA"/>
              </w:rPr>
            </w:pPr>
            <w:r>
              <w:rPr>
                <w:rFonts w:hint="eastAsia" w:ascii="Times New Roman" w:hAnsi="Times New Roman" w:eastAsia="宋体" w:cs="Times New Roman"/>
                <w:b/>
                <w:bCs/>
                <w:caps/>
                <w:color w:val="auto"/>
                <w:kern w:val="2"/>
                <w:sz w:val="20"/>
                <w:szCs w:val="20"/>
                <w:highlight w:val="none"/>
                <w:vertAlign w:val="baseline"/>
                <w:lang w:val="en-US" w:eastAsia="zh-CN" w:bidi="ar-SA"/>
              </w:rPr>
              <w:t>场站地址</w:t>
            </w:r>
          </w:p>
        </w:tc>
        <w:tc>
          <w:tcPr>
            <w:tcW w:w="1549" w:type="dxa"/>
            <w:vAlign w:val="center"/>
          </w:tcPr>
          <w:p w14:paraId="4C5670FF">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Times New Roman" w:hAnsi="Times New Roman" w:eastAsia="宋体" w:cs="Times New Roman"/>
                <w:b/>
                <w:bCs/>
                <w:caps/>
                <w:color w:val="auto"/>
                <w:kern w:val="2"/>
                <w:sz w:val="20"/>
                <w:szCs w:val="20"/>
                <w:highlight w:val="none"/>
                <w:vertAlign w:val="baseline"/>
                <w:lang w:val="en-US" w:eastAsia="zh-CN" w:bidi="ar-SA"/>
              </w:rPr>
            </w:pPr>
            <w:r>
              <w:rPr>
                <w:rFonts w:hint="eastAsia" w:cs="Times New Roman"/>
                <w:b/>
                <w:bCs/>
                <w:caps/>
                <w:color w:val="auto"/>
                <w:kern w:val="2"/>
                <w:sz w:val="20"/>
                <w:szCs w:val="20"/>
                <w:highlight w:val="none"/>
                <w:vertAlign w:val="baseline"/>
                <w:lang w:val="en-US" w:eastAsia="zh-CN" w:bidi="ar-SA"/>
              </w:rPr>
              <w:t>场站</w:t>
            </w:r>
            <w:r>
              <w:rPr>
                <w:rFonts w:hint="eastAsia" w:ascii="Times New Roman" w:hAnsi="Times New Roman" w:eastAsia="宋体" w:cs="Times New Roman"/>
                <w:b/>
                <w:bCs/>
                <w:caps/>
                <w:color w:val="auto"/>
                <w:kern w:val="2"/>
                <w:sz w:val="20"/>
                <w:szCs w:val="20"/>
                <w:highlight w:val="none"/>
                <w:vertAlign w:val="baseline"/>
                <w:lang w:val="en-US" w:eastAsia="zh-CN" w:bidi="ar-SA"/>
              </w:rPr>
              <w:t>规模</w:t>
            </w:r>
          </w:p>
        </w:tc>
        <w:tc>
          <w:tcPr>
            <w:tcW w:w="1069" w:type="dxa"/>
            <w:vAlign w:val="center"/>
          </w:tcPr>
          <w:p w14:paraId="4EACFBAC">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Times New Roman" w:hAnsi="Times New Roman" w:eastAsia="宋体" w:cs="Times New Roman"/>
                <w:b/>
                <w:bCs/>
                <w:caps/>
                <w:color w:val="auto"/>
                <w:kern w:val="2"/>
                <w:sz w:val="20"/>
                <w:szCs w:val="20"/>
                <w:highlight w:val="none"/>
                <w:vertAlign w:val="baseline"/>
                <w:lang w:val="en-US" w:eastAsia="zh-CN" w:bidi="ar-SA"/>
              </w:rPr>
            </w:pPr>
            <w:r>
              <w:rPr>
                <w:rFonts w:hint="eastAsia" w:ascii="Times New Roman" w:hAnsi="Times New Roman" w:eastAsia="宋体" w:cs="Times New Roman"/>
                <w:b/>
                <w:bCs/>
                <w:caps/>
                <w:color w:val="auto"/>
                <w:kern w:val="2"/>
                <w:sz w:val="20"/>
                <w:szCs w:val="20"/>
                <w:highlight w:val="none"/>
                <w:vertAlign w:val="baseline"/>
                <w:lang w:val="en-US" w:eastAsia="zh-CN" w:bidi="ar-SA"/>
              </w:rPr>
              <w:t>变压器容量（kVA）</w:t>
            </w:r>
          </w:p>
        </w:tc>
        <w:tc>
          <w:tcPr>
            <w:tcW w:w="1324" w:type="dxa"/>
            <w:vAlign w:val="center"/>
          </w:tcPr>
          <w:p w14:paraId="77B824C9">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Times New Roman" w:hAnsi="Times New Roman" w:eastAsia="宋体" w:cs="Times New Roman"/>
                <w:b/>
                <w:bCs/>
                <w:caps/>
                <w:color w:val="auto"/>
                <w:kern w:val="2"/>
                <w:sz w:val="20"/>
                <w:szCs w:val="20"/>
                <w:highlight w:val="none"/>
                <w:vertAlign w:val="baseline"/>
                <w:lang w:val="en-US" w:eastAsia="zh-CN" w:bidi="ar-SA"/>
              </w:rPr>
            </w:pPr>
            <w:r>
              <w:rPr>
                <w:rFonts w:hint="eastAsia" w:ascii="Times New Roman" w:hAnsi="Times New Roman" w:eastAsia="宋体" w:cs="Times New Roman"/>
                <w:b/>
                <w:bCs/>
                <w:caps/>
                <w:color w:val="auto"/>
                <w:kern w:val="2"/>
                <w:sz w:val="20"/>
                <w:szCs w:val="20"/>
                <w:highlight w:val="none"/>
                <w:vertAlign w:val="baseline"/>
                <w:lang w:val="en-US" w:eastAsia="zh-CN" w:bidi="ar-SA"/>
              </w:rPr>
              <w:t>备注</w:t>
            </w:r>
          </w:p>
        </w:tc>
      </w:tr>
      <w:tr w14:paraId="07AC2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4832F28A">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1</w:t>
            </w:r>
          </w:p>
        </w:tc>
        <w:tc>
          <w:tcPr>
            <w:tcW w:w="2540" w:type="dxa"/>
            <w:vAlign w:val="center"/>
          </w:tcPr>
          <w:p w14:paraId="5AC92F95">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滁州充电涧北公园电动汽车充电站</w:t>
            </w:r>
          </w:p>
        </w:tc>
        <w:tc>
          <w:tcPr>
            <w:tcW w:w="2387" w:type="dxa"/>
            <w:vAlign w:val="center"/>
          </w:tcPr>
          <w:p w14:paraId="47379917">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琅琊区环滁西路92号</w:t>
            </w:r>
          </w:p>
        </w:tc>
        <w:tc>
          <w:tcPr>
            <w:tcW w:w="1549" w:type="dxa"/>
            <w:vAlign w:val="center"/>
          </w:tcPr>
          <w:p w14:paraId="5FE63338">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箱变1座</w:t>
            </w:r>
          </w:p>
        </w:tc>
        <w:tc>
          <w:tcPr>
            <w:tcW w:w="1069" w:type="dxa"/>
            <w:vAlign w:val="center"/>
          </w:tcPr>
          <w:p w14:paraId="1515CF5D">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630</w:t>
            </w:r>
          </w:p>
        </w:tc>
        <w:tc>
          <w:tcPr>
            <w:tcW w:w="1324" w:type="dxa"/>
            <w:vAlign w:val="center"/>
          </w:tcPr>
          <w:p w14:paraId="45CF4D69">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firstLine="420" w:firstLineChars="200"/>
              <w:jc w:val="center"/>
              <w:rPr>
                <w:rFonts w:hint="eastAsia" w:ascii="宋体" w:hAnsi="宋体" w:eastAsia="宋体" w:cs="宋体"/>
                <w:b w:val="0"/>
                <w:bCs/>
                <w:color w:val="auto"/>
                <w:szCs w:val="21"/>
                <w:highlight w:val="none"/>
                <w:lang w:val="en-US" w:eastAsia="zh-CN"/>
              </w:rPr>
            </w:pPr>
          </w:p>
        </w:tc>
      </w:tr>
      <w:tr w14:paraId="2E002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7D1A3F58">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2</w:t>
            </w:r>
          </w:p>
        </w:tc>
        <w:tc>
          <w:tcPr>
            <w:tcW w:w="2540" w:type="dxa"/>
            <w:vAlign w:val="center"/>
          </w:tcPr>
          <w:p w14:paraId="4350A19F">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滁州充电琅琊山管委会电动汽车充电站</w:t>
            </w:r>
          </w:p>
        </w:tc>
        <w:tc>
          <w:tcPr>
            <w:tcW w:w="2387" w:type="dxa"/>
            <w:vAlign w:val="center"/>
          </w:tcPr>
          <w:p w14:paraId="3B04A5C0">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南谯区西涧中路4306号</w:t>
            </w:r>
          </w:p>
        </w:tc>
        <w:tc>
          <w:tcPr>
            <w:tcW w:w="1549" w:type="dxa"/>
            <w:vAlign w:val="center"/>
          </w:tcPr>
          <w:p w14:paraId="17A6FEAF">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箱变1座</w:t>
            </w:r>
          </w:p>
        </w:tc>
        <w:tc>
          <w:tcPr>
            <w:tcW w:w="1069" w:type="dxa"/>
            <w:vAlign w:val="center"/>
          </w:tcPr>
          <w:p w14:paraId="1805E86C">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630</w:t>
            </w:r>
          </w:p>
        </w:tc>
        <w:tc>
          <w:tcPr>
            <w:tcW w:w="1324" w:type="dxa"/>
            <w:vAlign w:val="center"/>
          </w:tcPr>
          <w:p w14:paraId="7F4304BC">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firstLine="420" w:firstLineChars="200"/>
              <w:jc w:val="center"/>
              <w:rPr>
                <w:rFonts w:hint="eastAsia" w:ascii="宋体" w:hAnsi="宋体" w:eastAsia="宋体" w:cs="宋体"/>
                <w:b w:val="0"/>
                <w:bCs/>
                <w:color w:val="auto"/>
                <w:szCs w:val="21"/>
                <w:highlight w:val="none"/>
                <w:lang w:val="en-US" w:eastAsia="zh-CN"/>
              </w:rPr>
            </w:pPr>
          </w:p>
        </w:tc>
      </w:tr>
      <w:tr w14:paraId="1EE2B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01A6F96E">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3</w:t>
            </w:r>
          </w:p>
        </w:tc>
        <w:tc>
          <w:tcPr>
            <w:tcW w:w="2540" w:type="dxa"/>
            <w:vAlign w:val="center"/>
          </w:tcPr>
          <w:p w14:paraId="2DD1C62A">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滁州充电滁州中学明湖校区校园外电动汽车充电站</w:t>
            </w:r>
          </w:p>
        </w:tc>
        <w:tc>
          <w:tcPr>
            <w:tcW w:w="2387" w:type="dxa"/>
            <w:vAlign w:val="center"/>
          </w:tcPr>
          <w:p w14:paraId="39128401">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南谯区南谯南路3888号</w:t>
            </w:r>
          </w:p>
        </w:tc>
        <w:tc>
          <w:tcPr>
            <w:tcW w:w="1549" w:type="dxa"/>
            <w:vAlign w:val="center"/>
          </w:tcPr>
          <w:p w14:paraId="4962A697">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箱变1座</w:t>
            </w:r>
          </w:p>
        </w:tc>
        <w:tc>
          <w:tcPr>
            <w:tcW w:w="1069" w:type="dxa"/>
            <w:vAlign w:val="center"/>
          </w:tcPr>
          <w:p w14:paraId="155CC0F0">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630</w:t>
            </w:r>
          </w:p>
        </w:tc>
        <w:tc>
          <w:tcPr>
            <w:tcW w:w="1324" w:type="dxa"/>
            <w:vAlign w:val="center"/>
          </w:tcPr>
          <w:p w14:paraId="3AFCF842">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firstLine="420" w:firstLineChars="200"/>
              <w:jc w:val="center"/>
              <w:rPr>
                <w:rFonts w:hint="eastAsia" w:ascii="宋体" w:hAnsi="宋体" w:eastAsia="宋体" w:cs="宋体"/>
                <w:b w:val="0"/>
                <w:bCs/>
                <w:color w:val="auto"/>
                <w:szCs w:val="21"/>
                <w:highlight w:val="none"/>
                <w:lang w:val="en-US" w:eastAsia="zh-CN"/>
              </w:rPr>
            </w:pPr>
          </w:p>
        </w:tc>
      </w:tr>
      <w:tr w14:paraId="7B3B4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4010D48F">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4</w:t>
            </w:r>
          </w:p>
        </w:tc>
        <w:tc>
          <w:tcPr>
            <w:tcW w:w="2540" w:type="dxa"/>
            <w:vAlign w:val="center"/>
          </w:tcPr>
          <w:p w14:paraId="0E390FD7">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滁州充电金陵苑小区外停车场电动汽车充电站</w:t>
            </w:r>
          </w:p>
        </w:tc>
        <w:tc>
          <w:tcPr>
            <w:tcW w:w="2387" w:type="dxa"/>
            <w:vAlign w:val="center"/>
          </w:tcPr>
          <w:p w14:paraId="4E694817">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南谯区东坡东路638号</w:t>
            </w:r>
          </w:p>
        </w:tc>
        <w:tc>
          <w:tcPr>
            <w:tcW w:w="1549" w:type="dxa"/>
            <w:vAlign w:val="center"/>
          </w:tcPr>
          <w:p w14:paraId="6679354F">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箱变1座</w:t>
            </w:r>
          </w:p>
        </w:tc>
        <w:tc>
          <w:tcPr>
            <w:tcW w:w="1069" w:type="dxa"/>
            <w:vAlign w:val="center"/>
          </w:tcPr>
          <w:p w14:paraId="1A1B5EA7">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250</w:t>
            </w:r>
          </w:p>
        </w:tc>
        <w:tc>
          <w:tcPr>
            <w:tcW w:w="1324" w:type="dxa"/>
            <w:vAlign w:val="center"/>
          </w:tcPr>
          <w:p w14:paraId="591E17E9">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firstLine="420" w:firstLineChars="200"/>
              <w:jc w:val="center"/>
              <w:rPr>
                <w:rFonts w:hint="eastAsia" w:ascii="宋体" w:hAnsi="宋体" w:eastAsia="宋体" w:cs="宋体"/>
                <w:b w:val="0"/>
                <w:bCs/>
                <w:color w:val="auto"/>
                <w:szCs w:val="21"/>
                <w:highlight w:val="none"/>
                <w:lang w:val="en-US" w:eastAsia="zh-CN"/>
              </w:rPr>
            </w:pPr>
          </w:p>
        </w:tc>
      </w:tr>
      <w:tr w14:paraId="02FD6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6EDE0D14">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5</w:t>
            </w:r>
          </w:p>
        </w:tc>
        <w:tc>
          <w:tcPr>
            <w:tcW w:w="2540" w:type="dxa"/>
            <w:vAlign w:val="center"/>
          </w:tcPr>
          <w:p w14:paraId="0A4872CF">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滁州充电新生路停车场电动汽车充电站</w:t>
            </w:r>
          </w:p>
        </w:tc>
        <w:tc>
          <w:tcPr>
            <w:tcW w:w="2387" w:type="dxa"/>
            <w:vAlign w:val="center"/>
          </w:tcPr>
          <w:p w14:paraId="2F8A5964">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金陵路与新生路交口西南侧</w:t>
            </w:r>
          </w:p>
        </w:tc>
        <w:tc>
          <w:tcPr>
            <w:tcW w:w="1549" w:type="dxa"/>
            <w:vAlign w:val="center"/>
          </w:tcPr>
          <w:p w14:paraId="6127208C">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高压分接箱1座，箱变1座</w:t>
            </w:r>
          </w:p>
        </w:tc>
        <w:tc>
          <w:tcPr>
            <w:tcW w:w="1069" w:type="dxa"/>
            <w:vAlign w:val="center"/>
          </w:tcPr>
          <w:p w14:paraId="1CB929D6">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630</w:t>
            </w:r>
          </w:p>
        </w:tc>
        <w:tc>
          <w:tcPr>
            <w:tcW w:w="1324" w:type="dxa"/>
            <w:vAlign w:val="center"/>
          </w:tcPr>
          <w:p w14:paraId="1A8AD9F5">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firstLine="420" w:firstLineChars="200"/>
              <w:jc w:val="center"/>
              <w:rPr>
                <w:rFonts w:hint="eastAsia" w:ascii="宋体" w:hAnsi="宋体" w:eastAsia="宋体" w:cs="宋体"/>
                <w:b w:val="0"/>
                <w:bCs/>
                <w:color w:val="auto"/>
                <w:szCs w:val="21"/>
                <w:highlight w:val="none"/>
                <w:lang w:val="en-US" w:eastAsia="zh-CN"/>
              </w:rPr>
            </w:pPr>
          </w:p>
        </w:tc>
      </w:tr>
      <w:tr w14:paraId="1D889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6E47896F">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6</w:t>
            </w:r>
          </w:p>
        </w:tc>
        <w:tc>
          <w:tcPr>
            <w:tcW w:w="2540" w:type="dxa"/>
            <w:vAlign w:val="center"/>
          </w:tcPr>
          <w:p w14:paraId="4E2F11EA">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滁州充电龙兴路景观带丰乐大道停车场电动汽车充电站</w:t>
            </w:r>
          </w:p>
        </w:tc>
        <w:tc>
          <w:tcPr>
            <w:tcW w:w="2387" w:type="dxa"/>
            <w:vAlign w:val="center"/>
          </w:tcPr>
          <w:p w14:paraId="0F241533">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南谯区龙兴路景观带丰乐大道停车场</w:t>
            </w:r>
          </w:p>
        </w:tc>
        <w:tc>
          <w:tcPr>
            <w:tcW w:w="1549" w:type="dxa"/>
            <w:vAlign w:val="center"/>
          </w:tcPr>
          <w:p w14:paraId="5C552241">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箱变1座</w:t>
            </w:r>
          </w:p>
        </w:tc>
        <w:tc>
          <w:tcPr>
            <w:tcW w:w="1069" w:type="dxa"/>
            <w:vAlign w:val="center"/>
          </w:tcPr>
          <w:p w14:paraId="1FE5ED85">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500</w:t>
            </w:r>
          </w:p>
        </w:tc>
        <w:tc>
          <w:tcPr>
            <w:tcW w:w="1324" w:type="dxa"/>
            <w:vAlign w:val="center"/>
          </w:tcPr>
          <w:p w14:paraId="5270BC64">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firstLine="420" w:firstLineChars="200"/>
              <w:jc w:val="center"/>
              <w:rPr>
                <w:rFonts w:hint="eastAsia" w:ascii="宋体" w:hAnsi="宋体" w:eastAsia="宋体" w:cs="宋体"/>
                <w:b w:val="0"/>
                <w:bCs/>
                <w:color w:val="auto"/>
                <w:szCs w:val="21"/>
                <w:highlight w:val="none"/>
                <w:lang w:val="en-US" w:eastAsia="zh-CN"/>
              </w:rPr>
            </w:pPr>
          </w:p>
        </w:tc>
      </w:tr>
      <w:tr w14:paraId="68587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52A9E22C">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7</w:t>
            </w:r>
          </w:p>
        </w:tc>
        <w:tc>
          <w:tcPr>
            <w:tcW w:w="2540" w:type="dxa"/>
            <w:vAlign w:val="center"/>
          </w:tcPr>
          <w:p w14:paraId="05CF4A15">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滁州充电南小庄公共停车场电动汽车充电站</w:t>
            </w:r>
          </w:p>
        </w:tc>
        <w:tc>
          <w:tcPr>
            <w:tcW w:w="2387" w:type="dxa"/>
            <w:vAlign w:val="center"/>
          </w:tcPr>
          <w:p w14:paraId="41999DAC">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南谯区凤谯路120号</w:t>
            </w:r>
          </w:p>
        </w:tc>
        <w:tc>
          <w:tcPr>
            <w:tcW w:w="1549" w:type="dxa"/>
            <w:vAlign w:val="center"/>
          </w:tcPr>
          <w:p w14:paraId="02C48C60">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箱变1座</w:t>
            </w:r>
          </w:p>
        </w:tc>
        <w:tc>
          <w:tcPr>
            <w:tcW w:w="1069" w:type="dxa"/>
            <w:vAlign w:val="center"/>
          </w:tcPr>
          <w:p w14:paraId="61E83540">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1000</w:t>
            </w:r>
          </w:p>
        </w:tc>
        <w:tc>
          <w:tcPr>
            <w:tcW w:w="1324" w:type="dxa"/>
            <w:vAlign w:val="center"/>
          </w:tcPr>
          <w:p w14:paraId="6F33CD95">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firstLine="420" w:firstLineChars="200"/>
              <w:jc w:val="center"/>
              <w:rPr>
                <w:rFonts w:hint="eastAsia" w:ascii="宋体" w:hAnsi="宋体" w:eastAsia="宋体" w:cs="宋体"/>
                <w:b w:val="0"/>
                <w:bCs/>
                <w:color w:val="auto"/>
                <w:szCs w:val="21"/>
                <w:highlight w:val="none"/>
                <w:lang w:val="en-US" w:eastAsia="zh-CN"/>
              </w:rPr>
            </w:pPr>
          </w:p>
        </w:tc>
      </w:tr>
      <w:tr w14:paraId="3CA7C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3BDECFF5">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8</w:t>
            </w:r>
          </w:p>
        </w:tc>
        <w:tc>
          <w:tcPr>
            <w:tcW w:w="2540" w:type="dxa"/>
            <w:vAlign w:val="center"/>
          </w:tcPr>
          <w:p w14:paraId="3E5EBE9A">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滁州充电花博园轻轨站电动汽车充电站</w:t>
            </w:r>
          </w:p>
        </w:tc>
        <w:tc>
          <w:tcPr>
            <w:tcW w:w="2387" w:type="dxa"/>
            <w:vAlign w:val="center"/>
          </w:tcPr>
          <w:p w14:paraId="74E92251">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南谯区丰乐大道2318号</w:t>
            </w:r>
          </w:p>
        </w:tc>
        <w:tc>
          <w:tcPr>
            <w:tcW w:w="1549" w:type="dxa"/>
            <w:vAlign w:val="center"/>
          </w:tcPr>
          <w:p w14:paraId="2AFC2045">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环网柜1座，箱变1座</w:t>
            </w:r>
          </w:p>
        </w:tc>
        <w:tc>
          <w:tcPr>
            <w:tcW w:w="1069" w:type="dxa"/>
            <w:vAlign w:val="center"/>
          </w:tcPr>
          <w:p w14:paraId="18562A06">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1000</w:t>
            </w:r>
          </w:p>
        </w:tc>
        <w:tc>
          <w:tcPr>
            <w:tcW w:w="1324" w:type="dxa"/>
            <w:vAlign w:val="center"/>
          </w:tcPr>
          <w:p w14:paraId="47E54FDD">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firstLine="420" w:firstLineChars="200"/>
              <w:jc w:val="center"/>
              <w:rPr>
                <w:rFonts w:hint="eastAsia" w:ascii="宋体" w:hAnsi="宋体" w:eastAsia="宋体" w:cs="宋体"/>
                <w:b w:val="0"/>
                <w:bCs/>
                <w:color w:val="auto"/>
                <w:szCs w:val="21"/>
                <w:highlight w:val="none"/>
                <w:lang w:val="en-US" w:eastAsia="zh-CN"/>
              </w:rPr>
            </w:pPr>
          </w:p>
        </w:tc>
      </w:tr>
      <w:tr w14:paraId="2DA25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53016040">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9</w:t>
            </w:r>
          </w:p>
        </w:tc>
        <w:tc>
          <w:tcPr>
            <w:tcW w:w="2540" w:type="dxa"/>
            <w:vAlign w:val="center"/>
          </w:tcPr>
          <w:p w14:paraId="652F142B">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滁州充电裕安园停车场电动汽车充电站</w:t>
            </w:r>
          </w:p>
        </w:tc>
        <w:tc>
          <w:tcPr>
            <w:tcW w:w="2387" w:type="dxa"/>
            <w:vAlign w:val="center"/>
          </w:tcPr>
          <w:p w14:paraId="44250BDE">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琅琊区卫民路11号</w:t>
            </w:r>
          </w:p>
        </w:tc>
        <w:tc>
          <w:tcPr>
            <w:tcW w:w="1549" w:type="dxa"/>
            <w:vAlign w:val="center"/>
          </w:tcPr>
          <w:p w14:paraId="4216813E">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箱变1座</w:t>
            </w:r>
          </w:p>
        </w:tc>
        <w:tc>
          <w:tcPr>
            <w:tcW w:w="1069" w:type="dxa"/>
            <w:vAlign w:val="center"/>
          </w:tcPr>
          <w:p w14:paraId="5B2FCB55">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500</w:t>
            </w:r>
          </w:p>
        </w:tc>
        <w:tc>
          <w:tcPr>
            <w:tcW w:w="1324" w:type="dxa"/>
            <w:vAlign w:val="center"/>
          </w:tcPr>
          <w:p w14:paraId="0D64C2C2">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firstLine="420" w:firstLineChars="200"/>
              <w:jc w:val="center"/>
              <w:rPr>
                <w:rFonts w:hint="eastAsia" w:ascii="宋体" w:hAnsi="宋体" w:eastAsia="宋体" w:cs="宋体"/>
                <w:b w:val="0"/>
                <w:bCs/>
                <w:color w:val="auto"/>
                <w:szCs w:val="21"/>
                <w:highlight w:val="none"/>
                <w:lang w:val="en-US" w:eastAsia="zh-CN"/>
              </w:rPr>
            </w:pPr>
          </w:p>
        </w:tc>
      </w:tr>
      <w:tr w14:paraId="324A2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1006FE17">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10</w:t>
            </w:r>
          </w:p>
        </w:tc>
        <w:tc>
          <w:tcPr>
            <w:tcW w:w="2540" w:type="dxa"/>
            <w:vAlign w:val="center"/>
          </w:tcPr>
          <w:p w14:paraId="58F99E7C">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滁州充电卫校巷停车场电动汽车充电站</w:t>
            </w:r>
          </w:p>
        </w:tc>
        <w:tc>
          <w:tcPr>
            <w:tcW w:w="2387" w:type="dxa"/>
            <w:vAlign w:val="center"/>
          </w:tcPr>
          <w:p w14:paraId="2F2BDBC9">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琅琊区中都大道12号</w:t>
            </w:r>
          </w:p>
        </w:tc>
        <w:tc>
          <w:tcPr>
            <w:tcW w:w="1549" w:type="dxa"/>
            <w:vAlign w:val="center"/>
          </w:tcPr>
          <w:p w14:paraId="0E59338A">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环网柜1座，箱变2座</w:t>
            </w:r>
          </w:p>
        </w:tc>
        <w:tc>
          <w:tcPr>
            <w:tcW w:w="1069" w:type="dxa"/>
            <w:vAlign w:val="center"/>
          </w:tcPr>
          <w:p w14:paraId="57455D1E">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1600</w:t>
            </w:r>
          </w:p>
        </w:tc>
        <w:tc>
          <w:tcPr>
            <w:tcW w:w="1324" w:type="dxa"/>
            <w:vAlign w:val="center"/>
          </w:tcPr>
          <w:p w14:paraId="2CEA9419">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firstLine="420" w:firstLineChars="200"/>
              <w:jc w:val="center"/>
              <w:rPr>
                <w:rFonts w:hint="eastAsia" w:ascii="宋体" w:hAnsi="宋体" w:eastAsia="宋体" w:cs="宋体"/>
                <w:b w:val="0"/>
                <w:bCs/>
                <w:color w:val="auto"/>
                <w:szCs w:val="21"/>
                <w:highlight w:val="none"/>
                <w:lang w:val="en-US" w:eastAsia="zh-CN"/>
              </w:rPr>
            </w:pPr>
          </w:p>
        </w:tc>
      </w:tr>
      <w:tr w14:paraId="5CA8E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501BBA0A">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11</w:t>
            </w:r>
          </w:p>
        </w:tc>
        <w:tc>
          <w:tcPr>
            <w:tcW w:w="2540" w:type="dxa"/>
            <w:vAlign w:val="center"/>
          </w:tcPr>
          <w:p w14:paraId="3ACCB69F">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滁州充电王桥停车场电动汽车充电站</w:t>
            </w:r>
          </w:p>
        </w:tc>
        <w:tc>
          <w:tcPr>
            <w:tcW w:w="2387" w:type="dxa"/>
            <w:vAlign w:val="center"/>
          </w:tcPr>
          <w:p w14:paraId="48769784">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琅琊区丰乐北路129号</w:t>
            </w:r>
          </w:p>
        </w:tc>
        <w:tc>
          <w:tcPr>
            <w:tcW w:w="1549" w:type="dxa"/>
            <w:vAlign w:val="center"/>
          </w:tcPr>
          <w:p w14:paraId="44AC96D7">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箱变1座</w:t>
            </w:r>
          </w:p>
        </w:tc>
        <w:tc>
          <w:tcPr>
            <w:tcW w:w="1069" w:type="dxa"/>
            <w:vAlign w:val="center"/>
          </w:tcPr>
          <w:p w14:paraId="7ABB510D">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630</w:t>
            </w:r>
          </w:p>
        </w:tc>
        <w:tc>
          <w:tcPr>
            <w:tcW w:w="1324" w:type="dxa"/>
            <w:vAlign w:val="center"/>
          </w:tcPr>
          <w:p w14:paraId="675A7CC3">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firstLine="420" w:firstLineChars="200"/>
              <w:jc w:val="center"/>
              <w:rPr>
                <w:rFonts w:hint="eastAsia" w:ascii="宋体" w:hAnsi="宋体" w:eastAsia="宋体" w:cs="宋体"/>
                <w:b w:val="0"/>
                <w:bCs/>
                <w:color w:val="auto"/>
                <w:szCs w:val="21"/>
                <w:highlight w:val="none"/>
                <w:lang w:val="en-US" w:eastAsia="zh-CN"/>
              </w:rPr>
            </w:pPr>
          </w:p>
        </w:tc>
      </w:tr>
      <w:tr w14:paraId="2530D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036C9F8F">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12</w:t>
            </w:r>
          </w:p>
        </w:tc>
        <w:tc>
          <w:tcPr>
            <w:tcW w:w="2540" w:type="dxa"/>
            <w:vAlign w:val="center"/>
          </w:tcPr>
          <w:p w14:paraId="4573E8E4">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滁州充电小桥湖停车场电动汽车充电站</w:t>
            </w:r>
          </w:p>
        </w:tc>
        <w:tc>
          <w:tcPr>
            <w:tcW w:w="2387" w:type="dxa"/>
            <w:vAlign w:val="center"/>
          </w:tcPr>
          <w:p w14:paraId="4169C43A">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南谯区清流西路192号</w:t>
            </w:r>
          </w:p>
        </w:tc>
        <w:tc>
          <w:tcPr>
            <w:tcW w:w="1549" w:type="dxa"/>
            <w:vAlign w:val="center"/>
          </w:tcPr>
          <w:p w14:paraId="72786C63">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环网柜1座，箱变3座</w:t>
            </w:r>
          </w:p>
        </w:tc>
        <w:tc>
          <w:tcPr>
            <w:tcW w:w="1069" w:type="dxa"/>
            <w:vAlign w:val="center"/>
          </w:tcPr>
          <w:p w14:paraId="5C57EC9E">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2060</w:t>
            </w:r>
          </w:p>
        </w:tc>
        <w:tc>
          <w:tcPr>
            <w:tcW w:w="1324" w:type="dxa"/>
            <w:vAlign w:val="center"/>
          </w:tcPr>
          <w:p w14:paraId="1E9AD782">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firstLine="420" w:firstLineChars="200"/>
              <w:jc w:val="center"/>
              <w:rPr>
                <w:rFonts w:hint="eastAsia" w:ascii="宋体" w:hAnsi="宋体" w:eastAsia="宋体" w:cs="宋体"/>
                <w:b w:val="0"/>
                <w:bCs/>
                <w:color w:val="auto"/>
                <w:szCs w:val="21"/>
                <w:highlight w:val="none"/>
                <w:lang w:val="en-US" w:eastAsia="zh-CN"/>
              </w:rPr>
            </w:pPr>
          </w:p>
        </w:tc>
      </w:tr>
      <w:tr w14:paraId="2B349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07815760">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13</w:t>
            </w:r>
          </w:p>
        </w:tc>
        <w:tc>
          <w:tcPr>
            <w:tcW w:w="2540" w:type="dxa"/>
            <w:vAlign w:val="center"/>
          </w:tcPr>
          <w:p w14:paraId="1B05D71F">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滁州充电扬子宾馆停车场电动汽车充电站</w:t>
            </w:r>
          </w:p>
        </w:tc>
        <w:tc>
          <w:tcPr>
            <w:tcW w:w="2387" w:type="dxa"/>
            <w:vAlign w:val="center"/>
          </w:tcPr>
          <w:p w14:paraId="4A450E7C">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琅琊区南谯中路858号</w:t>
            </w:r>
          </w:p>
        </w:tc>
        <w:tc>
          <w:tcPr>
            <w:tcW w:w="1549" w:type="dxa"/>
            <w:vAlign w:val="center"/>
          </w:tcPr>
          <w:p w14:paraId="5DB32B79">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环网柜1座，箱变2座</w:t>
            </w:r>
          </w:p>
        </w:tc>
        <w:tc>
          <w:tcPr>
            <w:tcW w:w="1069" w:type="dxa"/>
            <w:vAlign w:val="center"/>
          </w:tcPr>
          <w:p w14:paraId="6EDFB40C">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1260</w:t>
            </w:r>
          </w:p>
        </w:tc>
        <w:tc>
          <w:tcPr>
            <w:tcW w:w="1324" w:type="dxa"/>
            <w:vAlign w:val="center"/>
          </w:tcPr>
          <w:p w14:paraId="54B43E6A">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firstLine="420" w:firstLineChars="200"/>
              <w:jc w:val="center"/>
              <w:rPr>
                <w:rFonts w:hint="eastAsia" w:ascii="宋体" w:hAnsi="宋体" w:eastAsia="宋体" w:cs="宋体"/>
                <w:b w:val="0"/>
                <w:bCs/>
                <w:color w:val="auto"/>
                <w:szCs w:val="21"/>
                <w:highlight w:val="none"/>
                <w:lang w:val="en-US" w:eastAsia="zh-CN"/>
              </w:rPr>
            </w:pPr>
          </w:p>
        </w:tc>
      </w:tr>
      <w:tr w14:paraId="1888B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4833609E">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14</w:t>
            </w:r>
          </w:p>
        </w:tc>
        <w:tc>
          <w:tcPr>
            <w:tcW w:w="2540" w:type="dxa"/>
            <w:vAlign w:val="center"/>
          </w:tcPr>
          <w:p w14:paraId="4B5286D2">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滁州充电农歌会广场停车场光储充示范站电动汽车充电站</w:t>
            </w:r>
          </w:p>
        </w:tc>
        <w:tc>
          <w:tcPr>
            <w:tcW w:w="2387" w:type="dxa"/>
            <w:vAlign w:val="center"/>
          </w:tcPr>
          <w:p w14:paraId="4F5771F8">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南谯区龙蟠大道农歌会广场停车场</w:t>
            </w:r>
          </w:p>
        </w:tc>
        <w:tc>
          <w:tcPr>
            <w:tcW w:w="1549" w:type="dxa"/>
            <w:vAlign w:val="center"/>
          </w:tcPr>
          <w:p w14:paraId="4C75916C">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箱变1座</w:t>
            </w:r>
          </w:p>
        </w:tc>
        <w:tc>
          <w:tcPr>
            <w:tcW w:w="1069" w:type="dxa"/>
            <w:vAlign w:val="center"/>
          </w:tcPr>
          <w:p w14:paraId="2539E2FC">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1000</w:t>
            </w:r>
          </w:p>
        </w:tc>
        <w:tc>
          <w:tcPr>
            <w:tcW w:w="1324" w:type="dxa"/>
            <w:vAlign w:val="center"/>
          </w:tcPr>
          <w:p w14:paraId="1DD4D8B2">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firstLine="420" w:firstLineChars="200"/>
              <w:jc w:val="center"/>
              <w:rPr>
                <w:rFonts w:hint="eastAsia" w:ascii="宋体" w:hAnsi="宋体" w:eastAsia="宋体" w:cs="宋体"/>
                <w:b w:val="0"/>
                <w:bCs/>
                <w:color w:val="auto"/>
                <w:szCs w:val="21"/>
                <w:highlight w:val="none"/>
                <w:lang w:val="en-US" w:eastAsia="zh-CN"/>
              </w:rPr>
            </w:pPr>
          </w:p>
        </w:tc>
      </w:tr>
      <w:tr w14:paraId="164F2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6574338E">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15</w:t>
            </w:r>
          </w:p>
        </w:tc>
        <w:tc>
          <w:tcPr>
            <w:tcW w:w="2540" w:type="dxa"/>
            <w:vAlign w:val="center"/>
          </w:tcPr>
          <w:p w14:paraId="606C9B3C">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滁州充电佑安公园停车场超充电动汽车充电站</w:t>
            </w:r>
          </w:p>
        </w:tc>
        <w:tc>
          <w:tcPr>
            <w:tcW w:w="2387" w:type="dxa"/>
            <w:vAlign w:val="center"/>
          </w:tcPr>
          <w:p w14:paraId="1E2C0AF1">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南谯区东坡西路220号</w:t>
            </w:r>
          </w:p>
        </w:tc>
        <w:tc>
          <w:tcPr>
            <w:tcW w:w="1549" w:type="dxa"/>
            <w:vAlign w:val="center"/>
          </w:tcPr>
          <w:p w14:paraId="16AB7062">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箱变1座</w:t>
            </w:r>
          </w:p>
        </w:tc>
        <w:tc>
          <w:tcPr>
            <w:tcW w:w="1069" w:type="dxa"/>
            <w:vAlign w:val="center"/>
          </w:tcPr>
          <w:p w14:paraId="63F93C1C">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630</w:t>
            </w:r>
          </w:p>
        </w:tc>
        <w:tc>
          <w:tcPr>
            <w:tcW w:w="1324" w:type="dxa"/>
            <w:vAlign w:val="center"/>
          </w:tcPr>
          <w:p w14:paraId="2BBAD7FC">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firstLine="420" w:firstLineChars="200"/>
              <w:jc w:val="center"/>
              <w:rPr>
                <w:rFonts w:hint="eastAsia" w:ascii="宋体" w:hAnsi="宋体" w:eastAsia="宋体" w:cs="宋体"/>
                <w:b w:val="0"/>
                <w:bCs/>
                <w:color w:val="auto"/>
                <w:szCs w:val="21"/>
                <w:highlight w:val="none"/>
                <w:lang w:val="en-US" w:eastAsia="zh-CN"/>
              </w:rPr>
            </w:pPr>
          </w:p>
        </w:tc>
      </w:tr>
      <w:tr w14:paraId="0DC09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7DF759E9">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16</w:t>
            </w:r>
          </w:p>
        </w:tc>
        <w:tc>
          <w:tcPr>
            <w:tcW w:w="2540" w:type="dxa"/>
            <w:vAlign w:val="center"/>
          </w:tcPr>
          <w:p w14:paraId="088F4074">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滁州充电红三环家园停车场超充电动汽车充电站</w:t>
            </w:r>
          </w:p>
        </w:tc>
        <w:tc>
          <w:tcPr>
            <w:tcW w:w="2387" w:type="dxa"/>
            <w:vAlign w:val="center"/>
          </w:tcPr>
          <w:p w14:paraId="162DB0F2">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琅琊区清流中路1519号</w:t>
            </w:r>
          </w:p>
        </w:tc>
        <w:tc>
          <w:tcPr>
            <w:tcW w:w="1549" w:type="dxa"/>
            <w:vAlign w:val="center"/>
          </w:tcPr>
          <w:p w14:paraId="3E0067C8">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箱变1座</w:t>
            </w:r>
          </w:p>
        </w:tc>
        <w:tc>
          <w:tcPr>
            <w:tcW w:w="1069" w:type="dxa"/>
            <w:vAlign w:val="center"/>
          </w:tcPr>
          <w:p w14:paraId="5AB2589D">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500</w:t>
            </w:r>
          </w:p>
        </w:tc>
        <w:tc>
          <w:tcPr>
            <w:tcW w:w="1324" w:type="dxa"/>
            <w:vAlign w:val="center"/>
          </w:tcPr>
          <w:p w14:paraId="6F26E742">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firstLine="420" w:firstLineChars="200"/>
              <w:jc w:val="center"/>
              <w:rPr>
                <w:rFonts w:hint="eastAsia" w:ascii="宋体" w:hAnsi="宋体" w:eastAsia="宋体" w:cs="宋体"/>
                <w:b w:val="0"/>
                <w:bCs/>
                <w:color w:val="auto"/>
                <w:szCs w:val="21"/>
                <w:highlight w:val="none"/>
                <w:lang w:val="en-US" w:eastAsia="zh-CN"/>
              </w:rPr>
            </w:pPr>
          </w:p>
        </w:tc>
      </w:tr>
      <w:tr w14:paraId="33237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38612A75">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17</w:t>
            </w:r>
          </w:p>
        </w:tc>
        <w:tc>
          <w:tcPr>
            <w:tcW w:w="2540" w:type="dxa"/>
            <w:vAlign w:val="center"/>
          </w:tcPr>
          <w:p w14:paraId="1A2AF813">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滁州充电永乐北路停车场电动汽车充电站</w:t>
            </w:r>
          </w:p>
        </w:tc>
        <w:tc>
          <w:tcPr>
            <w:tcW w:w="2387" w:type="dxa"/>
            <w:vAlign w:val="center"/>
          </w:tcPr>
          <w:p w14:paraId="72834940">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南谯区同乐西路22号</w:t>
            </w:r>
          </w:p>
        </w:tc>
        <w:tc>
          <w:tcPr>
            <w:tcW w:w="1549" w:type="dxa"/>
            <w:vAlign w:val="center"/>
          </w:tcPr>
          <w:p w14:paraId="73B2DEC3">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箱变1座</w:t>
            </w:r>
          </w:p>
        </w:tc>
        <w:tc>
          <w:tcPr>
            <w:tcW w:w="1069" w:type="dxa"/>
            <w:vAlign w:val="center"/>
          </w:tcPr>
          <w:p w14:paraId="5EC4693F">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500</w:t>
            </w:r>
          </w:p>
        </w:tc>
        <w:tc>
          <w:tcPr>
            <w:tcW w:w="1324" w:type="dxa"/>
            <w:vAlign w:val="center"/>
          </w:tcPr>
          <w:p w14:paraId="60B5AE7A">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firstLine="420" w:firstLineChars="200"/>
              <w:jc w:val="center"/>
              <w:rPr>
                <w:rFonts w:hint="eastAsia" w:ascii="宋体" w:hAnsi="宋体" w:eastAsia="宋体" w:cs="宋体"/>
                <w:b w:val="0"/>
                <w:bCs/>
                <w:color w:val="auto"/>
                <w:szCs w:val="21"/>
                <w:highlight w:val="none"/>
                <w:lang w:val="en-US" w:eastAsia="zh-CN"/>
              </w:rPr>
            </w:pPr>
          </w:p>
        </w:tc>
      </w:tr>
      <w:tr w14:paraId="43F2D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10F972C6">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18</w:t>
            </w:r>
          </w:p>
        </w:tc>
        <w:tc>
          <w:tcPr>
            <w:tcW w:w="2540" w:type="dxa"/>
            <w:vAlign w:val="center"/>
          </w:tcPr>
          <w:p w14:paraId="317C7F6E">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滁州充电阳明路停车场电动汽车充电站</w:t>
            </w:r>
          </w:p>
        </w:tc>
        <w:tc>
          <w:tcPr>
            <w:tcW w:w="2387" w:type="dxa"/>
            <w:vAlign w:val="center"/>
          </w:tcPr>
          <w:p w14:paraId="5F023626">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南谯区金陵北路777号</w:t>
            </w:r>
          </w:p>
        </w:tc>
        <w:tc>
          <w:tcPr>
            <w:tcW w:w="1549" w:type="dxa"/>
            <w:vAlign w:val="center"/>
          </w:tcPr>
          <w:p w14:paraId="08E5C767">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箱变1座</w:t>
            </w:r>
          </w:p>
        </w:tc>
        <w:tc>
          <w:tcPr>
            <w:tcW w:w="1069" w:type="dxa"/>
            <w:vAlign w:val="center"/>
          </w:tcPr>
          <w:p w14:paraId="6033E946">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630</w:t>
            </w:r>
          </w:p>
        </w:tc>
        <w:tc>
          <w:tcPr>
            <w:tcW w:w="1324" w:type="dxa"/>
            <w:vAlign w:val="center"/>
          </w:tcPr>
          <w:p w14:paraId="257E18ED">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firstLine="420" w:firstLineChars="200"/>
              <w:jc w:val="center"/>
              <w:rPr>
                <w:rFonts w:hint="eastAsia" w:ascii="宋体" w:hAnsi="宋体" w:eastAsia="宋体" w:cs="宋体"/>
                <w:b w:val="0"/>
                <w:bCs/>
                <w:color w:val="auto"/>
                <w:szCs w:val="21"/>
                <w:highlight w:val="none"/>
                <w:lang w:val="en-US" w:eastAsia="zh-CN"/>
              </w:rPr>
            </w:pPr>
          </w:p>
        </w:tc>
      </w:tr>
      <w:tr w14:paraId="23BB8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3D562E62">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19</w:t>
            </w:r>
          </w:p>
        </w:tc>
        <w:tc>
          <w:tcPr>
            <w:tcW w:w="2540" w:type="dxa"/>
            <w:vAlign w:val="center"/>
          </w:tcPr>
          <w:p w14:paraId="0A199E4E">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滁州充电二纺机停车场电动汽车充电站</w:t>
            </w:r>
          </w:p>
        </w:tc>
        <w:tc>
          <w:tcPr>
            <w:tcW w:w="2387" w:type="dxa"/>
            <w:vAlign w:val="center"/>
          </w:tcPr>
          <w:p w14:paraId="2EDE4532">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琅琊区明光西路151号</w:t>
            </w:r>
          </w:p>
        </w:tc>
        <w:tc>
          <w:tcPr>
            <w:tcW w:w="1549" w:type="dxa"/>
            <w:vAlign w:val="center"/>
          </w:tcPr>
          <w:p w14:paraId="36297C66">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箱变1座</w:t>
            </w:r>
          </w:p>
        </w:tc>
        <w:tc>
          <w:tcPr>
            <w:tcW w:w="1069" w:type="dxa"/>
            <w:vAlign w:val="center"/>
          </w:tcPr>
          <w:p w14:paraId="30BD4ADE">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500</w:t>
            </w:r>
          </w:p>
        </w:tc>
        <w:tc>
          <w:tcPr>
            <w:tcW w:w="1324" w:type="dxa"/>
            <w:vAlign w:val="center"/>
          </w:tcPr>
          <w:p w14:paraId="5452B16F">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firstLine="420" w:firstLineChars="200"/>
              <w:jc w:val="center"/>
              <w:rPr>
                <w:rFonts w:hint="eastAsia" w:ascii="宋体" w:hAnsi="宋体" w:eastAsia="宋体" w:cs="宋体"/>
                <w:b w:val="0"/>
                <w:bCs/>
                <w:color w:val="auto"/>
                <w:szCs w:val="21"/>
                <w:highlight w:val="none"/>
                <w:lang w:val="en-US" w:eastAsia="zh-CN"/>
              </w:rPr>
            </w:pPr>
          </w:p>
        </w:tc>
      </w:tr>
      <w:tr w14:paraId="1A704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44F3921F">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20</w:t>
            </w:r>
          </w:p>
        </w:tc>
        <w:tc>
          <w:tcPr>
            <w:tcW w:w="2540" w:type="dxa"/>
            <w:vAlign w:val="center"/>
          </w:tcPr>
          <w:p w14:paraId="3933CC2E">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滁州充电老二院停车场电动汽车充电站</w:t>
            </w:r>
          </w:p>
        </w:tc>
        <w:tc>
          <w:tcPr>
            <w:tcW w:w="2387" w:type="dxa"/>
            <w:vAlign w:val="center"/>
          </w:tcPr>
          <w:p w14:paraId="022E5A7D">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琅琊区西大街80号</w:t>
            </w:r>
          </w:p>
        </w:tc>
        <w:tc>
          <w:tcPr>
            <w:tcW w:w="1549" w:type="dxa"/>
            <w:vAlign w:val="center"/>
          </w:tcPr>
          <w:p w14:paraId="3CD2350E">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箱变1座</w:t>
            </w:r>
          </w:p>
        </w:tc>
        <w:tc>
          <w:tcPr>
            <w:tcW w:w="1069" w:type="dxa"/>
            <w:vAlign w:val="center"/>
          </w:tcPr>
          <w:p w14:paraId="534F37E9">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500</w:t>
            </w:r>
          </w:p>
        </w:tc>
        <w:tc>
          <w:tcPr>
            <w:tcW w:w="1324" w:type="dxa"/>
            <w:vAlign w:val="center"/>
          </w:tcPr>
          <w:p w14:paraId="3DAE12AD">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firstLine="420" w:firstLineChars="200"/>
              <w:jc w:val="center"/>
              <w:rPr>
                <w:rFonts w:hint="eastAsia" w:ascii="宋体" w:hAnsi="宋体" w:eastAsia="宋体" w:cs="宋体"/>
                <w:b w:val="0"/>
                <w:bCs/>
                <w:color w:val="auto"/>
                <w:szCs w:val="21"/>
                <w:highlight w:val="none"/>
                <w:lang w:val="en-US" w:eastAsia="zh-CN"/>
              </w:rPr>
            </w:pPr>
          </w:p>
        </w:tc>
      </w:tr>
      <w:tr w14:paraId="4E861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0489C60F">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21</w:t>
            </w:r>
          </w:p>
        </w:tc>
        <w:tc>
          <w:tcPr>
            <w:tcW w:w="2540" w:type="dxa"/>
            <w:vAlign w:val="center"/>
          </w:tcPr>
          <w:p w14:paraId="267B8ED0">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滁州充电育新西路停车场电动汽车充电站</w:t>
            </w:r>
          </w:p>
        </w:tc>
        <w:tc>
          <w:tcPr>
            <w:tcW w:w="2387" w:type="dxa"/>
            <w:vAlign w:val="center"/>
          </w:tcPr>
          <w:p w14:paraId="1EE1E5EA">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琅琊区丰乐大道53号</w:t>
            </w:r>
          </w:p>
        </w:tc>
        <w:tc>
          <w:tcPr>
            <w:tcW w:w="1549" w:type="dxa"/>
            <w:vAlign w:val="center"/>
          </w:tcPr>
          <w:p w14:paraId="28B4F8AB">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箱变1座</w:t>
            </w:r>
          </w:p>
        </w:tc>
        <w:tc>
          <w:tcPr>
            <w:tcW w:w="1069" w:type="dxa"/>
            <w:vAlign w:val="center"/>
          </w:tcPr>
          <w:p w14:paraId="475CAAD0">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500</w:t>
            </w:r>
          </w:p>
        </w:tc>
        <w:tc>
          <w:tcPr>
            <w:tcW w:w="1324" w:type="dxa"/>
            <w:vAlign w:val="center"/>
          </w:tcPr>
          <w:p w14:paraId="498B3148">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firstLine="420" w:firstLineChars="200"/>
              <w:jc w:val="center"/>
              <w:rPr>
                <w:rFonts w:hint="eastAsia" w:ascii="宋体" w:hAnsi="宋体" w:eastAsia="宋体" w:cs="宋体"/>
                <w:b w:val="0"/>
                <w:bCs/>
                <w:color w:val="auto"/>
                <w:szCs w:val="21"/>
                <w:highlight w:val="none"/>
                <w:lang w:val="en-US" w:eastAsia="zh-CN"/>
              </w:rPr>
            </w:pPr>
          </w:p>
        </w:tc>
      </w:tr>
      <w:tr w14:paraId="5913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073B35A8">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22</w:t>
            </w:r>
          </w:p>
        </w:tc>
        <w:tc>
          <w:tcPr>
            <w:tcW w:w="2540" w:type="dxa"/>
            <w:vAlign w:val="center"/>
          </w:tcPr>
          <w:p w14:paraId="5F90D0BE">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滁州充电八中南侧停车场电动汽车充电站</w:t>
            </w:r>
          </w:p>
        </w:tc>
        <w:tc>
          <w:tcPr>
            <w:tcW w:w="2387" w:type="dxa"/>
            <w:vAlign w:val="center"/>
          </w:tcPr>
          <w:p w14:paraId="0E7ECA7E">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南谯区南谯中路1719号</w:t>
            </w:r>
          </w:p>
        </w:tc>
        <w:tc>
          <w:tcPr>
            <w:tcW w:w="1549" w:type="dxa"/>
            <w:vAlign w:val="center"/>
          </w:tcPr>
          <w:p w14:paraId="385E9948">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箱变1座</w:t>
            </w:r>
          </w:p>
        </w:tc>
        <w:tc>
          <w:tcPr>
            <w:tcW w:w="1069" w:type="dxa"/>
            <w:vAlign w:val="center"/>
          </w:tcPr>
          <w:p w14:paraId="7BCE49DE">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500</w:t>
            </w:r>
          </w:p>
        </w:tc>
        <w:tc>
          <w:tcPr>
            <w:tcW w:w="1324" w:type="dxa"/>
            <w:vAlign w:val="center"/>
          </w:tcPr>
          <w:p w14:paraId="431FB203">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firstLine="420" w:firstLineChars="200"/>
              <w:jc w:val="center"/>
              <w:rPr>
                <w:rFonts w:hint="eastAsia" w:ascii="宋体" w:hAnsi="宋体" w:eastAsia="宋体" w:cs="宋体"/>
                <w:b w:val="0"/>
                <w:bCs/>
                <w:color w:val="auto"/>
                <w:szCs w:val="21"/>
                <w:highlight w:val="none"/>
                <w:lang w:val="en-US" w:eastAsia="zh-CN"/>
              </w:rPr>
            </w:pPr>
          </w:p>
        </w:tc>
      </w:tr>
      <w:tr w14:paraId="3C558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1DCFE4D9">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23</w:t>
            </w:r>
          </w:p>
        </w:tc>
        <w:tc>
          <w:tcPr>
            <w:tcW w:w="2540" w:type="dxa"/>
            <w:vAlign w:val="center"/>
          </w:tcPr>
          <w:p w14:paraId="4C82D2BD">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滁州充电凤凰路停车场电动汽车充电站</w:t>
            </w:r>
          </w:p>
        </w:tc>
        <w:tc>
          <w:tcPr>
            <w:tcW w:w="2387" w:type="dxa"/>
            <w:vAlign w:val="center"/>
          </w:tcPr>
          <w:p w14:paraId="66B56031">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琅琊区凤西路20号</w:t>
            </w:r>
          </w:p>
        </w:tc>
        <w:tc>
          <w:tcPr>
            <w:tcW w:w="1549" w:type="dxa"/>
            <w:vAlign w:val="center"/>
          </w:tcPr>
          <w:p w14:paraId="7A7EE217">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箱变1座</w:t>
            </w:r>
          </w:p>
        </w:tc>
        <w:tc>
          <w:tcPr>
            <w:tcW w:w="1069" w:type="dxa"/>
            <w:vAlign w:val="center"/>
          </w:tcPr>
          <w:p w14:paraId="440F5AB4">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630</w:t>
            </w:r>
          </w:p>
        </w:tc>
        <w:tc>
          <w:tcPr>
            <w:tcW w:w="1324" w:type="dxa"/>
            <w:vAlign w:val="center"/>
          </w:tcPr>
          <w:p w14:paraId="0B41E2A7">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firstLine="420" w:firstLineChars="200"/>
              <w:jc w:val="center"/>
              <w:rPr>
                <w:rFonts w:hint="eastAsia" w:ascii="宋体" w:hAnsi="宋体" w:eastAsia="宋体" w:cs="宋体"/>
                <w:b w:val="0"/>
                <w:bCs/>
                <w:color w:val="auto"/>
                <w:szCs w:val="21"/>
                <w:highlight w:val="none"/>
                <w:lang w:val="en-US" w:eastAsia="zh-CN"/>
              </w:rPr>
            </w:pPr>
          </w:p>
        </w:tc>
      </w:tr>
      <w:tr w14:paraId="3915F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111B3ED5">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24</w:t>
            </w:r>
          </w:p>
        </w:tc>
        <w:tc>
          <w:tcPr>
            <w:tcW w:w="2540" w:type="dxa"/>
            <w:vAlign w:val="center"/>
          </w:tcPr>
          <w:p w14:paraId="5B9C68E9">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滁州充电凤凰菜市场停车场电动汽车充电站</w:t>
            </w:r>
          </w:p>
        </w:tc>
        <w:tc>
          <w:tcPr>
            <w:tcW w:w="2387" w:type="dxa"/>
            <w:vAlign w:val="center"/>
          </w:tcPr>
          <w:p w14:paraId="72CF62B4">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琅琊区中都大道426号</w:t>
            </w:r>
          </w:p>
        </w:tc>
        <w:tc>
          <w:tcPr>
            <w:tcW w:w="1549" w:type="dxa"/>
            <w:vAlign w:val="center"/>
          </w:tcPr>
          <w:p w14:paraId="061CC5D9">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箱变1座</w:t>
            </w:r>
          </w:p>
        </w:tc>
        <w:tc>
          <w:tcPr>
            <w:tcW w:w="1069" w:type="dxa"/>
            <w:vAlign w:val="center"/>
          </w:tcPr>
          <w:p w14:paraId="6727B6CF">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630</w:t>
            </w:r>
          </w:p>
        </w:tc>
        <w:tc>
          <w:tcPr>
            <w:tcW w:w="1324" w:type="dxa"/>
            <w:vAlign w:val="center"/>
          </w:tcPr>
          <w:p w14:paraId="0147284B">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firstLine="420" w:firstLineChars="200"/>
              <w:jc w:val="center"/>
              <w:rPr>
                <w:rFonts w:hint="eastAsia" w:ascii="宋体" w:hAnsi="宋体" w:eastAsia="宋体" w:cs="宋体"/>
                <w:b w:val="0"/>
                <w:bCs/>
                <w:color w:val="auto"/>
                <w:szCs w:val="21"/>
                <w:highlight w:val="none"/>
                <w:lang w:val="en-US" w:eastAsia="zh-CN"/>
              </w:rPr>
            </w:pPr>
          </w:p>
        </w:tc>
      </w:tr>
      <w:tr w14:paraId="19A8D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79CF0351">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25</w:t>
            </w:r>
          </w:p>
        </w:tc>
        <w:tc>
          <w:tcPr>
            <w:tcW w:w="2540" w:type="dxa"/>
            <w:vAlign w:val="center"/>
          </w:tcPr>
          <w:p w14:paraId="2DA86F49">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滁州充电人民西路停车场电动汽车充电站</w:t>
            </w:r>
          </w:p>
        </w:tc>
        <w:tc>
          <w:tcPr>
            <w:tcW w:w="2387" w:type="dxa"/>
            <w:vAlign w:val="center"/>
          </w:tcPr>
          <w:p w14:paraId="2C6382FE">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南谯区敬梓西路151号</w:t>
            </w:r>
          </w:p>
        </w:tc>
        <w:tc>
          <w:tcPr>
            <w:tcW w:w="1549" w:type="dxa"/>
            <w:vAlign w:val="center"/>
          </w:tcPr>
          <w:p w14:paraId="053D7FD7">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箱变1座</w:t>
            </w:r>
          </w:p>
        </w:tc>
        <w:tc>
          <w:tcPr>
            <w:tcW w:w="1069" w:type="dxa"/>
            <w:vAlign w:val="center"/>
          </w:tcPr>
          <w:p w14:paraId="1A21483F">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500</w:t>
            </w:r>
          </w:p>
        </w:tc>
        <w:tc>
          <w:tcPr>
            <w:tcW w:w="1324" w:type="dxa"/>
            <w:vAlign w:val="center"/>
          </w:tcPr>
          <w:p w14:paraId="6072430D">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firstLine="420" w:firstLineChars="200"/>
              <w:jc w:val="center"/>
              <w:rPr>
                <w:rFonts w:hint="eastAsia" w:ascii="宋体" w:hAnsi="宋体" w:eastAsia="宋体" w:cs="宋体"/>
                <w:b w:val="0"/>
                <w:bCs/>
                <w:color w:val="auto"/>
                <w:szCs w:val="21"/>
                <w:highlight w:val="none"/>
                <w:lang w:val="en-US" w:eastAsia="zh-CN"/>
              </w:rPr>
            </w:pPr>
          </w:p>
        </w:tc>
      </w:tr>
      <w:tr w14:paraId="5ED5B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485EC1EC">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26</w:t>
            </w:r>
          </w:p>
        </w:tc>
        <w:tc>
          <w:tcPr>
            <w:tcW w:w="2540" w:type="dxa"/>
            <w:vAlign w:val="center"/>
          </w:tcPr>
          <w:p w14:paraId="102B16CE">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滁州充电来安路停车场超充电动汽车充电站</w:t>
            </w:r>
          </w:p>
        </w:tc>
        <w:tc>
          <w:tcPr>
            <w:tcW w:w="2387" w:type="dxa"/>
            <w:vAlign w:val="center"/>
          </w:tcPr>
          <w:p w14:paraId="394B7478">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来安路地面停车场</w:t>
            </w:r>
          </w:p>
        </w:tc>
        <w:tc>
          <w:tcPr>
            <w:tcW w:w="1549" w:type="dxa"/>
            <w:vAlign w:val="center"/>
          </w:tcPr>
          <w:p w14:paraId="71B0E467">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箱变1座</w:t>
            </w:r>
          </w:p>
        </w:tc>
        <w:tc>
          <w:tcPr>
            <w:tcW w:w="1069" w:type="dxa"/>
            <w:vAlign w:val="center"/>
          </w:tcPr>
          <w:p w14:paraId="315EE702">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800</w:t>
            </w:r>
          </w:p>
        </w:tc>
        <w:tc>
          <w:tcPr>
            <w:tcW w:w="1324" w:type="dxa"/>
            <w:vAlign w:val="center"/>
          </w:tcPr>
          <w:p w14:paraId="54348BFB">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firstLine="420" w:firstLineChars="200"/>
              <w:jc w:val="center"/>
              <w:rPr>
                <w:rFonts w:hint="eastAsia" w:ascii="宋体" w:hAnsi="宋体" w:eastAsia="宋体" w:cs="宋体"/>
                <w:b w:val="0"/>
                <w:bCs/>
                <w:color w:val="auto"/>
                <w:szCs w:val="21"/>
                <w:highlight w:val="none"/>
                <w:lang w:val="en-US" w:eastAsia="zh-CN"/>
              </w:rPr>
            </w:pPr>
          </w:p>
        </w:tc>
      </w:tr>
      <w:tr w14:paraId="2DAC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6EBA2CF9">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27</w:t>
            </w:r>
          </w:p>
        </w:tc>
        <w:tc>
          <w:tcPr>
            <w:tcW w:w="2540" w:type="dxa"/>
            <w:vAlign w:val="center"/>
          </w:tcPr>
          <w:p w14:paraId="1591231F">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鑫矿野光伏升压变</w:t>
            </w:r>
          </w:p>
        </w:tc>
        <w:tc>
          <w:tcPr>
            <w:tcW w:w="2387" w:type="dxa"/>
            <w:vAlign w:val="center"/>
          </w:tcPr>
          <w:p w14:paraId="08F7290C">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南谯区段岗路69号</w:t>
            </w:r>
          </w:p>
        </w:tc>
        <w:tc>
          <w:tcPr>
            <w:tcW w:w="1549" w:type="dxa"/>
            <w:vAlign w:val="center"/>
          </w:tcPr>
          <w:p w14:paraId="53C406F6">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一二次仓1座，箱变2座，SVG 1座</w:t>
            </w:r>
          </w:p>
        </w:tc>
        <w:tc>
          <w:tcPr>
            <w:tcW w:w="1069" w:type="dxa"/>
            <w:vAlign w:val="center"/>
          </w:tcPr>
          <w:p w14:paraId="17C30D43">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2850</w:t>
            </w:r>
          </w:p>
        </w:tc>
        <w:tc>
          <w:tcPr>
            <w:tcW w:w="1324" w:type="dxa"/>
            <w:vAlign w:val="center"/>
          </w:tcPr>
          <w:p w14:paraId="6049179F">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firstLine="420" w:firstLineChars="200"/>
              <w:jc w:val="center"/>
              <w:rPr>
                <w:rFonts w:hint="eastAsia" w:ascii="宋体" w:hAnsi="宋体" w:eastAsia="宋体" w:cs="宋体"/>
                <w:b w:val="0"/>
                <w:bCs/>
                <w:color w:val="auto"/>
                <w:szCs w:val="21"/>
                <w:highlight w:val="none"/>
                <w:lang w:val="en-US" w:eastAsia="zh-CN"/>
              </w:rPr>
            </w:pPr>
          </w:p>
        </w:tc>
      </w:tr>
      <w:tr w14:paraId="1603E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62A8F440">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28</w:t>
            </w:r>
          </w:p>
        </w:tc>
        <w:tc>
          <w:tcPr>
            <w:tcW w:w="2540" w:type="dxa"/>
            <w:vAlign w:val="center"/>
          </w:tcPr>
          <w:p w14:paraId="0B5A6949">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2026年拟新建项目</w:t>
            </w:r>
          </w:p>
        </w:tc>
        <w:tc>
          <w:tcPr>
            <w:tcW w:w="2387" w:type="dxa"/>
            <w:vAlign w:val="center"/>
          </w:tcPr>
          <w:p w14:paraId="52661CBB">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w:t>
            </w:r>
          </w:p>
        </w:tc>
        <w:tc>
          <w:tcPr>
            <w:tcW w:w="1549" w:type="dxa"/>
            <w:vAlign w:val="center"/>
          </w:tcPr>
          <w:p w14:paraId="06DB06B1">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w:t>
            </w:r>
          </w:p>
        </w:tc>
        <w:tc>
          <w:tcPr>
            <w:tcW w:w="1069" w:type="dxa"/>
            <w:vAlign w:val="center"/>
          </w:tcPr>
          <w:p w14:paraId="59C6C768">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8000</w:t>
            </w:r>
          </w:p>
        </w:tc>
        <w:tc>
          <w:tcPr>
            <w:tcW w:w="1324" w:type="dxa"/>
            <w:vAlign w:val="center"/>
          </w:tcPr>
          <w:p w14:paraId="01C851BF">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firstLine="420" w:firstLineChars="200"/>
              <w:jc w:val="center"/>
              <w:rPr>
                <w:rFonts w:hint="eastAsia" w:ascii="宋体" w:hAnsi="宋体" w:eastAsia="宋体" w:cs="宋体"/>
                <w:b w:val="0"/>
                <w:bCs/>
                <w:color w:val="auto"/>
                <w:szCs w:val="21"/>
                <w:highlight w:val="none"/>
                <w:lang w:val="en-US" w:eastAsia="zh-CN"/>
              </w:rPr>
            </w:pPr>
          </w:p>
        </w:tc>
      </w:tr>
      <w:tr w14:paraId="4CDFE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1" w:type="dxa"/>
            <w:gridSpan w:val="4"/>
            <w:vAlign w:val="center"/>
          </w:tcPr>
          <w:p w14:paraId="7AD4B2DF">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合计</w:t>
            </w:r>
          </w:p>
        </w:tc>
        <w:tc>
          <w:tcPr>
            <w:tcW w:w="1069" w:type="dxa"/>
            <w:vAlign w:val="center"/>
          </w:tcPr>
          <w:p w14:paraId="3B88FC0A">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2</w:t>
            </w:r>
            <w:r>
              <w:rPr>
                <w:rFonts w:hint="eastAsia" w:ascii="宋体" w:hAnsi="宋体" w:cs="宋体"/>
                <w:b w:val="0"/>
                <w:bCs/>
                <w:color w:val="auto"/>
                <w:szCs w:val="21"/>
                <w:highlight w:val="none"/>
                <w:lang w:val="en-US" w:eastAsia="zh-CN"/>
              </w:rPr>
              <w:t>999</w:t>
            </w:r>
            <w:r>
              <w:rPr>
                <w:rFonts w:hint="eastAsia" w:ascii="宋体" w:hAnsi="宋体" w:eastAsia="宋体" w:cs="宋体"/>
                <w:b w:val="0"/>
                <w:bCs/>
                <w:color w:val="auto"/>
                <w:szCs w:val="21"/>
                <w:highlight w:val="none"/>
                <w:lang w:val="en-US" w:eastAsia="zh-CN"/>
              </w:rPr>
              <w:t>0</w:t>
            </w:r>
          </w:p>
        </w:tc>
        <w:tc>
          <w:tcPr>
            <w:tcW w:w="1324" w:type="dxa"/>
            <w:vAlign w:val="center"/>
          </w:tcPr>
          <w:p w14:paraId="3CB18E78">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firstLine="420" w:firstLineChars="200"/>
              <w:jc w:val="center"/>
              <w:rPr>
                <w:rFonts w:hint="eastAsia" w:ascii="宋体" w:hAnsi="宋体" w:eastAsia="宋体" w:cs="宋体"/>
                <w:b w:val="0"/>
                <w:bCs/>
                <w:color w:val="auto"/>
                <w:szCs w:val="21"/>
                <w:highlight w:val="none"/>
                <w:lang w:val="en-US" w:eastAsia="zh-CN"/>
              </w:rPr>
            </w:pPr>
          </w:p>
        </w:tc>
      </w:tr>
    </w:tbl>
    <w:p w14:paraId="6B5D546B">
      <w:pPr>
        <w:pStyle w:val="14"/>
        <w:keepNext w:val="0"/>
        <w:keepLines w:val="0"/>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480" w:lineRule="exact"/>
        <w:ind w:left="0" w:leftChars="0" w:right="0" w:rightChars="0"/>
        <w:textAlignment w:val="auto"/>
        <w:rPr>
          <w:rFonts w:hint="eastAsia" w:ascii="Times New Roman" w:hAnsi="宋体" w:eastAsia="宋体" w:cs="Times New Roman"/>
          <w:b/>
          <w:bCs/>
          <w:color w:val="auto"/>
          <w:kern w:val="2"/>
          <w:sz w:val="28"/>
          <w:szCs w:val="28"/>
          <w:highlight w:val="none"/>
          <w:lang w:val="en-US" w:eastAsia="zh-CN" w:bidi="ar-SA"/>
        </w:rPr>
      </w:pPr>
      <w:r>
        <w:rPr>
          <w:rFonts w:hint="eastAsia" w:ascii="Times New Roman" w:hAnsi="宋体" w:eastAsia="宋体" w:cs="Times New Roman"/>
          <w:b/>
          <w:bCs/>
          <w:color w:val="auto"/>
          <w:kern w:val="2"/>
          <w:sz w:val="28"/>
          <w:szCs w:val="28"/>
          <w:highlight w:val="none"/>
          <w:lang w:val="en-US" w:eastAsia="zh-CN" w:bidi="ar-SA"/>
        </w:rPr>
        <w:t>八、特别说明</w:t>
      </w:r>
    </w:p>
    <w:p w14:paraId="02941554">
      <w:pPr>
        <w:shd w:val="clear"/>
        <w:kinsoku/>
        <w:overflowPunct/>
        <w:bidi w:val="0"/>
        <w:snapToGrid w:val="0"/>
        <w:spacing w:line="500" w:lineRule="exact"/>
        <w:ind w:left="0" w:leftChars="0" w:right="0" w:rightChars="0" w:firstLine="420" w:firstLineChars="200"/>
        <w:jc w:val="left"/>
        <w:rPr>
          <w:rFonts w:hint="eastAsia" w:ascii="宋体"/>
          <w:b/>
          <w:bCs/>
          <w:color w:val="auto"/>
          <w:sz w:val="36"/>
          <w:szCs w:val="52"/>
          <w:highlight w:val="none"/>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责任划分：因</w:t>
      </w:r>
      <w:r>
        <w:rPr>
          <w:rFonts w:hint="eastAsia" w:ascii="宋体" w:hAnsi="宋体" w:cs="宋体"/>
          <w:color w:val="auto"/>
          <w:szCs w:val="21"/>
          <w:highlight w:val="none"/>
          <w:lang w:val="en-US" w:eastAsia="zh-CN"/>
        </w:rPr>
        <w:t>中标</w:t>
      </w:r>
      <w:r>
        <w:rPr>
          <w:rFonts w:hint="eastAsia" w:ascii="宋体" w:hAnsi="宋体" w:eastAsia="宋体" w:cs="宋体"/>
          <w:color w:val="auto"/>
          <w:szCs w:val="21"/>
          <w:highlight w:val="none"/>
          <w:lang w:val="en-US" w:eastAsia="zh-CN"/>
        </w:rPr>
        <w:t>单位未及时处理故障问题</w:t>
      </w:r>
      <w:r>
        <w:rPr>
          <w:rFonts w:hint="eastAsia" w:ascii="宋体" w:hAnsi="宋体" w:cs="宋体"/>
          <w:color w:val="auto"/>
          <w:szCs w:val="21"/>
          <w:highlight w:val="none"/>
          <w:lang w:val="en-US" w:eastAsia="zh-CN"/>
        </w:rPr>
        <w:t>或操作不当</w:t>
      </w:r>
      <w:r>
        <w:rPr>
          <w:rFonts w:hint="eastAsia" w:ascii="宋体" w:hAnsi="宋体" w:eastAsia="宋体" w:cs="宋体"/>
          <w:color w:val="auto"/>
          <w:szCs w:val="21"/>
          <w:highlight w:val="none"/>
          <w:lang w:val="en-US" w:eastAsia="zh-CN"/>
        </w:rPr>
        <w:t>导致事故的，由中标单位承担全部安全责任及经济损失</w:t>
      </w:r>
      <w:r>
        <w:rPr>
          <w:rFonts w:hint="eastAsia" w:ascii="宋体" w:hAnsi="宋体" w:cs="宋体"/>
          <w:color w:val="auto"/>
          <w:szCs w:val="21"/>
          <w:highlight w:val="none"/>
          <w:lang w:val="en-US" w:eastAsia="zh-CN"/>
        </w:rPr>
        <w:t>。</w:t>
      </w:r>
    </w:p>
    <w:p w14:paraId="7FBA362E">
      <w:pPr>
        <w:pStyle w:val="14"/>
        <w:keepNext w:val="0"/>
        <w:keepLines w:val="0"/>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480" w:lineRule="exact"/>
        <w:ind w:left="0" w:leftChars="0" w:right="0" w:rightChars="0"/>
        <w:textAlignment w:val="auto"/>
        <w:rPr>
          <w:rFonts w:hint="default" w:ascii="Times New Roman" w:hAnsi="宋体" w:eastAsia="宋体" w:cs="Times New Roman"/>
          <w:b/>
          <w:bCs/>
          <w:color w:val="auto"/>
          <w:kern w:val="2"/>
          <w:sz w:val="28"/>
          <w:szCs w:val="28"/>
          <w:highlight w:val="none"/>
          <w:lang w:val="en-US" w:eastAsia="zh-CN" w:bidi="ar-SA"/>
        </w:rPr>
      </w:pPr>
      <w:r>
        <w:rPr>
          <w:rFonts w:hint="eastAsia" w:ascii="Times New Roman" w:hAnsi="宋体" w:eastAsia="宋体" w:cs="Times New Roman"/>
          <w:b/>
          <w:bCs/>
          <w:color w:val="auto"/>
          <w:kern w:val="2"/>
          <w:sz w:val="28"/>
          <w:szCs w:val="28"/>
          <w:highlight w:val="none"/>
          <w:lang w:val="en-US" w:eastAsia="zh-CN" w:bidi="ar-SA"/>
        </w:rPr>
        <w:t>九、具体要求</w:t>
      </w:r>
    </w:p>
    <w:p w14:paraId="52EBBE9D">
      <w:pPr>
        <w:kinsoku/>
        <w:overflowPunct/>
        <w:bidi w:val="0"/>
        <w:spacing w:line="360" w:lineRule="auto"/>
        <w:ind w:left="0" w:leftChars="0" w:right="0" w:rightChars="0" w:firstLine="435"/>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提供“</w:t>
      </w:r>
      <w:r>
        <w:rPr>
          <w:rFonts w:hint="eastAsia" w:ascii="宋体" w:hAnsi="宋体" w:eastAsia="宋体" w:cs="Times New Roman"/>
          <w:b/>
          <w:bCs/>
          <w:color w:val="auto"/>
          <w:sz w:val="21"/>
          <w:szCs w:val="21"/>
          <w:highlight w:val="none"/>
          <w:lang w:val="en-US" w:eastAsia="zh-CN"/>
        </w:rPr>
        <w:t>季度巡检+预防性试验+故障应急响应</w:t>
      </w:r>
      <w:r>
        <w:rPr>
          <w:rFonts w:hint="eastAsia" w:ascii="宋体" w:hAnsi="宋体" w:eastAsia="宋体" w:cs="Times New Roman"/>
          <w:color w:val="auto"/>
          <w:sz w:val="21"/>
          <w:szCs w:val="21"/>
          <w:highlight w:val="none"/>
          <w:lang w:val="en-US" w:eastAsia="zh-CN"/>
        </w:rPr>
        <w:t>”全流程服务，具体内容如下：</w:t>
      </w:r>
    </w:p>
    <w:p w14:paraId="78721895">
      <w:pPr>
        <w:kinsoku/>
        <w:overflowPunct/>
        <w:bidi w:val="0"/>
        <w:spacing w:line="360" w:lineRule="auto"/>
        <w:ind w:left="0" w:leftChars="0" w:right="0" w:rightChars="0" w:firstLine="435"/>
        <w:rPr>
          <w:rFonts w:hint="eastAsia" w:ascii="宋体" w:hAnsi="宋体" w:eastAsia="宋体" w:cs="Times New Roman"/>
          <w:b/>
          <w:bCs/>
          <w:color w:val="auto"/>
          <w:sz w:val="21"/>
          <w:szCs w:val="21"/>
          <w:highlight w:val="none"/>
          <w:lang w:val="en-US" w:eastAsia="zh-CN"/>
        </w:rPr>
      </w:pPr>
      <w:r>
        <w:rPr>
          <w:rFonts w:hint="eastAsia" w:ascii="宋体" w:hAnsi="宋体" w:cs="Times New Roman"/>
          <w:b/>
          <w:bCs/>
          <w:color w:val="auto"/>
          <w:sz w:val="21"/>
          <w:szCs w:val="21"/>
          <w:highlight w:val="none"/>
          <w:lang w:val="en-US" w:eastAsia="zh-CN"/>
        </w:rPr>
        <w:t>1、</w:t>
      </w:r>
      <w:r>
        <w:rPr>
          <w:rFonts w:hint="eastAsia" w:ascii="宋体" w:hAnsi="宋体" w:eastAsia="宋体" w:cs="Times New Roman"/>
          <w:b/>
          <w:bCs/>
          <w:color w:val="auto"/>
          <w:sz w:val="21"/>
          <w:szCs w:val="21"/>
          <w:highlight w:val="none"/>
          <w:lang w:val="en-US" w:eastAsia="zh-CN"/>
        </w:rPr>
        <w:t>季度巡检服务</w:t>
      </w:r>
    </w:p>
    <w:p w14:paraId="6C397C60">
      <w:pPr>
        <w:kinsoku/>
        <w:overflowPunct/>
        <w:bidi w:val="0"/>
        <w:spacing w:line="360" w:lineRule="auto"/>
        <w:ind w:left="0" w:leftChars="0" w:right="0" w:rightChars="0" w:firstLine="435"/>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按照《箱式变电站（箱变）运行检查与维护规范》执行，每季度开展1次全面巡检，</w:t>
      </w:r>
      <w:r>
        <w:rPr>
          <w:rFonts w:hint="default" w:ascii="宋体" w:hAnsi="宋体" w:eastAsia="宋体" w:cs="Times New Roman"/>
          <w:color w:val="auto"/>
          <w:sz w:val="21"/>
          <w:szCs w:val="21"/>
          <w:highlight w:val="none"/>
          <w:lang w:val="en-US" w:eastAsia="zh-CN"/>
        </w:rPr>
        <w:t>单次服务中，若仅涉及人工、普通工具及低值耗材，且总费用在人民币</w:t>
      </w:r>
      <w:r>
        <w:rPr>
          <w:rFonts w:hint="eastAsia" w:ascii="宋体" w:hAnsi="宋体" w:eastAsia="宋体" w:cs="Times New Roman"/>
          <w:color w:val="auto"/>
          <w:sz w:val="21"/>
          <w:szCs w:val="21"/>
          <w:highlight w:val="none"/>
          <w:lang w:val="en-US" w:eastAsia="zh-CN"/>
        </w:rPr>
        <w:t>2</w:t>
      </w:r>
      <w:r>
        <w:rPr>
          <w:rFonts w:hint="default" w:ascii="宋体" w:hAnsi="宋体" w:eastAsia="宋体" w:cs="Times New Roman"/>
          <w:color w:val="auto"/>
          <w:sz w:val="21"/>
          <w:szCs w:val="21"/>
          <w:highlight w:val="none"/>
          <w:lang w:val="en-US" w:eastAsia="zh-CN"/>
        </w:rPr>
        <w:t>000元（含）以下，由</w:t>
      </w:r>
      <w:r>
        <w:rPr>
          <w:rFonts w:hint="eastAsia" w:ascii="宋体" w:hAnsi="宋体" w:eastAsia="宋体" w:cs="Times New Roman"/>
          <w:color w:val="auto"/>
          <w:sz w:val="21"/>
          <w:szCs w:val="21"/>
          <w:highlight w:val="none"/>
          <w:lang w:val="en-US" w:eastAsia="zh-CN"/>
        </w:rPr>
        <w:t>乙方</w:t>
      </w:r>
      <w:r>
        <w:rPr>
          <w:rFonts w:hint="default" w:ascii="宋体" w:hAnsi="宋体" w:eastAsia="宋体" w:cs="Times New Roman"/>
          <w:color w:val="auto"/>
          <w:sz w:val="21"/>
          <w:szCs w:val="21"/>
          <w:highlight w:val="none"/>
          <w:lang w:val="en-US" w:eastAsia="zh-CN"/>
        </w:rPr>
        <w:t>承担。</w:t>
      </w:r>
      <w:r>
        <w:rPr>
          <w:rFonts w:hint="eastAsia" w:ascii="宋体" w:hAnsi="宋体" w:eastAsia="宋体" w:cs="Times New Roman"/>
          <w:color w:val="auto"/>
          <w:sz w:val="21"/>
          <w:szCs w:val="21"/>
          <w:highlight w:val="none"/>
          <w:lang w:val="en-US" w:eastAsia="zh-CN"/>
        </w:rPr>
        <w:t>超出人民币 2000元，设备更换的，主要材料及设备由</w:t>
      </w:r>
      <w:r>
        <w:rPr>
          <w:rFonts w:hint="eastAsia" w:ascii="宋体" w:hAnsi="宋体" w:cs="Times New Roman"/>
          <w:color w:val="auto"/>
          <w:sz w:val="21"/>
          <w:szCs w:val="21"/>
          <w:highlight w:val="none"/>
          <w:lang w:val="en-US" w:eastAsia="zh-CN"/>
        </w:rPr>
        <w:t>招标人</w:t>
      </w:r>
      <w:r>
        <w:rPr>
          <w:rFonts w:hint="eastAsia" w:ascii="宋体" w:hAnsi="宋体" w:eastAsia="宋体" w:cs="Times New Roman"/>
          <w:color w:val="auto"/>
          <w:sz w:val="21"/>
          <w:szCs w:val="21"/>
          <w:highlight w:val="none"/>
          <w:lang w:val="en-US" w:eastAsia="zh-CN"/>
        </w:rPr>
        <w:t>提供。本项目所有人工服务费用含在综合报价中。</w:t>
      </w:r>
    </w:p>
    <w:p w14:paraId="43DAB38B">
      <w:pPr>
        <w:kinsoku/>
        <w:overflowPunct/>
        <w:bidi w:val="0"/>
        <w:spacing w:line="360" w:lineRule="auto"/>
        <w:ind w:left="0" w:leftChars="0" w:right="0" w:rightChars="0" w:firstLine="435"/>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内容包括但不限于：</w:t>
      </w:r>
      <w:r>
        <w:rPr>
          <w:rFonts w:hint="eastAsia" w:ascii="宋体" w:hAnsi="宋体" w:cs="Times New Roman"/>
          <w:color w:val="auto"/>
          <w:sz w:val="21"/>
          <w:szCs w:val="21"/>
          <w:highlight w:val="none"/>
          <w:lang w:val="en-US" w:eastAsia="zh-CN"/>
        </w:rPr>
        <w:t>（后期可根据项目实际需要情况进行增加完善）</w:t>
      </w:r>
    </w:p>
    <w:p w14:paraId="4CBE7279">
      <w:pPr>
        <w:kinsoku/>
        <w:overflowPunct/>
        <w:bidi w:val="0"/>
        <w:spacing w:line="360" w:lineRule="auto"/>
        <w:ind w:left="0" w:leftChars="0" w:right="0" w:rightChars="0" w:firstLine="43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常规维护</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8"/>
        <w:gridCol w:w="1745"/>
        <w:gridCol w:w="4391"/>
        <w:gridCol w:w="1377"/>
      </w:tblGrid>
      <w:tr w14:paraId="42D21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8" w:type="dxa"/>
            <w:vAlign w:val="center"/>
          </w:tcPr>
          <w:p w14:paraId="07AD7CCF">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检查项目</w:t>
            </w:r>
          </w:p>
        </w:tc>
        <w:tc>
          <w:tcPr>
            <w:tcW w:w="1745" w:type="dxa"/>
            <w:vAlign w:val="center"/>
          </w:tcPr>
          <w:p w14:paraId="318066CE">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检查方法</w:t>
            </w:r>
          </w:p>
        </w:tc>
        <w:tc>
          <w:tcPr>
            <w:tcW w:w="4391" w:type="dxa"/>
            <w:vAlign w:val="center"/>
          </w:tcPr>
          <w:p w14:paraId="6DA6967B">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标准</w:t>
            </w:r>
          </w:p>
        </w:tc>
        <w:tc>
          <w:tcPr>
            <w:tcW w:w="1377" w:type="dxa"/>
            <w:vAlign w:val="center"/>
          </w:tcPr>
          <w:p w14:paraId="7CD1EB37">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检查频次</w:t>
            </w:r>
          </w:p>
        </w:tc>
      </w:tr>
      <w:tr w14:paraId="236DB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758" w:type="dxa"/>
            <w:vAlign w:val="center"/>
          </w:tcPr>
          <w:p w14:paraId="3C4843A0">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箱体外形</w:t>
            </w:r>
          </w:p>
        </w:tc>
        <w:tc>
          <w:tcPr>
            <w:tcW w:w="1745" w:type="dxa"/>
            <w:vAlign w:val="center"/>
          </w:tcPr>
          <w:p w14:paraId="79980B9C">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目测</w:t>
            </w:r>
          </w:p>
        </w:tc>
        <w:tc>
          <w:tcPr>
            <w:tcW w:w="4391" w:type="dxa"/>
            <w:vAlign w:val="center"/>
          </w:tcPr>
          <w:p w14:paraId="4942BC02">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箱变/环网柜外观：柜体无锈蚀变形、密封良好、门锁完好，基础无沉降开裂</w:t>
            </w:r>
          </w:p>
        </w:tc>
        <w:tc>
          <w:tcPr>
            <w:tcW w:w="1377" w:type="dxa"/>
            <w:vAlign w:val="center"/>
          </w:tcPr>
          <w:p w14:paraId="09651544">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季度/次</w:t>
            </w:r>
          </w:p>
        </w:tc>
      </w:tr>
      <w:tr w14:paraId="165B8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758" w:type="dxa"/>
            <w:vAlign w:val="center"/>
          </w:tcPr>
          <w:p w14:paraId="5125C6D6">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清洁除尘</w:t>
            </w:r>
          </w:p>
        </w:tc>
        <w:tc>
          <w:tcPr>
            <w:tcW w:w="1745" w:type="dxa"/>
            <w:vAlign w:val="center"/>
          </w:tcPr>
          <w:p w14:paraId="42C41AB2">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目测</w:t>
            </w:r>
          </w:p>
        </w:tc>
        <w:tc>
          <w:tcPr>
            <w:tcW w:w="4391" w:type="dxa"/>
            <w:vAlign w:val="center"/>
          </w:tcPr>
          <w:p w14:paraId="75DFFCBB">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高压舱、低压舱柜体表面灰尘擦拭，变压器舱吸尘器除尘</w:t>
            </w:r>
          </w:p>
        </w:tc>
        <w:tc>
          <w:tcPr>
            <w:tcW w:w="1377" w:type="dxa"/>
            <w:vAlign w:val="center"/>
          </w:tcPr>
          <w:p w14:paraId="3F4A809F">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半年度/次</w:t>
            </w:r>
          </w:p>
        </w:tc>
      </w:tr>
      <w:tr w14:paraId="69DC7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8" w:type="dxa"/>
            <w:vAlign w:val="center"/>
          </w:tcPr>
          <w:p w14:paraId="13727046">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润滑与紧固</w:t>
            </w:r>
          </w:p>
        </w:tc>
        <w:tc>
          <w:tcPr>
            <w:tcW w:w="1745" w:type="dxa"/>
            <w:vAlign w:val="center"/>
          </w:tcPr>
          <w:p w14:paraId="3D63FBD3">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目测</w:t>
            </w:r>
          </w:p>
        </w:tc>
        <w:tc>
          <w:tcPr>
            <w:tcW w:w="4391" w:type="dxa"/>
            <w:vAlign w:val="center"/>
          </w:tcPr>
          <w:p w14:paraId="61F5533E">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对开关操作机构涂抹通用锂基润滑脂；复紧所有端子排螺栓</w:t>
            </w:r>
          </w:p>
        </w:tc>
        <w:tc>
          <w:tcPr>
            <w:tcW w:w="1377" w:type="dxa"/>
            <w:vAlign w:val="center"/>
          </w:tcPr>
          <w:p w14:paraId="32701F99">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半年度/次</w:t>
            </w:r>
          </w:p>
        </w:tc>
      </w:tr>
      <w:tr w14:paraId="436C2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8" w:type="dxa"/>
            <w:vAlign w:val="center"/>
          </w:tcPr>
          <w:p w14:paraId="3BAC33DC">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b w:val="0"/>
                <w:bCs/>
                <w:i w:val="0"/>
                <w:color w:val="auto"/>
                <w:kern w:val="0"/>
                <w:sz w:val="21"/>
                <w:szCs w:val="21"/>
                <w:highlight w:val="none"/>
                <w:u w:val="none"/>
                <w:lang w:val="en-US" w:eastAsia="zh-CN" w:bidi="ar"/>
              </w:rPr>
              <w:t>电站周围杂草清除</w:t>
            </w:r>
          </w:p>
        </w:tc>
        <w:tc>
          <w:tcPr>
            <w:tcW w:w="1745" w:type="dxa"/>
            <w:vAlign w:val="center"/>
          </w:tcPr>
          <w:p w14:paraId="3B957640">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目测</w:t>
            </w:r>
          </w:p>
        </w:tc>
        <w:tc>
          <w:tcPr>
            <w:tcW w:w="4391" w:type="dxa"/>
            <w:vAlign w:val="center"/>
          </w:tcPr>
          <w:p w14:paraId="2AA2D7BB">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杂草清除</w:t>
            </w:r>
          </w:p>
        </w:tc>
        <w:tc>
          <w:tcPr>
            <w:tcW w:w="1377" w:type="dxa"/>
            <w:vAlign w:val="center"/>
          </w:tcPr>
          <w:p w14:paraId="6ADF82F1">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季度/次</w:t>
            </w:r>
          </w:p>
        </w:tc>
      </w:tr>
    </w:tbl>
    <w:p w14:paraId="6EEF4283">
      <w:pPr>
        <w:kinsoku/>
        <w:overflowPunct/>
        <w:bidi w:val="0"/>
        <w:spacing w:line="360" w:lineRule="auto"/>
        <w:ind w:left="0" w:leftChars="0" w:right="0" w:rightChars="0" w:firstLine="43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变压器本体检查</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7"/>
        <w:gridCol w:w="2414"/>
        <w:gridCol w:w="3940"/>
        <w:gridCol w:w="1337"/>
      </w:tblGrid>
      <w:tr w14:paraId="77FE6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vAlign w:val="center"/>
          </w:tcPr>
          <w:p w14:paraId="550610A0">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检查项目</w:t>
            </w:r>
          </w:p>
        </w:tc>
        <w:tc>
          <w:tcPr>
            <w:tcW w:w="2414" w:type="dxa"/>
            <w:vAlign w:val="center"/>
          </w:tcPr>
          <w:p w14:paraId="02644766">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检查方法</w:t>
            </w:r>
          </w:p>
        </w:tc>
        <w:tc>
          <w:tcPr>
            <w:tcW w:w="3940" w:type="dxa"/>
            <w:vAlign w:val="center"/>
          </w:tcPr>
          <w:p w14:paraId="06274804">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标准</w:t>
            </w:r>
          </w:p>
        </w:tc>
        <w:tc>
          <w:tcPr>
            <w:tcW w:w="1337" w:type="dxa"/>
            <w:vAlign w:val="center"/>
          </w:tcPr>
          <w:p w14:paraId="76477937">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检查频次</w:t>
            </w:r>
          </w:p>
        </w:tc>
      </w:tr>
      <w:tr w14:paraId="2B511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vAlign w:val="center"/>
          </w:tcPr>
          <w:p w14:paraId="60FB1F67">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外观与渗漏</w:t>
            </w:r>
          </w:p>
        </w:tc>
        <w:tc>
          <w:tcPr>
            <w:tcW w:w="2414" w:type="dxa"/>
            <w:vAlign w:val="center"/>
          </w:tcPr>
          <w:p w14:paraId="208CC3E4">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目视检查、红外测温</w:t>
            </w:r>
          </w:p>
        </w:tc>
        <w:tc>
          <w:tcPr>
            <w:tcW w:w="3940" w:type="dxa"/>
            <w:vAlign w:val="center"/>
          </w:tcPr>
          <w:p w14:paraId="1608CF55">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无变形、锈蚀；油位正常（油枕上下限之间）；无渗漏油、放电痕迹</w:t>
            </w:r>
          </w:p>
        </w:tc>
        <w:tc>
          <w:tcPr>
            <w:tcW w:w="1337" w:type="dxa"/>
            <w:vAlign w:val="center"/>
          </w:tcPr>
          <w:p w14:paraId="03783D5C">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季度/次</w:t>
            </w:r>
          </w:p>
        </w:tc>
      </w:tr>
      <w:tr w14:paraId="68368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vAlign w:val="center"/>
          </w:tcPr>
          <w:p w14:paraId="154AAF37">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温度与振动</w:t>
            </w:r>
          </w:p>
        </w:tc>
        <w:tc>
          <w:tcPr>
            <w:tcW w:w="2414" w:type="dxa"/>
            <w:vAlign w:val="center"/>
          </w:tcPr>
          <w:p w14:paraId="447FEEA2">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红外测温仪、振动仪</w:t>
            </w:r>
          </w:p>
        </w:tc>
        <w:tc>
          <w:tcPr>
            <w:tcW w:w="3940" w:type="dxa"/>
            <w:vAlign w:val="center"/>
          </w:tcPr>
          <w:p w14:paraId="76D69639">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顶层油温≤85℃；振动值≤4.5mm/s</w:t>
            </w:r>
          </w:p>
        </w:tc>
        <w:tc>
          <w:tcPr>
            <w:tcW w:w="1337" w:type="dxa"/>
            <w:vAlign w:val="center"/>
          </w:tcPr>
          <w:p w14:paraId="4654592F">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季度/次</w:t>
            </w:r>
          </w:p>
        </w:tc>
      </w:tr>
      <w:tr w14:paraId="21A0E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vAlign w:val="center"/>
          </w:tcPr>
          <w:p w14:paraId="55B79F60">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套管与散热装置</w:t>
            </w:r>
          </w:p>
        </w:tc>
        <w:tc>
          <w:tcPr>
            <w:tcW w:w="2414" w:type="dxa"/>
            <w:vAlign w:val="center"/>
          </w:tcPr>
          <w:p w14:paraId="5F00C4A1">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目视、红外测温</w:t>
            </w:r>
          </w:p>
        </w:tc>
        <w:tc>
          <w:tcPr>
            <w:tcW w:w="3940" w:type="dxa"/>
            <w:vAlign w:val="center"/>
          </w:tcPr>
          <w:p w14:paraId="19833272">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套管无裂纹；散热风扇运行正常，无堵塞；避雷器无破损、放电痕迹；</w:t>
            </w:r>
          </w:p>
        </w:tc>
        <w:tc>
          <w:tcPr>
            <w:tcW w:w="1337" w:type="dxa"/>
            <w:vAlign w:val="center"/>
          </w:tcPr>
          <w:p w14:paraId="2EE4AC24">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季度/次</w:t>
            </w:r>
          </w:p>
        </w:tc>
      </w:tr>
      <w:tr w14:paraId="549F6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vAlign w:val="center"/>
          </w:tcPr>
          <w:p w14:paraId="6265FFF1">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安全附件</w:t>
            </w:r>
          </w:p>
        </w:tc>
        <w:tc>
          <w:tcPr>
            <w:tcW w:w="2414" w:type="dxa"/>
            <w:vAlign w:val="center"/>
          </w:tcPr>
          <w:p w14:paraId="3444176B">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目视</w:t>
            </w:r>
          </w:p>
        </w:tc>
        <w:tc>
          <w:tcPr>
            <w:tcW w:w="3940" w:type="dxa"/>
            <w:vAlign w:val="center"/>
          </w:tcPr>
          <w:p w14:paraId="791809B5">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压力释放无喷油痕迹，瓦斯继电器无气体积聚，铭牌参数清晰完整</w:t>
            </w:r>
          </w:p>
        </w:tc>
        <w:tc>
          <w:tcPr>
            <w:tcW w:w="1337" w:type="dxa"/>
            <w:vAlign w:val="center"/>
          </w:tcPr>
          <w:p w14:paraId="0D3683E4">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季度/次</w:t>
            </w:r>
          </w:p>
        </w:tc>
      </w:tr>
    </w:tbl>
    <w:p w14:paraId="22B0853C">
      <w:pPr>
        <w:kinsoku/>
        <w:overflowPunct/>
        <w:bidi w:val="0"/>
        <w:spacing w:line="360" w:lineRule="auto"/>
        <w:ind w:left="0" w:leftChars="0" w:right="0" w:rightChars="0" w:firstLine="43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高压侧设备巡检（10kV/35kV）</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6"/>
        <w:gridCol w:w="2267"/>
        <w:gridCol w:w="3813"/>
        <w:gridCol w:w="1492"/>
      </w:tblGrid>
      <w:tr w14:paraId="51CCC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vAlign w:val="center"/>
          </w:tcPr>
          <w:p w14:paraId="4F724685">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检查项目</w:t>
            </w:r>
          </w:p>
        </w:tc>
        <w:tc>
          <w:tcPr>
            <w:tcW w:w="2267" w:type="dxa"/>
            <w:vAlign w:val="center"/>
          </w:tcPr>
          <w:p w14:paraId="3741D9C7">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检查方法</w:t>
            </w:r>
          </w:p>
        </w:tc>
        <w:tc>
          <w:tcPr>
            <w:tcW w:w="3813" w:type="dxa"/>
            <w:vAlign w:val="center"/>
          </w:tcPr>
          <w:p w14:paraId="476B435F">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标准</w:t>
            </w:r>
          </w:p>
        </w:tc>
        <w:tc>
          <w:tcPr>
            <w:tcW w:w="1492" w:type="dxa"/>
            <w:vAlign w:val="center"/>
          </w:tcPr>
          <w:p w14:paraId="587C5716">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检查频次</w:t>
            </w:r>
          </w:p>
        </w:tc>
      </w:tr>
      <w:tr w14:paraId="4D6A6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vAlign w:val="center"/>
          </w:tcPr>
          <w:p w14:paraId="354C23E1">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rPr>
              <w:t>高压负荷开关</w:t>
            </w:r>
            <w:r>
              <w:rPr>
                <w:rFonts w:hint="eastAsia" w:ascii="宋体" w:hAnsi="宋体" w:eastAsia="宋体" w:cs="宋体"/>
                <w:color w:val="auto"/>
                <w:sz w:val="21"/>
                <w:szCs w:val="21"/>
                <w:highlight w:val="none"/>
                <w:vertAlign w:val="baseline"/>
                <w:lang w:val="en-US" w:eastAsia="zh-CN"/>
              </w:rPr>
              <w:t>/断路器</w:t>
            </w:r>
          </w:p>
        </w:tc>
        <w:tc>
          <w:tcPr>
            <w:tcW w:w="2267" w:type="dxa"/>
            <w:vAlign w:val="center"/>
          </w:tcPr>
          <w:p w14:paraId="0430F453">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操作机构测试、目视检查</w:t>
            </w:r>
          </w:p>
        </w:tc>
        <w:tc>
          <w:tcPr>
            <w:tcW w:w="3813" w:type="dxa"/>
            <w:vAlign w:val="center"/>
          </w:tcPr>
          <w:p w14:paraId="70A16952">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分合指示正确；触头无烧蚀；操作灵活无卡涩；气压表显示在正常范围</w:t>
            </w:r>
          </w:p>
        </w:tc>
        <w:tc>
          <w:tcPr>
            <w:tcW w:w="1492" w:type="dxa"/>
            <w:vAlign w:val="center"/>
          </w:tcPr>
          <w:p w14:paraId="3C5A9061">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季度/次</w:t>
            </w:r>
          </w:p>
        </w:tc>
      </w:tr>
      <w:tr w14:paraId="5A3D4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vAlign w:val="center"/>
          </w:tcPr>
          <w:p w14:paraId="6F762D65">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避雷器</w:t>
            </w:r>
          </w:p>
        </w:tc>
        <w:tc>
          <w:tcPr>
            <w:tcW w:w="2267" w:type="dxa"/>
            <w:vAlign w:val="center"/>
          </w:tcPr>
          <w:p w14:paraId="20AB671F">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泄漏电流测试仪</w:t>
            </w:r>
          </w:p>
        </w:tc>
        <w:tc>
          <w:tcPr>
            <w:tcW w:w="3813" w:type="dxa"/>
            <w:vAlign w:val="center"/>
          </w:tcPr>
          <w:p w14:paraId="11511A13">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泄漏电流≤50μA；接地电阻≤4Ω</w:t>
            </w:r>
          </w:p>
        </w:tc>
        <w:tc>
          <w:tcPr>
            <w:tcW w:w="1492" w:type="dxa"/>
            <w:vAlign w:val="center"/>
          </w:tcPr>
          <w:p w14:paraId="094CCD9A">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季度/次</w:t>
            </w:r>
          </w:p>
        </w:tc>
      </w:tr>
      <w:tr w14:paraId="30C11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vAlign w:val="center"/>
          </w:tcPr>
          <w:p w14:paraId="65F26DC9">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高压电缆</w:t>
            </w:r>
          </w:p>
        </w:tc>
        <w:tc>
          <w:tcPr>
            <w:tcW w:w="2267" w:type="dxa"/>
            <w:vAlign w:val="center"/>
          </w:tcPr>
          <w:p w14:paraId="44363C4C">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红外测温、外观检查</w:t>
            </w:r>
          </w:p>
        </w:tc>
        <w:tc>
          <w:tcPr>
            <w:tcW w:w="3813" w:type="dxa"/>
            <w:vAlign w:val="center"/>
          </w:tcPr>
          <w:p w14:paraId="5EAD646E">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表皮无破损；接头温度≤70℃</w:t>
            </w:r>
          </w:p>
        </w:tc>
        <w:tc>
          <w:tcPr>
            <w:tcW w:w="1492" w:type="dxa"/>
            <w:vAlign w:val="center"/>
          </w:tcPr>
          <w:p w14:paraId="5F798FE6">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季度/次</w:t>
            </w:r>
          </w:p>
        </w:tc>
      </w:tr>
    </w:tbl>
    <w:p w14:paraId="79ECF558">
      <w:pPr>
        <w:kinsoku/>
        <w:overflowPunct/>
        <w:bidi w:val="0"/>
        <w:spacing w:line="360" w:lineRule="auto"/>
        <w:ind w:left="0" w:leftChars="0" w:right="0" w:rightChars="0" w:firstLine="43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低压侧设备巡检（0.4kV）</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0"/>
        <w:gridCol w:w="2108"/>
        <w:gridCol w:w="3958"/>
        <w:gridCol w:w="1437"/>
      </w:tblGrid>
      <w:tr w14:paraId="71178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Align w:val="center"/>
          </w:tcPr>
          <w:p w14:paraId="7A7A592A">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检查项目</w:t>
            </w:r>
          </w:p>
        </w:tc>
        <w:tc>
          <w:tcPr>
            <w:tcW w:w="2108" w:type="dxa"/>
            <w:vAlign w:val="center"/>
          </w:tcPr>
          <w:p w14:paraId="14F4DE3B">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检查方法</w:t>
            </w:r>
          </w:p>
        </w:tc>
        <w:tc>
          <w:tcPr>
            <w:tcW w:w="3958" w:type="dxa"/>
            <w:vAlign w:val="center"/>
          </w:tcPr>
          <w:p w14:paraId="0F13C50B">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标准</w:t>
            </w:r>
          </w:p>
        </w:tc>
        <w:tc>
          <w:tcPr>
            <w:tcW w:w="1437" w:type="dxa"/>
            <w:vAlign w:val="center"/>
          </w:tcPr>
          <w:p w14:paraId="1AB9D13C">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检查频次</w:t>
            </w:r>
          </w:p>
        </w:tc>
      </w:tr>
      <w:tr w14:paraId="0F48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Align w:val="center"/>
          </w:tcPr>
          <w:p w14:paraId="08B09348">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低压断路器</w:t>
            </w:r>
          </w:p>
        </w:tc>
        <w:tc>
          <w:tcPr>
            <w:tcW w:w="2108" w:type="dxa"/>
            <w:vAlign w:val="center"/>
          </w:tcPr>
          <w:p w14:paraId="20D3B82C">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触头温度测试、机械特性测试</w:t>
            </w:r>
          </w:p>
        </w:tc>
        <w:tc>
          <w:tcPr>
            <w:tcW w:w="3958" w:type="dxa"/>
            <w:vAlign w:val="center"/>
          </w:tcPr>
          <w:p w14:paraId="7CF1B262">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触头温度≤70℃；分合闸时间符合厂家参数</w:t>
            </w:r>
          </w:p>
        </w:tc>
        <w:tc>
          <w:tcPr>
            <w:tcW w:w="1437" w:type="dxa"/>
            <w:vAlign w:val="center"/>
          </w:tcPr>
          <w:p w14:paraId="312069D7">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季度/次</w:t>
            </w:r>
          </w:p>
        </w:tc>
      </w:tr>
      <w:tr w14:paraId="7113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Align w:val="center"/>
          </w:tcPr>
          <w:p w14:paraId="72151820">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母线排与电缆</w:t>
            </w:r>
          </w:p>
        </w:tc>
        <w:tc>
          <w:tcPr>
            <w:tcW w:w="2108" w:type="dxa"/>
            <w:vAlign w:val="center"/>
          </w:tcPr>
          <w:p w14:paraId="3153B585">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红外测温、力矩扳手检查</w:t>
            </w:r>
          </w:p>
        </w:tc>
        <w:tc>
          <w:tcPr>
            <w:tcW w:w="3958" w:type="dxa"/>
            <w:vAlign w:val="center"/>
          </w:tcPr>
          <w:p w14:paraId="77580818">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母线温度≤70℃；螺栓紧固力矩符合标准</w:t>
            </w:r>
          </w:p>
        </w:tc>
        <w:tc>
          <w:tcPr>
            <w:tcW w:w="1437" w:type="dxa"/>
            <w:vAlign w:val="center"/>
          </w:tcPr>
          <w:p w14:paraId="2ED0CE42">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季度/次</w:t>
            </w:r>
          </w:p>
        </w:tc>
      </w:tr>
      <w:tr w14:paraId="618B7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Align w:val="center"/>
          </w:tcPr>
          <w:p w14:paraId="1D81C94F">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电容器补偿装置</w:t>
            </w:r>
          </w:p>
        </w:tc>
        <w:tc>
          <w:tcPr>
            <w:tcW w:w="2108" w:type="dxa"/>
            <w:vAlign w:val="center"/>
          </w:tcPr>
          <w:p w14:paraId="39049486">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红外测温、外观检查</w:t>
            </w:r>
          </w:p>
        </w:tc>
        <w:tc>
          <w:tcPr>
            <w:tcW w:w="3958" w:type="dxa"/>
            <w:vAlign w:val="center"/>
          </w:tcPr>
          <w:p w14:paraId="565A8104">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电容值偏差≤±5%；无鼓包、渗油</w:t>
            </w:r>
          </w:p>
        </w:tc>
        <w:tc>
          <w:tcPr>
            <w:tcW w:w="1437" w:type="dxa"/>
            <w:vAlign w:val="center"/>
          </w:tcPr>
          <w:p w14:paraId="4F9FF375">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季度/次</w:t>
            </w:r>
          </w:p>
        </w:tc>
      </w:tr>
    </w:tbl>
    <w:p w14:paraId="35C767FC">
      <w:pPr>
        <w:kinsoku/>
        <w:overflowPunct/>
        <w:bidi w:val="0"/>
        <w:spacing w:line="360" w:lineRule="auto"/>
        <w:ind w:left="0" w:leftChars="0" w:right="0" w:rightChars="0" w:firstLine="43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一二次设备巡检</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0"/>
        <w:gridCol w:w="2108"/>
        <w:gridCol w:w="3971"/>
        <w:gridCol w:w="1411"/>
      </w:tblGrid>
      <w:tr w14:paraId="47701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Align w:val="center"/>
          </w:tcPr>
          <w:p w14:paraId="64AC1E2A">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检查项目</w:t>
            </w:r>
          </w:p>
        </w:tc>
        <w:tc>
          <w:tcPr>
            <w:tcW w:w="2108" w:type="dxa"/>
            <w:vAlign w:val="center"/>
          </w:tcPr>
          <w:p w14:paraId="0298DD11">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检查方法</w:t>
            </w:r>
          </w:p>
        </w:tc>
        <w:tc>
          <w:tcPr>
            <w:tcW w:w="3971" w:type="dxa"/>
            <w:vAlign w:val="center"/>
          </w:tcPr>
          <w:p w14:paraId="666E69F5">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标准</w:t>
            </w:r>
          </w:p>
        </w:tc>
        <w:tc>
          <w:tcPr>
            <w:tcW w:w="1411" w:type="dxa"/>
            <w:vAlign w:val="center"/>
          </w:tcPr>
          <w:p w14:paraId="08726942">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检查频次</w:t>
            </w:r>
          </w:p>
        </w:tc>
      </w:tr>
      <w:tr w14:paraId="122F3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Align w:val="center"/>
          </w:tcPr>
          <w:p w14:paraId="41C89032">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二次回路接线</w:t>
            </w:r>
          </w:p>
        </w:tc>
        <w:tc>
          <w:tcPr>
            <w:tcW w:w="2108" w:type="dxa"/>
            <w:vAlign w:val="center"/>
          </w:tcPr>
          <w:p w14:paraId="490E42AD">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导通测试、端子排检查</w:t>
            </w:r>
          </w:p>
        </w:tc>
        <w:tc>
          <w:tcPr>
            <w:tcW w:w="3971" w:type="dxa"/>
            <w:vAlign w:val="center"/>
          </w:tcPr>
          <w:p w14:paraId="5DC0A3D9">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无松动、氧化；标识清晰</w:t>
            </w:r>
          </w:p>
        </w:tc>
        <w:tc>
          <w:tcPr>
            <w:tcW w:w="1411" w:type="dxa"/>
            <w:vAlign w:val="center"/>
          </w:tcPr>
          <w:p w14:paraId="5BB0CC23">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季度/次</w:t>
            </w:r>
          </w:p>
        </w:tc>
      </w:tr>
      <w:tr w14:paraId="40F6B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Align w:val="center"/>
          </w:tcPr>
          <w:p w14:paraId="60684E01">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继电保护装置</w:t>
            </w:r>
          </w:p>
        </w:tc>
        <w:tc>
          <w:tcPr>
            <w:tcW w:w="2108" w:type="dxa"/>
            <w:vAlign w:val="center"/>
          </w:tcPr>
          <w:p w14:paraId="2847CDC9">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定值核对、功能测试</w:t>
            </w:r>
          </w:p>
        </w:tc>
        <w:tc>
          <w:tcPr>
            <w:tcW w:w="3971" w:type="dxa"/>
            <w:vAlign w:val="center"/>
          </w:tcPr>
          <w:p w14:paraId="5D5EDA96">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定值与调度一致；保护动作逻辑正确</w:t>
            </w:r>
          </w:p>
        </w:tc>
        <w:tc>
          <w:tcPr>
            <w:tcW w:w="1411" w:type="dxa"/>
            <w:vAlign w:val="center"/>
          </w:tcPr>
          <w:p w14:paraId="0EDB3EED">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季度/次</w:t>
            </w:r>
          </w:p>
        </w:tc>
      </w:tr>
      <w:tr w14:paraId="24CE5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Align w:val="center"/>
          </w:tcPr>
          <w:p w14:paraId="069DE525">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监控系统</w:t>
            </w:r>
          </w:p>
        </w:tc>
        <w:tc>
          <w:tcPr>
            <w:tcW w:w="2108" w:type="dxa"/>
            <w:vAlign w:val="center"/>
          </w:tcPr>
          <w:p w14:paraId="5C28244C">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数据对比、通信测试</w:t>
            </w:r>
          </w:p>
        </w:tc>
        <w:tc>
          <w:tcPr>
            <w:tcW w:w="3971" w:type="dxa"/>
            <w:vAlign w:val="center"/>
          </w:tcPr>
          <w:p w14:paraId="30279682">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电压/电流数据误差≤1%；通信无中断</w:t>
            </w:r>
          </w:p>
        </w:tc>
        <w:tc>
          <w:tcPr>
            <w:tcW w:w="1411" w:type="dxa"/>
            <w:vAlign w:val="center"/>
          </w:tcPr>
          <w:p w14:paraId="76EA8826">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季度/次</w:t>
            </w:r>
          </w:p>
        </w:tc>
      </w:tr>
    </w:tbl>
    <w:p w14:paraId="38F6799B">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360" w:lineRule="auto"/>
        <w:ind w:left="0" w:leftChars="0" w:right="0" w:rightChars="0" w:firstLine="435"/>
        <w:rPr>
          <w:rFonts w:ascii="宋体" w:hAnsi="宋体"/>
          <w:color w:val="auto"/>
          <w:sz w:val="21"/>
          <w:szCs w:val="21"/>
          <w:highlight w:val="none"/>
        </w:rPr>
      </w:pPr>
      <w:r>
        <w:rPr>
          <w:rFonts w:hint="default" w:ascii="宋体" w:hAnsi="宋体" w:cs="Times New Roman"/>
          <w:b w:val="0"/>
          <w:bCs w:val="0"/>
          <w:color w:val="auto"/>
          <w:sz w:val="21"/>
          <w:szCs w:val="21"/>
          <w:highlight w:val="none"/>
          <w:lang w:val="en-US" w:eastAsia="zh-CN"/>
        </w:rPr>
        <w:t>注：</w:t>
      </w:r>
      <w:r>
        <w:rPr>
          <w:rFonts w:ascii="宋体" w:hAnsi="宋体" w:eastAsia="宋体" w:cs="Times New Roman"/>
          <w:i w:val="0"/>
          <w:iCs w:val="0"/>
          <w:caps w:val="0"/>
          <w:color w:val="auto"/>
          <w:spacing w:val="0"/>
          <w:sz w:val="21"/>
          <w:szCs w:val="21"/>
          <w:highlight w:val="none"/>
          <w:shd w:val="clear"/>
        </w:rPr>
        <w:t>以上标准需满足国家、行业发布的现行规范及技术规程。</w:t>
      </w:r>
    </w:p>
    <w:p w14:paraId="0DD857D9">
      <w:pPr>
        <w:kinsoku/>
        <w:overflowPunct/>
        <w:bidi w:val="0"/>
        <w:spacing w:line="360" w:lineRule="auto"/>
        <w:ind w:left="0" w:leftChars="0" w:right="0" w:rightChars="0"/>
        <w:rPr>
          <w:rFonts w:hint="eastAsia" w:ascii="宋体" w:hAnsi="宋体" w:eastAsia="宋体" w:cs="Times New Roman"/>
          <w:b/>
          <w:bCs/>
          <w:color w:val="auto"/>
          <w:sz w:val="21"/>
          <w:szCs w:val="21"/>
          <w:highlight w:val="none"/>
          <w:lang w:val="en-US" w:eastAsia="zh-CN"/>
        </w:rPr>
      </w:pPr>
      <w:r>
        <w:rPr>
          <w:rFonts w:hint="eastAsia" w:ascii="宋体" w:hAnsi="宋体" w:cs="Times New Roman"/>
          <w:b/>
          <w:bCs/>
          <w:color w:val="auto"/>
          <w:sz w:val="21"/>
          <w:szCs w:val="21"/>
          <w:highlight w:val="none"/>
          <w:lang w:val="en-US" w:eastAsia="zh-CN"/>
        </w:rPr>
        <w:t>2、</w:t>
      </w:r>
      <w:r>
        <w:rPr>
          <w:rFonts w:hint="eastAsia" w:ascii="宋体" w:hAnsi="宋体" w:eastAsia="宋体" w:cs="Times New Roman"/>
          <w:b/>
          <w:bCs/>
          <w:color w:val="auto"/>
          <w:sz w:val="21"/>
          <w:szCs w:val="21"/>
          <w:highlight w:val="none"/>
          <w:lang w:val="en-US" w:eastAsia="zh-CN"/>
        </w:rPr>
        <w:t>预防性试验服务</w:t>
      </w:r>
    </w:p>
    <w:p w14:paraId="0762B6BC">
      <w:pPr>
        <w:kinsoku/>
        <w:overflowPunct/>
        <w:bidi w:val="0"/>
        <w:spacing w:line="360" w:lineRule="auto"/>
        <w:ind w:left="0" w:leftChars="0" w:right="0" w:rightChars="0" w:firstLine="435"/>
        <w:rPr>
          <w:rFonts w:hint="eastAsia" w:ascii="宋体" w:hAnsi="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按照《箱式变电站（箱变）运行检查与维护规范》执行，每年开展1次预防性试验，</w:t>
      </w:r>
      <w:r>
        <w:rPr>
          <w:rFonts w:hint="default" w:ascii="宋体" w:hAnsi="宋体" w:eastAsia="宋体" w:cs="Times New Roman"/>
          <w:color w:val="auto"/>
          <w:sz w:val="21"/>
          <w:szCs w:val="21"/>
          <w:highlight w:val="none"/>
          <w:lang w:val="en-US" w:eastAsia="zh-CN"/>
        </w:rPr>
        <w:t>服务中，若仅涉及人工、普通工具及低值耗材，且总费用在人民币</w:t>
      </w:r>
      <w:r>
        <w:rPr>
          <w:rFonts w:hint="eastAsia" w:ascii="宋体" w:hAnsi="宋体" w:eastAsia="宋体" w:cs="Times New Roman"/>
          <w:color w:val="auto"/>
          <w:sz w:val="21"/>
          <w:szCs w:val="21"/>
          <w:highlight w:val="none"/>
          <w:lang w:val="en-US" w:eastAsia="zh-CN"/>
        </w:rPr>
        <w:t>2</w:t>
      </w:r>
      <w:r>
        <w:rPr>
          <w:rFonts w:hint="default" w:ascii="宋体" w:hAnsi="宋体" w:eastAsia="宋体" w:cs="Times New Roman"/>
          <w:color w:val="auto"/>
          <w:sz w:val="21"/>
          <w:szCs w:val="21"/>
          <w:highlight w:val="none"/>
          <w:lang w:val="en-US" w:eastAsia="zh-CN"/>
        </w:rPr>
        <w:t>000元（含）以下，由</w:t>
      </w:r>
      <w:r>
        <w:rPr>
          <w:rFonts w:hint="eastAsia" w:ascii="宋体" w:hAnsi="宋体" w:cs="Times New Roman"/>
          <w:color w:val="auto"/>
          <w:sz w:val="21"/>
          <w:szCs w:val="21"/>
          <w:highlight w:val="none"/>
          <w:lang w:val="en-US" w:eastAsia="zh-CN"/>
        </w:rPr>
        <w:t>中标单位</w:t>
      </w:r>
      <w:r>
        <w:rPr>
          <w:rFonts w:hint="default" w:ascii="宋体" w:hAnsi="宋体" w:eastAsia="宋体" w:cs="Times New Roman"/>
          <w:color w:val="auto"/>
          <w:sz w:val="21"/>
          <w:szCs w:val="21"/>
          <w:highlight w:val="none"/>
          <w:lang w:val="en-US" w:eastAsia="zh-CN"/>
        </w:rPr>
        <w:t>承担。</w:t>
      </w:r>
      <w:r>
        <w:rPr>
          <w:rFonts w:hint="eastAsia" w:ascii="宋体" w:hAnsi="宋体" w:eastAsia="宋体" w:cs="Times New Roman"/>
          <w:color w:val="auto"/>
          <w:sz w:val="21"/>
          <w:szCs w:val="21"/>
          <w:highlight w:val="none"/>
          <w:lang w:val="en-US" w:eastAsia="zh-CN"/>
        </w:rPr>
        <w:t>超出人民币 2000元，设备更换的，主要材料及设备由</w:t>
      </w:r>
      <w:r>
        <w:rPr>
          <w:rFonts w:hint="eastAsia" w:ascii="宋体" w:hAnsi="宋体" w:cs="Times New Roman"/>
          <w:color w:val="auto"/>
          <w:sz w:val="21"/>
          <w:szCs w:val="21"/>
          <w:highlight w:val="none"/>
          <w:lang w:val="en-US" w:eastAsia="zh-CN"/>
        </w:rPr>
        <w:t>招标人</w:t>
      </w:r>
      <w:r>
        <w:rPr>
          <w:rFonts w:hint="eastAsia" w:ascii="宋体" w:hAnsi="宋体" w:eastAsia="宋体" w:cs="Times New Roman"/>
          <w:color w:val="auto"/>
          <w:sz w:val="21"/>
          <w:szCs w:val="21"/>
          <w:highlight w:val="none"/>
          <w:lang w:val="en-US" w:eastAsia="zh-CN"/>
        </w:rPr>
        <w:t>提供。本项目所有人工服务费用含在综合报价中。</w:t>
      </w:r>
    </w:p>
    <w:p w14:paraId="3DCD5DDD">
      <w:pPr>
        <w:kinsoku/>
        <w:overflowPunct/>
        <w:bidi w:val="0"/>
        <w:spacing w:line="360" w:lineRule="auto"/>
        <w:ind w:left="0" w:leftChars="0" w:right="0" w:rightChars="0" w:firstLine="435"/>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内容包括但不限于：</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1504"/>
        <w:gridCol w:w="1908"/>
        <w:gridCol w:w="2204"/>
        <w:gridCol w:w="1909"/>
      </w:tblGrid>
      <w:tr w14:paraId="214D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vAlign w:val="center"/>
          </w:tcPr>
          <w:p w14:paraId="240ADB37">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实验</w:t>
            </w:r>
            <w:r>
              <w:rPr>
                <w:rFonts w:hint="eastAsia" w:ascii="宋体" w:hAnsi="宋体" w:eastAsia="宋体" w:cs="宋体"/>
                <w:color w:val="auto"/>
                <w:sz w:val="21"/>
                <w:szCs w:val="21"/>
                <w:highlight w:val="none"/>
                <w:vertAlign w:val="baseline"/>
              </w:rPr>
              <w:t>类别</w:t>
            </w:r>
          </w:p>
        </w:tc>
        <w:tc>
          <w:tcPr>
            <w:tcW w:w="1504" w:type="dxa"/>
            <w:vAlign w:val="center"/>
          </w:tcPr>
          <w:p w14:paraId="1B8BE443">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试验项目</w:t>
            </w:r>
          </w:p>
        </w:tc>
        <w:tc>
          <w:tcPr>
            <w:tcW w:w="1908" w:type="dxa"/>
            <w:vAlign w:val="center"/>
          </w:tcPr>
          <w:p w14:paraId="3DAAE193">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试验方法</w:t>
            </w:r>
          </w:p>
        </w:tc>
        <w:tc>
          <w:tcPr>
            <w:tcW w:w="2204" w:type="dxa"/>
            <w:vAlign w:val="center"/>
          </w:tcPr>
          <w:p w14:paraId="5ADE9B67">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标准要求</w:t>
            </w:r>
          </w:p>
        </w:tc>
        <w:tc>
          <w:tcPr>
            <w:tcW w:w="1909" w:type="dxa"/>
            <w:vAlign w:val="center"/>
          </w:tcPr>
          <w:p w14:paraId="720F30D9">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检查频次</w:t>
            </w:r>
          </w:p>
        </w:tc>
      </w:tr>
      <w:tr w14:paraId="5BBCF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vMerge w:val="restart"/>
            <w:vAlign w:val="center"/>
          </w:tcPr>
          <w:p w14:paraId="66C702BF">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变压器</w:t>
            </w:r>
          </w:p>
        </w:tc>
        <w:tc>
          <w:tcPr>
            <w:tcW w:w="1504" w:type="dxa"/>
            <w:vAlign w:val="center"/>
          </w:tcPr>
          <w:p w14:paraId="3379260A">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绕组绝缘电阻</w:t>
            </w:r>
          </w:p>
        </w:tc>
        <w:tc>
          <w:tcPr>
            <w:tcW w:w="1908" w:type="dxa"/>
            <w:vAlign w:val="center"/>
          </w:tcPr>
          <w:p w14:paraId="01C56424">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2500V兆欧表测量</w:t>
            </w:r>
          </w:p>
        </w:tc>
        <w:tc>
          <w:tcPr>
            <w:tcW w:w="2204" w:type="dxa"/>
            <w:vAlign w:val="center"/>
          </w:tcPr>
          <w:p w14:paraId="352DCFB9">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高压-低压≥300MΩ</w:t>
            </w:r>
          </w:p>
        </w:tc>
        <w:tc>
          <w:tcPr>
            <w:tcW w:w="1909" w:type="dxa"/>
            <w:vMerge w:val="restart"/>
            <w:vAlign w:val="center"/>
          </w:tcPr>
          <w:p w14:paraId="33FE1091">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年度/次</w:t>
            </w:r>
          </w:p>
        </w:tc>
      </w:tr>
      <w:tr w14:paraId="2248D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vMerge w:val="continue"/>
            <w:vAlign w:val="center"/>
          </w:tcPr>
          <w:p w14:paraId="74B7AB10">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p>
        </w:tc>
        <w:tc>
          <w:tcPr>
            <w:tcW w:w="1504" w:type="dxa"/>
            <w:vAlign w:val="center"/>
          </w:tcPr>
          <w:p w14:paraId="103BAF8D">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绕组直流电阻</w:t>
            </w:r>
          </w:p>
        </w:tc>
        <w:tc>
          <w:tcPr>
            <w:tcW w:w="1908" w:type="dxa"/>
            <w:vAlign w:val="center"/>
          </w:tcPr>
          <w:p w14:paraId="4A69D6A8">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直流电阻测试仪</w:t>
            </w:r>
          </w:p>
        </w:tc>
        <w:tc>
          <w:tcPr>
            <w:tcW w:w="2204" w:type="dxa"/>
            <w:vAlign w:val="center"/>
          </w:tcPr>
          <w:p w14:paraId="41DEAFA4">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直流电阻测试仪 相间偏差≤2%</w:t>
            </w:r>
          </w:p>
        </w:tc>
        <w:tc>
          <w:tcPr>
            <w:tcW w:w="1909" w:type="dxa"/>
            <w:vMerge w:val="continue"/>
            <w:vAlign w:val="center"/>
          </w:tcPr>
          <w:p w14:paraId="1A456511">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p>
        </w:tc>
      </w:tr>
      <w:tr w14:paraId="5D293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vMerge w:val="continue"/>
            <w:vAlign w:val="center"/>
          </w:tcPr>
          <w:p w14:paraId="3E9CDFAE">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p>
        </w:tc>
        <w:tc>
          <w:tcPr>
            <w:tcW w:w="1504" w:type="dxa"/>
            <w:vAlign w:val="center"/>
          </w:tcPr>
          <w:p w14:paraId="305419D3">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变比测试</w:t>
            </w:r>
          </w:p>
        </w:tc>
        <w:tc>
          <w:tcPr>
            <w:tcW w:w="1908" w:type="dxa"/>
            <w:vAlign w:val="center"/>
          </w:tcPr>
          <w:p w14:paraId="7E51FD8A">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变比组别测试仪</w:t>
            </w:r>
          </w:p>
        </w:tc>
        <w:tc>
          <w:tcPr>
            <w:tcW w:w="2204" w:type="dxa"/>
            <w:vAlign w:val="center"/>
          </w:tcPr>
          <w:p w14:paraId="50F86710">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误差≤±0.5%</w:t>
            </w:r>
          </w:p>
        </w:tc>
        <w:tc>
          <w:tcPr>
            <w:tcW w:w="1909" w:type="dxa"/>
            <w:vMerge w:val="continue"/>
            <w:vAlign w:val="center"/>
          </w:tcPr>
          <w:p w14:paraId="730A7480">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p>
        </w:tc>
      </w:tr>
      <w:tr w14:paraId="40CCA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vAlign w:val="center"/>
          </w:tcPr>
          <w:p w14:paraId="206CFE6F">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高压设备</w:t>
            </w:r>
          </w:p>
        </w:tc>
        <w:tc>
          <w:tcPr>
            <w:tcW w:w="1504" w:type="dxa"/>
            <w:vAlign w:val="center"/>
          </w:tcPr>
          <w:p w14:paraId="2A829DB3">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避雷器直流参考电压试验</w:t>
            </w:r>
          </w:p>
        </w:tc>
        <w:tc>
          <w:tcPr>
            <w:tcW w:w="1908" w:type="dxa"/>
            <w:vAlign w:val="center"/>
          </w:tcPr>
          <w:p w14:paraId="7D2D1380">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直流高压发生器</w:t>
            </w:r>
          </w:p>
        </w:tc>
        <w:tc>
          <w:tcPr>
            <w:tcW w:w="2204" w:type="dxa"/>
            <w:vAlign w:val="center"/>
          </w:tcPr>
          <w:p w14:paraId="58407685">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U1mA≥1.15倍额定电压</w:t>
            </w:r>
          </w:p>
        </w:tc>
        <w:tc>
          <w:tcPr>
            <w:tcW w:w="1909" w:type="dxa"/>
            <w:vAlign w:val="center"/>
          </w:tcPr>
          <w:p w14:paraId="0379DC47">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年度/次</w:t>
            </w:r>
          </w:p>
        </w:tc>
      </w:tr>
      <w:tr w14:paraId="5284A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vAlign w:val="center"/>
          </w:tcPr>
          <w:p w14:paraId="628B2DCC">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低压设备</w:t>
            </w:r>
          </w:p>
        </w:tc>
        <w:tc>
          <w:tcPr>
            <w:tcW w:w="1504" w:type="dxa"/>
            <w:vAlign w:val="center"/>
          </w:tcPr>
          <w:p w14:paraId="00AF84CE">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电容器容量测试</w:t>
            </w:r>
          </w:p>
        </w:tc>
        <w:tc>
          <w:tcPr>
            <w:tcW w:w="1908" w:type="dxa"/>
            <w:vAlign w:val="center"/>
          </w:tcPr>
          <w:p w14:paraId="13D9F23E">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电容表</w:t>
            </w:r>
          </w:p>
        </w:tc>
        <w:tc>
          <w:tcPr>
            <w:tcW w:w="2204" w:type="dxa"/>
            <w:vAlign w:val="center"/>
          </w:tcPr>
          <w:p w14:paraId="14F10BA5">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偏差≤±5%</w:t>
            </w:r>
          </w:p>
        </w:tc>
        <w:tc>
          <w:tcPr>
            <w:tcW w:w="1909" w:type="dxa"/>
            <w:vAlign w:val="center"/>
          </w:tcPr>
          <w:p w14:paraId="442C168D">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年度/次</w:t>
            </w:r>
          </w:p>
        </w:tc>
      </w:tr>
      <w:tr w14:paraId="08679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vAlign w:val="center"/>
          </w:tcPr>
          <w:p w14:paraId="0C80540F">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高压电缆</w:t>
            </w:r>
          </w:p>
        </w:tc>
        <w:tc>
          <w:tcPr>
            <w:tcW w:w="1504" w:type="dxa"/>
            <w:vAlign w:val="center"/>
          </w:tcPr>
          <w:p w14:paraId="5AE8DBEA">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绝缘电阻检查</w:t>
            </w:r>
          </w:p>
        </w:tc>
        <w:tc>
          <w:tcPr>
            <w:tcW w:w="1908" w:type="dxa"/>
            <w:vAlign w:val="center"/>
          </w:tcPr>
          <w:p w14:paraId="286648FA">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2500V兆欧表测量</w:t>
            </w:r>
          </w:p>
        </w:tc>
        <w:tc>
          <w:tcPr>
            <w:tcW w:w="2204" w:type="dxa"/>
            <w:vAlign w:val="center"/>
          </w:tcPr>
          <w:p w14:paraId="2FD3CA19">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绝缘电阻≥100MΩ</w:t>
            </w:r>
          </w:p>
        </w:tc>
        <w:tc>
          <w:tcPr>
            <w:tcW w:w="1909" w:type="dxa"/>
            <w:vAlign w:val="center"/>
          </w:tcPr>
          <w:p w14:paraId="2352FFF4">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年度/次</w:t>
            </w:r>
          </w:p>
        </w:tc>
      </w:tr>
      <w:tr w14:paraId="4B30D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vAlign w:val="center"/>
          </w:tcPr>
          <w:p w14:paraId="4E0EDA7D">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低压电缆</w:t>
            </w:r>
          </w:p>
        </w:tc>
        <w:tc>
          <w:tcPr>
            <w:tcW w:w="1504" w:type="dxa"/>
            <w:vAlign w:val="center"/>
          </w:tcPr>
          <w:p w14:paraId="37F1461F">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绝缘电阻检查</w:t>
            </w:r>
          </w:p>
        </w:tc>
        <w:tc>
          <w:tcPr>
            <w:tcW w:w="1908" w:type="dxa"/>
            <w:vAlign w:val="center"/>
          </w:tcPr>
          <w:p w14:paraId="3A5C4086">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500V 兆欧表测量</w:t>
            </w:r>
          </w:p>
        </w:tc>
        <w:tc>
          <w:tcPr>
            <w:tcW w:w="2204" w:type="dxa"/>
            <w:vAlign w:val="center"/>
          </w:tcPr>
          <w:p w14:paraId="25D015C2">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绝缘电阻≥0.5MΩ</w:t>
            </w:r>
          </w:p>
        </w:tc>
        <w:tc>
          <w:tcPr>
            <w:tcW w:w="1909" w:type="dxa"/>
            <w:vAlign w:val="center"/>
          </w:tcPr>
          <w:p w14:paraId="738CB0F1">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年度/次</w:t>
            </w:r>
          </w:p>
        </w:tc>
      </w:tr>
      <w:tr w14:paraId="3EFAA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vAlign w:val="center"/>
          </w:tcPr>
          <w:p w14:paraId="2D9C3261">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接地电阻</w:t>
            </w:r>
          </w:p>
        </w:tc>
        <w:tc>
          <w:tcPr>
            <w:tcW w:w="1504" w:type="dxa"/>
            <w:vAlign w:val="center"/>
          </w:tcPr>
          <w:p w14:paraId="17E3DF2B">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箱变接地电阻</w:t>
            </w:r>
          </w:p>
        </w:tc>
        <w:tc>
          <w:tcPr>
            <w:tcW w:w="1908" w:type="dxa"/>
            <w:vAlign w:val="center"/>
          </w:tcPr>
          <w:p w14:paraId="5F4DA412">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接地电阻测试仪</w:t>
            </w:r>
          </w:p>
        </w:tc>
        <w:tc>
          <w:tcPr>
            <w:tcW w:w="2204" w:type="dxa"/>
            <w:vAlign w:val="center"/>
          </w:tcPr>
          <w:p w14:paraId="473D1B87">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接地电阻≤4Ω</w:t>
            </w:r>
          </w:p>
        </w:tc>
        <w:tc>
          <w:tcPr>
            <w:tcW w:w="1909" w:type="dxa"/>
            <w:vAlign w:val="center"/>
          </w:tcPr>
          <w:p w14:paraId="45489895">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年度/次</w:t>
            </w:r>
          </w:p>
        </w:tc>
      </w:tr>
    </w:tbl>
    <w:p w14:paraId="718FDDAA">
      <w:pPr>
        <w:widowControl/>
        <w:numPr>
          <w:ilvl w:val="0"/>
          <w:numId w:val="0"/>
        </w:numPr>
        <w:pBdr>
          <w:top w:val="none" w:color="auto" w:sz="0" w:space="0"/>
          <w:left w:val="none" w:color="auto" w:sz="0" w:space="0"/>
          <w:bottom w:val="none" w:color="auto" w:sz="0" w:space="0"/>
          <w:right w:val="none" w:color="auto" w:sz="0" w:space="0"/>
        </w:pBdr>
        <w:kinsoku/>
        <w:overflowPunct/>
        <w:bidi w:val="0"/>
        <w:spacing w:line="360" w:lineRule="auto"/>
        <w:ind w:left="0" w:leftChars="0" w:right="0" w:rightChars="0" w:firstLine="435"/>
        <w:rPr>
          <w:rFonts w:hint="eastAsia" w:ascii="宋体" w:hAnsi="宋体" w:cs="Times New Roman"/>
          <w:b/>
          <w:bCs/>
          <w:color w:val="auto"/>
          <w:sz w:val="21"/>
          <w:szCs w:val="21"/>
          <w:highlight w:val="none"/>
          <w:lang w:val="en-US" w:eastAsia="zh-CN"/>
        </w:rPr>
      </w:pPr>
      <w:r>
        <w:rPr>
          <w:rFonts w:hint="default" w:ascii="宋体" w:hAnsi="宋体" w:cs="Times New Roman"/>
          <w:b w:val="0"/>
          <w:bCs w:val="0"/>
          <w:color w:val="auto"/>
          <w:sz w:val="21"/>
          <w:szCs w:val="21"/>
          <w:highlight w:val="none"/>
          <w:lang w:val="en-US" w:eastAsia="zh-CN"/>
        </w:rPr>
        <w:t>注：</w:t>
      </w:r>
      <w:r>
        <w:rPr>
          <w:rFonts w:ascii="宋体" w:hAnsi="宋体" w:eastAsia="宋体" w:cs="Times New Roman"/>
          <w:i w:val="0"/>
          <w:iCs w:val="0"/>
          <w:caps w:val="0"/>
          <w:color w:val="auto"/>
          <w:spacing w:val="0"/>
          <w:sz w:val="21"/>
          <w:szCs w:val="21"/>
          <w:highlight w:val="none"/>
          <w:shd w:val="clear"/>
        </w:rPr>
        <w:t>以上标准需满足国家、行业发布的现行规范及技术规程。</w:t>
      </w:r>
    </w:p>
    <w:p w14:paraId="167C9881">
      <w:pPr>
        <w:kinsoku/>
        <w:overflowPunct/>
        <w:bidi w:val="0"/>
        <w:spacing w:line="360" w:lineRule="auto"/>
        <w:ind w:left="0" w:leftChars="0" w:right="0" w:rightChars="0" w:firstLine="435"/>
        <w:rPr>
          <w:rFonts w:hint="eastAsia" w:ascii="宋体" w:hAnsi="宋体" w:eastAsia="宋体" w:cs="Times New Roman"/>
          <w:b/>
          <w:bCs/>
          <w:color w:val="auto"/>
          <w:sz w:val="21"/>
          <w:szCs w:val="21"/>
          <w:highlight w:val="none"/>
          <w:lang w:val="en-US" w:eastAsia="zh-CN"/>
        </w:rPr>
      </w:pPr>
      <w:r>
        <w:rPr>
          <w:rFonts w:hint="eastAsia" w:ascii="宋体" w:hAnsi="宋体" w:cs="Times New Roman"/>
          <w:b/>
          <w:bCs/>
          <w:color w:val="auto"/>
          <w:sz w:val="21"/>
          <w:szCs w:val="21"/>
          <w:highlight w:val="none"/>
          <w:lang w:val="en-US" w:eastAsia="zh-CN"/>
        </w:rPr>
        <w:t>3、</w:t>
      </w:r>
      <w:r>
        <w:rPr>
          <w:rFonts w:hint="eastAsia" w:ascii="宋体" w:hAnsi="宋体" w:eastAsia="宋体" w:cs="Times New Roman"/>
          <w:b/>
          <w:bCs/>
          <w:color w:val="auto"/>
          <w:sz w:val="21"/>
          <w:szCs w:val="21"/>
          <w:highlight w:val="none"/>
          <w:lang w:val="en-US" w:eastAsia="zh-CN"/>
        </w:rPr>
        <w:t>故障应急响应</w:t>
      </w:r>
    </w:p>
    <w:p w14:paraId="14CDC273">
      <w:pPr>
        <w:kinsoku/>
        <w:overflowPunct/>
        <w:bidi w:val="0"/>
        <w:spacing w:line="360" w:lineRule="auto"/>
        <w:ind w:left="0" w:leftChars="0" w:right="0" w:rightChars="0" w:firstLine="435"/>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巡检或运行中发现故障，</w:t>
      </w:r>
      <w:r>
        <w:rPr>
          <w:rFonts w:hint="eastAsia" w:ascii="宋体" w:hAnsi="宋体" w:cs="Times New Roman"/>
          <w:color w:val="auto"/>
          <w:sz w:val="21"/>
          <w:szCs w:val="21"/>
          <w:highlight w:val="none"/>
          <w:lang w:val="en-US" w:eastAsia="zh-CN"/>
        </w:rPr>
        <w:t>中标单位</w:t>
      </w:r>
      <w:r>
        <w:rPr>
          <w:rFonts w:hint="eastAsia" w:ascii="宋体" w:hAnsi="宋体" w:eastAsia="宋体" w:cs="Times New Roman"/>
          <w:color w:val="auto"/>
          <w:sz w:val="21"/>
          <w:szCs w:val="21"/>
          <w:highlight w:val="none"/>
          <w:lang w:val="en-US" w:eastAsia="zh-CN"/>
        </w:rPr>
        <w:t>在接到</w:t>
      </w:r>
      <w:r>
        <w:rPr>
          <w:rFonts w:hint="eastAsia" w:ascii="宋体" w:hAnsi="宋体" w:cs="Times New Roman"/>
          <w:color w:val="auto"/>
          <w:sz w:val="21"/>
          <w:szCs w:val="21"/>
          <w:highlight w:val="none"/>
          <w:lang w:val="en-US" w:eastAsia="zh-CN"/>
        </w:rPr>
        <w:t>招标人</w:t>
      </w:r>
      <w:r>
        <w:rPr>
          <w:rFonts w:hint="eastAsia" w:ascii="宋体" w:hAnsi="宋体" w:eastAsia="宋体" w:cs="Times New Roman"/>
          <w:color w:val="auto"/>
          <w:sz w:val="21"/>
          <w:szCs w:val="21"/>
          <w:highlight w:val="none"/>
          <w:lang w:val="en-US" w:eastAsia="zh-CN"/>
        </w:rPr>
        <w:t>通知后，市区范围内</w:t>
      </w:r>
      <w:r>
        <w:rPr>
          <w:rFonts w:hint="eastAsia" w:ascii="宋体" w:hAnsi="宋体" w:cs="Times New Roman"/>
          <w:color w:val="auto"/>
          <w:sz w:val="21"/>
          <w:szCs w:val="21"/>
          <w:highlight w:val="none"/>
          <w:lang w:val="en-US" w:eastAsia="zh-CN"/>
        </w:rPr>
        <w:t>1</w:t>
      </w:r>
      <w:r>
        <w:rPr>
          <w:rFonts w:hint="eastAsia" w:ascii="宋体" w:hAnsi="宋体" w:eastAsia="宋体" w:cs="Times New Roman"/>
          <w:color w:val="auto"/>
          <w:sz w:val="21"/>
          <w:szCs w:val="21"/>
          <w:highlight w:val="none"/>
          <w:lang w:val="en-US" w:eastAsia="zh-CN"/>
        </w:rPr>
        <w:t>小时、郊区范围内</w:t>
      </w:r>
      <w:r>
        <w:rPr>
          <w:rFonts w:hint="eastAsia" w:ascii="宋体" w:hAnsi="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lang w:val="en-US" w:eastAsia="zh-CN"/>
        </w:rPr>
        <w:t>小时内到达现场，8小时内完成一般故障修复；重大故障需出具书面解决方案，并同步启动应急保障措施。</w:t>
      </w:r>
      <w:r>
        <w:rPr>
          <w:rFonts w:hint="default" w:ascii="宋体" w:hAnsi="宋体" w:eastAsia="宋体" w:cs="Times New Roman"/>
          <w:color w:val="auto"/>
          <w:sz w:val="21"/>
          <w:szCs w:val="21"/>
          <w:highlight w:val="none"/>
          <w:lang w:val="en-US" w:eastAsia="zh-CN"/>
        </w:rPr>
        <w:t>单次服务中，若仅涉及人工、普通工具及低值耗材，且总费用在人民币</w:t>
      </w:r>
      <w:r>
        <w:rPr>
          <w:rFonts w:hint="eastAsia" w:ascii="宋体" w:hAnsi="宋体" w:eastAsia="宋体" w:cs="Times New Roman"/>
          <w:color w:val="auto"/>
          <w:sz w:val="21"/>
          <w:szCs w:val="21"/>
          <w:highlight w:val="none"/>
          <w:lang w:val="en-US" w:eastAsia="zh-CN"/>
        </w:rPr>
        <w:t>2</w:t>
      </w:r>
      <w:r>
        <w:rPr>
          <w:rFonts w:hint="default" w:ascii="宋体" w:hAnsi="宋体" w:eastAsia="宋体" w:cs="Times New Roman"/>
          <w:color w:val="auto"/>
          <w:sz w:val="21"/>
          <w:szCs w:val="21"/>
          <w:highlight w:val="none"/>
          <w:lang w:val="en-US" w:eastAsia="zh-CN"/>
        </w:rPr>
        <w:t>000元（含）以下，由</w:t>
      </w:r>
      <w:r>
        <w:rPr>
          <w:rFonts w:hint="eastAsia" w:ascii="宋体" w:hAnsi="宋体" w:cs="Times New Roman"/>
          <w:color w:val="auto"/>
          <w:sz w:val="21"/>
          <w:szCs w:val="21"/>
          <w:highlight w:val="none"/>
          <w:lang w:val="en-US" w:eastAsia="zh-CN"/>
        </w:rPr>
        <w:t>中标单位</w:t>
      </w:r>
      <w:r>
        <w:rPr>
          <w:rFonts w:hint="default" w:ascii="宋体" w:hAnsi="宋体" w:eastAsia="宋体" w:cs="Times New Roman"/>
          <w:color w:val="auto"/>
          <w:sz w:val="21"/>
          <w:szCs w:val="21"/>
          <w:highlight w:val="none"/>
          <w:lang w:val="en-US" w:eastAsia="zh-CN"/>
        </w:rPr>
        <w:t>承担。</w:t>
      </w:r>
      <w:r>
        <w:rPr>
          <w:rFonts w:hint="eastAsia" w:ascii="宋体" w:hAnsi="宋体" w:eastAsia="宋体" w:cs="Times New Roman"/>
          <w:color w:val="auto"/>
          <w:sz w:val="21"/>
          <w:szCs w:val="21"/>
          <w:highlight w:val="none"/>
          <w:lang w:val="en-US" w:eastAsia="zh-CN"/>
        </w:rPr>
        <w:t>超出人民币 2000元，设备更换的，主要材料及设备由</w:t>
      </w:r>
      <w:r>
        <w:rPr>
          <w:rFonts w:hint="eastAsia" w:ascii="宋体" w:hAnsi="宋体" w:cs="Times New Roman"/>
          <w:color w:val="auto"/>
          <w:sz w:val="21"/>
          <w:szCs w:val="21"/>
          <w:highlight w:val="none"/>
          <w:lang w:val="en-US" w:eastAsia="zh-CN"/>
        </w:rPr>
        <w:t>招标人</w:t>
      </w:r>
      <w:r>
        <w:rPr>
          <w:rFonts w:hint="eastAsia" w:ascii="宋体" w:hAnsi="宋体" w:eastAsia="宋体" w:cs="Times New Roman"/>
          <w:color w:val="auto"/>
          <w:sz w:val="21"/>
          <w:szCs w:val="21"/>
          <w:highlight w:val="none"/>
          <w:lang w:val="en-US" w:eastAsia="zh-CN"/>
        </w:rPr>
        <w:t>提供。本项目所有人工服务费用含在综合报价中。</w:t>
      </w:r>
    </w:p>
    <w:p w14:paraId="4F36B792">
      <w:pPr>
        <w:shd w:val="clear"/>
        <w:kinsoku/>
        <w:overflowPunct/>
        <w:bidi w:val="0"/>
        <w:spacing w:line="440" w:lineRule="exact"/>
        <w:ind w:left="0" w:leftChars="0" w:right="0" w:rightChars="0" w:firstLine="542" w:firstLineChars="150"/>
        <w:jc w:val="center"/>
        <w:rPr>
          <w:rFonts w:hint="eastAsia" w:ascii="宋体"/>
          <w:b/>
          <w:bCs/>
          <w:color w:val="auto"/>
          <w:sz w:val="36"/>
          <w:szCs w:val="52"/>
          <w:highlight w:val="none"/>
        </w:rPr>
      </w:pPr>
    </w:p>
    <w:p w14:paraId="3DACE2B4">
      <w:pPr>
        <w:shd w:val="clear"/>
        <w:kinsoku/>
        <w:overflowPunct/>
        <w:bidi w:val="0"/>
        <w:spacing w:line="440" w:lineRule="exact"/>
        <w:ind w:left="0" w:leftChars="0" w:right="0" w:rightChars="0" w:firstLine="542" w:firstLineChars="150"/>
        <w:jc w:val="center"/>
        <w:rPr>
          <w:rFonts w:hint="eastAsia" w:ascii="宋体"/>
          <w:b/>
          <w:bCs/>
          <w:color w:val="auto"/>
          <w:sz w:val="36"/>
          <w:szCs w:val="52"/>
          <w:highlight w:val="none"/>
        </w:rPr>
      </w:pPr>
    </w:p>
    <w:p w14:paraId="2CB567E9">
      <w:pPr>
        <w:pStyle w:val="52"/>
        <w:shd w:val="clear"/>
        <w:kinsoku/>
        <w:overflowPunct/>
        <w:bidi w:val="0"/>
        <w:ind w:left="0" w:leftChars="0" w:right="0" w:rightChars="0"/>
        <w:rPr>
          <w:rFonts w:hint="eastAsia" w:ascii="宋体"/>
          <w:b/>
          <w:bCs/>
          <w:color w:val="auto"/>
          <w:sz w:val="36"/>
          <w:szCs w:val="52"/>
          <w:highlight w:val="none"/>
        </w:rPr>
      </w:pPr>
    </w:p>
    <w:p w14:paraId="0DFEE5D4">
      <w:pPr>
        <w:shd w:val="clear"/>
        <w:kinsoku/>
        <w:overflowPunct/>
        <w:bidi w:val="0"/>
        <w:spacing w:line="440" w:lineRule="exact"/>
        <w:ind w:left="0" w:leftChars="0" w:right="0" w:rightChars="0"/>
        <w:jc w:val="both"/>
        <w:rPr>
          <w:rFonts w:hint="eastAsia" w:ascii="宋体"/>
          <w:b/>
          <w:bCs/>
          <w:color w:val="auto"/>
          <w:sz w:val="36"/>
          <w:szCs w:val="52"/>
          <w:highlight w:val="none"/>
        </w:rPr>
      </w:pPr>
    </w:p>
    <w:p w14:paraId="1FE5D9BB">
      <w:pPr>
        <w:shd w:val="clear"/>
        <w:kinsoku/>
        <w:overflowPunct/>
        <w:bidi w:val="0"/>
        <w:spacing w:line="440" w:lineRule="exact"/>
        <w:ind w:left="0" w:leftChars="0" w:right="0" w:rightChars="0" w:firstLine="542" w:firstLineChars="150"/>
        <w:jc w:val="center"/>
        <w:rPr>
          <w:rFonts w:hint="eastAsia" w:ascii="宋体"/>
          <w:b/>
          <w:bCs/>
          <w:color w:val="auto"/>
          <w:sz w:val="36"/>
          <w:szCs w:val="52"/>
          <w:highlight w:val="none"/>
        </w:rPr>
      </w:pPr>
    </w:p>
    <w:p w14:paraId="5EC515BA">
      <w:pPr>
        <w:shd w:val="clear"/>
        <w:kinsoku/>
        <w:overflowPunct/>
        <w:bidi w:val="0"/>
        <w:spacing w:line="440" w:lineRule="exact"/>
        <w:ind w:left="0" w:leftChars="0" w:right="0" w:rightChars="0" w:firstLine="542" w:firstLineChars="150"/>
        <w:jc w:val="center"/>
        <w:rPr>
          <w:rFonts w:hint="eastAsia" w:ascii="宋体"/>
          <w:b/>
          <w:bCs/>
          <w:color w:val="auto"/>
          <w:sz w:val="36"/>
          <w:szCs w:val="52"/>
          <w:highlight w:val="none"/>
        </w:rPr>
      </w:pPr>
    </w:p>
    <w:p w14:paraId="0E6D63D1">
      <w:pPr>
        <w:shd w:val="clear"/>
        <w:kinsoku/>
        <w:overflowPunct/>
        <w:bidi w:val="0"/>
        <w:spacing w:line="440" w:lineRule="exact"/>
        <w:ind w:left="0" w:leftChars="0" w:right="0" w:rightChars="0" w:firstLine="542" w:firstLineChars="150"/>
        <w:jc w:val="center"/>
        <w:rPr>
          <w:rFonts w:hint="eastAsia" w:ascii="宋体"/>
          <w:b/>
          <w:bCs/>
          <w:color w:val="auto"/>
          <w:sz w:val="36"/>
          <w:szCs w:val="52"/>
          <w:highlight w:val="none"/>
        </w:rPr>
      </w:pPr>
    </w:p>
    <w:p w14:paraId="4EFC8277">
      <w:pPr>
        <w:shd w:val="clear"/>
        <w:kinsoku/>
        <w:overflowPunct/>
        <w:bidi w:val="0"/>
        <w:spacing w:line="440" w:lineRule="exact"/>
        <w:ind w:left="0" w:leftChars="0" w:right="0" w:rightChars="0" w:firstLine="542" w:firstLineChars="150"/>
        <w:jc w:val="center"/>
        <w:rPr>
          <w:rFonts w:hint="eastAsia" w:ascii="宋体"/>
          <w:b/>
          <w:bCs/>
          <w:color w:val="auto"/>
          <w:sz w:val="36"/>
          <w:szCs w:val="52"/>
          <w:highlight w:val="none"/>
        </w:rPr>
      </w:pPr>
    </w:p>
    <w:p w14:paraId="1EAFB67A">
      <w:pPr>
        <w:shd w:val="clear"/>
        <w:kinsoku/>
        <w:overflowPunct/>
        <w:bidi w:val="0"/>
        <w:spacing w:line="440" w:lineRule="exact"/>
        <w:ind w:left="0" w:leftChars="0" w:right="0" w:rightChars="0" w:firstLine="542" w:firstLineChars="150"/>
        <w:jc w:val="center"/>
        <w:rPr>
          <w:rFonts w:hint="eastAsia" w:ascii="宋体"/>
          <w:b/>
          <w:bCs/>
          <w:color w:val="auto"/>
          <w:sz w:val="36"/>
          <w:szCs w:val="52"/>
          <w:highlight w:val="none"/>
        </w:rPr>
      </w:pPr>
    </w:p>
    <w:p w14:paraId="6C728B45">
      <w:pPr>
        <w:shd w:val="clear"/>
        <w:kinsoku/>
        <w:overflowPunct/>
        <w:bidi w:val="0"/>
        <w:spacing w:line="440" w:lineRule="exact"/>
        <w:ind w:left="0" w:leftChars="0" w:right="0" w:rightChars="0" w:firstLine="542" w:firstLineChars="150"/>
        <w:jc w:val="center"/>
        <w:rPr>
          <w:rFonts w:hint="eastAsia" w:ascii="宋体"/>
          <w:b/>
          <w:bCs/>
          <w:color w:val="auto"/>
          <w:sz w:val="36"/>
          <w:szCs w:val="52"/>
          <w:highlight w:val="none"/>
        </w:rPr>
      </w:pPr>
    </w:p>
    <w:p w14:paraId="7C4012A9">
      <w:pPr>
        <w:shd w:val="clear"/>
        <w:kinsoku/>
        <w:overflowPunct/>
        <w:bidi w:val="0"/>
        <w:spacing w:line="440" w:lineRule="exact"/>
        <w:ind w:left="0" w:leftChars="0" w:right="0" w:rightChars="0" w:firstLine="542" w:firstLineChars="150"/>
        <w:jc w:val="center"/>
        <w:rPr>
          <w:rFonts w:hint="eastAsia" w:ascii="宋体"/>
          <w:b/>
          <w:bCs/>
          <w:color w:val="auto"/>
          <w:sz w:val="36"/>
          <w:szCs w:val="52"/>
          <w:highlight w:val="none"/>
        </w:rPr>
      </w:pPr>
    </w:p>
    <w:p w14:paraId="4F397427">
      <w:pPr>
        <w:shd w:val="clear"/>
        <w:kinsoku/>
        <w:overflowPunct/>
        <w:bidi w:val="0"/>
        <w:spacing w:line="440" w:lineRule="exact"/>
        <w:ind w:left="0" w:leftChars="0" w:right="0" w:rightChars="0" w:firstLine="542" w:firstLineChars="150"/>
        <w:jc w:val="center"/>
        <w:rPr>
          <w:rFonts w:hint="eastAsia" w:ascii="宋体"/>
          <w:b/>
          <w:bCs/>
          <w:color w:val="auto"/>
          <w:sz w:val="36"/>
          <w:szCs w:val="52"/>
          <w:highlight w:val="none"/>
        </w:rPr>
      </w:pPr>
    </w:p>
    <w:p w14:paraId="184A22A7">
      <w:pPr>
        <w:shd w:val="clear"/>
        <w:kinsoku/>
        <w:overflowPunct/>
        <w:bidi w:val="0"/>
        <w:spacing w:line="440" w:lineRule="exact"/>
        <w:ind w:left="0" w:leftChars="0" w:right="0" w:rightChars="0"/>
        <w:jc w:val="center"/>
        <w:rPr>
          <w:rFonts w:hint="eastAsia" w:ascii="宋体"/>
          <w:b/>
          <w:bCs/>
          <w:color w:val="auto"/>
          <w:sz w:val="36"/>
          <w:szCs w:val="52"/>
          <w:highlight w:val="none"/>
        </w:rPr>
      </w:pPr>
    </w:p>
    <w:p w14:paraId="2CCA7D53">
      <w:pPr>
        <w:shd w:val="clear"/>
        <w:kinsoku/>
        <w:overflowPunct/>
        <w:bidi w:val="0"/>
        <w:spacing w:line="440" w:lineRule="exact"/>
        <w:ind w:left="0" w:leftChars="0" w:right="0" w:rightChars="0"/>
        <w:jc w:val="center"/>
        <w:rPr>
          <w:rFonts w:ascii="宋体"/>
          <w:color w:val="auto"/>
          <w:szCs w:val="32"/>
          <w:highlight w:val="none"/>
        </w:rPr>
      </w:pPr>
      <w:r>
        <w:rPr>
          <w:rFonts w:hint="eastAsia" w:ascii="宋体"/>
          <w:b/>
          <w:bCs/>
          <w:color w:val="auto"/>
          <w:sz w:val="36"/>
          <w:szCs w:val="52"/>
          <w:highlight w:val="none"/>
        </w:rPr>
        <w:t>第五章  合同条款及格式</w:t>
      </w:r>
      <w:bookmarkEnd w:id="91"/>
      <w:bookmarkEnd w:id="92"/>
    </w:p>
    <w:p w14:paraId="40C261D3">
      <w:pPr>
        <w:pStyle w:val="34"/>
        <w:shd w:val="clear"/>
        <w:kinsoku/>
        <w:overflowPunct/>
        <w:bidi w:val="0"/>
        <w:ind w:left="0" w:leftChars="0" w:right="0" w:rightChars="0" w:firstLine="883"/>
        <w:rPr>
          <w:rFonts w:ascii="黑体" w:hAnsi="黑体" w:eastAsia="黑体" w:cs="黑体"/>
          <w:b/>
          <w:color w:val="auto"/>
          <w:sz w:val="44"/>
          <w:szCs w:val="44"/>
          <w:highlight w:val="none"/>
          <w:lang w:eastAsia="zh-CN" w:bidi="ar"/>
        </w:rPr>
      </w:pPr>
      <w:bookmarkStart w:id="94" w:name="_Toc449028948"/>
    </w:p>
    <w:p w14:paraId="0FFD5229">
      <w:pPr>
        <w:shd w:val="clear"/>
        <w:kinsoku/>
        <w:overflowPunct/>
        <w:bidi w:val="0"/>
        <w:spacing w:line="500" w:lineRule="exact"/>
        <w:ind w:left="0" w:leftChars="0" w:right="0" w:rightChars="0"/>
        <w:rPr>
          <w:rFonts w:hint="eastAsia" w:ascii="黑体" w:hAnsi="黑体" w:eastAsia="黑体" w:cs="黑体"/>
          <w:b/>
          <w:color w:val="auto"/>
          <w:sz w:val="32"/>
          <w:szCs w:val="32"/>
          <w:highlight w:val="none"/>
          <w:lang w:bidi="ar"/>
        </w:rPr>
      </w:pPr>
    </w:p>
    <w:p w14:paraId="3A1C3CFB">
      <w:pPr>
        <w:kinsoku/>
        <w:overflowPunct/>
        <w:bidi w:val="0"/>
        <w:spacing w:line="360" w:lineRule="auto"/>
        <w:ind w:left="0" w:leftChars="0" w:right="0" w:rightChars="0"/>
        <w:jc w:val="center"/>
        <w:outlineLvl w:val="1"/>
        <w:rPr>
          <w:rFonts w:ascii="宋体" w:hAnsi="宋体" w:eastAsia="宋体"/>
          <w:b/>
          <w:color w:val="auto"/>
          <w:sz w:val="24"/>
          <w:highlight w:val="none"/>
        </w:rPr>
      </w:pPr>
      <w:bookmarkStart w:id="95" w:name="_Toc2449"/>
      <w:r>
        <w:rPr>
          <w:rFonts w:hint="eastAsia" w:ascii="宋体" w:hAnsi="宋体" w:eastAsia="宋体"/>
          <w:b/>
          <w:color w:val="auto"/>
          <w:sz w:val="24"/>
          <w:highlight w:val="none"/>
        </w:rPr>
        <w:t>第一部分 合同书</w:t>
      </w:r>
      <w:bookmarkEnd w:id="95"/>
    </w:p>
    <w:p w14:paraId="3BADD646">
      <w:pPr>
        <w:kinsoku/>
        <w:overflowPunct/>
        <w:bidi w:val="0"/>
        <w:spacing w:line="480" w:lineRule="auto"/>
        <w:ind w:left="0" w:leftChars="0" w:right="0" w:rightChars="0"/>
        <w:jc w:val="center"/>
        <w:rPr>
          <w:rFonts w:ascii="宋体" w:hAnsi="宋体" w:eastAsia="宋体" w:cs="Times New Roman"/>
          <w:b/>
          <w:color w:val="auto"/>
          <w:sz w:val="24"/>
          <w:szCs w:val="24"/>
          <w:highlight w:val="none"/>
        </w:rPr>
      </w:pPr>
    </w:p>
    <w:p w14:paraId="73F7D367">
      <w:pPr>
        <w:kinsoku/>
        <w:overflowPunct/>
        <w:bidi w:val="0"/>
        <w:spacing w:line="480" w:lineRule="auto"/>
        <w:ind w:left="0" w:leftChars="0" w:right="0" w:rightChars="0"/>
        <w:jc w:val="center"/>
        <w:rPr>
          <w:rFonts w:ascii="宋体" w:hAnsi="宋体" w:eastAsia="宋体" w:cs="Times New Roman"/>
          <w:b/>
          <w:color w:val="auto"/>
          <w:sz w:val="24"/>
          <w:szCs w:val="24"/>
          <w:highlight w:val="none"/>
        </w:rPr>
      </w:pPr>
    </w:p>
    <w:p w14:paraId="6C676677">
      <w:pPr>
        <w:pStyle w:val="14"/>
        <w:kinsoku/>
        <w:overflowPunct/>
        <w:bidi w:val="0"/>
        <w:ind w:left="0" w:leftChars="0" w:right="0" w:rightChars="0"/>
        <w:rPr>
          <w:color w:val="auto"/>
          <w:highlight w:val="none"/>
        </w:rPr>
      </w:pPr>
    </w:p>
    <w:p w14:paraId="73EAE0F1">
      <w:pPr>
        <w:pStyle w:val="14"/>
        <w:kinsoku/>
        <w:overflowPunct/>
        <w:bidi w:val="0"/>
        <w:ind w:left="0" w:leftChars="0" w:right="0" w:rightChars="0"/>
        <w:rPr>
          <w:color w:val="auto"/>
          <w:highlight w:val="none"/>
        </w:rPr>
      </w:pPr>
    </w:p>
    <w:p w14:paraId="7ADC0720">
      <w:pPr>
        <w:keepNext w:val="0"/>
        <w:keepLines w:val="0"/>
        <w:pageBreakBefore w:val="0"/>
        <w:widowControl w:val="0"/>
        <w:kinsoku/>
        <w:wordWrap/>
        <w:overflowPunct/>
        <w:topLinePunct w:val="0"/>
        <w:autoSpaceDE/>
        <w:autoSpaceDN/>
        <w:bidi w:val="0"/>
        <w:adjustRightInd/>
        <w:snapToGrid/>
        <w:spacing w:before="120" w:line="480" w:lineRule="auto"/>
        <w:ind w:left="0" w:leftChars="0" w:right="0" w:rightChars="0" w:firstLine="480" w:firstLineChars="200"/>
        <w:textAlignment w:val="auto"/>
        <w:rPr>
          <w:rFonts w:hint="default" w:ascii="宋体" w:hAnsi="宋体" w:eastAsia="宋体" w:cs="Times New Roman"/>
          <w:color w:val="auto"/>
          <w:sz w:val="24"/>
          <w:szCs w:val="24"/>
          <w:highlight w:val="none"/>
          <w:u w:val="single"/>
          <w:lang w:val="en-US"/>
        </w:rPr>
      </w:pPr>
      <w:r>
        <w:rPr>
          <w:rFonts w:hint="eastAsia" w:ascii="宋体" w:hAnsi="宋体" w:eastAsia="宋体" w:cs="Times New Roman"/>
          <w:color w:val="auto"/>
          <w:sz w:val="24"/>
          <w:szCs w:val="24"/>
          <w:highlight w:val="none"/>
        </w:rPr>
        <w:t>项目名称：</w:t>
      </w:r>
      <w:r>
        <w:rPr>
          <w:rFonts w:hint="eastAsia" w:ascii="宋体" w:hAnsi="宋体" w:eastAsia="宋体" w:cs="Times New Roman"/>
          <w:color w:val="auto"/>
          <w:sz w:val="24"/>
          <w:szCs w:val="24"/>
          <w:highlight w:val="none"/>
          <w:u w:val="single"/>
          <w:lang w:val="en-US" w:eastAsia="zh-CN"/>
        </w:rPr>
        <w:t xml:space="preserve">                                    </w:t>
      </w:r>
    </w:p>
    <w:p w14:paraId="6D12A28D">
      <w:pPr>
        <w:keepNext w:val="0"/>
        <w:keepLines w:val="0"/>
        <w:pageBreakBefore w:val="0"/>
        <w:widowControl w:val="0"/>
        <w:kinsoku/>
        <w:wordWrap/>
        <w:overflowPunct/>
        <w:topLinePunct w:val="0"/>
        <w:autoSpaceDE/>
        <w:autoSpaceDN/>
        <w:bidi w:val="0"/>
        <w:adjustRightInd/>
        <w:snapToGrid/>
        <w:spacing w:before="120" w:line="480" w:lineRule="auto"/>
        <w:ind w:left="0" w:leftChars="0" w:right="0" w:rightChars="0" w:firstLine="480" w:firstLineChars="200"/>
        <w:textAlignment w:val="auto"/>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项目编号：</w:t>
      </w:r>
      <w:r>
        <w:rPr>
          <w:rFonts w:hint="eastAsia" w:ascii="宋体" w:hAnsi="宋体" w:eastAsia="宋体" w:cs="Times New Roman"/>
          <w:color w:val="auto"/>
          <w:sz w:val="24"/>
          <w:szCs w:val="24"/>
          <w:highlight w:val="none"/>
          <w:u w:val="single"/>
          <w:lang w:val="en-US" w:eastAsia="zh-CN"/>
        </w:rPr>
        <w:t xml:space="preserve">                                   </w:t>
      </w:r>
    </w:p>
    <w:p w14:paraId="0BC0491A">
      <w:pPr>
        <w:keepNext w:val="0"/>
        <w:keepLines w:val="0"/>
        <w:pageBreakBefore w:val="0"/>
        <w:widowControl w:val="0"/>
        <w:kinsoku/>
        <w:wordWrap/>
        <w:overflowPunct/>
        <w:topLinePunct w:val="0"/>
        <w:autoSpaceDE/>
        <w:autoSpaceDN/>
        <w:bidi w:val="0"/>
        <w:adjustRightInd/>
        <w:snapToGrid/>
        <w:spacing w:before="120" w:line="480" w:lineRule="auto"/>
        <w:ind w:left="0" w:leftChars="0" w:right="0" w:rightChars="0" w:firstLine="480" w:firstLineChars="200"/>
        <w:textAlignment w:val="auto"/>
        <w:rPr>
          <w:rFonts w:hint="default" w:ascii="宋体" w:hAnsi="宋体" w:eastAsia="宋体" w:cs="Times New Roman"/>
          <w:color w:val="auto"/>
          <w:sz w:val="24"/>
          <w:szCs w:val="24"/>
          <w:highlight w:val="none"/>
          <w:u w:val="single"/>
          <w:lang w:val="en-US" w:eastAsia="zh-CN"/>
        </w:rPr>
      </w:pPr>
      <w:r>
        <w:rPr>
          <w:rFonts w:hint="eastAsia" w:ascii="宋体" w:hAnsi="宋体" w:eastAsia="宋体" w:cs="Times New Roman"/>
          <w:color w:val="auto"/>
          <w:sz w:val="24"/>
          <w:szCs w:val="24"/>
          <w:highlight w:val="none"/>
        </w:rPr>
        <w:t>甲方（</w:t>
      </w:r>
      <w:r>
        <w:rPr>
          <w:rFonts w:hint="eastAsia" w:ascii="宋体" w:hAnsi="宋体" w:eastAsia="宋体" w:cs="Times New Roman"/>
          <w:color w:val="auto"/>
          <w:sz w:val="24"/>
          <w:szCs w:val="24"/>
          <w:highlight w:val="none"/>
          <w:lang w:val="en-US" w:eastAsia="zh-CN"/>
        </w:rPr>
        <w:t>招标</w:t>
      </w:r>
      <w:r>
        <w:rPr>
          <w:rFonts w:hint="eastAsia" w:ascii="宋体" w:hAnsi="宋体" w:eastAsia="宋体" w:cs="Times New Roman"/>
          <w:color w:val="auto"/>
          <w:sz w:val="24"/>
          <w:szCs w:val="24"/>
          <w:highlight w:val="none"/>
        </w:rPr>
        <w:t>人）：</w:t>
      </w:r>
      <w:r>
        <w:rPr>
          <w:rFonts w:hint="eastAsia" w:ascii="宋体" w:hAnsi="宋体" w:eastAsia="宋体" w:cs="Times New Roman"/>
          <w:color w:val="auto"/>
          <w:sz w:val="24"/>
          <w:szCs w:val="24"/>
          <w:highlight w:val="none"/>
          <w:u w:val="single"/>
          <w:lang w:val="en-US" w:eastAsia="zh-CN"/>
        </w:rPr>
        <w:t xml:space="preserve">                             </w:t>
      </w:r>
    </w:p>
    <w:p w14:paraId="142BFF76">
      <w:pPr>
        <w:keepNext w:val="0"/>
        <w:keepLines w:val="0"/>
        <w:pageBreakBefore w:val="0"/>
        <w:widowControl w:val="0"/>
        <w:kinsoku/>
        <w:wordWrap/>
        <w:overflowPunct/>
        <w:topLinePunct w:val="0"/>
        <w:autoSpaceDE/>
        <w:autoSpaceDN/>
        <w:bidi w:val="0"/>
        <w:adjustRightInd/>
        <w:snapToGrid/>
        <w:spacing w:before="120" w:line="480" w:lineRule="auto"/>
        <w:ind w:left="0" w:leftChars="0" w:right="0" w:rightChars="0" w:firstLine="480" w:firstLineChars="200"/>
        <w:textAlignment w:val="auto"/>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乙方（中标人）：</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p>
    <w:p w14:paraId="61F5D02E">
      <w:pPr>
        <w:keepNext w:val="0"/>
        <w:keepLines w:val="0"/>
        <w:pageBreakBefore w:val="0"/>
        <w:widowControl w:val="0"/>
        <w:kinsoku/>
        <w:wordWrap/>
        <w:overflowPunct/>
        <w:topLinePunct w:val="0"/>
        <w:autoSpaceDE/>
        <w:autoSpaceDN/>
        <w:bidi w:val="0"/>
        <w:adjustRightInd/>
        <w:snapToGrid/>
        <w:spacing w:before="120" w:line="480" w:lineRule="auto"/>
        <w:ind w:left="0" w:leftChars="0" w:right="0" w:rightChars="0" w:firstLine="480" w:firstLineChars="200"/>
        <w:textAlignment w:val="auto"/>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签订地：</w:t>
      </w:r>
      <w:r>
        <w:rPr>
          <w:rFonts w:hint="eastAsia" w:ascii="宋体" w:hAnsi="宋体" w:eastAsia="宋体" w:cs="Times New Roman"/>
          <w:color w:val="auto"/>
          <w:sz w:val="24"/>
          <w:szCs w:val="24"/>
          <w:highlight w:val="none"/>
          <w:u w:val="single"/>
        </w:rPr>
        <w:t xml:space="preserve">                                     </w:t>
      </w:r>
    </w:p>
    <w:p w14:paraId="57A8EB41">
      <w:pPr>
        <w:keepNext w:val="0"/>
        <w:keepLines w:val="0"/>
        <w:pageBreakBefore w:val="0"/>
        <w:widowControl w:val="0"/>
        <w:kinsoku/>
        <w:wordWrap/>
        <w:overflowPunct/>
        <w:topLinePunct w:val="0"/>
        <w:autoSpaceDE/>
        <w:autoSpaceDN/>
        <w:bidi w:val="0"/>
        <w:adjustRightInd/>
        <w:snapToGrid/>
        <w:spacing w:before="120" w:line="480" w:lineRule="auto"/>
        <w:ind w:left="0" w:leftChars="0" w:right="0" w:rightChars="0"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签订日期：</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月</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日</w:t>
      </w:r>
    </w:p>
    <w:p w14:paraId="4E3C8141">
      <w:pPr>
        <w:widowControl/>
        <w:kinsoku/>
        <w:overflowPunct/>
        <w:bidi w:val="0"/>
        <w:ind w:left="0" w:leftChars="0" w:right="0" w:rightChars="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br w:type="page"/>
      </w:r>
    </w:p>
    <w:p w14:paraId="12116ABD">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bookmarkStart w:id="96" w:name="_Toc21423"/>
      <w:bookmarkStart w:id="97" w:name="_Toc19554"/>
      <w:bookmarkStart w:id="98" w:name="_Toc27250"/>
      <w:r>
        <w:rPr>
          <w:rFonts w:hint="eastAsia" w:ascii="宋体" w:hAnsi="宋体" w:eastAsia="宋体" w:cs="Times New Roman"/>
          <w:color w:val="auto"/>
          <w:sz w:val="24"/>
          <w:szCs w:val="24"/>
          <w:highlight w:val="none"/>
          <w:lang w:val="en-US" w:eastAsia="zh-CN"/>
        </w:rPr>
        <w:t>鉴于甲方</w:t>
      </w:r>
      <w:r>
        <w:rPr>
          <w:rFonts w:hint="eastAsia" w:ascii="宋体" w:hAnsi="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lang w:val="en-US" w:eastAsia="zh-CN"/>
        </w:rPr>
        <w:t>（招标人）拥有高压环网柜及高压箱变设备需专业巡检维护、预防性试验及故障应急处理服务保障安全运行；乙方</w:t>
      </w:r>
      <w:r>
        <w:rPr>
          <w:rFonts w:hint="eastAsia" w:ascii="宋体" w:hAnsi="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lang w:val="en-US" w:eastAsia="zh-CN"/>
        </w:rPr>
        <w:t>（中标人）具备相应资质、技术团队及服务能力。依据《中华人民共和国民法典》及电力行业相关法规，甲乙双方本着平等自愿、公平诚信的原则，经协商一致，签订本合同，以资共同遵守。</w:t>
      </w:r>
    </w:p>
    <w:p w14:paraId="244DA2EE">
      <w:pPr>
        <w:kinsoku/>
        <w:overflowPunct/>
        <w:bidi w:val="0"/>
        <w:spacing w:line="360" w:lineRule="auto"/>
        <w:ind w:left="0" w:leftChars="0" w:right="0" w:rightChars="0" w:firstLine="437"/>
        <w:outlineLvl w:val="2"/>
        <w:rPr>
          <w:rFonts w:ascii="宋体" w:hAnsi="宋体" w:eastAsia="宋体" w:cs="Times New Roman"/>
          <w:b/>
          <w:bCs/>
          <w:color w:val="auto"/>
          <w:sz w:val="24"/>
          <w:szCs w:val="24"/>
          <w:highlight w:val="none"/>
          <w:lang w:val="zh-CN"/>
        </w:rPr>
      </w:pPr>
      <w:bookmarkStart w:id="99" w:name="_Toc3029"/>
      <w:bookmarkStart w:id="100" w:name="_Toc2232"/>
      <w:bookmarkStart w:id="101" w:name="_Toc24059"/>
      <w:r>
        <w:rPr>
          <w:rFonts w:hint="eastAsia" w:ascii="宋体" w:hAnsi="宋体" w:eastAsia="宋体" w:cs="Times New Roman"/>
          <w:b/>
          <w:bCs/>
          <w:color w:val="auto"/>
          <w:sz w:val="24"/>
          <w:szCs w:val="24"/>
          <w:highlight w:val="none"/>
          <w:lang w:val="zh-CN"/>
        </w:rPr>
        <w:t>1.1</w:t>
      </w:r>
      <w:r>
        <w:rPr>
          <w:rFonts w:ascii="宋体" w:hAnsi="宋体" w:eastAsia="宋体" w:cs="Times New Roman"/>
          <w:b/>
          <w:bCs/>
          <w:color w:val="auto"/>
          <w:sz w:val="24"/>
          <w:szCs w:val="24"/>
          <w:highlight w:val="none"/>
          <w:lang w:val="zh-CN"/>
        </w:rPr>
        <w:t xml:space="preserve"> </w:t>
      </w:r>
      <w:r>
        <w:rPr>
          <w:rFonts w:hint="eastAsia" w:ascii="宋体" w:hAnsi="宋体" w:eastAsia="宋体" w:cs="Times New Roman"/>
          <w:b/>
          <w:bCs/>
          <w:color w:val="auto"/>
          <w:sz w:val="24"/>
          <w:szCs w:val="24"/>
          <w:highlight w:val="none"/>
          <w:lang w:val="zh-CN"/>
        </w:rPr>
        <w:t>合同组成部分</w:t>
      </w:r>
      <w:bookmarkEnd w:id="99"/>
      <w:bookmarkEnd w:id="100"/>
      <w:bookmarkEnd w:id="101"/>
    </w:p>
    <w:p w14:paraId="1144BE7F">
      <w:pPr>
        <w:kinsoku/>
        <w:overflowPunct/>
        <w:bidi w:val="0"/>
        <w:spacing w:line="360" w:lineRule="auto"/>
        <w:ind w:left="0" w:leftChars="0" w:right="0" w:rightChars="0"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下列文件为本合同的组成部分，并构成一个整体，需综合解释、相互补充。如果下列文件内容出现不一致的情形，那么在保证按照</w:t>
      </w:r>
      <w:r>
        <w:rPr>
          <w:rFonts w:hint="eastAsia" w:ascii="宋体" w:hAnsi="宋体" w:eastAsia="宋体" w:cs="Times New Roman"/>
          <w:color w:val="auto"/>
          <w:sz w:val="24"/>
          <w:szCs w:val="24"/>
          <w:highlight w:val="none"/>
          <w:lang w:val="en-US" w:eastAsia="zh-CN"/>
        </w:rPr>
        <w:t>招标</w:t>
      </w:r>
      <w:r>
        <w:rPr>
          <w:rFonts w:hint="eastAsia" w:ascii="宋体" w:hAnsi="宋体" w:eastAsia="宋体" w:cs="Times New Roman"/>
          <w:color w:val="auto"/>
          <w:sz w:val="24"/>
          <w:szCs w:val="24"/>
          <w:highlight w:val="none"/>
          <w:lang w:val="zh-CN"/>
        </w:rPr>
        <w:t>文件确定的事项前提下，组成本合同的多个文件的优先适用顺序如下：</w:t>
      </w:r>
    </w:p>
    <w:p w14:paraId="5C1CC8DB">
      <w:pPr>
        <w:kinsoku/>
        <w:overflowPunct/>
        <w:bidi w:val="0"/>
        <w:spacing w:line="360" w:lineRule="auto"/>
        <w:ind w:left="0" w:leftChars="0" w:right="0" w:rightChars="0"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1.1.1本合同及其补充合同、变更协议；</w:t>
      </w:r>
    </w:p>
    <w:p w14:paraId="0AFACD63">
      <w:pPr>
        <w:kinsoku/>
        <w:overflowPunct/>
        <w:bidi w:val="0"/>
        <w:spacing w:line="360" w:lineRule="auto"/>
        <w:ind w:left="0" w:leftChars="0" w:right="0" w:rightChars="0"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1.1.2中标通知书；</w:t>
      </w:r>
    </w:p>
    <w:p w14:paraId="7D642498">
      <w:pPr>
        <w:kinsoku/>
        <w:overflowPunct/>
        <w:bidi w:val="0"/>
        <w:spacing w:line="360" w:lineRule="auto"/>
        <w:ind w:left="0" w:leftChars="0" w:right="0" w:rightChars="0"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1.1.3投标文件（含澄清或者说明文件）；</w:t>
      </w:r>
    </w:p>
    <w:p w14:paraId="04F85892">
      <w:pPr>
        <w:kinsoku/>
        <w:overflowPunct/>
        <w:bidi w:val="0"/>
        <w:spacing w:line="360" w:lineRule="auto"/>
        <w:ind w:left="0" w:leftChars="0" w:right="0" w:rightChars="0"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1.1.4招标文件（含澄清或者修改文件）；</w:t>
      </w:r>
    </w:p>
    <w:p w14:paraId="29D78FEF">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zh-CN"/>
        </w:rPr>
        <w:t>1.1.5其他相关采购文件。</w:t>
      </w:r>
    </w:p>
    <w:p w14:paraId="219F211F">
      <w:pPr>
        <w:kinsoku/>
        <w:overflowPunct/>
        <w:bidi w:val="0"/>
        <w:spacing w:line="360" w:lineRule="auto"/>
        <w:ind w:left="0" w:leftChars="0" w:right="0" w:rightChars="0" w:firstLine="437"/>
        <w:outlineLvl w:val="2"/>
        <w:rPr>
          <w:rFonts w:hint="eastAsia"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1.2服务标的与范围</w:t>
      </w:r>
    </w:p>
    <w:p w14:paraId="68F04975">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1.2.1 服务对象</w:t>
      </w:r>
    </w:p>
    <w:p w14:paraId="11D777A9">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甲方所有的位于滁州区域内的“滁州充电”汽车充电场站及光伏高压并网升压电站具体设备清单详见本招标文件《服务设备明细清单》，清单内容包括场站名称、场站地址、场站规模等关键信息。</w:t>
      </w:r>
    </w:p>
    <w:p w14:paraId="3057FD56">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1.2.2 服务内容</w:t>
      </w:r>
    </w:p>
    <w:p w14:paraId="21D929E8">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乙方为上述设备提供“</w:t>
      </w:r>
      <w:r>
        <w:rPr>
          <w:rFonts w:hint="eastAsia" w:ascii="宋体" w:hAnsi="宋体" w:eastAsia="宋体" w:cs="Times New Roman"/>
          <w:b/>
          <w:bCs/>
          <w:color w:val="auto"/>
          <w:sz w:val="24"/>
          <w:szCs w:val="24"/>
          <w:highlight w:val="none"/>
          <w:lang w:val="en-US" w:eastAsia="zh-CN"/>
        </w:rPr>
        <w:t>季度巡检+预防性试验+故障应急响应</w:t>
      </w:r>
      <w:r>
        <w:rPr>
          <w:rFonts w:hint="eastAsia" w:ascii="宋体" w:hAnsi="宋体" w:eastAsia="宋体" w:cs="Times New Roman"/>
          <w:color w:val="auto"/>
          <w:sz w:val="24"/>
          <w:szCs w:val="24"/>
          <w:highlight w:val="none"/>
          <w:lang w:val="en-US" w:eastAsia="zh-CN"/>
        </w:rPr>
        <w:t>”全流程服务，具体内容如下：</w:t>
      </w:r>
    </w:p>
    <w:p w14:paraId="521462F3">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1.2.2.1季度巡检服务</w:t>
      </w:r>
    </w:p>
    <w:p w14:paraId="1F05A88A">
      <w:pPr>
        <w:kinsoku/>
        <w:overflowPunct/>
        <w:bidi w:val="0"/>
        <w:spacing w:line="360" w:lineRule="auto"/>
        <w:ind w:left="0" w:leftChars="0" w:right="0" w:rightChars="0" w:firstLine="435"/>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按照《箱式变电站（箱变）运行检查与维护规范》执行，每季度开展1次全面巡检，单次服务中，若仅涉及人工、普通工具及低值耗材，且总费用在人民币2000元（含）以下，由乙方承担。超出人民币2000元，设备更换的，主要材料及设备由甲方提供。本项目所有人工服务费用含在综合报价中。</w:t>
      </w:r>
    </w:p>
    <w:p w14:paraId="7C09718E">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内容包括但不限于：</w:t>
      </w:r>
    </w:p>
    <w:p w14:paraId="633180DA">
      <w:pPr>
        <w:kinsoku/>
        <w:overflowPunct/>
        <w:bidi w:val="0"/>
        <w:spacing w:line="360" w:lineRule="auto"/>
        <w:ind w:left="0" w:leftChars="0" w:right="0" w:rightChars="0" w:firstLine="435"/>
        <w:rPr>
          <w:rFonts w:hint="eastAsia" w:ascii="宋体" w:hAnsi="宋体" w:eastAsia="宋体" w:cs="宋体"/>
          <w:color w:val="auto"/>
          <w:sz w:val="24"/>
          <w:szCs w:val="24"/>
          <w:highlight w:val="none"/>
          <w:lang w:val="en-US" w:eastAsia="zh-CN"/>
        </w:rPr>
      </w:pPr>
    </w:p>
    <w:p w14:paraId="7D9A511C">
      <w:pPr>
        <w:kinsoku/>
        <w:overflowPunct/>
        <w:bidi w:val="0"/>
        <w:spacing w:line="360" w:lineRule="auto"/>
        <w:ind w:left="0" w:leftChars="0" w:right="0" w:rightChars="0" w:firstLine="435"/>
        <w:rPr>
          <w:rFonts w:hint="eastAsia" w:ascii="宋体" w:hAnsi="宋体" w:eastAsia="宋体" w:cs="宋体"/>
          <w:color w:val="auto"/>
          <w:sz w:val="24"/>
          <w:szCs w:val="24"/>
          <w:highlight w:val="none"/>
          <w:lang w:val="en-US" w:eastAsia="zh-CN"/>
        </w:rPr>
      </w:pPr>
    </w:p>
    <w:p w14:paraId="3A867331">
      <w:pPr>
        <w:kinsoku/>
        <w:overflowPunct/>
        <w:bidi w:val="0"/>
        <w:spacing w:line="360" w:lineRule="auto"/>
        <w:ind w:left="0" w:leftChars="0" w:right="0" w:rightChars="0" w:firstLine="435"/>
        <w:rPr>
          <w:rFonts w:hint="eastAsia" w:ascii="宋体" w:hAnsi="宋体" w:eastAsia="宋体" w:cs="宋体"/>
          <w:color w:val="auto"/>
          <w:sz w:val="24"/>
          <w:szCs w:val="24"/>
          <w:highlight w:val="none"/>
          <w:lang w:val="en-US" w:eastAsia="zh-CN"/>
        </w:rPr>
      </w:pPr>
    </w:p>
    <w:p w14:paraId="0E29A5FC">
      <w:pPr>
        <w:kinsoku/>
        <w:overflowPunct/>
        <w:bidi w:val="0"/>
        <w:spacing w:line="360" w:lineRule="auto"/>
        <w:ind w:left="0" w:leftChars="0" w:right="0" w:rightChars="0"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常规维护</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8"/>
        <w:gridCol w:w="1745"/>
        <w:gridCol w:w="4391"/>
        <w:gridCol w:w="1377"/>
      </w:tblGrid>
      <w:tr w14:paraId="7C7CB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8" w:type="dxa"/>
            <w:vAlign w:val="center"/>
          </w:tcPr>
          <w:p w14:paraId="425A77B4">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检查项目</w:t>
            </w:r>
          </w:p>
        </w:tc>
        <w:tc>
          <w:tcPr>
            <w:tcW w:w="1745" w:type="dxa"/>
            <w:vAlign w:val="center"/>
          </w:tcPr>
          <w:p w14:paraId="07FFA581">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检查方法</w:t>
            </w:r>
          </w:p>
        </w:tc>
        <w:tc>
          <w:tcPr>
            <w:tcW w:w="4391" w:type="dxa"/>
            <w:vAlign w:val="center"/>
          </w:tcPr>
          <w:p w14:paraId="3A785005">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标准</w:t>
            </w:r>
          </w:p>
        </w:tc>
        <w:tc>
          <w:tcPr>
            <w:tcW w:w="1377" w:type="dxa"/>
            <w:vAlign w:val="center"/>
          </w:tcPr>
          <w:p w14:paraId="2FF88AF4">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检查频次</w:t>
            </w:r>
          </w:p>
        </w:tc>
      </w:tr>
      <w:tr w14:paraId="1AD82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758" w:type="dxa"/>
            <w:vAlign w:val="center"/>
          </w:tcPr>
          <w:p w14:paraId="3532E893">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箱体外形</w:t>
            </w:r>
          </w:p>
        </w:tc>
        <w:tc>
          <w:tcPr>
            <w:tcW w:w="1745" w:type="dxa"/>
            <w:vAlign w:val="center"/>
          </w:tcPr>
          <w:p w14:paraId="1F6F8E14">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目测</w:t>
            </w:r>
          </w:p>
        </w:tc>
        <w:tc>
          <w:tcPr>
            <w:tcW w:w="4391" w:type="dxa"/>
            <w:vAlign w:val="center"/>
          </w:tcPr>
          <w:p w14:paraId="4560332C">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val="en-US" w:eastAsia="zh-CN"/>
              </w:rPr>
              <w:t>箱变/环网柜外观：柜体无锈蚀变形、密封良好、门锁完好，基础无沉降开裂</w:t>
            </w:r>
          </w:p>
        </w:tc>
        <w:tc>
          <w:tcPr>
            <w:tcW w:w="1377" w:type="dxa"/>
            <w:vAlign w:val="center"/>
          </w:tcPr>
          <w:p w14:paraId="74CCED36">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季度/次</w:t>
            </w:r>
          </w:p>
        </w:tc>
      </w:tr>
      <w:tr w14:paraId="5A183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758" w:type="dxa"/>
            <w:vAlign w:val="center"/>
          </w:tcPr>
          <w:p w14:paraId="249ACC4B">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清洁除尘</w:t>
            </w:r>
          </w:p>
        </w:tc>
        <w:tc>
          <w:tcPr>
            <w:tcW w:w="1745" w:type="dxa"/>
            <w:vAlign w:val="center"/>
          </w:tcPr>
          <w:p w14:paraId="5BE40A88">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目测</w:t>
            </w:r>
          </w:p>
        </w:tc>
        <w:tc>
          <w:tcPr>
            <w:tcW w:w="4391" w:type="dxa"/>
            <w:vAlign w:val="center"/>
          </w:tcPr>
          <w:p w14:paraId="0A88E860">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高压舱、低压舱柜体表面灰尘擦拭，变压器舱吸尘器除尘</w:t>
            </w:r>
          </w:p>
        </w:tc>
        <w:tc>
          <w:tcPr>
            <w:tcW w:w="1377" w:type="dxa"/>
            <w:vAlign w:val="center"/>
          </w:tcPr>
          <w:p w14:paraId="1C87B888">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半年度/次</w:t>
            </w:r>
          </w:p>
        </w:tc>
      </w:tr>
      <w:tr w14:paraId="5CA10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8" w:type="dxa"/>
            <w:vAlign w:val="center"/>
          </w:tcPr>
          <w:p w14:paraId="08608E3E">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润滑与紧固</w:t>
            </w:r>
          </w:p>
        </w:tc>
        <w:tc>
          <w:tcPr>
            <w:tcW w:w="1745" w:type="dxa"/>
            <w:vAlign w:val="center"/>
          </w:tcPr>
          <w:p w14:paraId="405DD526">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目测</w:t>
            </w:r>
          </w:p>
        </w:tc>
        <w:tc>
          <w:tcPr>
            <w:tcW w:w="4391" w:type="dxa"/>
            <w:vAlign w:val="center"/>
          </w:tcPr>
          <w:p w14:paraId="514AD361">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对开关操作机构涂抹通用锂基润滑脂；复紧所有端子排螺栓</w:t>
            </w:r>
          </w:p>
        </w:tc>
        <w:tc>
          <w:tcPr>
            <w:tcW w:w="1377" w:type="dxa"/>
            <w:vAlign w:val="center"/>
          </w:tcPr>
          <w:p w14:paraId="7DA00307">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半年度/次</w:t>
            </w:r>
          </w:p>
        </w:tc>
      </w:tr>
      <w:tr w14:paraId="6766B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8" w:type="dxa"/>
            <w:vAlign w:val="center"/>
          </w:tcPr>
          <w:p w14:paraId="1EF59090">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b w:val="0"/>
                <w:bCs/>
                <w:i w:val="0"/>
                <w:color w:val="auto"/>
                <w:kern w:val="0"/>
                <w:sz w:val="24"/>
                <w:szCs w:val="24"/>
                <w:highlight w:val="none"/>
                <w:u w:val="none"/>
                <w:lang w:val="en-US" w:eastAsia="zh-CN" w:bidi="ar"/>
              </w:rPr>
              <w:t>电站周围杂草清除</w:t>
            </w:r>
          </w:p>
        </w:tc>
        <w:tc>
          <w:tcPr>
            <w:tcW w:w="1745" w:type="dxa"/>
            <w:vAlign w:val="center"/>
          </w:tcPr>
          <w:p w14:paraId="38621CA5">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目测</w:t>
            </w:r>
          </w:p>
        </w:tc>
        <w:tc>
          <w:tcPr>
            <w:tcW w:w="4391" w:type="dxa"/>
            <w:vAlign w:val="center"/>
          </w:tcPr>
          <w:p w14:paraId="69CA9ACD">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杂草清除</w:t>
            </w:r>
          </w:p>
        </w:tc>
        <w:tc>
          <w:tcPr>
            <w:tcW w:w="1377" w:type="dxa"/>
            <w:vAlign w:val="center"/>
          </w:tcPr>
          <w:p w14:paraId="4F7B72B1">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季度/次</w:t>
            </w:r>
          </w:p>
        </w:tc>
      </w:tr>
    </w:tbl>
    <w:p w14:paraId="2ED9D8AB">
      <w:pPr>
        <w:kinsoku/>
        <w:overflowPunct/>
        <w:bidi w:val="0"/>
        <w:spacing w:line="360" w:lineRule="auto"/>
        <w:ind w:left="0" w:leftChars="0" w:right="0" w:rightChars="0"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变压器本体检查</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7"/>
        <w:gridCol w:w="2414"/>
        <w:gridCol w:w="3940"/>
        <w:gridCol w:w="1337"/>
      </w:tblGrid>
      <w:tr w14:paraId="0A361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vAlign w:val="center"/>
          </w:tcPr>
          <w:p w14:paraId="727E43D5">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检查项目</w:t>
            </w:r>
          </w:p>
        </w:tc>
        <w:tc>
          <w:tcPr>
            <w:tcW w:w="2414" w:type="dxa"/>
            <w:vAlign w:val="center"/>
          </w:tcPr>
          <w:p w14:paraId="141747DC">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检查方法</w:t>
            </w:r>
          </w:p>
        </w:tc>
        <w:tc>
          <w:tcPr>
            <w:tcW w:w="3940" w:type="dxa"/>
            <w:vAlign w:val="center"/>
          </w:tcPr>
          <w:p w14:paraId="7F246711">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标准</w:t>
            </w:r>
          </w:p>
        </w:tc>
        <w:tc>
          <w:tcPr>
            <w:tcW w:w="1337" w:type="dxa"/>
            <w:vAlign w:val="center"/>
          </w:tcPr>
          <w:p w14:paraId="14753D2D">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检查频次</w:t>
            </w:r>
          </w:p>
        </w:tc>
      </w:tr>
      <w:tr w14:paraId="6D162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vAlign w:val="center"/>
          </w:tcPr>
          <w:p w14:paraId="287B0DDC">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外观与渗漏</w:t>
            </w:r>
          </w:p>
        </w:tc>
        <w:tc>
          <w:tcPr>
            <w:tcW w:w="2414" w:type="dxa"/>
            <w:vAlign w:val="center"/>
          </w:tcPr>
          <w:p w14:paraId="3D977159">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目视检查、红外测温</w:t>
            </w:r>
          </w:p>
        </w:tc>
        <w:tc>
          <w:tcPr>
            <w:tcW w:w="3940" w:type="dxa"/>
            <w:vAlign w:val="center"/>
          </w:tcPr>
          <w:p w14:paraId="13366B03">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无变形、锈蚀；油位正常（油枕上下限之间）；无渗漏油、放电痕迹</w:t>
            </w:r>
          </w:p>
        </w:tc>
        <w:tc>
          <w:tcPr>
            <w:tcW w:w="1337" w:type="dxa"/>
            <w:vAlign w:val="center"/>
          </w:tcPr>
          <w:p w14:paraId="0F477C70">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季度/次</w:t>
            </w:r>
          </w:p>
        </w:tc>
      </w:tr>
      <w:tr w14:paraId="423A3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vAlign w:val="center"/>
          </w:tcPr>
          <w:p w14:paraId="16E177C6">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温度与振动</w:t>
            </w:r>
          </w:p>
        </w:tc>
        <w:tc>
          <w:tcPr>
            <w:tcW w:w="2414" w:type="dxa"/>
            <w:vAlign w:val="center"/>
          </w:tcPr>
          <w:p w14:paraId="5FB426DF">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红外测温仪、振动仪</w:t>
            </w:r>
          </w:p>
        </w:tc>
        <w:tc>
          <w:tcPr>
            <w:tcW w:w="3940" w:type="dxa"/>
            <w:vAlign w:val="center"/>
          </w:tcPr>
          <w:p w14:paraId="24707F9E">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顶层油温≤85℃；振动值≤4.5mm/s</w:t>
            </w:r>
          </w:p>
        </w:tc>
        <w:tc>
          <w:tcPr>
            <w:tcW w:w="1337" w:type="dxa"/>
            <w:vAlign w:val="center"/>
          </w:tcPr>
          <w:p w14:paraId="7641BFB8">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季度/次</w:t>
            </w:r>
          </w:p>
        </w:tc>
      </w:tr>
      <w:tr w14:paraId="76208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vAlign w:val="center"/>
          </w:tcPr>
          <w:p w14:paraId="5EE5BAEA">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套管与散热装置</w:t>
            </w:r>
          </w:p>
        </w:tc>
        <w:tc>
          <w:tcPr>
            <w:tcW w:w="2414" w:type="dxa"/>
            <w:vAlign w:val="center"/>
          </w:tcPr>
          <w:p w14:paraId="444B79E8">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目视、红外测温</w:t>
            </w:r>
          </w:p>
        </w:tc>
        <w:tc>
          <w:tcPr>
            <w:tcW w:w="3940" w:type="dxa"/>
            <w:vAlign w:val="center"/>
          </w:tcPr>
          <w:p w14:paraId="0D6221ED">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套管无裂纹；散热风扇运行正常，无堵塞；避雷器无破损、放电痕迹；</w:t>
            </w:r>
          </w:p>
        </w:tc>
        <w:tc>
          <w:tcPr>
            <w:tcW w:w="1337" w:type="dxa"/>
            <w:vAlign w:val="center"/>
          </w:tcPr>
          <w:p w14:paraId="0F0A771D">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季度/次</w:t>
            </w:r>
          </w:p>
        </w:tc>
      </w:tr>
      <w:tr w14:paraId="20E5C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vAlign w:val="center"/>
          </w:tcPr>
          <w:p w14:paraId="0B7BEB50">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安全附件</w:t>
            </w:r>
          </w:p>
        </w:tc>
        <w:tc>
          <w:tcPr>
            <w:tcW w:w="2414" w:type="dxa"/>
            <w:vAlign w:val="center"/>
          </w:tcPr>
          <w:p w14:paraId="629FFB44">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目视</w:t>
            </w:r>
          </w:p>
        </w:tc>
        <w:tc>
          <w:tcPr>
            <w:tcW w:w="3940" w:type="dxa"/>
            <w:vAlign w:val="center"/>
          </w:tcPr>
          <w:p w14:paraId="5666DF47">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压力释放无喷油痕迹，瓦斯继电器无气体积聚，铭牌参数清晰完整</w:t>
            </w:r>
          </w:p>
        </w:tc>
        <w:tc>
          <w:tcPr>
            <w:tcW w:w="1337" w:type="dxa"/>
            <w:vAlign w:val="center"/>
          </w:tcPr>
          <w:p w14:paraId="25997203">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季度/次</w:t>
            </w:r>
          </w:p>
        </w:tc>
      </w:tr>
    </w:tbl>
    <w:p w14:paraId="5D61301C">
      <w:pPr>
        <w:kinsoku/>
        <w:overflowPunct/>
        <w:bidi w:val="0"/>
        <w:spacing w:line="360" w:lineRule="auto"/>
        <w:ind w:left="0" w:leftChars="0" w:right="0" w:rightChars="0"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高压侧设备巡检（10kV/35kV）</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6"/>
        <w:gridCol w:w="2267"/>
        <w:gridCol w:w="3813"/>
        <w:gridCol w:w="1492"/>
      </w:tblGrid>
      <w:tr w14:paraId="13752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vAlign w:val="center"/>
          </w:tcPr>
          <w:p w14:paraId="28DB7A70">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检查项目</w:t>
            </w:r>
          </w:p>
        </w:tc>
        <w:tc>
          <w:tcPr>
            <w:tcW w:w="2267" w:type="dxa"/>
            <w:vAlign w:val="center"/>
          </w:tcPr>
          <w:p w14:paraId="11E6C400">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检查方法</w:t>
            </w:r>
          </w:p>
        </w:tc>
        <w:tc>
          <w:tcPr>
            <w:tcW w:w="3813" w:type="dxa"/>
            <w:vAlign w:val="center"/>
          </w:tcPr>
          <w:p w14:paraId="751B2C5E">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标准</w:t>
            </w:r>
          </w:p>
        </w:tc>
        <w:tc>
          <w:tcPr>
            <w:tcW w:w="1492" w:type="dxa"/>
            <w:vAlign w:val="center"/>
          </w:tcPr>
          <w:p w14:paraId="65AB8AE5">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检查频次</w:t>
            </w:r>
          </w:p>
        </w:tc>
      </w:tr>
      <w:tr w14:paraId="33CFC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vAlign w:val="center"/>
          </w:tcPr>
          <w:p w14:paraId="37C641BD">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rPr>
              <w:t>高压负荷开关</w:t>
            </w:r>
            <w:r>
              <w:rPr>
                <w:rFonts w:hint="eastAsia" w:ascii="宋体" w:hAnsi="宋体" w:eastAsia="宋体" w:cs="宋体"/>
                <w:color w:val="auto"/>
                <w:sz w:val="24"/>
                <w:szCs w:val="24"/>
                <w:highlight w:val="none"/>
                <w:vertAlign w:val="baseline"/>
                <w:lang w:val="en-US" w:eastAsia="zh-CN"/>
              </w:rPr>
              <w:t>/断路器</w:t>
            </w:r>
          </w:p>
        </w:tc>
        <w:tc>
          <w:tcPr>
            <w:tcW w:w="2267" w:type="dxa"/>
            <w:vAlign w:val="center"/>
          </w:tcPr>
          <w:p w14:paraId="600E597D">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操作机构测试、目视检查</w:t>
            </w:r>
          </w:p>
        </w:tc>
        <w:tc>
          <w:tcPr>
            <w:tcW w:w="3813" w:type="dxa"/>
            <w:vAlign w:val="center"/>
          </w:tcPr>
          <w:p w14:paraId="2B5334E4">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分合指示正确；触头无烧蚀；操作灵活无卡涩；气压表显示在正常范围</w:t>
            </w:r>
          </w:p>
        </w:tc>
        <w:tc>
          <w:tcPr>
            <w:tcW w:w="1492" w:type="dxa"/>
            <w:vAlign w:val="center"/>
          </w:tcPr>
          <w:p w14:paraId="01E4F33E">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季度/次</w:t>
            </w:r>
          </w:p>
        </w:tc>
      </w:tr>
      <w:tr w14:paraId="37A60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vAlign w:val="center"/>
          </w:tcPr>
          <w:p w14:paraId="5111265B">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避雷器</w:t>
            </w:r>
          </w:p>
        </w:tc>
        <w:tc>
          <w:tcPr>
            <w:tcW w:w="2267" w:type="dxa"/>
            <w:vAlign w:val="center"/>
          </w:tcPr>
          <w:p w14:paraId="07AA73B9">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泄漏电流测试仪</w:t>
            </w:r>
          </w:p>
        </w:tc>
        <w:tc>
          <w:tcPr>
            <w:tcW w:w="3813" w:type="dxa"/>
            <w:vAlign w:val="center"/>
          </w:tcPr>
          <w:p w14:paraId="5F14B3CF">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泄漏电流≤50μA；接地电阻≤4Ω</w:t>
            </w:r>
          </w:p>
        </w:tc>
        <w:tc>
          <w:tcPr>
            <w:tcW w:w="1492" w:type="dxa"/>
            <w:vAlign w:val="center"/>
          </w:tcPr>
          <w:p w14:paraId="4F6A3143">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季度/次</w:t>
            </w:r>
          </w:p>
        </w:tc>
      </w:tr>
      <w:tr w14:paraId="498AE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vAlign w:val="center"/>
          </w:tcPr>
          <w:p w14:paraId="27C639AD">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高压电缆</w:t>
            </w:r>
          </w:p>
        </w:tc>
        <w:tc>
          <w:tcPr>
            <w:tcW w:w="2267" w:type="dxa"/>
            <w:vAlign w:val="center"/>
          </w:tcPr>
          <w:p w14:paraId="2DE5AF0D">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红外测温、外观检查</w:t>
            </w:r>
          </w:p>
        </w:tc>
        <w:tc>
          <w:tcPr>
            <w:tcW w:w="3813" w:type="dxa"/>
            <w:vAlign w:val="center"/>
          </w:tcPr>
          <w:p w14:paraId="4B75E863">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表皮无破损；接头温度≤70℃</w:t>
            </w:r>
          </w:p>
        </w:tc>
        <w:tc>
          <w:tcPr>
            <w:tcW w:w="1492" w:type="dxa"/>
            <w:vAlign w:val="center"/>
          </w:tcPr>
          <w:p w14:paraId="259D52B6">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季度/次</w:t>
            </w:r>
          </w:p>
        </w:tc>
      </w:tr>
    </w:tbl>
    <w:p w14:paraId="2257D716">
      <w:pPr>
        <w:kinsoku/>
        <w:overflowPunct/>
        <w:bidi w:val="0"/>
        <w:spacing w:line="360" w:lineRule="auto"/>
        <w:ind w:left="0" w:leftChars="0" w:right="0" w:rightChars="0"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低压侧设备巡检（0.4kV）</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0"/>
        <w:gridCol w:w="2108"/>
        <w:gridCol w:w="3958"/>
        <w:gridCol w:w="1437"/>
      </w:tblGrid>
      <w:tr w14:paraId="067B6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Align w:val="center"/>
          </w:tcPr>
          <w:p w14:paraId="107FF5BE">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检查项目</w:t>
            </w:r>
          </w:p>
        </w:tc>
        <w:tc>
          <w:tcPr>
            <w:tcW w:w="2108" w:type="dxa"/>
            <w:vAlign w:val="center"/>
          </w:tcPr>
          <w:p w14:paraId="173409DA">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检查方法</w:t>
            </w:r>
          </w:p>
        </w:tc>
        <w:tc>
          <w:tcPr>
            <w:tcW w:w="3958" w:type="dxa"/>
            <w:vAlign w:val="center"/>
          </w:tcPr>
          <w:p w14:paraId="57677688">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标准</w:t>
            </w:r>
          </w:p>
        </w:tc>
        <w:tc>
          <w:tcPr>
            <w:tcW w:w="1437" w:type="dxa"/>
            <w:vAlign w:val="center"/>
          </w:tcPr>
          <w:p w14:paraId="3DA3D59C">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检查频次</w:t>
            </w:r>
          </w:p>
        </w:tc>
      </w:tr>
      <w:tr w14:paraId="1FB91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Align w:val="center"/>
          </w:tcPr>
          <w:p w14:paraId="739A3FE3">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低压断路器</w:t>
            </w:r>
          </w:p>
        </w:tc>
        <w:tc>
          <w:tcPr>
            <w:tcW w:w="2108" w:type="dxa"/>
            <w:vAlign w:val="center"/>
          </w:tcPr>
          <w:p w14:paraId="1678ABC8">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触头温度测试、机械特性测试</w:t>
            </w:r>
          </w:p>
        </w:tc>
        <w:tc>
          <w:tcPr>
            <w:tcW w:w="3958" w:type="dxa"/>
            <w:vAlign w:val="center"/>
          </w:tcPr>
          <w:p w14:paraId="265DC7E4">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触头温度≤70℃；分合闸时间符合厂家参数</w:t>
            </w:r>
          </w:p>
        </w:tc>
        <w:tc>
          <w:tcPr>
            <w:tcW w:w="1437" w:type="dxa"/>
            <w:vAlign w:val="center"/>
          </w:tcPr>
          <w:p w14:paraId="46E964F6">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季度/次</w:t>
            </w:r>
          </w:p>
        </w:tc>
      </w:tr>
      <w:tr w14:paraId="30F52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Align w:val="center"/>
          </w:tcPr>
          <w:p w14:paraId="6CAB6737">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母线排与电缆</w:t>
            </w:r>
          </w:p>
        </w:tc>
        <w:tc>
          <w:tcPr>
            <w:tcW w:w="2108" w:type="dxa"/>
            <w:vAlign w:val="center"/>
          </w:tcPr>
          <w:p w14:paraId="1180932F">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红外测温、力矩扳手检查</w:t>
            </w:r>
          </w:p>
        </w:tc>
        <w:tc>
          <w:tcPr>
            <w:tcW w:w="3958" w:type="dxa"/>
            <w:vAlign w:val="center"/>
          </w:tcPr>
          <w:p w14:paraId="50E579C0">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母线温度≤70℃；螺栓紧固力矩符合标准</w:t>
            </w:r>
          </w:p>
        </w:tc>
        <w:tc>
          <w:tcPr>
            <w:tcW w:w="1437" w:type="dxa"/>
            <w:vAlign w:val="center"/>
          </w:tcPr>
          <w:p w14:paraId="6664E718">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季度/次</w:t>
            </w:r>
          </w:p>
        </w:tc>
      </w:tr>
      <w:tr w14:paraId="4572F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Align w:val="center"/>
          </w:tcPr>
          <w:p w14:paraId="29CDF84D">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电容器补偿装置</w:t>
            </w:r>
          </w:p>
        </w:tc>
        <w:tc>
          <w:tcPr>
            <w:tcW w:w="2108" w:type="dxa"/>
            <w:vAlign w:val="center"/>
          </w:tcPr>
          <w:p w14:paraId="1BE8485B">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红外测温、外观检查</w:t>
            </w:r>
          </w:p>
        </w:tc>
        <w:tc>
          <w:tcPr>
            <w:tcW w:w="3958" w:type="dxa"/>
            <w:vAlign w:val="center"/>
          </w:tcPr>
          <w:p w14:paraId="4DD6B1F6">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电容值偏差≤±5%；无鼓包、渗油</w:t>
            </w:r>
          </w:p>
        </w:tc>
        <w:tc>
          <w:tcPr>
            <w:tcW w:w="1437" w:type="dxa"/>
            <w:vAlign w:val="center"/>
          </w:tcPr>
          <w:p w14:paraId="30928442">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季度/次</w:t>
            </w:r>
          </w:p>
        </w:tc>
      </w:tr>
    </w:tbl>
    <w:p w14:paraId="7ECBBD3A">
      <w:pPr>
        <w:kinsoku/>
        <w:overflowPunct/>
        <w:bidi w:val="0"/>
        <w:spacing w:line="360" w:lineRule="auto"/>
        <w:ind w:left="0" w:leftChars="0" w:right="0" w:rightChars="0"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一二次设备巡检</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0"/>
        <w:gridCol w:w="2108"/>
        <w:gridCol w:w="3971"/>
        <w:gridCol w:w="1411"/>
      </w:tblGrid>
      <w:tr w14:paraId="77D42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Align w:val="center"/>
          </w:tcPr>
          <w:p w14:paraId="774DA150">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检查项目</w:t>
            </w:r>
          </w:p>
        </w:tc>
        <w:tc>
          <w:tcPr>
            <w:tcW w:w="2108" w:type="dxa"/>
            <w:vAlign w:val="center"/>
          </w:tcPr>
          <w:p w14:paraId="3A8C58D3">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检查方法</w:t>
            </w:r>
          </w:p>
        </w:tc>
        <w:tc>
          <w:tcPr>
            <w:tcW w:w="3971" w:type="dxa"/>
            <w:vAlign w:val="center"/>
          </w:tcPr>
          <w:p w14:paraId="5F0B5158">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标准</w:t>
            </w:r>
          </w:p>
        </w:tc>
        <w:tc>
          <w:tcPr>
            <w:tcW w:w="1411" w:type="dxa"/>
            <w:vAlign w:val="center"/>
          </w:tcPr>
          <w:p w14:paraId="73F17B02">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检查频次</w:t>
            </w:r>
          </w:p>
        </w:tc>
      </w:tr>
      <w:tr w14:paraId="2E3FA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Align w:val="center"/>
          </w:tcPr>
          <w:p w14:paraId="3B09F3FB">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二次回路接线</w:t>
            </w:r>
          </w:p>
        </w:tc>
        <w:tc>
          <w:tcPr>
            <w:tcW w:w="2108" w:type="dxa"/>
            <w:vAlign w:val="center"/>
          </w:tcPr>
          <w:p w14:paraId="78D4CB88">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导通测试、端子排检查</w:t>
            </w:r>
          </w:p>
        </w:tc>
        <w:tc>
          <w:tcPr>
            <w:tcW w:w="3971" w:type="dxa"/>
            <w:vAlign w:val="center"/>
          </w:tcPr>
          <w:p w14:paraId="5F4FBC13">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无松动、氧化；标识清晰</w:t>
            </w:r>
          </w:p>
        </w:tc>
        <w:tc>
          <w:tcPr>
            <w:tcW w:w="1411" w:type="dxa"/>
            <w:vAlign w:val="center"/>
          </w:tcPr>
          <w:p w14:paraId="74905629">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季度/次</w:t>
            </w:r>
          </w:p>
        </w:tc>
      </w:tr>
      <w:tr w14:paraId="6C70A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Align w:val="center"/>
          </w:tcPr>
          <w:p w14:paraId="22A7234F">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继电保护装置</w:t>
            </w:r>
          </w:p>
        </w:tc>
        <w:tc>
          <w:tcPr>
            <w:tcW w:w="2108" w:type="dxa"/>
            <w:vAlign w:val="center"/>
          </w:tcPr>
          <w:p w14:paraId="048DD7DF">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定值核对、功能测试</w:t>
            </w:r>
          </w:p>
        </w:tc>
        <w:tc>
          <w:tcPr>
            <w:tcW w:w="3971" w:type="dxa"/>
            <w:vAlign w:val="center"/>
          </w:tcPr>
          <w:p w14:paraId="657E301F">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定值与调度一致；保护动作逻辑正确</w:t>
            </w:r>
          </w:p>
        </w:tc>
        <w:tc>
          <w:tcPr>
            <w:tcW w:w="1411" w:type="dxa"/>
            <w:vAlign w:val="center"/>
          </w:tcPr>
          <w:p w14:paraId="2388FB29">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季度/次</w:t>
            </w:r>
          </w:p>
        </w:tc>
      </w:tr>
      <w:tr w14:paraId="63862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Align w:val="center"/>
          </w:tcPr>
          <w:p w14:paraId="4EE3FBBF">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监控系统</w:t>
            </w:r>
          </w:p>
        </w:tc>
        <w:tc>
          <w:tcPr>
            <w:tcW w:w="2108" w:type="dxa"/>
            <w:vAlign w:val="center"/>
          </w:tcPr>
          <w:p w14:paraId="1B84A570">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数据对比、通信测试</w:t>
            </w:r>
          </w:p>
        </w:tc>
        <w:tc>
          <w:tcPr>
            <w:tcW w:w="3971" w:type="dxa"/>
            <w:vAlign w:val="center"/>
          </w:tcPr>
          <w:p w14:paraId="09CCD0AF">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电压/电流数据误差≤1%；通信无中断</w:t>
            </w:r>
          </w:p>
        </w:tc>
        <w:tc>
          <w:tcPr>
            <w:tcW w:w="1411" w:type="dxa"/>
            <w:vAlign w:val="center"/>
          </w:tcPr>
          <w:p w14:paraId="00EF1923">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季度/次</w:t>
            </w:r>
          </w:p>
        </w:tc>
      </w:tr>
    </w:tbl>
    <w:p w14:paraId="1F80E367">
      <w:pPr>
        <w:widowControl/>
        <w:numPr>
          <w:ilvl w:val="0"/>
          <w:numId w:val="0"/>
        </w:numPr>
        <w:pBdr>
          <w:top w:val="none" w:color="auto" w:sz="0" w:space="0"/>
          <w:left w:val="none" w:color="auto" w:sz="0" w:space="0"/>
          <w:bottom w:val="none" w:color="auto" w:sz="0" w:space="0"/>
          <w:right w:val="none" w:color="auto" w:sz="0" w:space="0"/>
        </w:pBd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default" w:ascii="宋体" w:hAnsi="宋体" w:cs="Times New Roman"/>
          <w:b w:val="0"/>
          <w:bCs w:val="0"/>
          <w:color w:val="auto"/>
          <w:sz w:val="24"/>
          <w:szCs w:val="24"/>
          <w:highlight w:val="none"/>
          <w:lang w:val="en-US" w:eastAsia="zh-CN"/>
        </w:rPr>
        <w:t>注：</w:t>
      </w:r>
      <w:r>
        <w:rPr>
          <w:rFonts w:ascii="宋体" w:hAnsi="宋体" w:eastAsia="宋体" w:cs="Times New Roman"/>
          <w:i w:val="0"/>
          <w:iCs w:val="0"/>
          <w:caps w:val="0"/>
          <w:color w:val="auto"/>
          <w:spacing w:val="0"/>
          <w:sz w:val="24"/>
          <w:szCs w:val="24"/>
          <w:highlight w:val="none"/>
          <w:shd w:val="clear"/>
        </w:rPr>
        <w:t>以上标准需满足国家、行业发布的现行规范及技术规程。</w:t>
      </w:r>
    </w:p>
    <w:p w14:paraId="4B435058">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1.2.2.2预防性试验服务</w:t>
      </w:r>
    </w:p>
    <w:p w14:paraId="1154DE87">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按照《箱式变电站（箱变）运行检查与维护规范》执行，每年开展1次预防性试验，</w:t>
      </w:r>
      <w:r>
        <w:rPr>
          <w:rFonts w:hint="default" w:ascii="宋体" w:hAnsi="宋体" w:eastAsia="宋体" w:cs="Times New Roman"/>
          <w:color w:val="auto"/>
          <w:sz w:val="24"/>
          <w:szCs w:val="24"/>
          <w:highlight w:val="none"/>
          <w:lang w:val="en-US" w:eastAsia="zh-CN"/>
        </w:rPr>
        <w:t>服务中，若仅涉及人工、普通工具及低值耗材，且总费用在人民币</w:t>
      </w:r>
      <w:r>
        <w:rPr>
          <w:rFonts w:hint="eastAsia" w:ascii="宋体" w:hAnsi="宋体" w:eastAsia="宋体" w:cs="Times New Roman"/>
          <w:color w:val="auto"/>
          <w:sz w:val="24"/>
          <w:szCs w:val="24"/>
          <w:highlight w:val="none"/>
          <w:lang w:val="en-US" w:eastAsia="zh-CN"/>
        </w:rPr>
        <w:t>2</w:t>
      </w:r>
      <w:r>
        <w:rPr>
          <w:rFonts w:hint="default" w:ascii="宋体" w:hAnsi="宋体" w:eastAsia="宋体" w:cs="Times New Roman"/>
          <w:color w:val="auto"/>
          <w:sz w:val="24"/>
          <w:szCs w:val="24"/>
          <w:highlight w:val="none"/>
          <w:lang w:val="en-US" w:eastAsia="zh-CN"/>
        </w:rPr>
        <w:t>000元（含）以下，由</w:t>
      </w:r>
      <w:r>
        <w:rPr>
          <w:rFonts w:hint="eastAsia" w:ascii="宋体" w:hAnsi="宋体" w:eastAsia="宋体" w:cs="Times New Roman"/>
          <w:color w:val="auto"/>
          <w:sz w:val="24"/>
          <w:szCs w:val="24"/>
          <w:highlight w:val="none"/>
          <w:lang w:val="en-US" w:eastAsia="zh-CN"/>
        </w:rPr>
        <w:t>乙方</w:t>
      </w:r>
      <w:r>
        <w:rPr>
          <w:rFonts w:hint="default" w:ascii="宋体" w:hAnsi="宋体" w:eastAsia="宋体" w:cs="Times New Roman"/>
          <w:color w:val="auto"/>
          <w:sz w:val="24"/>
          <w:szCs w:val="24"/>
          <w:highlight w:val="none"/>
          <w:lang w:val="en-US" w:eastAsia="zh-CN"/>
        </w:rPr>
        <w:t>承担。</w:t>
      </w:r>
      <w:r>
        <w:rPr>
          <w:rFonts w:hint="eastAsia" w:ascii="宋体" w:hAnsi="宋体" w:eastAsia="宋体" w:cs="Times New Roman"/>
          <w:color w:val="auto"/>
          <w:sz w:val="24"/>
          <w:szCs w:val="24"/>
          <w:highlight w:val="none"/>
          <w:lang w:val="en-US" w:eastAsia="zh-CN"/>
        </w:rPr>
        <w:t>超出人民币2000元，设备更换的，主要材料及设备由甲方提供。本项目所有人工服务费用含在综合报价中。</w:t>
      </w:r>
    </w:p>
    <w:p w14:paraId="1AF0A5C7">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内容包括但不限于：</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1504"/>
        <w:gridCol w:w="1908"/>
        <w:gridCol w:w="2204"/>
        <w:gridCol w:w="1909"/>
      </w:tblGrid>
      <w:tr w14:paraId="3B1E6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vAlign w:val="center"/>
          </w:tcPr>
          <w:p w14:paraId="3ED7EE1D">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val="en-US" w:eastAsia="zh-CN"/>
              </w:rPr>
              <w:t>实验</w:t>
            </w:r>
            <w:r>
              <w:rPr>
                <w:rFonts w:hint="eastAsia" w:ascii="宋体" w:hAnsi="宋体" w:eastAsia="宋体" w:cs="宋体"/>
                <w:color w:val="auto"/>
                <w:sz w:val="24"/>
                <w:szCs w:val="24"/>
                <w:highlight w:val="none"/>
                <w:vertAlign w:val="baseline"/>
              </w:rPr>
              <w:t>类别</w:t>
            </w:r>
          </w:p>
        </w:tc>
        <w:tc>
          <w:tcPr>
            <w:tcW w:w="1504" w:type="dxa"/>
            <w:vAlign w:val="center"/>
          </w:tcPr>
          <w:p w14:paraId="03B8A8A7">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试验项目</w:t>
            </w:r>
          </w:p>
        </w:tc>
        <w:tc>
          <w:tcPr>
            <w:tcW w:w="1908" w:type="dxa"/>
            <w:vAlign w:val="center"/>
          </w:tcPr>
          <w:p w14:paraId="5022EA5D">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试验方法</w:t>
            </w:r>
          </w:p>
        </w:tc>
        <w:tc>
          <w:tcPr>
            <w:tcW w:w="2204" w:type="dxa"/>
            <w:vAlign w:val="center"/>
          </w:tcPr>
          <w:p w14:paraId="6A08FE3C">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标准要求</w:t>
            </w:r>
          </w:p>
        </w:tc>
        <w:tc>
          <w:tcPr>
            <w:tcW w:w="1909" w:type="dxa"/>
            <w:vAlign w:val="center"/>
          </w:tcPr>
          <w:p w14:paraId="31833E49">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检查频次</w:t>
            </w:r>
          </w:p>
        </w:tc>
      </w:tr>
      <w:tr w14:paraId="750B0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vMerge w:val="restart"/>
            <w:vAlign w:val="center"/>
          </w:tcPr>
          <w:p w14:paraId="59F953BB">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变压器</w:t>
            </w:r>
          </w:p>
        </w:tc>
        <w:tc>
          <w:tcPr>
            <w:tcW w:w="1504" w:type="dxa"/>
            <w:vAlign w:val="center"/>
          </w:tcPr>
          <w:p w14:paraId="6E1CDFFA">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绕组绝缘电阻</w:t>
            </w:r>
          </w:p>
        </w:tc>
        <w:tc>
          <w:tcPr>
            <w:tcW w:w="1908" w:type="dxa"/>
            <w:vAlign w:val="center"/>
          </w:tcPr>
          <w:p w14:paraId="69E35CC6">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2500V兆欧表测量</w:t>
            </w:r>
          </w:p>
        </w:tc>
        <w:tc>
          <w:tcPr>
            <w:tcW w:w="2204" w:type="dxa"/>
            <w:vAlign w:val="center"/>
          </w:tcPr>
          <w:p w14:paraId="76FE101F">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高压-低压≥300MΩ</w:t>
            </w:r>
          </w:p>
        </w:tc>
        <w:tc>
          <w:tcPr>
            <w:tcW w:w="1909" w:type="dxa"/>
            <w:vMerge w:val="restart"/>
            <w:vAlign w:val="center"/>
          </w:tcPr>
          <w:p w14:paraId="17BC5863">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年度/次</w:t>
            </w:r>
          </w:p>
        </w:tc>
      </w:tr>
      <w:tr w14:paraId="3874C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vMerge w:val="continue"/>
            <w:vAlign w:val="center"/>
          </w:tcPr>
          <w:p w14:paraId="1369EC57">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p>
        </w:tc>
        <w:tc>
          <w:tcPr>
            <w:tcW w:w="1504" w:type="dxa"/>
            <w:vAlign w:val="center"/>
          </w:tcPr>
          <w:p w14:paraId="31637754">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绕组直流电阻</w:t>
            </w:r>
          </w:p>
        </w:tc>
        <w:tc>
          <w:tcPr>
            <w:tcW w:w="1908" w:type="dxa"/>
            <w:vAlign w:val="center"/>
          </w:tcPr>
          <w:p w14:paraId="68490DCF">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直流电阻测试仪</w:t>
            </w:r>
          </w:p>
        </w:tc>
        <w:tc>
          <w:tcPr>
            <w:tcW w:w="2204" w:type="dxa"/>
            <w:vAlign w:val="center"/>
          </w:tcPr>
          <w:p w14:paraId="2C6A233F">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直流电阻测试仪 相间偏差≤2%</w:t>
            </w:r>
          </w:p>
        </w:tc>
        <w:tc>
          <w:tcPr>
            <w:tcW w:w="1909" w:type="dxa"/>
            <w:vMerge w:val="continue"/>
            <w:vAlign w:val="center"/>
          </w:tcPr>
          <w:p w14:paraId="49AEFE86">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p>
        </w:tc>
      </w:tr>
      <w:tr w14:paraId="4243E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vMerge w:val="continue"/>
            <w:vAlign w:val="center"/>
          </w:tcPr>
          <w:p w14:paraId="2CDC5774">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p>
        </w:tc>
        <w:tc>
          <w:tcPr>
            <w:tcW w:w="1504" w:type="dxa"/>
            <w:vAlign w:val="center"/>
          </w:tcPr>
          <w:p w14:paraId="501B0B3D">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变比测试</w:t>
            </w:r>
          </w:p>
        </w:tc>
        <w:tc>
          <w:tcPr>
            <w:tcW w:w="1908" w:type="dxa"/>
            <w:vAlign w:val="center"/>
          </w:tcPr>
          <w:p w14:paraId="64A317F2">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变比组别测试仪</w:t>
            </w:r>
          </w:p>
        </w:tc>
        <w:tc>
          <w:tcPr>
            <w:tcW w:w="2204" w:type="dxa"/>
            <w:vAlign w:val="center"/>
          </w:tcPr>
          <w:p w14:paraId="3D27AEE6">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误差≤±0.5%</w:t>
            </w:r>
          </w:p>
        </w:tc>
        <w:tc>
          <w:tcPr>
            <w:tcW w:w="1909" w:type="dxa"/>
            <w:vMerge w:val="continue"/>
            <w:vAlign w:val="center"/>
          </w:tcPr>
          <w:p w14:paraId="126D8719">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p>
        </w:tc>
      </w:tr>
      <w:tr w14:paraId="43545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vAlign w:val="center"/>
          </w:tcPr>
          <w:p w14:paraId="067D1E4B">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高压设备</w:t>
            </w:r>
          </w:p>
        </w:tc>
        <w:tc>
          <w:tcPr>
            <w:tcW w:w="1504" w:type="dxa"/>
            <w:vAlign w:val="center"/>
          </w:tcPr>
          <w:p w14:paraId="747E834B">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避雷器直流参考电压试验</w:t>
            </w:r>
          </w:p>
        </w:tc>
        <w:tc>
          <w:tcPr>
            <w:tcW w:w="1908" w:type="dxa"/>
            <w:vAlign w:val="center"/>
          </w:tcPr>
          <w:p w14:paraId="6C4B2B43">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直流高压发生器</w:t>
            </w:r>
          </w:p>
        </w:tc>
        <w:tc>
          <w:tcPr>
            <w:tcW w:w="2204" w:type="dxa"/>
            <w:vAlign w:val="center"/>
          </w:tcPr>
          <w:p w14:paraId="3608E88F">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U1mA≥1.15倍额定电压</w:t>
            </w:r>
          </w:p>
        </w:tc>
        <w:tc>
          <w:tcPr>
            <w:tcW w:w="1909" w:type="dxa"/>
            <w:vAlign w:val="center"/>
          </w:tcPr>
          <w:p w14:paraId="04422225">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年度/次</w:t>
            </w:r>
          </w:p>
        </w:tc>
      </w:tr>
      <w:tr w14:paraId="38F24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vAlign w:val="center"/>
          </w:tcPr>
          <w:p w14:paraId="4E816297">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低压设备</w:t>
            </w:r>
          </w:p>
        </w:tc>
        <w:tc>
          <w:tcPr>
            <w:tcW w:w="1504" w:type="dxa"/>
            <w:vAlign w:val="center"/>
          </w:tcPr>
          <w:p w14:paraId="710D7EA0">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电容器容量测试</w:t>
            </w:r>
          </w:p>
        </w:tc>
        <w:tc>
          <w:tcPr>
            <w:tcW w:w="1908" w:type="dxa"/>
            <w:vAlign w:val="center"/>
          </w:tcPr>
          <w:p w14:paraId="7578B8B3">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电容表</w:t>
            </w:r>
          </w:p>
        </w:tc>
        <w:tc>
          <w:tcPr>
            <w:tcW w:w="2204" w:type="dxa"/>
            <w:vAlign w:val="center"/>
          </w:tcPr>
          <w:p w14:paraId="438BDAF6">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偏差≤±5%</w:t>
            </w:r>
          </w:p>
        </w:tc>
        <w:tc>
          <w:tcPr>
            <w:tcW w:w="1909" w:type="dxa"/>
            <w:vAlign w:val="center"/>
          </w:tcPr>
          <w:p w14:paraId="1ED0DA7A">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年度/次</w:t>
            </w:r>
          </w:p>
        </w:tc>
      </w:tr>
      <w:tr w14:paraId="7FFBA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vAlign w:val="center"/>
          </w:tcPr>
          <w:p w14:paraId="6B5DEE67">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高压电缆</w:t>
            </w:r>
          </w:p>
        </w:tc>
        <w:tc>
          <w:tcPr>
            <w:tcW w:w="1504" w:type="dxa"/>
            <w:vAlign w:val="center"/>
          </w:tcPr>
          <w:p w14:paraId="7B7E6472">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绝缘电阻检查</w:t>
            </w:r>
          </w:p>
        </w:tc>
        <w:tc>
          <w:tcPr>
            <w:tcW w:w="1908" w:type="dxa"/>
            <w:vAlign w:val="center"/>
          </w:tcPr>
          <w:p w14:paraId="02E8BA4C">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2500V兆欧表测量</w:t>
            </w:r>
          </w:p>
        </w:tc>
        <w:tc>
          <w:tcPr>
            <w:tcW w:w="2204" w:type="dxa"/>
            <w:vAlign w:val="center"/>
          </w:tcPr>
          <w:p w14:paraId="32AD0510">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绝缘电阻≥100MΩ</w:t>
            </w:r>
          </w:p>
        </w:tc>
        <w:tc>
          <w:tcPr>
            <w:tcW w:w="1909" w:type="dxa"/>
            <w:vAlign w:val="center"/>
          </w:tcPr>
          <w:p w14:paraId="092504B4">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年度/次</w:t>
            </w:r>
          </w:p>
        </w:tc>
      </w:tr>
      <w:tr w14:paraId="6FA52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vAlign w:val="center"/>
          </w:tcPr>
          <w:p w14:paraId="3ECD1D83">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低压电缆</w:t>
            </w:r>
          </w:p>
        </w:tc>
        <w:tc>
          <w:tcPr>
            <w:tcW w:w="1504" w:type="dxa"/>
            <w:vAlign w:val="center"/>
          </w:tcPr>
          <w:p w14:paraId="48ED1B63">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绝缘电阻检查</w:t>
            </w:r>
          </w:p>
        </w:tc>
        <w:tc>
          <w:tcPr>
            <w:tcW w:w="1908" w:type="dxa"/>
            <w:vAlign w:val="center"/>
          </w:tcPr>
          <w:p w14:paraId="53517070">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500V 兆欧表测量</w:t>
            </w:r>
          </w:p>
        </w:tc>
        <w:tc>
          <w:tcPr>
            <w:tcW w:w="2204" w:type="dxa"/>
            <w:vAlign w:val="center"/>
          </w:tcPr>
          <w:p w14:paraId="3CA0E8B7">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绝缘电阻≥0.5MΩ</w:t>
            </w:r>
          </w:p>
        </w:tc>
        <w:tc>
          <w:tcPr>
            <w:tcW w:w="1909" w:type="dxa"/>
            <w:vAlign w:val="center"/>
          </w:tcPr>
          <w:p w14:paraId="316750ED">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年度/次</w:t>
            </w:r>
          </w:p>
        </w:tc>
      </w:tr>
      <w:tr w14:paraId="17C20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vAlign w:val="center"/>
          </w:tcPr>
          <w:p w14:paraId="48C59B66">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接地电阻</w:t>
            </w:r>
          </w:p>
        </w:tc>
        <w:tc>
          <w:tcPr>
            <w:tcW w:w="1504" w:type="dxa"/>
            <w:vAlign w:val="center"/>
          </w:tcPr>
          <w:p w14:paraId="3D4DC0F1">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箱变接地电阻</w:t>
            </w:r>
          </w:p>
        </w:tc>
        <w:tc>
          <w:tcPr>
            <w:tcW w:w="1908" w:type="dxa"/>
            <w:vAlign w:val="center"/>
          </w:tcPr>
          <w:p w14:paraId="668F03C1">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接地电阻测试仪</w:t>
            </w:r>
          </w:p>
        </w:tc>
        <w:tc>
          <w:tcPr>
            <w:tcW w:w="2204" w:type="dxa"/>
            <w:vAlign w:val="center"/>
          </w:tcPr>
          <w:p w14:paraId="543D3527">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接地电阻≤4Ω</w:t>
            </w:r>
          </w:p>
        </w:tc>
        <w:tc>
          <w:tcPr>
            <w:tcW w:w="1909" w:type="dxa"/>
            <w:vAlign w:val="center"/>
          </w:tcPr>
          <w:p w14:paraId="1DAFE808">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年度/次</w:t>
            </w:r>
          </w:p>
        </w:tc>
      </w:tr>
    </w:tbl>
    <w:p w14:paraId="37EECF30">
      <w:pPr>
        <w:widowControl/>
        <w:numPr>
          <w:ilvl w:val="0"/>
          <w:numId w:val="0"/>
        </w:numPr>
        <w:pBdr>
          <w:top w:val="none" w:color="auto" w:sz="0" w:space="0"/>
          <w:left w:val="none" w:color="auto" w:sz="0" w:space="0"/>
          <w:bottom w:val="none" w:color="auto" w:sz="0" w:space="0"/>
          <w:right w:val="none" w:color="auto" w:sz="0" w:space="0"/>
        </w:pBd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default" w:ascii="宋体" w:hAnsi="宋体" w:cs="Times New Roman"/>
          <w:b w:val="0"/>
          <w:bCs w:val="0"/>
          <w:color w:val="auto"/>
          <w:sz w:val="24"/>
          <w:szCs w:val="24"/>
          <w:highlight w:val="none"/>
          <w:lang w:val="en-US" w:eastAsia="zh-CN"/>
        </w:rPr>
        <w:t>注：</w:t>
      </w:r>
      <w:r>
        <w:rPr>
          <w:rFonts w:ascii="宋体" w:hAnsi="宋体" w:eastAsia="宋体" w:cs="Times New Roman"/>
          <w:i w:val="0"/>
          <w:iCs w:val="0"/>
          <w:caps w:val="0"/>
          <w:color w:val="auto"/>
          <w:spacing w:val="0"/>
          <w:sz w:val="24"/>
          <w:szCs w:val="24"/>
          <w:highlight w:val="none"/>
          <w:shd w:val="clear"/>
        </w:rPr>
        <w:t>以上标准需满足国家、行业发布的现行规范及技术规程。</w:t>
      </w:r>
    </w:p>
    <w:p w14:paraId="30C5A546">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1.2.2.3故障应急响应</w:t>
      </w:r>
    </w:p>
    <w:p w14:paraId="37CD3B12">
      <w:pPr>
        <w:kinsoku/>
        <w:overflowPunct/>
        <w:bidi w:val="0"/>
        <w:spacing w:line="360" w:lineRule="auto"/>
        <w:ind w:left="0" w:leftChars="0" w:right="0" w:rightChars="0" w:firstLine="435"/>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巡检或运行中发现故障，乙方在接到甲方通知后，市区范围内</w:t>
      </w:r>
      <w:r>
        <w:rPr>
          <w:rFonts w:hint="eastAsia" w:ascii="宋体" w:hAnsi="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lang w:val="en-US" w:eastAsia="zh-CN"/>
        </w:rPr>
        <w:t>小时、郊区范围内</w:t>
      </w:r>
      <w:r>
        <w:rPr>
          <w:rFonts w:hint="eastAsia" w:ascii="宋体" w:hAnsi="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val="en-US" w:eastAsia="zh-CN"/>
        </w:rPr>
        <w:t>小时内到达现场，8小时内完成一般故障修复；重大故障需出具书面解决方案，并同步启动应急保障措施。</w:t>
      </w:r>
      <w:r>
        <w:rPr>
          <w:rFonts w:hint="default" w:ascii="宋体" w:hAnsi="宋体" w:eastAsia="宋体" w:cs="Times New Roman"/>
          <w:color w:val="auto"/>
          <w:sz w:val="24"/>
          <w:szCs w:val="24"/>
          <w:highlight w:val="none"/>
          <w:lang w:val="en-US" w:eastAsia="zh-CN"/>
        </w:rPr>
        <w:t>单次服务中，若仅涉及人工、普通工具及低值耗材，且总费用在人民币</w:t>
      </w:r>
      <w:r>
        <w:rPr>
          <w:rFonts w:hint="eastAsia" w:ascii="宋体" w:hAnsi="宋体" w:eastAsia="宋体" w:cs="Times New Roman"/>
          <w:color w:val="auto"/>
          <w:sz w:val="24"/>
          <w:szCs w:val="24"/>
          <w:highlight w:val="none"/>
          <w:lang w:val="en-US" w:eastAsia="zh-CN"/>
        </w:rPr>
        <w:t>2</w:t>
      </w:r>
      <w:r>
        <w:rPr>
          <w:rFonts w:hint="default" w:ascii="宋体" w:hAnsi="宋体" w:eastAsia="宋体" w:cs="Times New Roman"/>
          <w:color w:val="auto"/>
          <w:sz w:val="24"/>
          <w:szCs w:val="24"/>
          <w:highlight w:val="none"/>
          <w:lang w:val="en-US" w:eastAsia="zh-CN"/>
        </w:rPr>
        <w:t>000元（含）以下，由</w:t>
      </w:r>
      <w:r>
        <w:rPr>
          <w:rFonts w:hint="eastAsia" w:ascii="宋体" w:hAnsi="宋体" w:eastAsia="宋体" w:cs="Times New Roman"/>
          <w:color w:val="auto"/>
          <w:sz w:val="24"/>
          <w:szCs w:val="24"/>
          <w:highlight w:val="none"/>
          <w:lang w:val="en-US" w:eastAsia="zh-CN"/>
        </w:rPr>
        <w:t>乙方</w:t>
      </w:r>
      <w:r>
        <w:rPr>
          <w:rFonts w:hint="default" w:ascii="宋体" w:hAnsi="宋体" w:eastAsia="宋体" w:cs="Times New Roman"/>
          <w:color w:val="auto"/>
          <w:sz w:val="24"/>
          <w:szCs w:val="24"/>
          <w:highlight w:val="none"/>
          <w:lang w:val="en-US" w:eastAsia="zh-CN"/>
        </w:rPr>
        <w:t>承担。</w:t>
      </w:r>
      <w:r>
        <w:rPr>
          <w:rFonts w:hint="eastAsia" w:ascii="宋体" w:hAnsi="宋体" w:eastAsia="宋体" w:cs="Times New Roman"/>
          <w:color w:val="auto"/>
          <w:sz w:val="24"/>
          <w:szCs w:val="24"/>
          <w:highlight w:val="none"/>
          <w:lang w:val="en-US" w:eastAsia="zh-CN"/>
        </w:rPr>
        <w:t>超出人民币2000元，设备更换的，主要材料及设备由甲方提供。本项目所有人工服务费用含在综合报价中。</w:t>
      </w:r>
    </w:p>
    <w:p w14:paraId="6D33FB92">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1.2.2.4报告提交</w:t>
      </w:r>
    </w:p>
    <w:p w14:paraId="04162B38">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每次巡检后10个工作日内提交《巡检</w:t>
      </w:r>
      <w:r>
        <w:rPr>
          <w:rFonts w:hint="eastAsia" w:ascii="宋体" w:hAnsi="宋体" w:cs="Times New Roman"/>
          <w:color w:val="auto"/>
          <w:sz w:val="24"/>
          <w:szCs w:val="24"/>
          <w:highlight w:val="none"/>
          <w:lang w:val="en-US" w:eastAsia="zh-CN"/>
        </w:rPr>
        <w:t>维护</w:t>
      </w:r>
      <w:r>
        <w:rPr>
          <w:rFonts w:hint="eastAsia" w:ascii="宋体" w:hAnsi="宋体" w:eastAsia="宋体" w:cs="Times New Roman"/>
          <w:color w:val="auto"/>
          <w:sz w:val="24"/>
          <w:szCs w:val="24"/>
          <w:highlight w:val="none"/>
          <w:lang w:val="en-US" w:eastAsia="zh-CN"/>
        </w:rPr>
        <w:t>报告》，预防性试验完成后15个工作日内提交《预防性试验报告》、《年度巡检</w:t>
      </w:r>
      <w:r>
        <w:rPr>
          <w:rFonts w:hint="eastAsia" w:ascii="宋体" w:hAnsi="宋体" w:cs="Times New Roman"/>
          <w:color w:val="auto"/>
          <w:sz w:val="24"/>
          <w:szCs w:val="24"/>
          <w:highlight w:val="none"/>
          <w:lang w:val="en-US" w:eastAsia="zh-CN"/>
        </w:rPr>
        <w:t>维护</w:t>
      </w:r>
      <w:r>
        <w:rPr>
          <w:rFonts w:hint="eastAsia" w:ascii="宋体" w:hAnsi="宋体" w:eastAsia="宋体" w:cs="Times New Roman"/>
          <w:color w:val="auto"/>
          <w:sz w:val="24"/>
          <w:szCs w:val="24"/>
          <w:highlight w:val="none"/>
          <w:lang w:val="en-US" w:eastAsia="zh-CN"/>
        </w:rPr>
        <w:t>报告》，内容需包含设备运行状况、隐患分析、维护建议及检测数据，报告需乙方盖章确认并交于甲方留存。</w:t>
      </w:r>
    </w:p>
    <w:p w14:paraId="42BF2222">
      <w:pPr>
        <w:kinsoku/>
        <w:overflowPunct/>
        <w:bidi w:val="0"/>
        <w:spacing w:line="360" w:lineRule="auto"/>
        <w:ind w:left="0" w:leftChars="0" w:right="0" w:rightChars="0" w:firstLine="437"/>
        <w:outlineLvl w:val="2"/>
        <w:rPr>
          <w:rFonts w:hint="eastAsia"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1.3服务期限</w:t>
      </w:r>
    </w:p>
    <w:p w14:paraId="20D0AD36">
      <w:pPr>
        <w:widowControl/>
        <w:kinsoku/>
        <w:overflowPunct/>
        <w:autoSpaceDE w:val="0"/>
        <w:bidi w:val="0"/>
        <w:spacing w:line="480" w:lineRule="exact"/>
        <w:ind w:left="0" w:leftChars="0" w:right="0" w:rightChars="0"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本合同服务期限自[</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lang w:val="en-US" w:eastAsia="zh-CN"/>
        </w:rPr>
        <w:t>年</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lang w:val="en-US" w:eastAsia="zh-CN"/>
        </w:rPr>
        <w:t>月</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lang w:val="en-US" w:eastAsia="zh-CN"/>
        </w:rPr>
        <w:t>日]起至[</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lang w:val="en-US" w:eastAsia="zh-CN"/>
        </w:rPr>
        <w:t>年</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lang w:val="en-US" w:eastAsia="zh-CN"/>
        </w:rPr>
        <w:t>月</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lang w:val="en-US" w:eastAsia="zh-CN"/>
        </w:rPr>
        <w:t>日]止，有效期1年。</w:t>
      </w:r>
    </w:p>
    <w:p w14:paraId="73D461F4">
      <w:pPr>
        <w:kinsoku/>
        <w:overflowPunct/>
        <w:bidi w:val="0"/>
        <w:spacing w:line="360" w:lineRule="auto"/>
        <w:ind w:left="0" w:leftChars="0" w:right="0" w:rightChars="0" w:firstLine="437"/>
        <w:outlineLvl w:val="2"/>
        <w:rPr>
          <w:rFonts w:hint="eastAsia"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1.4服务费用及支付方式</w:t>
      </w:r>
    </w:p>
    <w:p w14:paraId="0B2C7155">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1.4.1 服务费用</w:t>
      </w:r>
    </w:p>
    <w:p w14:paraId="0E8F3183">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本合同项下年度服务总费用为人民币</w:t>
      </w:r>
      <w:r>
        <w:rPr>
          <w:rFonts w:hint="eastAsia" w:ascii="宋体" w:hAnsi="宋体" w:cs="Times New Roman"/>
          <w:color w:val="auto"/>
          <w:sz w:val="24"/>
          <w:szCs w:val="24"/>
          <w:highlight w:val="none"/>
          <w:lang w:val="en-US" w:eastAsia="zh-CN"/>
        </w:rPr>
        <w:t>（含税）大写：</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lang w:val="en-US" w:eastAsia="zh-CN"/>
        </w:rPr>
        <w:t>元（</w:t>
      </w:r>
      <w:r>
        <w:rPr>
          <w:rFonts w:hint="eastAsia" w:ascii="宋体" w:hAnsi="宋体" w:cs="Times New Roman"/>
          <w:color w:val="auto"/>
          <w:sz w:val="24"/>
          <w:szCs w:val="24"/>
          <w:highlight w:val="none"/>
          <w:lang w:val="en-US" w:eastAsia="zh-CN"/>
        </w:rPr>
        <w:t>小</w:t>
      </w:r>
      <w:r>
        <w:rPr>
          <w:rFonts w:hint="eastAsia" w:ascii="宋体" w:hAnsi="宋体" w:eastAsia="宋体" w:cs="Times New Roman"/>
          <w:color w:val="auto"/>
          <w:sz w:val="24"/>
          <w:szCs w:val="24"/>
          <w:highlight w:val="none"/>
          <w:lang w:val="en-US" w:eastAsia="zh-CN"/>
        </w:rPr>
        <w:t>写</w:t>
      </w:r>
      <w:r>
        <w:rPr>
          <w:rFonts w:hint="eastAsia" w:ascii="宋体" w:hAnsi="宋体" w:cs="Times New Roman"/>
          <w:color w:val="auto"/>
          <w:sz w:val="24"/>
          <w:szCs w:val="24"/>
          <w:highlight w:val="none"/>
          <w:lang w:val="en-US" w:eastAsia="zh-CN"/>
        </w:rPr>
        <w:t>（含税）</w:t>
      </w:r>
      <w:r>
        <w:rPr>
          <w:rFonts w:hint="eastAsia" w:ascii="宋体" w:hAnsi="宋体" w:eastAsia="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lang w:val="en-US" w:eastAsia="zh-CN"/>
        </w:rPr>
        <w:t>）</w:t>
      </w:r>
      <w:r>
        <w:rPr>
          <w:rFonts w:hint="eastAsia" w:ascii="宋体" w:hAnsi="宋体" w:cs="Times New Roman"/>
          <w:color w:val="auto"/>
          <w:sz w:val="24"/>
          <w:szCs w:val="24"/>
          <w:highlight w:val="none"/>
          <w:lang w:val="en-US" w:eastAsia="zh-CN"/>
        </w:rPr>
        <w:t>合同中标单价</w:t>
      </w:r>
      <w:r>
        <w:rPr>
          <w:rFonts w:hint="eastAsia" w:ascii="宋体" w:hAnsi="宋体" w:eastAsia="宋体" w:cs="Times New Roman"/>
          <w:color w:val="auto"/>
          <w:sz w:val="24"/>
          <w:szCs w:val="24"/>
          <w:highlight w:val="none"/>
          <w:lang w:val="en-US" w:eastAsia="zh-CN"/>
        </w:rPr>
        <w:t>人民币</w:t>
      </w:r>
      <w:r>
        <w:rPr>
          <w:rFonts w:hint="eastAsia" w:ascii="宋体" w:hAnsi="宋体" w:eastAsia="宋体" w:cs="Times New Roman"/>
          <w:b w:val="0"/>
          <w:bCs w:val="0"/>
          <w:color w:val="auto"/>
          <w:sz w:val="24"/>
          <w:szCs w:val="24"/>
          <w:highlight w:val="none"/>
          <w:lang w:val="en-US" w:eastAsia="zh-CN"/>
        </w:rPr>
        <w:t>（含税）</w:t>
      </w:r>
      <w:r>
        <w:rPr>
          <w:rFonts w:hint="eastAsia" w:ascii="宋体" w:hAnsi="宋体" w:eastAsia="宋体" w:cs="Times New Roman"/>
          <w:color w:val="auto"/>
          <w:sz w:val="24"/>
          <w:szCs w:val="24"/>
          <w:highlight w:val="none"/>
          <w:lang w:val="en-US" w:eastAsia="zh-CN"/>
        </w:rPr>
        <w:t>大写</w:t>
      </w:r>
      <w:r>
        <w:rPr>
          <w:rFonts w:hint="eastAsia" w:ascii="宋体" w:hAnsi="宋体" w:cs="Times New Roman"/>
          <w:b w:val="0"/>
          <w:bCs w:val="0"/>
          <w:color w:val="auto"/>
          <w:sz w:val="24"/>
          <w:szCs w:val="24"/>
          <w:highlight w:val="none"/>
          <w:u w:val="single"/>
          <w:lang w:val="en-US" w:eastAsia="zh-CN"/>
        </w:rPr>
        <w:t xml:space="preserve">       </w:t>
      </w:r>
      <w:r>
        <w:rPr>
          <w:rFonts w:hint="eastAsia" w:ascii="宋体" w:hAnsi="宋体" w:eastAsia="宋体" w:cs="Times New Roman"/>
          <w:b w:val="0"/>
          <w:bCs w:val="0"/>
          <w:color w:val="auto"/>
          <w:sz w:val="24"/>
          <w:szCs w:val="24"/>
          <w:highlight w:val="none"/>
          <w:lang w:val="en-US" w:eastAsia="zh-CN"/>
        </w:rPr>
        <w:t>元/千伏安/年</w:t>
      </w:r>
      <w:r>
        <w:rPr>
          <w:rFonts w:hint="eastAsia" w:ascii="宋体" w:hAnsi="宋体" w:cs="Times New Roman"/>
          <w:color w:val="auto"/>
          <w:sz w:val="24"/>
          <w:szCs w:val="24"/>
          <w:highlight w:val="none"/>
          <w:lang w:val="en-US" w:eastAsia="zh-CN"/>
        </w:rPr>
        <w:t>，（小写（含税）</w:t>
      </w:r>
      <w:r>
        <w:rPr>
          <w:rFonts w:hint="eastAsia" w:ascii="宋体" w:hAnsi="宋体" w:eastAsia="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b w:val="0"/>
          <w:bCs w:val="0"/>
          <w:color w:val="auto"/>
          <w:sz w:val="24"/>
          <w:szCs w:val="24"/>
          <w:highlight w:val="none"/>
          <w:lang w:val="en-US" w:eastAsia="zh-CN"/>
        </w:rPr>
        <w:t>元/千伏安/年</w:t>
      </w:r>
      <w:r>
        <w:rPr>
          <w:rFonts w:hint="eastAsia" w:ascii="宋体" w:hAnsi="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lang w:val="en-US" w:eastAsia="zh-CN"/>
        </w:rPr>
        <w:t>，此为固定总价，包含人工、设备、检测、耗材、税费等全部费用，除甲方要求增加服务内容外，甲方无需支付其他费用。</w:t>
      </w:r>
    </w:p>
    <w:p w14:paraId="7C106CF8">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1.4.2支付方式</w:t>
      </w:r>
    </w:p>
    <w:p w14:paraId="323766C3">
      <w:pPr>
        <w:kinsoku/>
        <w:overflowPunct/>
        <w:bidi w:val="0"/>
        <w:spacing w:line="360" w:lineRule="auto"/>
        <w:ind w:left="0" w:leftChars="0" w:right="0" w:rightChars="0" w:firstLine="435"/>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季度款：按巡检维护场站数量及变压器的总容量确定总结算费用，以总结算费用除以巡检维护次数（共四次，不含预防性试验）按季度付款，每次巡检维护结束后，10个工作日内提交书面《季度巡检维护报告》，甲方向乙方支付对应场站总结算费用的20%；（如新增项目因合同时效性未能达到四次巡检维护，按单个场站总结算费用除以四次巡检维护计算每季度款结算金额，按实际巡检维护次数据实付款）</w:t>
      </w:r>
    </w:p>
    <w:p w14:paraId="6F4B6A42">
      <w:pPr>
        <w:kinsoku/>
        <w:overflowPunct/>
        <w:bidi w:val="0"/>
        <w:spacing w:line="360" w:lineRule="auto"/>
        <w:ind w:left="0" w:leftChars="0" w:right="0" w:rightChars="0" w:firstLine="435"/>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尾款：年度服务期满，乙方完成全部服务并提交《预防性试验报告》、《年度巡检维护报告》经甲方验收合格后15个工作日内，甲方向乙方支付剩余20%费用。</w:t>
      </w:r>
    </w:p>
    <w:p w14:paraId="7CBF998E">
      <w:pPr>
        <w:kinsoku/>
        <w:overflowPunct/>
        <w:bidi w:val="0"/>
        <w:spacing w:line="360" w:lineRule="auto"/>
        <w:ind w:left="0" w:leftChars="0" w:right="0" w:rightChars="0" w:firstLine="435"/>
        <w:rPr>
          <w:rFonts w:hint="eastAsia" w:ascii="宋体" w:hAnsi="宋体" w:eastAsia="宋体" w:cs="Times New Roman"/>
          <w:b w:val="0"/>
          <w:bCs w:val="0"/>
          <w:color w:val="auto"/>
          <w:sz w:val="24"/>
          <w:szCs w:val="24"/>
          <w:highlight w:val="none"/>
        </w:rPr>
      </w:pPr>
      <w:r>
        <w:rPr>
          <w:rFonts w:hint="eastAsia" w:ascii="宋体" w:hAnsi="宋体" w:eastAsia="宋体" w:cs="Times New Roman"/>
          <w:b w:val="0"/>
          <w:bCs w:val="0"/>
          <w:color w:val="auto"/>
          <w:sz w:val="24"/>
          <w:szCs w:val="24"/>
          <w:highlight w:val="none"/>
          <w:lang w:val="en-US" w:eastAsia="zh-CN"/>
        </w:rPr>
        <w:t>乙方每次申请付款前，需向甲方提供合法有效的增值税专用发票，甲方收到发票后按上述约定付款</w:t>
      </w:r>
      <w:r>
        <w:rPr>
          <w:rFonts w:hint="eastAsia" w:ascii="宋体" w:hAnsi="宋体" w:eastAsia="宋体" w:cs="Times New Roman"/>
          <w:b w:val="0"/>
          <w:bCs w:val="0"/>
          <w:color w:val="auto"/>
          <w:sz w:val="24"/>
          <w:szCs w:val="24"/>
          <w:highlight w:val="none"/>
        </w:rPr>
        <w:t>。</w:t>
      </w:r>
    </w:p>
    <w:p w14:paraId="1A964602">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乙方收款账户信息如下：</w:t>
      </w:r>
    </w:p>
    <w:p w14:paraId="25EEAB9B">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账户名称：</w:t>
      </w:r>
      <w:r>
        <w:rPr>
          <w:rFonts w:hint="eastAsia" w:ascii="宋体" w:hAnsi="宋体" w:eastAsia="宋体" w:cs="Times New Roman"/>
          <w:color w:val="auto"/>
          <w:sz w:val="24"/>
          <w:szCs w:val="24"/>
          <w:highlight w:val="none"/>
          <w:u w:val="none"/>
          <w:lang w:val="en-US" w:eastAsia="zh-CN"/>
        </w:rPr>
        <w:t xml:space="preserve">                  </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lang w:val="en-US" w:eastAsia="zh-CN"/>
        </w:rPr>
        <w:t xml:space="preserve"> </w:t>
      </w:r>
    </w:p>
    <w:p w14:paraId="2DE893DA">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开户银行：</w:t>
      </w:r>
      <w:r>
        <w:rPr>
          <w:rFonts w:hint="eastAsia" w:ascii="宋体" w:hAnsi="宋体" w:eastAsia="宋体" w:cs="Times New Roman"/>
          <w:color w:val="auto"/>
          <w:sz w:val="24"/>
          <w:szCs w:val="24"/>
          <w:highlight w:val="none"/>
          <w:u w:val="none"/>
          <w:lang w:val="en-US" w:eastAsia="zh-CN"/>
        </w:rPr>
        <w:t xml:space="preserve">                </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lang w:val="en-US" w:eastAsia="zh-CN"/>
        </w:rPr>
        <w:t xml:space="preserve">   </w:t>
      </w:r>
    </w:p>
    <w:p w14:paraId="186EE8CF">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银行账号：</w:t>
      </w:r>
      <w:r>
        <w:rPr>
          <w:rFonts w:hint="eastAsia" w:ascii="宋体" w:hAnsi="宋体" w:eastAsia="宋体" w:cs="Times New Roman"/>
          <w:color w:val="auto"/>
          <w:sz w:val="24"/>
          <w:szCs w:val="24"/>
          <w:highlight w:val="none"/>
          <w:u w:val="none"/>
          <w:lang w:val="en-US" w:eastAsia="zh-CN"/>
        </w:rPr>
        <w:t xml:space="preserve">                </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lang w:val="en-US" w:eastAsia="zh-CN"/>
        </w:rPr>
        <w:t xml:space="preserve">   </w:t>
      </w:r>
    </w:p>
    <w:p w14:paraId="3C8A4CDC">
      <w:pPr>
        <w:kinsoku/>
        <w:overflowPunct/>
        <w:bidi w:val="0"/>
        <w:spacing w:line="360" w:lineRule="auto"/>
        <w:ind w:left="0" w:leftChars="0" w:right="0" w:rightChars="0" w:firstLine="437"/>
        <w:outlineLvl w:val="2"/>
        <w:rPr>
          <w:rFonts w:hint="eastAsia" w:ascii="宋体" w:hAnsi="宋体" w:eastAsia="宋体" w:cs="Times New Roman"/>
          <w:b/>
          <w:bCs/>
          <w:color w:val="auto"/>
          <w:sz w:val="24"/>
          <w:szCs w:val="24"/>
          <w:highlight w:val="none"/>
          <w:lang w:val="en-US" w:eastAsia="zh-CN"/>
        </w:rPr>
      </w:pPr>
      <w:bookmarkStart w:id="102" w:name="OLE_LINK2"/>
      <w:r>
        <w:rPr>
          <w:rFonts w:hint="eastAsia" w:ascii="宋体" w:hAnsi="宋体" w:eastAsia="宋体" w:cs="Times New Roman"/>
          <w:b/>
          <w:bCs/>
          <w:color w:val="auto"/>
          <w:sz w:val="24"/>
          <w:szCs w:val="24"/>
          <w:highlight w:val="none"/>
          <w:lang w:val="en-US" w:eastAsia="zh-CN"/>
        </w:rPr>
        <w:t>1.5双方权利与义务</w:t>
      </w:r>
    </w:p>
    <w:p w14:paraId="075A3C8E">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1.5.1 甲方权利义务</w:t>
      </w:r>
    </w:p>
    <w:p w14:paraId="4D7C9EC8">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权利：对乙方服务质量、人员资质进行监督，提出整改要求；服务不达标时，有权暂缓付款或追究违约责任；对乙方作业过程中的安全操作进行全程监督，发现违章作业有权立即叫停并要求整改，同时记录相关情况作为履约评价依据。</w:t>
      </w:r>
    </w:p>
    <w:p w14:paraId="5E333D19">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义务：向乙方提供设备出厂资料、运行记录、设备潜在安全风险点说明等相关文件；为乙方作业提供场地通行、停电协调、安全警示设置等必要协助，提前24小时通知相关场站配合工作并清空作业区域无关人员；按合同约定支付服务费用；定期组织双方安全沟通会议，及时传达最新安全管理规定及现场安全注意事项。</w:t>
      </w:r>
    </w:p>
    <w:p w14:paraId="38164D7D">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1.5.2乙方权利义务</w:t>
      </w:r>
      <w:bookmarkEnd w:id="102"/>
    </w:p>
    <w:p w14:paraId="617F8450">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权利：按合同约定收取服务费用；发现设备重大隐患时，有权要求甲方及时整改并书面告知风险后果，甲方拒不配合导致损失的，乙方不承担责任；作业过程中因甲方原因（如未及时停电、无关人员闯入作业区）导致安全风险的，有权暂停作业并要求甲方消除风险。</w:t>
      </w:r>
    </w:p>
    <w:p w14:paraId="416070CE">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义务：严格遵守国家电力安全法规，指派具备特种作业资格且经</w:t>
      </w:r>
      <w:r>
        <w:rPr>
          <w:rFonts w:hint="eastAsia" w:ascii="宋体" w:hAnsi="宋体" w:cs="Times New Roman"/>
          <w:color w:val="auto"/>
          <w:sz w:val="24"/>
          <w:szCs w:val="24"/>
          <w:highlight w:val="none"/>
          <w:lang w:val="en-US" w:eastAsia="zh-CN"/>
        </w:rPr>
        <w:t>已</w:t>
      </w:r>
      <w:r>
        <w:rPr>
          <w:rFonts w:hint="eastAsia" w:ascii="宋体" w:hAnsi="宋体" w:eastAsia="宋体" w:cs="Times New Roman"/>
          <w:color w:val="auto"/>
          <w:sz w:val="24"/>
          <w:szCs w:val="24"/>
          <w:highlight w:val="none"/>
          <w:lang w:val="en-US" w:eastAsia="zh-CN"/>
        </w:rPr>
        <w:t>方安全培训合格的人员开展服务，</w:t>
      </w:r>
      <w:r>
        <w:rPr>
          <w:rFonts w:hint="eastAsia" w:ascii="宋体" w:hAnsi="宋体" w:cs="Times New Roman"/>
          <w:color w:val="auto"/>
          <w:sz w:val="24"/>
          <w:szCs w:val="24"/>
          <w:highlight w:val="none"/>
          <w:lang w:val="en-US" w:eastAsia="zh-CN"/>
        </w:rPr>
        <w:t>为作业人员购买相应保险（服务期间乙方人员的人身安全由乙方承担），</w:t>
      </w:r>
      <w:r>
        <w:rPr>
          <w:rFonts w:hint="eastAsia" w:ascii="宋体" w:hAnsi="宋体" w:eastAsia="宋体" w:cs="Times New Roman"/>
          <w:color w:val="auto"/>
          <w:sz w:val="24"/>
          <w:szCs w:val="24"/>
          <w:highlight w:val="none"/>
          <w:lang w:val="en-US" w:eastAsia="zh-CN"/>
        </w:rPr>
        <w:t>作业前向甲方提交人员资质证明及作业安全方案；作业时必须佩戴齐全安全防护装备，设置规范安全警示标识，配备应急救援器材并明确现场应急负责人；作业前对设备及周边环境进行安全风险辨识，发现新的安全隐患立即告知甲方；作业过程中发生安全事故，需第一时间启动应急处置预案，1小时内书面通知甲方事故情况，配合甲方及相关部门调查处理，并承担事故造成的全部人身伤亡、财产损失及行政处罚责任；禁止擅自变更作业范围或违规操作，未经甲方书面同意不得将服务涉及的安全责任转移给第三方。</w:t>
      </w:r>
    </w:p>
    <w:p w14:paraId="5CACE78B">
      <w:pPr>
        <w:kinsoku/>
        <w:overflowPunct/>
        <w:bidi w:val="0"/>
        <w:spacing w:line="360" w:lineRule="auto"/>
        <w:ind w:left="0" w:leftChars="0" w:right="0" w:rightChars="0" w:firstLine="437"/>
        <w:outlineLvl w:val="2"/>
        <w:rPr>
          <w:rFonts w:hint="eastAsia"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1.6验收标准与方式</w:t>
      </w:r>
    </w:p>
    <w:p w14:paraId="71C2A465">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1.6.1 验收依据：本合同约定的服务内容、DL/T409-2023《电力安全工作规程电力线路部分》、GB50150-2016《电气装置安装工程电气设备交接试验标准》、GB26860-2011《电力安全工作规程发电厂和变电站电气部分》、GB26859-2011《电力安全工作规程电力线路部分》、GB/T29319-2024《光伏发电系统接入配电网技术规定》及行业通行标准。</w:t>
      </w:r>
    </w:p>
    <w:p w14:paraId="711C131E">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1.6.2 季度验收：甲方对乙方每次巡检维护记录进行签字确认，对不合格项提出书面整改意见，乙方需在5个工作日内完成整改并复核。</w:t>
      </w:r>
    </w:p>
    <w:p w14:paraId="60869FA0">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1.6.3年度验收：甲方组织相关部门对《预防性试验报告》及《年度巡检</w:t>
      </w:r>
      <w:r>
        <w:rPr>
          <w:rFonts w:hint="eastAsia" w:ascii="宋体" w:hAnsi="宋体" w:cs="Times New Roman"/>
          <w:color w:val="auto"/>
          <w:sz w:val="24"/>
          <w:szCs w:val="24"/>
          <w:highlight w:val="none"/>
          <w:lang w:val="en-US" w:eastAsia="zh-CN"/>
        </w:rPr>
        <w:t>维护</w:t>
      </w:r>
      <w:r>
        <w:rPr>
          <w:rFonts w:hint="eastAsia" w:ascii="宋体" w:hAnsi="宋体" w:eastAsia="宋体" w:cs="Times New Roman"/>
          <w:color w:val="auto"/>
          <w:sz w:val="24"/>
          <w:szCs w:val="24"/>
          <w:highlight w:val="none"/>
          <w:lang w:val="en-US" w:eastAsia="zh-CN"/>
        </w:rPr>
        <w:t>报告》设备运行状况进行验收，验收合格出具《验收确认书》；若存在问题，乙方需在10个工作日内完成整改并重新验收。</w:t>
      </w:r>
    </w:p>
    <w:p w14:paraId="24032B6B">
      <w:pPr>
        <w:kinsoku/>
        <w:overflowPunct/>
        <w:bidi w:val="0"/>
        <w:spacing w:line="360" w:lineRule="auto"/>
        <w:ind w:left="0" w:leftChars="0" w:right="0" w:rightChars="0" w:firstLine="437"/>
        <w:outlineLvl w:val="2"/>
        <w:rPr>
          <w:rFonts w:hint="eastAsia" w:ascii="宋体" w:hAnsi="宋体" w:eastAsia="宋体" w:cs="宋体"/>
          <w:color w:val="auto"/>
          <w:sz w:val="21"/>
          <w:szCs w:val="21"/>
          <w:highlight w:val="none"/>
          <w:lang w:val="en-US" w:eastAsia="zh-CN"/>
        </w:rPr>
      </w:pPr>
      <w:r>
        <w:rPr>
          <w:rFonts w:hint="eastAsia" w:ascii="宋体" w:hAnsi="宋体" w:eastAsia="宋体" w:cs="Times New Roman"/>
          <w:b/>
          <w:bCs/>
          <w:color w:val="auto"/>
          <w:sz w:val="24"/>
          <w:szCs w:val="24"/>
          <w:highlight w:val="none"/>
          <w:lang w:val="en-US" w:eastAsia="zh-CN"/>
        </w:rPr>
        <w:t>1.7违约责任</w:t>
      </w:r>
    </w:p>
    <w:p w14:paraId="7FB9A272">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1.7.1 甲方违约</w:t>
      </w:r>
    </w:p>
    <w:p w14:paraId="58C85AB0">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甲方逾期支付服务费用的，每逾期一日，按未支付金额的0.05%向乙方支付违约金；逾期超过30日的，乙方有权暂停服务，由此造成的损失由甲方承担。</w:t>
      </w:r>
    </w:p>
    <w:p w14:paraId="1E7C56CF">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1.7.2乙方违约</w:t>
      </w:r>
    </w:p>
    <w:p w14:paraId="78E4FBC2">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35" w:firstLineChars="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1.7.2.1</w:t>
      </w:r>
      <w:r>
        <w:rPr>
          <w:rFonts w:hint="eastAsia" w:ascii="宋体" w:hAnsi="宋体" w:eastAsia="宋体" w:cs="Times New Roman"/>
          <w:color w:val="auto"/>
          <w:sz w:val="24"/>
          <w:szCs w:val="24"/>
          <w:highlight w:val="none"/>
        </w:rPr>
        <w:t>乙方未按要求按时提交《巡检</w:t>
      </w:r>
      <w:r>
        <w:rPr>
          <w:rFonts w:hint="eastAsia" w:ascii="宋体" w:hAnsi="宋体" w:eastAsia="宋体" w:cs="Times New Roman"/>
          <w:color w:val="auto"/>
          <w:sz w:val="24"/>
          <w:szCs w:val="24"/>
          <w:highlight w:val="none"/>
          <w:lang w:val="en-US" w:eastAsia="zh-CN"/>
        </w:rPr>
        <w:t>维护</w:t>
      </w:r>
      <w:r>
        <w:rPr>
          <w:rFonts w:hint="eastAsia" w:ascii="宋体" w:hAnsi="宋体" w:eastAsia="宋体" w:cs="Times New Roman"/>
          <w:color w:val="auto"/>
          <w:sz w:val="24"/>
          <w:szCs w:val="24"/>
          <w:highlight w:val="none"/>
        </w:rPr>
        <w:t>报告》或《年度预防性试验报告》的，每延迟一日，支付违约金人民币</w:t>
      </w:r>
      <w:r>
        <w:rPr>
          <w:rFonts w:hint="eastAsia" w:ascii="宋体" w:hAnsi="宋体" w:eastAsia="宋体" w:cs="Times New Roman"/>
          <w:color w:val="auto"/>
          <w:sz w:val="24"/>
          <w:szCs w:val="24"/>
          <w:highlight w:val="none"/>
          <w:lang w:val="en-US" w:eastAsia="zh-CN"/>
        </w:rPr>
        <w:t>10</w:t>
      </w:r>
      <w:r>
        <w:rPr>
          <w:rFonts w:hint="eastAsia" w:ascii="宋体" w:hAnsi="宋体" w:eastAsia="宋体" w:cs="Times New Roman"/>
          <w:color w:val="auto"/>
          <w:sz w:val="24"/>
          <w:szCs w:val="24"/>
          <w:highlight w:val="none"/>
        </w:rPr>
        <w:t>00元。</w:t>
      </w:r>
    </w:p>
    <w:p w14:paraId="7CF67267">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1.7.2.</w:t>
      </w:r>
      <w:r>
        <w:rPr>
          <w:rFonts w:hint="eastAsia" w:ascii="宋体" w:hAnsi="宋体" w:cs="Times New Roman"/>
          <w:color w:val="auto"/>
          <w:sz w:val="24"/>
          <w:szCs w:val="24"/>
          <w:highlight w:val="none"/>
          <w:lang w:val="en-US" w:eastAsia="zh-CN"/>
        </w:rPr>
        <w:t>2单次</w:t>
      </w:r>
      <w:r>
        <w:rPr>
          <w:rFonts w:hint="eastAsia" w:ascii="宋体" w:hAnsi="宋体" w:eastAsia="宋体" w:cs="Times New Roman"/>
          <w:color w:val="auto"/>
          <w:sz w:val="24"/>
          <w:szCs w:val="24"/>
          <w:highlight w:val="none"/>
          <w:lang w:val="en-US" w:eastAsia="zh-CN"/>
        </w:rPr>
        <w:t>服务质量不达标且逾期未整改的，甲方有权扣除对应</w:t>
      </w:r>
      <w:r>
        <w:rPr>
          <w:rFonts w:hint="eastAsia" w:ascii="宋体" w:hAnsi="宋体" w:cs="Times New Roman"/>
          <w:color w:val="auto"/>
          <w:sz w:val="24"/>
          <w:szCs w:val="24"/>
          <w:highlight w:val="none"/>
          <w:lang w:val="en-US" w:eastAsia="zh-CN"/>
        </w:rPr>
        <w:t>单次</w:t>
      </w:r>
      <w:r>
        <w:rPr>
          <w:rFonts w:hint="eastAsia" w:ascii="宋体" w:hAnsi="宋体" w:eastAsia="宋体" w:cs="Times New Roman"/>
          <w:color w:val="auto"/>
          <w:sz w:val="24"/>
          <w:szCs w:val="24"/>
          <w:highlight w:val="none"/>
          <w:lang w:val="en-US" w:eastAsia="zh-CN"/>
        </w:rPr>
        <w:t>服务费用的20%-50%；情节严重的，甲方有权解除合同，乙方返还已收费用并按总费用的20%支付违约金</w:t>
      </w:r>
      <w:r>
        <w:rPr>
          <w:rFonts w:hint="eastAsia" w:ascii="宋体" w:hAnsi="宋体" w:cs="Times New Roman"/>
          <w:color w:val="auto"/>
          <w:sz w:val="24"/>
          <w:szCs w:val="24"/>
          <w:highlight w:val="none"/>
          <w:lang w:val="en-US" w:eastAsia="zh-CN"/>
        </w:rPr>
        <w:t>。</w:t>
      </w:r>
    </w:p>
    <w:p w14:paraId="1FC3559C">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1.7.2.</w:t>
      </w:r>
      <w:r>
        <w:rPr>
          <w:rFonts w:hint="eastAsia" w:ascii="宋体" w:hAnsi="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lang w:val="en-US" w:eastAsia="zh-CN"/>
        </w:rPr>
        <w:t>乙方擅自转包服务或泄露甲方秘密的，甲方有权解除合同，乙方按总费用的30%支付违约金并赔偿损失。</w:t>
      </w:r>
    </w:p>
    <w:p w14:paraId="2628D4FB">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1.7.3</w:t>
      </w:r>
      <w:r>
        <w:rPr>
          <w:rFonts w:hint="eastAsia" w:ascii="宋体" w:hAnsi="宋体" w:eastAsia="宋体" w:cs="Times New Roman"/>
          <w:color w:val="auto"/>
          <w:sz w:val="24"/>
          <w:szCs w:val="24"/>
          <w:highlight w:val="none"/>
        </w:rPr>
        <w:t>专项违约责任</w:t>
      </w:r>
    </w:p>
    <w:p w14:paraId="6100657B">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35" w:firstLineChars="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7</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3.1</w:t>
      </w:r>
      <w:r>
        <w:rPr>
          <w:rFonts w:hint="eastAsia" w:ascii="宋体" w:hAnsi="宋体" w:eastAsia="宋体" w:cs="Times New Roman"/>
          <w:color w:val="auto"/>
          <w:sz w:val="24"/>
          <w:szCs w:val="24"/>
          <w:highlight w:val="none"/>
        </w:rPr>
        <w:t xml:space="preserve"> 应急抢修响应违约：乙方未在接到甲方故障通知后</w:t>
      </w:r>
      <w:r>
        <w:rPr>
          <w:rFonts w:hint="eastAsia" w:ascii="宋体" w:hAnsi="宋体" w:eastAsia="宋体" w:cs="Times New Roman"/>
          <w:color w:val="auto"/>
          <w:sz w:val="24"/>
          <w:szCs w:val="24"/>
          <w:highlight w:val="none"/>
          <w:lang w:val="en-US" w:eastAsia="zh-CN"/>
        </w:rPr>
        <w:t>市区范围内</w:t>
      </w:r>
      <w:r>
        <w:rPr>
          <w:rFonts w:hint="eastAsia" w:ascii="宋体" w:hAnsi="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lang w:val="en-US" w:eastAsia="zh-CN"/>
        </w:rPr>
        <w:t>小时、郊区范围内</w:t>
      </w:r>
      <w:r>
        <w:rPr>
          <w:rFonts w:hint="eastAsia" w:ascii="宋体" w:hAnsi="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val="en-US" w:eastAsia="zh-CN"/>
        </w:rPr>
        <w:t>小时内到达现场，8小时内完成一般故障修复；</w:t>
      </w:r>
      <w:r>
        <w:rPr>
          <w:rFonts w:hint="eastAsia" w:ascii="宋体" w:hAnsi="宋体" w:eastAsia="宋体" w:cs="Times New Roman"/>
          <w:color w:val="auto"/>
          <w:sz w:val="24"/>
          <w:szCs w:val="24"/>
          <w:highlight w:val="none"/>
        </w:rPr>
        <w:t>每发生一次，支付违约金人民币2000元；无故未抵达现场的，每发生一次，支付违约金人民币5000元</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因乙方原因导致故障未及时修复造成甲方损失的，乙方承担全部赔偿责任。</w:t>
      </w:r>
    </w:p>
    <w:p w14:paraId="475D77E5">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35" w:firstLineChars="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7</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3.2</w:t>
      </w:r>
      <w:r>
        <w:rPr>
          <w:rFonts w:hint="eastAsia" w:ascii="宋体" w:hAnsi="宋体" w:eastAsia="宋体" w:cs="Times New Roman"/>
          <w:color w:val="auto"/>
          <w:sz w:val="24"/>
          <w:szCs w:val="24"/>
          <w:highlight w:val="none"/>
        </w:rPr>
        <w:t xml:space="preserve"> 故障修复超时违约：高压线路（设备）故障，无正当理由超过24小时未修复的，每延迟一日，支付违约金人民币3000元，直至故障修复完毕。</w:t>
      </w:r>
    </w:p>
    <w:p w14:paraId="16478EF5">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7.4</w:t>
      </w:r>
      <w:r>
        <w:rPr>
          <w:rFonts w:hint="eastAsia" w:ascii="宋体" w:hAnsi="宋体" w:eastAsia="宋体" w:cs="Times New Roman"/>
          <w:color w:val="auto"/>
          <w:sz w:val="24"/>
          <w:szCs w:val="24"/>
          <w:highlight w:val="none"/>
        </w:rPr>
        <w:t xml:space="preserve"> 人员与设备配备违约：</w:t>
      </w:r>
    </w:p>
    <w:p w14:paraId="3502B50B">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1.7.4.1</w:t>
      </w:r>
      <w:r>
        <w:rPr>
          <w:rFonts w:hint="eastAsia" w:ascii="宋体" w:hAnsi="宋体" w:eastAsia="宋体" w:cs="Times New Roman"/>
          <w:color w:val="auto"/>
          <w:sz w:val="24"/>
          <w:szCs w:val="24"/>
          <w:highlight w:val="none"/>
        </w:rPr>
        <w:t>乙方擅自更换未经甲方书面认可的项目负责人或关键维护人员的，每</w:t>
      </w:r>
      <w:r>
        <w:rPr>
          <w:rFonts w:hint="eastAsia" w:ascii="宋体" w:hAnsi="宋体" w:cs="Times New Roman"/>
          <w:color w:val="auto"/>
          <w:sz w:val="24"/>
          <w:szCs w:val="24"/>
          <w:highlight w:val="none"/>
          <w:lang w:val="en-US" w:eastAsia="zh-CN"/>
        </w:rPr>
        <w:t>发生一次，</w:t>
      </w:r>
      <w:r>
        <w:rPr>
          <w:rFonts w:hint="eastAsia" w:ascii="宋体" w:hAnsi="宋体" w:eastAsia="宋体" w:cs="Times New Roman"/>
          <w:color w:val="auto"/>
          <w:sz w:val="24"/>
          <w:szCs w:val="24"/>
          <w:highlight w:val="none"/>
        </w:rPr>
        <w:t>支付违约金人民币5000元。</w:t>
      </w:r>
    </w:p>
    <w:p w14:paraId="221F822F">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1.7.4.2</w:t>
      </w:r>
      <w:r>
        <w:rPr>
          <w:rFonts w:hint="eastAsia" w:ascii="宋体" w:hAnsi="宋体" w:eastAsia="宋体" w:cs="Times New Roman"/>
          <w:color w:val="auto"/>
          <w:sz w:val="24"/>
          <w:szCs w:val="24"/>
          <w:highlight w:val="none"/>
        </w:rPr>
        <w:t>乙方配备的维护人员数量或资质不满足招标文件要求的，每缺一人或每有一人不符合要求，支付违约金人民币5000元，并应立即整改。</w:t>
      </w:r>
    </w:p>
    <w:p w14:paraId="01BFCC01">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1.7.4.3</w:t>
      </w:r>
      <w:r>
        <w:rPr>
          <w:rFonts w:hint="eastAsia" w:ascii="宋体" w:hAnsi="宋体" w:eastAsia="宋体" w:cs="Times New Roman"/>
          <w:color w:val="auto"/>
          <w:sz w:val="24"/>
          <w:szCs w:val="24"/>
          <w:highlight w:val="none"/>
        </w:rPr>
        <w:t>乙方未按承诺配备专用巡查车辆的，支付违约金人民币10000元，并应立即配备。</w:t>
      </w:r>
    </w:p>
    <w:p w14:paraId="50150747">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7</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rPr>
        <w:t xml:space="preserve"> 服务质量问题违约：因乙方维护不当、巡检不力，直接导致设备停运、充电站中断服务或发生安全生产事件的，每次支付违约金人民币10000元至50000元，具体金额由甲方根据事件严重程度确定。同时，乙方应承担由此给甲方造成的全部经济损失。</w:t>
      </w:r>
    </w:p>
    <w:p w14:paraId="24D2B9DD">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7</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rPr>
        <w:t xml:space="preserve"> 责任累加：本条约定的违约金与合同1.</w:t>
      </w:r>
      <w:r>
        <w:rPr>
          <w:rFonts w:hint="eastAsia" w:ascii="宋体" w:hAnsi="宋体" w:eastAsia="宋体" w:cs="Times New Roman"/>
          <w:color w:val="auto"/>
          <w:sz w:val="24"/>
          <w:szCs w:val="24"/>
          <w:highlight w:val="none"/>
          <w:lang w:val="en-US" w:eastAsia="zh-CN"/>
        </w:rPr>
        <w:t>7.2</w:t>
      </w:r>
      <w:r>
        <w:rPr>
          <w:rFonts w:hint="eastAsia" w:ascii="宋体" w:hAnsi="宋体" w:eastAsia="宋体" w:cs="Times New Roman"/>
          <w:color w:val="auto"/>
          <w:sz w:val="24"/>
          <w:szCs w:val="24"/>
          <w:highlight w:val="none"/>
        </w:rPr>
        <w:t>条约定的违约金可以累加适用。乙方承担的违约金总额不以合同总价为上限，特别是当其违约行为给甲方造成的损失超过合同总价时，乙方仍应予以赔偿。</w:t>
      </w:r>
    </w:p>
    <w:p w14:paraId="50F03381">
      <w:pPr>
        <w:kinsoku/>
        <w:overflowPunct/>
        <w:bidi w:val="0"/>
        <w:spacing w:line="360" w:lineRule="auto"/>
        <w:ind w:left="0" w:leftChars="0" w:right="0" w:rightChars="0" w:firstLine="437"/>
        <w:outlineLvl w:val="2"/>
        <w:rPr>
          <w:rFonts w:hint="default" w:ascii="宋体" w:hAnsi="宋体" w:eastAsia="宋体" w:cs="宋体"/>
          <w:color w:val="auto"/>
          <w:sz w:val="21"/>
          <w:szCs w:val="21"/>
          <w:highlight w:val="none"/>
          <w:lang w:val="en-US" w:eastAsia="zh-CN"/>
        </w:rPr>
      </w:pPr>
      <w:bookmarkStart w:id="103" w:name="_Toc306876533"/>
      <w:bookmarkStart w:id="104" w:name="_Toc309383984"/>
      <w:bookmarkStart w:id="105" w:name="_Toc27995"/>
      <w:bookmarkStart w:id="106" w:name="_Toc351022842"/>
      <w:bookmarkStart w:id="107" w:name="_Toc309136422"/>
      <w:bookmarkStart w:id="108" w:name="_Toc509245054"/>
      <w:bookmarkStart w:id="109" w:name="_Toc312229976"/>
      <w:bookmarkStart w:id="110" w:name="_Toc306625577"/>
      <w:bookmarkStart w:id="111" w:name="_Toc3562121"/>
      <w:bookmarkStart w:id="112" w:name="_Toc353555608"/>
      <w:bookmarkStart w:id="113" w:name="_Toc354153677"/>
      <w:r>
        <w:rPr>
          <w:rFonts w:hint="eastAsia" w:ascii="宋体" w:hAnsi="宋体" w:eastAsia="宋体" w:cs="Times New Roman"/>
          <w:b/>
          <w:bCs/>
          <w:color w:val="auto"/>
          <w:sz w:val="24"/>
          <w:szCs w:val="24"/>
          <w:highlight w:val="none"/>
          <w:lang w:val="en-US" w:eastAsia="zh-CN"/>
        </w:rPr>
        <w:t>1.8转包和分包</w:t>
      </w:r>
    </w:p>
    <w:bookmarkEnd w:id="103"/>
    <w:bookmarkEnd w:id="104"/>
    <w:bookmarkEnd w:id="105"/>
    <w:bookmarkEnd w:id="106"/>
    <w:bookmarkEnd w:id="107"/>
    <w:bookmarkEnd w:id="108"/>
    <w:bookmarkEnd w:id="109"/>
    <w:bookmarkEnd w:id="110"/>
    <w:bookmarkEnd w:id="111"/>
    <w:bookmarkEnd w:id="112"/>
    <w:bookmarkEnd w:id="113"/>
    <w:p w14:paraId="3F0F0FBE">
      <w:pPr>
        <w:widowControl/>
        <w:numPr>
          <w:ilvl w:val="0"/>
          <w:numId w:val="0"/>
        </w:numPr>
        <w:kinsoku/>
        <w:overflowPunct/>
        <w:bidi w:val="0"/>
        <w:spacing w:line="360" w:lineRule="auto"/>
        <w:ind w:left="0" w:leftChars="0" w:right="0" w:rightChars="0" w:firstLine="435" w:firstLineChars="0"/>
        <w:rPr>
          <w:rFonts w:hint="eastAsia" w:ascii="宋体" w:hAnsi="宋体" w:eastAsia="宋体" w:cs="Times New Roman"/>
          <w:b w:val="0"/>
          <w:bCs w:val="0"/>
          <w:color w:val="auto"/>
          <w:sz w:val="24"/>
          <w:szCs w:val="24"/>
          <w:highlight w:val="none"/>
        </w:rPr>
      </w:pPr>
      <w:r>
        <w:rPr>
          <w:rFonts w:hint="eastAsia" w:ascii="宋体" w:hAnsi="宋体" w:eastAsia="宋体" w:cs="Times New Roman"/>
          <w:b w:val="0"/>
          <w:bCs w:val="0"/>
          <w:color w:val="auto"/>
          <w:sz w:val="24"/>
          <w:szCs w:val="24"/>
          <w:highlight w:val="none"/>
          <w:lang w:val="en-US" w:eastAsia="zh-CN"/>
        </w:rPr>
        <w:t>中标</w:t>
      </w:r>
      <w:r>
        <w:rPr>
          <w:rFonts w:hint="eastAsia" w:ascii="宋体" w:hAnsi="宋体" w:eastAsia="宋体" w:cs="Times New Roman"/>
          <w:b w:val="0"/>
          <w:bCs w:val="0"/>
          <w:color w:val="auto"/>
          <w:sz w:val="24"/>
          <w:szCs w:val="24"/>
          <w:highlight w:val="none"/>
        </w:rPr>
        <w:t>人不得转让合同和分包项目，若违反本规定，业主有权终止本合同。</w:t>
      </w:r>
    </w:p>
    <w:p w14:paraId="6759506F">
      <w:pPr>
        <w:kinsoku/>
        <w:overflowPunct/>
        <w:bidi w:val="0"/>
        <w:spacing w:line="360" w:lineRule="auto"/>
        <w:ind w:left="0" w:leftChars="0" w:right="0" w:rightChars="0" w:firstLine="437"/>
        <w:jc w:val="left"/>
        <w:outlineLvl w:val="2"/>
        <w:rPr>
          <w:rFonts w:hint="eastAsia" w:ascii="宋体" w:hAnsi="宋体" w:eastAsia="宋体" w:cs="Times New Roman"/>
          <w:b/>
          <w:bCs/>
          <w:color w:val="auto"/>
          <w:sz w:val="24"/>
          <w:szCs w:val="24"/>
          <w:highlight w:val="none"/>
        </w:rPr>
      </w:pPr>
      <w:bookmarkStart w:id="114" w:name="_Toc306876534"/>
      <w:bookmarkStart w:id="115" w:name="_Toc353555609"/>
      <w:bookmarkStart w:id="116" w:name="_Toc306625578"/>
      <w:bookmarkStart w:id="117" w:name="_Toc309136423"/>
      <w:bookmarkStart w:id="118" w:name="_Toc509245055"/>
      <w:bookmarkStart w:id="119" w:name="_Toc354153678"/>
      <w:bookmarkStart w:id="120" w:name="_Toc351022843"/>
      <w:bookmarkStart w:id="121" w:name="_Toc3562122"/>
      <w:bookmarkStart w:id="122" w:name="_Toc1640"/>
      <w:bookmarkStart w:id="123" w:name="_Toc312229977"/>
      <w:bookmarkStart w:id="124" w:name="_Toc309383985"/>
      <w:r>
        <w:rPr>
          <w:rFonts w:hint="eastAsia" w:ascii="宋体" w:hAnsi="宋体" w:eastAsia="宋体" w:cs="Times New Roman"/>
          <w:b/>
          <w:bCs/>
          <w:color w:val="auto"/>
          <w:sz w:val="24"/>
          <w:szCs w:val="24"/>
          <w:highlight w:val="none"/>
          <w:lang w:val="en-US" w:eastAsia="zh-CN"/>
        </w:rPr>
        <w:t>1.9</w:t>
      </w:r>
      <w:r>
        <w:rPr>
          <w:rFonts w:hint="eastAsia" w:ascii="宋体" w:hAnsi="宋体" w:eastAsia="宋体" w:cs="Times New Roman"/>
          <w:b/>
          <w:bCs/>
          <w:color w:val="auto"/>
          <w:sz w:val="24"/>
          <w:szCs w:val="24"/>
          <w:highlight w:val="none"/>
        </w:rPr>
        <w:t>风险</w:t>
      </w:r>
      <w:bookmarkEnd w:id="114"/>
      <w:bookmarkEnd w:id="115"/>
      <w:bookmarkEnd w:id="116"/>
      <w:bookmarkEnd w:id="117"/>
      <w:bookmarkEnd w:id="118"/>
      <w:bookmarkEnd w:id="119"/>
      <w:bookmarkEnd w:id="120"/>
      <w:bookmarkEnd w:id="121"/>
      <w:bookmarkEnd w:id="122"/>
      <w:bookmarkEnd w:id="123"/>
      <w:bookmarkEnd w:id="124"/>
    </w:p>
    <w:p w14:paraId="1A176D23">
      <w:pPr>
        <w:widowControl/>
        <w:numPr>
          <w:ilvl w:val="0"/>
          <w:numId w:val="0"/>
        </w:numPr>
        <w:kinsoku/>
        <w:overflowPunct/>
        <w:bidi w:val="0"/>
        <w:spacing w:line="360" w:lineRule="auto"/>
        <w:ind w:left="0" w:leftChars="0" w:right="0" w:rightChars="0" w:firstLine="435" w:firstLineChars="0"/>
        <w:rPr>
          <w:rFonts w:hint="eastAsia" w:ascii="宋体" w:hAnsi="宋体" w:eastAsia="宋体" w:cs="Times New Roman"/>
          <w:b w:val="0"/>
          <w:bCs w:val="0"/>
          <w:color w:val="auto"/>
          <w:sz w:val="24"/>
          <w:szCs w:val="24"/>
          <w:highlight w:val="none"/>
        </w:rPr>
      </w:pPr>
      <w:r>
        <w:rPr>
          <w:rFonts w:hint="eastAsia" w:ascii="宋体" w:hAnsi="宋体" w:eastAsia="宋体" w:cs="Times New Roman"/>
          <w:b w:val="0"/>
          <w:bCs w:val="0"/>
          <w:color w:val="auto"/>
          <w:sz w:val="24"/>
          <w:szCs w:val="24"/>
          <w:highlight w:val="none"/>
        </w:rPr>
        <w:t>自</w:t>
      </w:r>
      <w:r>
        <w:rPr>
          <w:rFonts w:hint="eastAsia" w:ascii="宋体" w:hAnsi="宋体" w:eastAsia="宋体" w:cs="Times New Roman"/>
          <w:b w:val="0"/>
          <w:bCs w:val="0"/>
          <w:color w:val="auto"/>
          <w:sz w:val="24"/>
          <w:szCs w:val="24"/>
          <w:highlight w:val="none"/>
          <w:lang w:val="en-US" w:eastAsia="zh-CN"/>
        </w:rPr>
        <w:t>合同开始</w:t>
      </w:r>
      <w:r>
        <w:rPr>
          <w:rFonts w:hint="eastAsia" w:ascii="宋体" w:hAnsi="宋体" w:eastAsia="宋体" w:cs="Times New Roman"/>
          <w:b w:val="0"/>
          <w:bCs w:val="0"/>
          <w:color w:val="auto"/>
          <w:sz w:val="24"/>
          <w:szCs w:val="24"/>
          <w:highlight w:val="none"/>
        </w:rPr>
        <w:t>之日起直到</w:t>
      </w:r>
      <w:r>
        <w:rPr>
          <w:rFonts w:hint="eastAsia" w:ascii="宋体" w:hAnsi="宋体" w:eastAsia="宋体" w:cs="Times New Roman"/>
          <w:b w:val="0"/>
          <w:bCs w:val="0"/>
          <w:color w:val="auto"/>
          <w:sz w:val="24"/>
          <w:szCs w:val="24"/>
          <w:highlight w:val="none"/>
          <w:lang w:val="en-US" w:eastAsia="zh-CN"/>
        </w:rPr>
        <w:t>合同</w:t>
      </w:r>
      <w:r>
        <w:rPr>
          <w:rFonts w:hint="eastAsia" w:ascii="宋体" w:hAnsi="宋体" w:eastAsia="宋体" w:cs="Times New Roman"/>
          <w:b w:val="0"/>
          <w:bCs w:val="0"/>
          <w:color w:val="auto"/>
          <w:sz w:val="24"/>
          <w:szCs w:val="24"/>
          <w:highlight w:val="none"/>
        </w:rPr>
        <w:t>截止之日止，</w:t>
      </w:r>
      <w:r>
        <w:rPr>
          <w:rFonts w:hint="eastAsia" w:ascii="宋体" w:hAnsi="宋体" w:eastAsia="宋体" w:cs="Times New Roman"/>
          <w:b w:val="0"/>
          <w:bCs w:val="0"/>
          <w:color w:val="auto"/>
          <w:sz w:val="24"/>
          <w:szCs w:val="24"/>
          <w:highlight w:val="none"/>
          <w:lang w:val="en-US" w:eastAsia="zh-CN"/>
        </w:rPr>
        <w:t>中标</w:t>
      </w:r>
      <w:r>
        <w:rPr>
          <w:rFonts w:hint="eastAsia" w:ascii="宋体" w:hAnsi="宋体" w:eastAsia="宋体" w:cs="Times New Roman"/>
          <w:b w:val="0"/>
          <w:bCs w:val="0"/>
          <w:color w:val="auto"/>
          <w:sz w:val="24"/>
          <w:szCs w:val="24"/>
          <w:highlight w:val="none"/>
        </w:rPr>
        <w:t>人人员伤亡以及对财产（包括工程本身、设备、材料和施工机械等）的损失或损坏，均由</w:t>
      </w:r>
      <w:r>
        <w:rPr>
          <w:rFonts w:hint="eastAsia" w:ascii="宋体" w:hAnsi="宋体" w:eastAsia="宋体" w:cs="Times New Roman"/>
          <w:b w:val="0"/>
          <w:bCs w:val="0"/>
          <w:color w:val="auto"/>
          <w:sz w:val="24"/>
          <w:szCs w:val="24"/>
          <w:highlight w:val="none"/>
          <w:lang w:val="en-US" w:eastAsia="zh-CN"/>
        </w:rPr>
        <w:t>中标</w:t>
      </w:r>
      <w:r>
        <w:rPr>
          <w:rFonts w:hint="eastAsia" w:ascii="宋体" w:hAnsi="宋体" w:eastAsia="宋体" w:cs="Times New Roman"/>
          <w:b w:val="0"/>
          <w:bCs w:val="0"/>
          <w:color w:val="auto"/>
          <w:sz w:val="24"/>
          <w:szCs w:val="24"/>
          <w:highlight w:val="none"/>
        </w:rPr>
        <w:t>人承担风险，</w:t>
      </w:r>
      <w:r>
        <w:rPr>
          <w:rFonts w:hint="eastAsia" w:ascii="宋体" w:hAnsi="宋体" w:eastAsia="宋体" w:cs="Times New Roman"/>
          <w:b w:val="0"/>
          <w:bCs w:val="0"/>
          <w:color w:val="auto"/>
          <w:sz w:val="24"/>
          <w:szCs w:val="24"/>
          <w:highlight w:val="none"/>
          <w:lang w:val="en-US" w:eastAsia="zh-CN"/>
        </w:rPr>
        <w:t>招标人</w:t>
      </w:r>
      <w:r>
        <w:rPr>
          <w:rFonts w:hint="eastAsia" w:ascii="宋体" w:hAnsi="宋体" w:eastAsia="宋体" w:cs="Times New Roman"/>
          <w:b w:val="0"/>
          <w:bCs w:val="0"/>
          <w:color w:val="auto"/>
          <w:sz w:val="24"/>
          <w:szCs w:val="24"/>
          <w:highlight w:val="none"/>
        </w:rPr>
        <w:t>不再另行计量支付。</w:t>
      </w:r>
    </w:p>
    <w:p w14:paraId="4A16DEF1">
      <w:pPr>
        <w:kinsoku/>
        <w:overflowPunct/>
        <w:bidi w:val="0"/>
        <w:spacing w:line="360" w:lineRule="auto"/>
        <w:ind w:left="0" w:leftChars="0" w:right="0" w:rightChars="0" w:firstLine="437"/>
        <w:jc w:val="left"/>
        <w:outlineLvl w:val="2"/>
        <w:rPr>
          <w:rFonts w:hint="eastAsia" w:ascii="宋体" w:hAnsi="宋体" w:eastAsia="宋体" w:cs="Times New Roman"/>
          <w:b/>
          <w:bCs/>
          <w:color w:val="auto"/>
          <w:sz w:val="24"/>
          <w:szCs w:val="24"/>
          <w:highlight w:val="none"/>
        </w:rPr>
      </w:pPr>
      <w:bookmarkStart w:id="125" w:name="_Toc351022844"/>
      <w:bookmarkStart w:id="126" w:name="_Toc309136424"/>
      <w:bookmarkStart w:id="127" w:name="_Toc306625579"/>
      <w:bookmarkStart w:id="128" w:name="_Toc353555610"/>
      <w:bookmarkStart w:id="129" w:name="_Toc1391"/>
      <w:bookmarkStart w:id="130" w:name="_Toc312229978"/>
      <w:bookmarkStart w:id="131" w:name="_Toc306876535"/>
      <w:bookmarkStart w:id="132" w:name="_Toc309383986"/>
      <w:bookmarkStart w:id="133" w:name="_Toc509245056"/>
      <w:bookmarkStart w:id="134" w:name="_Toc3562123"/>
      <w:bookmarkStart w:id="135" w:name="_Toc354153679"/>
      <w:r>
        <w:rPr>
          <w:rFonts w:hint="eastAsia" w:ascii="宋体" w:hAnsi="宋体" w:eastAsia="宋体" w:cs="Times New Roman"/>
          <w:b/>
          <w:bCs/>
          <w:color w:val="auto"/>
          <w:sz w:val="24"/>
          <w:szCs w:val="24"/>
          <w:highlight w:val="none"/>
          <w:lang w:val="en-US" w:eastAsia="zh-CN"/>
        </w:rPr>
        <w:t>1.10</w:t>
      </w:r>
      <w:r>
        <w:rPr>
          <w:rFonts w:hint="eastAsia" w:ascii="宋体" w:hAnsi="宋体" w:eastAsia="宋体" w:cs="Times New Roman"/>
          <w:b/>
          <w:bCs/>
          <w:color w:val="auto"/>
          <w:sz w:val="24"/>
          <w:szCs w:val="24"/>
          <w:highlight w:val="none"/>
        </w:rPr>
        <w:t>税费</w:t>
      </w:r>
      <w:bookmarkEnd w:id="125"/>
      <w:bookmarkEnd w:id="126"/>
      <w:bookmarkEnd w:id="127"/>
      <w:bookmarkEnd w:id="128"/>
      <w:bookmarkEnd w:id="129"/>
      <w:bookmarkEnd w:id="130"/>
      <w:bookmarkEnd w:id="131"/>
      <w:bookmarkEnd w:id="132"/>
      <w:bookmarkEnd w:id="133"/>
      <w:bookmarkEnd w:id="134"/>
      <w:bookmarkEnd w:id="135"/>
    </w:p>
    <w:p w14:paraId="59ACE10F">
      <w:pPr>
        <w:widowControl/>
        <w:numPr>
          <w:ilvl w:val="0"/>
          <w:numId w:val="0"/>
        </w:numPr>
        <w:kinsoku/>
        <w:overflowPunct/>
        <w:bidi w:val="0"/>
        <w:spacing w:line="360" w:lineRule="auto"/>
        <w:ind w:left="0" w:leftChars="0" w:right="0" w:rightChars="0" w:firstLine="435" w:firstLineChars="0"/>
        <w:rPr>
          <w:rFonts w:hint="eastAsia" w:ascii="宋体" w:hAnsi="宋体" w:eastAsia="宋体" w:cs="Times New Roman"/>
          <w:b w:val="0"/>
          <w:bCs w:val="0"/>
          <w:color w:val="auto"/>
          <w:sz w:val="24"/>
          <w:szCs w:val="24"/>
          <w:highlight w:val="none"/>
        </w:rPr>
      </w:pPr>
      <w:r>
        <w:rPr>
          <w:rFonts w:hint="eastAsia" w:ascii="宋体" w:hAnsi="宋体" w:eastAsia="宋体" w:cs="Times New Roman"/>
          <w:b w:val="0"/>
          <w:bCs w:val="0"/>
          <w:color w:val="auto"/>
          <w:sz w:val="24"/>
          <w:szCs w:val="24"/>
          <w:highlight w:val="none"/>
        </w:rPr>
        <w:t>国家根据现行税法对</w:t>
      </w:r>
      <w:r>
        <w:rPr>
          <w:rFonts w:hint="eastAsia" w:ascii="宋体" w:hAnsi="宋体" w:eastAsia="宋体" w:cs="Times New Roman"/>
          <w:b w:val="0"/>
          <w:bCs w:val="0"/>
          <w:color w:val="auto"/>
          <w:sz w:val="24"/>
          <w:szCs w:val="24"/>
          <w:highlight w:val="none"/>
          <w:lang w:val="en-US" w:eastAsia="zh-CN"/>
        </w:rPr>
        <w:t>中标</w:t>
      </w:r>
      <w:r>
        <w:rPr>
          <w:rFonts w:hint="eastAsia" w:ascii="宋体" w:hAnsi="宋体" w:eastAsia="宋体" w:cs="Times New Roman"/>
          <w:b w:val="0"/>
          <w:bCs w:val="0"/>
          <w:color w:val="auto"/>
          <w:sz w:val="24"/>
          <w:szCs w:val="24"/>
          <w:highlight w:val="none"/>
        </w:rPr>
        <w:t>人需执行合同的一切税费由承包人负担。</w:t>
      </w:r>
    </w:p>
    <w:p w14:paraId="180F21C0">
      <w:pPr>
        <w:kinsoku/>
        <w:overflowPunct/>
        <w:bidi w:val="0"/>
        <w:spacing w:line="360" w:lineRule="auto"/>
        <w:ind w:left="0" w:leftChars="0" w:right="0" w:rightChars="0" w:firstLine="437"/>
        <w:jc w:val="left"/>
        <w:outlineLvl w:val="2"/>
        <w:rPr>
          <w:rFonts w:hint="eastAsia" w:ascii="宋体" w:hAnsi="宋体" w:eastAsia="宋体" w:cs="Times New Roman"/>
          <w:b/>
          <w:bCs/>
          <w:color w:val="auto"/>
          <w:sz w:val="24"/>
          <w:szCs w:val="24"/>
          <w:highlight w:val="none"/>
        </w:rPr>
      </w:pPr>
      <w:bookmarkStart w:id="136" w:name="_Toc16325"/>
      <w:bookmarkStart w:id="137" w:name="_Toc3562124"/>
      <w:bookmarkStart w:id="138" w:name="_Toc354153680"/>
      <w:bookmarkStart w:id="139" w:name="_Toc509245057"/>
      <w:bookmarkStart w:id="140" w:name="_Toc306876536"/>
      <w:bookmarkStart w:id="141" w:name="_Toc312229979"/>
      <w:bookmarkStart w:id="142" w:name="_Toc309136425"/>
      <w:bookmarkStart w:id="143" w:name="_Toc306625580"/>
      <w:bookmarkStart w:id="144" w:name="_Toc309383987"/>
      <w:bookmarkStart w:id="145" w:name="_Toc351022845"/>
      <w:bookmarkStart w:id="146" w:name="_Toc353555611"/>
      <w:r>
        <w:rPr>
          <w:rFonts w:hint="eastAsia" w:ascii="宋体" w:hAnsi="宋体" w:eastAsia="宋体" w:cs="Times New Roman"/>
          <w:b/>
          <w:bCs/>
          <w:color w:val="auto"/>
          <w:sz w:val="24"/>
          <w:szCs w:val="24"/>
          <w:highlight w:val="none"/>
          <w:lang w:val="en-US" w:eastAsia="zh-CN"/>
        </w:rPr>
        <w:t>1.11</w:t>
      </w:r>
      <w:r>
        <w:rPr>
          <w:rFonts w:hint="eastAsia" w:ascii="宋体" w:hAnsi="宋体" w:eastAsia="宋体" w:cs="Times New Roman"/>
          <w:b/>
          <w:bCs/>
          <w:color w:val="auto"/>
          <w:sz w:val="24"/>
          <w:szCs w:val="24"/>
          <w:highlight w:val="none"/>
        </w:rPr>
        <w:t>不可抗力</w:t>
      </w:r>
      <w:bookmarkEnd w:id="136"/>
      <w:bookmarkEnd w:id="137"/>
      <w:bookmarkEnd w:id="138"/>
      <w:bookmarkEnd w:id="139"/>
      <w:bookmarkEnd w:id="140"/>
      <w:bookmarkEnd w:id="141"/>
      <w:bookmarkEnd w:id="142"/>
      <w:bookmarkEnd w:id="143"/>
      <w:bookmarkEnd w:id="144"/>
      <w:bookmarkEnd w:id="145"/>
      <w:bookmarkEnd w:id="146"/>
    </w:p>
    <w:p w14:paraId="51491291">
      <w:pPr>
        <w:widowControl/>
        <w:numPr>
          <w:ilvl w:val="0"/>
          <w:numId w:val="0"/>
        </w:numPr>
        <w:kinsoku/>
        <w:overflowPunct/>
        <w:bidi w:val="0"/>
        <w:spacing w:line="360" w:lineRule="auto"/>
        <w:ind w:left="0" w:leftChars="0" w:right="0" w:rightChars="0" w:firstLine="435" w:firstLineChars="0"/>
        <w:rPr>
          <w:rFonts w:hint="eastAsia" w:ascii="宋体" w:hAnsi="宋体" w:eastAsia="宋体" w:cs="Times New Roman"/>
          <w:b w:val="0"/>
          <w:bCs w:val="0"/>
          <w:color w:val="auto"/>
          <w:sz w:val="24"/>
          <w:szCs w:val="24"/>
          <w:highlight w:val="none"/>
        </w:rPr>
      </w:pPr>
      <w:r>
        <w:rPr>
          <w:rFonts w:hint="eastAsia" w:ascii="宋体" w:hAnsi="宋体" w:eastAsia="宋体" w:cs="Times New Roman"/>
          <w:b w:val="0"/>
          <w:bCs w:val="0"/>
          <w:color w:val="auto"/>
          <w:sz w:val="24"/>
          <w:szCs w:val="24"/>
          <w:highlight w:val="none"/>
          <w:lang w:val="en-US" w:eastAsia="zh-CN"/>
        </w:rPr>
        <w:t>1.11.1</w:t>
      </w:r>
      <w:r>
        <w:rPr>
          <w:rFonts w:hint="eastAsia" w:ascii="宋体" w:hAnsi="宋体" w:eastAsia="宋体" w:cs="Times New Roman"/>
          <w:b w:val="0"/>
          <w:bCs w:val="0"/>
          <w:color w:val="auto"/>
          <w:sz w:val="24"/>
          <w:szCs w:val="24"/>
          <w:highlight w:val="none"/>
        </w:rPr>
        <w:t>如在合同履行期间受到不可抗力的影响导致不能按合同履行的，</w:t>
      </w:r>
      <w:r>
        <w:rPr>
          <w:rFonts w:hint="eastAsia" w:ascii="宋体" w:hAnsi="宋体" w:cs="Times New Roman"/>
          <w:b w:val="0"/>
          <w:bCs w:val="0"/>
          <w:color w:val="auto"/>
          <w:sz w:val="24"/>
          <w:szCs w:val="24"/>
          <w:highlight w:val="none"/>
          <w:lang w:val="en-US" w:eastAsia="zh-CN"/>
        </w:rPr>
        <w:t>中标</w:t>
      </w:r>
      <w:r>
        <w:rPr>
          <w:rFonts w:hint="eastAsia" w:ascii="宋体" w:hAnsi="宋体" w:eastAsia="宋体" w:cs="Times New Roman"/>
          <w:b w:val="0"/>
          <w:bCs w:val="0"/>
          <w:color w:val="auto"/>
          <w:sz w:val="24"/>
          <w:szCs w:val="24"/>
          <w:highlight w:val="none"/>
        </w:rPr>
        <w:t>人和</w:t>
      </w:r>
      <w:r>
        <w:rPr>
          <w:rFonts w:hint="eastAsia" w:ascii="宋体" w:hAnsi="宋体" w:cs="Times New Roman"/>
          <w:b w:val="0"/>
          <w:bCs w:val="0"/>
          <w:color w:val="auto"/>
          <w:sz w:val="24"/>
          <w:szCs w:val="24"/>
          <w:highlight w:val="none"/>
          <w:lang w:val="en-US" w:eastAsia="zh-CN"/>
        </w:rPr>
        <w:t>招标人</w:t>
      </w:r>
      <w:r>
        <w:rPr>
          <w:rFonts w:hint="eastAsia" w:ascii="宋体" w:hAnsi="宋体" w:eastAsia="宋体" w:cs="Times New Roman"/>
          <w:b w:val="0"/>
          <w:bCs w:val="0"/>
          <w:color w:val="auto"/>
          <w:sz w:val="24"/>
          <w:szCs w:val="24"/>
          <w:highlight w:val="none"/>
        </w:rPr>
        <w:t>均不须承担责任。不可抗力是指双方不能预见，不能避免并不能克服的客观情况。由于乙方雇用的人员的罢工、怠工、骚乱或事故不属不可抗力。</w:t>
      </w:r>
    </w:p>
    <w:p w14:paraId="60224DBD">
      <w:pPr>
        <w:widowControl/>
        <w:numPr>
          <w:ilvl w:val="0"/>
          <w:numId w:val="0"/>
        </w:numPr>
        <w:kinsoku/>
        <w:overflowPunct/>
        <w:bidi w:val="0"/>
        <w:spacing w:line="360" w:lineRule="auto"/>
        <w:ind w:left="0" w:leftChars="0" w:right="0" w:rightChars="0" w:firstLine="435" w:firstLineChars="0"/>
        <w:rPr>
          <w:rFonts w:hint="eastAsia" w:ascii="宋体" w:hAnsi="宋体" w:eastAsia="宋体" w:cs="Times New Roman"/>
          <w:b w:val="0"/>
          <w:bCs w:val="0"/>
          <w:color w:val="auto"/>
          <w:sz w:val="24"/>
          <w:szCs w:val="24"/>
          <w:highlight w:val="none"/>
        </w:rPr>
      </w:pPr>
      <w:r>
        <w:rPr>
          <w:rFonts w:hint="eastAsia" w:ascii="宋体" w:hAnsi="宋体" w:eastAsia="宋体" w:cs="Times New Roman"/>
          <w:b w:val="0"/>
          <w:bCs w:val="0"/>
          <w:color w:val="auto"/>
          <w:sz w:val="24"/>
          <w:szCs w:val="24"/>
          <w:highlight w:val="none"/>
          <w:lang w:val="en-US" w:eastAsia="zh-CN"/>
        </w:rPr>
        <w:t>1.11.2</w:t>
      </w:r>
      <w:r>
        <w:rPr>
          <w:rFonts w:hint="eastAsia" w:ascii="宋体" w:hAnsi="宋体" w:eastAsia="宋体" w:cs="Times New Roman"/>
          <w:b w:val="0"/>
          <w:bCs w:val="0"/>
          <w:color w:val="auto"/>
          <w:sz w:val="24"/>
          <w:szCs w:val="24"/>
          <w:highlight w:val="none"/>
        </w:rPr>
        <w:t>通知：若任何时间发生不可抗力，受不可抗力影响的一方应尽快将该等事件通知另外一方，并提供相关的权威机构出具的有效的证明文件，证明该等事件确曾发生。受不可抗力影响的一方须对如何减低此不可抗力事件的影响提出建议，连同通知一并递交另外一方。</w:t>
      </w:r>
    </w:p>
    <w:p w14:paraId="7CEE552B">
      <w:pPr>
        <w:widowControl/>
        <w:numPr>
          <w:ilvl w:val="0"/>
          <w:numId w:val="0"/>
        </w:numPr>
        <w:kinsoku/>
        <w:overflowPunct/>
        <w:bidi w:val="0"/>
        <w:spacing w:line="360" w:lineRule="auto"/>
        <w:ind w:left="0" w:leftChars="0" w:right="0" w:rightChars="0" w:firstLine="435" w:firstLineChars="0"/>
        <w:rPr>
          <w:rFonts w:hint="eastAsia" w:ascii="宋体" w:hAnsi="宋体" w:eastAsia="宋体" w:cs="Times New Roman"/>
          <w:b w:val="0"/>
          <w:bCs w:val="0"/>
          <w:color w:val="auto"/>
          <w:sz w:val="24"/>
          <w:szCs w:val="24"/>
          <w:highlight w:val="none"/>
        </w:rPr>
      </w:pPr>
      <w:r>
        <w:rPr>
          <w:rFonts w:hint="eastAsia" w:ascii="宋体" w:hAnsi="宋体" w:eastAsia="宋体" w:cs="Times New Roman"/>
          <w:b w:val="0"/>
          <w:bCs w:val="0"/>
          <w:color w:val="auto"/>
          <w:sz w:val="24"/>
          <w:szCs w:val="24"/>
          <w:highlight w:val="none"/>
          <w:lang w:val="en-US" w:eastAsia="zh-CN"/>
        </w:rPr>
        <w:t>1.11.3</w:t>
      </w:r>
      <w:r>
        <w:rPr>
          <w:rFonts w:hint="eastAsia" w:ascii="宋体" w:hAnsi="宋体" w:eastAsia="宋体" w:cs="Times New Roman"/>
          <w:b w:val="0"/>
          <w:bCs w:val="0"/>
          <w:color w:val="auto"/>
          <w:sz w:val="24"/>
          <w:szCs w:val="24"/>
          <w:highlight w:val="none"/>
        </w:rPr>
        <w:t>乙方及业主应就该等事件进行友好协商，以促使项目尽快恢复正常营运，并减少任何因而产生的开支。</w:t>
      </w:r>
    </w:p>
    <w:p w14:paraId="1CFF26DA">
      <w:pPr>
        <w:widowControl/>
        <w:numPr>
          <w:ilvl w:val="0"/>
          <w:numId w:val="0"/>
        </w:numPr>
        <w:kinsoku/>
        <w:overflowPunct/>
        <w:bidi w:val="0"/>
        <w:spacing w:line="360" w:lineRule="auto"/>
        <w:ind w:left="0" w:leftChars="0" w:right="0" w:rightChars="0" w:firstLine="435" w:firstLineChars="0"/>
        <w:rPr>
          <w:rFonts w:hint="eastAsia" w:ascii="宋体" w:hAnsi="宋体" w:eastAsia="宋体" w:cs="Times New Roman"/>
          <w:b w:val="0"/>
          <w:bCs w:val="0"/>
          <w:color w:val="auto"/>
          <w:sz w:val="24"/>
          <w:szCs w:val="24"/>
          <w:highlight w:val="none"/>
        </w:rPr>
      </w:pPr>
      <w:r>
        <w:rPr>
          <w:rFonts w:hint="eastAsia" w:ascii="宋体" w:hAnsi="宋体" w:eastAsia="宋体" w:cs="Times New Roman"/>
          <w:b w:val="0"/>
          <w:bCs w:val="0"/>
          <w:color w:val="auto"/>
          <w:sz w:val="24"/>
          <w:szCs w:val="24"/>
          <w:highlight w:val="none"/>
          <w:lang w:val="en-US" w:eastAsia="zh-CN"/>
        </w:rPr>
        <w:t>1.11.4</w:t>
      </w:r>
      <w:r>
        <w:rPr>
          <w:rFonts w:hint="eastAsia" w:ascii="宋体" w:hAnsi="宋体" w:eastAsia="宋体" w:cs="Times New Roman"/>
          <w:b w:val="0"/>
          <w:bCs w:val="0"/>
          <w:color w:val="auto"/>
          <w:sz w:val="24"/>
          <w:szCs w:val="24"/>
          <w:highlight w:val="none"/>
        </w:rPr>
        <w:t>乙方须尽最大努力克服该等事件的影响，并及时采取有效的措施减少该等事件造成的损失进一步扩大。</w:t>
      </w:r>
    </w:p>
    <w:p w14:paraId="5904127E">
      <w:pPr>
        <w:kinsoku/>
        <w:overflowPunct/>
        <w:bidi w:val="0"/>
        <w:spacing w:line="360" w:lineRule="auto"/>
        <w:ind w:left="0" w:leftChars="0" w:right="0" w:rightChars="0" w:firstLine="437" w:firstLineChars="0"/>
        <w:jc w:val="left"/>
        <w:outlineLvl w:val="2"/>
        <w:rPr>
          <w:rFonts w:hint="eastAsia" w:ascii="宋体" w:hAnsi="宋体" w:eastAsia="宋体" w:cs="Times New Roman"/>
          <w:b/>
          <w:bCs/>
          <w:color w:val="auto"/>
          <w:sz w:val="24"/>
          <w:szCs w:val="24"/>
          <w:highlight w:val="none"/>
        </w:rPr>
      </w:pPr>
      <w:bookmarkStart w:id="147" w:name="_Toc26804"/>
      <w:bookmarkStart w:id="148" w:name="_Toc3562125"/>
      <w:bookmarkStart w:id="149" w:name="_Toc309136426"/>
      <w:bookmarkStart w:id="150" w:name="_Toc354153681"/>
      <w:bookmarkStart w:id="151" w:name="_Toc509245058"/>
      <w:bookmarkStart w:id="152" w:name="_Toc306876537"/>
      <w:bookmarkStart w:id="153" w:name="_Toc312229980"/>
      <w:bookmarkStart w:id="154" w:name="_Toc309383988"/>
      <w:bookmarkStart w:id="155" w:name="_Toc351022846"/>
      <w:bookmarkStart w:id="156" w:name="_Toc353555612"/>
      <w:bookmarkStart w:id="157" w:name="_Toc306625581"/>
      <w:r>
        <w:rPr>
          <w:rFonts w:hint="eastAsia" w:ascii="宋体" w:hAnsi="宋体" w:eastAsia="宋体" w:cs="Times New Roman"/>
          <w:b/>
          <w:bCs/>
          <w:color w:val="auto"/>
          <w:sz w:val="24"/>
          <w:szCs w:val="24"/>
          <w:highlight w:val="none"/>
          <w:lang w:val="en-US" w:eastAsia="zh-CN"/>
        </w:rPr>
        <w:t>1.12</w:t>
      </w:r>
      <w:r>
        <w:rPr>
          <w:rFonts w:hint="eastAsia" w:ascii="宋体" w:hAnsi="宋体" w:eastAsia="宋体" w:cs="Times New Roman"/>
          <w:b/>
          <w:bCs/>
          <w:color w:val="auto"/>
          <w:sz w:val="24"/>
          <w:szCs w:val="24"/>
          <w:highlight w:val="none"/>
        </w:rPr>
        <w:t>合同生效及终止</w:t>
      </w:r>
      <w:bookmarkEnd w:id="147"/>
      <w:bookmarkEnd w:id="148"/>
      <w:bookmarkEnd w:id="149"/>
      <w:bookmarkEnd w:id="150"/>
      <w:bookmarkEnd w:id="151"/>
      <w:bookmarkEnd w:id="152"/>
      <w:bookmarkEnd w:id="153"/>
      <w:bookmarkEnd w:id="154"/>
      <w:bookmarkEnd w:id="155"/>
      <w:bookmarkEnd w:id="156"/>
      <w:bookmarkEnd w:id="157"/>
    </w:p>
    <w:p w14:paraId="12536DAC">
      <w:pPr>
        <w:widowControl/>
        <w:numPr>
          <w:ilvl w:val="0"/>
          <w:numId w:val="0"/>
        </w:numPr>
        <w:kinsoku/>
        <w:overflowPunct/>
        <w:bidi w:val="0"/>
        <w:spacing w:line="360" w:lineRule="auto"/>
        <w:ind w:left="0" w:leftChars="0" w:right="0" w:rightChars="0" w:firstLine="435" w:firstLineChars="0"/>
        <w:rPr>
          <w:rFonts w:hint="eastAsia" w:ascii="宋体" w:hAnsi="宋体" w:eastAsia="宋体" w:cs="Times New Roman"/>
          <w:b w:val="0"/>
          <w:bCs w:val="0"/>
          <w:color w:val="auto"/>
          <w:sz w:val="24"/>
          <w:szCs w:val="24"/>
          <w:highlight w:val="none"/>
        </w:rPr>
      </w:pPr>
      <w:r>
        <w:rPr>
          <w:rFonts w:hint="eastAsia" w:ascii="宋体" w:hAnsi="宋体" w:eastAsia="宋体" w:cs="Times New Roman"/>
          <w:b w:val="0"/>
          <w:bCs w:val="0"/>
          <w:color w:val="auto"/>
          <w:sz w:val="24"/>
          <w:szCs w:val="24"/>
          <w:highlight w:val="none"/>
          <w:lang w:val="en-US" w:eastAsia="zh-CN"/>
        </w:rPr>
        <w:t>1.12.1</w:t>
      </w:r>
      <w:r>
        <w:rPr>
          <w:rFonts w:hint="eastAsia" w:ascii="宋体" w:hAnsi="宋体" w:eastAsia="宋体" w:cs="Times New Roman"/>
          <w:b w:val="0"/>
          <w:bCs w:val="0"/>
          <w:color w:val="auto"/>
          <w:sz w:val="24"/>
          <w:szCs w:val="24"/>
          <w:highlight w:val="none"/>
        </w:rPr>
        <w:t>本合同在双方签字后成立，并在乙方提交履约保证金给</w:t>
      </w:r>
      <w:r>
        <w:rPr>
          <w:rFonts w:hint="eastAsia" w:ascii="宋体" w:hAnsi="宋体" w:cs="Times New Roman"/>
          <w:b w:val="0"/>
          <w:bCs w:val="0"/>
          <w:color w:val="auto"/>
          <w:sz w:val="24"/>
          <w:szCs w:val="24"/>
          <w:highlight w:val="none"/>
          <w:lang w:val="en-US" w:eastAsia="zh-CN"/>
        </w:rPr>
        <w:t>招标人</w:t>
      </w:r>
      <w:r>
        <w:rPr>
          <w:rFonts w:hint="eastAsia" w:ascii="宋体" w:hAnsi="宋体" w:eastAsia="宋体" w:cs="Times New Roman"/>
          <w:b w:val="0"/>
          <w:bCs w:val="0"/>
          <w:color w:val="auto"/>
          <w:sz w:val="24"/>
          <w:szCs w:val="24"/>
          <w:highlight w:val="none"/>
        </w:rPr>
        <w:t>，并经</w:t>
      </w:r>
      <w:r>
        <w:rPr>
          <w:rFonts w:hint="eastAsia" w:ascii="宋体" w:hAnsi="宋体" w:cs="Times New Roman"/>
          <w:b w:val="0"/>
          <w:bCs w:val="0"/>
          <w:color w:val="auto"/>
          <w:sz w:val="24"/>
          <w:szCs w:val="24"/>
          <w:highlight w:val="none"/>
          <w:lang w:val="en-US" w:eastAsia="zh-CN"/>
        </w:rPr>
        <w:t>招标人</w:t>
      </w:r>
      <w:r>
        <w:rPr>
          <w:rFonts w:hint="eastAsia" w:ascii="宋体" w:hAnsi="宋体" w:eastAsia="宋体" w:cs="Times New Roman"/>
          <w:b w:val="0"/>
          <w:bCs w:val="0"/>
          <w:color w:val="auto"/>
          <w:sz w:val="24"/>
          <w:szCs w:val="24"/>
          <w:highlight w:val="none"/>
        </w:rPr>
        <w:t>确认后生效。</w:t>
      </w:r>
    </w:p>
    <w:p w14:paraId="1CD1E9FD">
      <w:pPr>
        <w:widowControl/>
        <w:numPr>
          <w:ilvl w:val="0"/>
          <w:numId w:val="0"/>
        </w:numPr>
        <w:kinsoku/>
        <w:overflowPunct/>
        <w:bidi w:val="0"/>
        <w:spacing w:line="360" w:lineRule="auto"/>
        <w:ind w:left="0" w:leftChars="0" w:right="0" w:rightChars="0" w:firstLine="435" w:firstLineChars="0"/>
        <w:rPr>
          <w:rFonts w:hint="eastAsia" w:ascii="宋体" w:hAnsi="宋体" w:eastAsia="宋体" w:cs="Times New Roman"/>
          <w:b w:val="0"/>
          <w:bCs w:val="0"/>
          <w:color w:val="auto"/>
          <w:sz w:val="24"/>
          <w:szCs w:val="24"/>
          <w:highlight w:val="none"/>
        </w:rPr>
      </w:pPr>
      <w:r>
        <w:rPr>
          <w:rFonts w:hint="eastAsia" w:ascii="宋体" w:hAnsi="宋体" w:eastAsia="宋体" w:cs="Times New Roman"/>
          <w:b w:val="0"/>
          <w:bCs w:val="0"/>
          <w:color w:val="auto"/>
          <w:sz w:val="24"/>
          <w:szCs w:val="24"/>
          <w:highlight w:val="none"/>
          <w:lang w:val="en-US" w:eastAsia="zh-CN"/>
        </w:rPr>
        <w:t>1.12.2</w:t>
      </w:r>
      <w:r>
        <w:rPr>
          <w:rFonts w:hint="eastAsia" w:ascii="宋体" w:hAnsi="宋体" w:eastAsia="宋体" w:cs="Times New Roman"/>
          <w:b w:val="0"/>
          <w:bCs w:val="0"/>
          <w:color w:val="auto"/>
          <w:sz w:val="24"/>
          <w:szCs w:val="24"/>
          <w:highlight w:val="none"/>
        </w:rPr>
        <w:t>本合同因下列情况终止：</w:t>
      </w:r>
    </w:p>
    <w:p w14:paraId="4CFD01B4">
      <w:pPr>
        <w:widowControl/>
        <w:numPr>
          <w:ilvl w:val="0"/>
          <w:numId w:val="0"/>
        </w:numPr>
        <w:kinsoku/>
        <w:overflowPunct/>
        <w:bidi w:val="0"/>
        <w:spacing w:line="360" w:lineRule="auto"/>
        <w:ind w:left="0" w:leftChars="0" w:right="0" w:rightChars="0" w:firstLine="435" w:firstLineChars="0"/>
        <w:rPr>
          <w:rFonts w:hint="eastAsia" w:ascii="宋体" w:hAnsi="宋体" w:eastAsia="宋体" w:cs="Times New Roman"/>
          <w:b w:val="0"/>
          <w:bCs w:val="0"/>
          <w:color w:val="auto"/>
          <w:sz w:val="24"/>
          <w:szCs w:val="24"/>
          <w:highlight w:val="none"/>
        </w:rPr>
      </w:pPr>
      <w:r>
        <w:rPr>
          <w:rFonts w:hint="eastAsia" w:ascii="宋体" w:hAnsi="宋体" w:eastAsia="宋体" w:cs="Times New Roman"/>
          <w:b w:val="0"/>
          <w:bCs w:val="0"/>
          <w:color w:val="auto"/>
          <w:sz w:val="24"/>
          <w:szCs w:val="24"/>
          <w:highlight w:val="none"/>
        </w:rPr>
        <w:t>合同期满；</w:t>
      </w:r>
    </w:p>
    <w:p w14:paraId="21A20E24">
      <w:pPr>
        <w:widowControl/>
        <w:numPr>
          <w:ilvl w:val="0"/>
          <w:numId w:val="0"/>
        </w:numPr>
        <w:kinsoku/>
        <w:overflowPunct/>
        <w:bidi w:val="0"/>
        <w:spacing w:line="360" w:lineRule="auto"/>
        <w:ind w:left="0" w:leftChars="0" w:right="0" w:rightChars="0" w:firstLine="435" w:firstLineChars="0"/>
        <w:rPr>
          <w:rFonts w:hint="eastAsia" w:ascii="宋体" w:hAnsi="宋体" w:eastAsia="宋体" w:cs="Times New Roman"/>
          <w:b w:val="0"/>
          <w:bCs w:val="0"/>
          <w:color w:val="auto"/>
          <w:sz w:val="24"/>
          <w:szCs w:val="24"/>
          <w:highlight w:val="none"/>
        </w:rPr>
      </w:pPr>
      <w:r>
        <w:rPr>
          <w:rFonts w:hint="eastAsia" w:ascii="宋体" w:hAnsi="宋体" w:eastAsia="宋体" w:cs="Times New Roman"/>
          <w:b w:val="0"/>
          <w:bCs w:val="0"/>
          <w:color w:val="auto"/>
          <w:sz w:val="24"/>
          <w:szCs w:val="24"/>
          <w:highlight w:val="none"/>
        </w:rPr>
        <w:t>乙方出现资不抵债或无力履行合同或进入破产程序的情况，甲方有权通知乙方提前终止本合同。</w:t>
      </w:r>
    </w:p>
    <w:p w14:paraId="182E5036">
      <w:pPr>
        <w:widowControl/>
        <w:numPr>
          <w:ilvl w:val="0"/>
          <w:numId w:val="0"/>
        </w:numPr>
        <w:kinsoku/>
        <w:overflowPunct/>
        <w:bidi w:val="0"/>
        <w:spacing w:line="360" w:lineRule="auto"/>
        <w:ind w:left="0" w:leftChars="0" w:right="0" w:rightChars="0" w:firstLine="435" w:firstLineChars="0"/>
        <w:rPr>
          <w:rFonts w:hint="eastAsia" w:ascii="宋体" w:hAnsi="宋体" w:eastAsia="宋体" w:cs="Times New Roman"/>
          <w:b w:val="0"/>
          <w:bCs w:val="0"/>
          <w:color w:val="auto"/>
          <w:sz w:val="24"/>
          <w:szCs w:val="24"/>
          <w:highlight w:val="none"/>
        </w:rPr>
      </w:pPr>
      <w:r>
        <w:rPr>
          <w:rFonts w:hint="eastAsia" w:ascii="宋体" w:hAnsi="宋体" w:eastAsia="宋体" w:cs="Times New Roman"/>
          <w:b w:val="0"/>
          <w:bCs w:val="0"/>
          <w:color w:val="auto"/>
          <w:sz w:val="24"/>
          <w:szCs w:val="24"/>
          <w:highlight w:val="none"/>
        </w:rPr>
        <w:t>合同期间乙方无故并蓄意放弃</w:t>
      </w:r>
      <w:r>
        <w:rPr>
          <w:rFonts w:hint="eastAsia" w:ascii="宋体" w:hAnsi="宋体" w:cs="Times New Roman"/>
          <w:b w:val="0"/>
          <w:bCs w:val="0"/>
          <w:color w:val="auto"/>
          <w:sz w:val="24"/>
          <w:szCs w:val="24"/>
          <w:highlight w:val="none"/>
          <w:lang w:val="en-US" w:eastAsia="zh-CN"/>
        </w:rPr>
        <w:t>巡检维护</w:t>
      </w:r>
      <w:r>
        <w:rPr>
          <w:rFonts w:hint="eastAsia" w:ascii="宋体" w:hAnsi="宋体" w:eastAsia="宋体" w:cs="Times New Roman"/>
          <w:b w:val="0"/>
          <w:bCs w:val="0"/>
          <w:color w:val="auto"/>
          <w:sz w:val="24"/>
          <w:szCs w:val="24"/>
          <w:highlight w:val="none"/>
        </w:rPr>
        <w:t>服务的义务，甲方有权通知乙方提前终止本合同。</w:t>
      </w:r>
    </w:p>
    <w:p w14:paraId="0C5DEA9A">
      <w:pPr>
        <w:widowControl/>
        <w:numPr>
          <w:ilvl w:val="0"/>
          <w:numId w:val="0"/>
        </w:numPr>
        <w:kinsoku/>
        <w:overflowPunct/>
        <w:bidi w:val="0"/>
        <w:spacing w:line="360" w:lineRule="auto"/>
        <w:ind w:left="0" w:leftChars="0" w:right="0" w:rightChars="0" w:firstLine="435" w:firstLineChars="0"/>
        <w:rPr>
          <w:rFonts w:hint="eastAsia" w:ascii="宋体" w:hAnsi="宋体" w:eastAsia="宋体" w:cs="Times New Roman"/>
          <w:b w:val="0"/>
          <w:bCs w:val="0"/>
          <w:color w:val="auto"/>
          <w:sz w:val="24"/>
          <w:szCs w:val="24"/>
          <w:highlight w:val="none"/>
        </w:rPr>
      </w:pPr>
      <w:r>
        <w:rPr>
          <w:rFonts w:hint="eastAsia" w:ascii="宋体" w:hAnsi="宋体" w:eastAsia="宋体" w:cs="Times New Roman"/>
          <w:b w:val="0"/>
          <w:bCs w:val="0"/>
          <w:color w:val="auto"/>
          <w:sz w:val="24"/>
          <w:szCs w:val="24"/>
          <w:highlight w:val="none"/>
        </w:rPr>
        <w:t>乙方出现违约情况，经甲方发出书面警告或限期改正通知后十四天内没有采取有效的补救措施，或者采取的补救措施不能消除该违约情况，甲方有权通知乙方提前终止本合同。</w:t>
      </w:r>
    </w:p>
    <w:p w14:paraId="2708981D">
      <w:pPr>
        <w:widowControl/>
        <w:numPr>
          <w:ilvl w:val="0"/>
          <w:numId w:val="0"/>
        </w:numPr>
        <w:kinsoku/>
        <w:overflowPunct/>
        <w:bidi w:val="0"/>
        <w:spacing w:line="360" w:lineRule="auto"/>
        <w:ind w:left="0" w:leftChars="0" w:right="0" w:rightChars="0" w:firstLine="435" w:firstLineChars="0"/>
        <w:rPr>
          <w:rFonts w:hint="eastAsia" w:ascii="宋体" w:hAnsi="宋体" w:eastAsia="宋体" w:cs="Times New Roman"/>
          <w:b w:val="0"/>
          <w:bCs w:val="0"/>
          <w:color w:val="auto"/>
          <w:sz w:val="24"/>
          <w:szCs w:val="24"/>
          <w:highlight w:val="none"/>
        </w:rPr>
      </w:pPr>
      <w:r>
        <w:rPr>
          <w:rFonts w:hint="eastAsia" w:ascii="宋体" w:hAnsi="宋体" w:eastAsia="宋体" w:cs="Times New Roman"/>
          <w:b w:val="0"/>
          <w:bCs w:val="0"/>
          <w:color w:val="auto"/>
          <w:sz w:val="24"/>
          <w:szCs w:val="24"/>
          <w:highlight w:val="none"/>
        </w:rPr>
        <w:t>如果由中标人违约或疏忽行为所导致停工，未能进行正常的</w:t>
      </w:r>
      <w:r>
        <w:rPr>
          <w:rFonts w:hint="eastAsia" w:ascii="宋体" w:hAnsi="宋体" w:cs="Times New Roman"/>
          <w:b w:val="0"/>
          <w:bCs w:val="0"/>
          <w:color w:val="auto"/>
          <w:sz w:val="24"/>
          <w:szCs w:val="24"/>
          <w:highlight w:val="none"/>
          <w:lang w:val="en-US" w:eastAsia="zh-CN"/>
        </w:rPr>
        <w:t>巡检维护</w:t>
      </w:r>
      <w:r>
        <w:rPr>
          <w:rFonts w:hint="eastAsia" w:ascii="宋体" w:hAnsi="宋体" w:eastAsia="宋体" w:cs="Times New Roman"/>
          <w:b w:val="0"/>
          <w:bCs w:val="0"/>
          <w:color w:val="auto"/>
          <w:sz w:val="24"/>
          <w:szCs w:val="24"/>
          <w:highlight w:val="none"/>
        </w:rPr>
        <w:t>服务工作，造成停工时间持续超过一个月，业主有权终止本合同。</w:t>
      </w:r>
    </w:p>
    <w:p w14:paraId="28056603">
      <w:pPr>
        <w:widowControl/>
        <w:numPr>
          <w:ilvl w:val="0"/>
          <w:numId w:val="0"/>
        </w:numPr>
        <w:kinsoku/>
        <w:overflowPunct/>
        <w:bidi w:val="0"/>
        <w:spacing w:line="360" w:lineRule="auto"/>
        <w:ind w:left="0" w:leftChars="0" w:right="0" w:rightChars="0" w:firstLine="435" w:firstLineChars="0"/>
        <w:rPr>
          <w:rFonts w:hint="eastAsia" w:ascii="宋体" w:hAnsi="宋体" w:eastAsia="宋体" w:cs="Times New Roman"/>
          <w:b w:val="0"/>
          <w:bCs w:val="0"/>
          <w:color w:val="auto"/>
          <w:sz w:val="24"/>
          <w:szCs w:val="24"/>
          <w:highlight w:val="none"/>
        </w:rPr>
      </w:pPr>
      <w:r>
        <w:rPr>
          <w:rFonts w:hint="eastAsia" w:ascii="宋体" w:hAnsi="宋体" w:eastAsia="宋体" w:cs="Times New Roman"/>
          <w:b w:val="0"/>
          <w:bCs w:val="0"/>
          <w:color w:val="auto"/>
          <w:sz w:val="24"/>
          <w:szCs w:val="24"/>
          <w:highlight w:val="none"/>
        </w:rPr>
        <w:t>业主与乙方协议一致提前终止；</w:t>
      </w:r>
    </w:p>
    <w:p w14:paraId="42373758">
      <w:pPr>
        <w:widowControl/>
        <w:numPr>
          <w:ilvl w:val="0"/>
          <w:numId w:val="0"/>
        </w:numPr>
        <w:kinsoku/>
        <w:overflowPunct/>
        <w:bidi w:val="0"/>
        <w:spacing w:line="360" w:lineRule="auto"/>
        <w:ind w:left="0" w:leftChars="0" w:right="0" w:rightChars="0" w:firstLine="435" w:firstLineChars="0"/>
        <w:rPr>
          <w:rFonts w:hint="eastAsia" w:ascii="宋体" w:hAnsi="宋体" w:eastAsia="宋体" w:cs="Times New Roman"/>
          <w:b w:val="0"/>
          <w:bCs w:val="0"/>
          <w:color w:val="auto"/>
          <w:sz w:val="24"/>
          <w:szCs w:val="24"/>
          <w:highlight w:val="none"/>
        </w:rPr>
      </w:pPr>
      <w:r>
        <w:rPr>
          <w:rFonts w:hint="eastAsia" w:ascii="宋体" w:hAnsi="宋体" w:eastAsia="宋体" w:cs="Times New Roman"/>
          <w:b w:val="0"/>
          <w:bCs w:val="0"/>
          <w:color w:val="auto"/>
          <w:sz w:val="24"/>
          <w:szCs w:val="24"/>
          <w:highlight w:val="none"/>
        </w:rPr>
        <w:t>乙方因违法经营被吊销《公司法人营业执照》，而乙方因此提起诉讼，最终未能决定予以撤销吊销决定的；</w:t>
      </w:r>
    </w:p>
    <w:p w14:paraId="687E86E4">
      <w:pPr>
        <w:widowControl/>
        <w:numPr>
          <w:ilvl w:val="0"/>
          <w:numId w:val="0"/>
        </w:numPr>
        <w:kinsoku/>
        <w:overflowPunct/>
        <w:bidi w:val="0"/>
        <w:spacing w:line="360" w:lineRule="auto"/>
        <w:ind w:left="0" w:leftChars="0" w:right="0" w:rightChars="0" w:firstLine="435" w:firstLineChars="0"/>
        <w:rPr>
          <w:rFonts w:hint="eastAsia" w:ascii="宋体" w:hAnsi="宋体" w:eastAsia="宋体" w:cs="Times New Roman"/>
          <w:b w:val="0"/>
          <w:bCs w:val="0"/>
          <w:color w:val="auto"/>
          <w:sz w:val="24"/>
          <w:szCs w:val="24"/>
          <w:highlight w:val="none"/>
        </w:rPr>
      </w:pPr>
      <w:r>
        <w:rPr>
          <w:rFonts w:hint="eastAsia" w:ascii="宋体" w:hAnsi="宋体" w:eastAsia="宋体" w:cs="Times New Roman"/>
          <w:b w:val="0"/>
          <w:bCs w:val="0"/>
          <w:color w:val="auto"/>
          <w:sz w:val="24"/>
          <w:szCs w:val="24"/>
          <w:highlight w:val="none"/>
        </w:rPr>
        <w:t>在合同期间，因发生不可抗力或者其他非乙方可以控制的事件，致使乙方无法继续经营时，乙方可以在不可抗力或不可控制事件发生后60天内与业主进行协商，经业主同意可提前终止。</w:t>
      </w:r>
    </w:p>
    <w:p w14:paraId="530A3A71">
      <w:pPr>
        <w:widowControl/>
        <w:numPr>
          <w:ilvl w:val="0"/>
          <w:numId w:val="0"/>
        </w:numPr>
        <w:kinsoku/>
        <w:overflowPunct/>
        <w:bidi w:val="0"/>
        <w:spacing w:line="360" w:lineRule="auto"/>
        <w:ind w:left="0" w:leftChars="0" w:right="0" w:rightChars="0" w:firstLine="435" w:firstLineChars="0"/>
        <w:rPr>
          <w:rFonts w:hint="eastAsia" w:ascii="宋体" w:hAnsi="宋体" w:eastAsia="宋体" w:cs="Times New Roman"/>
          <w:b w:val="0"/>
          <w:bCs w:val="0"/>
          <w:color w:val="auto"/>
          <w:sz w:val="24"/>
          <w:szCs w:val="24"/>
          <w:highlight w:val="none"/>
        </w:rPr>
      </w:pPr>
      <w:r>
        <w:rPr>
          <w:rFonts w:hint="eastAsia" w:ascii="宋体" w:hAnsi="宋体" w:eastAsia="宋体" w:cs="Times New Roman"/>
          <w:b w:val="0"/>
          <w:bCs w:val="0"/>
          <w:color w:val="auto"/>
          <w:sz w:val="24"/>
          <w:szCs w:val="24"/>
          <w:highlight w:val="none"/>
        </w:rPr>
        <w:t>本合同规定的提前终止的情况发生。</w:t>
      </w:r>
    </w:p>
    <w:p w14:paraId="605B4CC7">
      <w:pPr>
        <w:widowControl/>
        <w:numPr>
          <w:ilvl w:val="0"/>
          <w:numId w:val="0"/>
        </w:numPr>
        <w:kinsoku/>
        <w:overflowPunct/>
        <w:bidi w:val="0"/>
        <w:spacing w:line="360" w:lineRule="auto"/>
        <w:ind w:left="0" w:leftChars="0" w:right="0" w:rightChars="0" w:firstLine="435" w:firstLineChars="0"/>
        <w:rPr>
          <w:rFonts w:hint="eastAsia" w:ascii="宋体" w:hAnsi="宋体" w:eastAsia="宋体" w:cs="Times New Roman"/>
          <w:b w:val="0"/>
          <w:bCs w:val="0"/>
          <w:color w:val="auto"/>
          <w:sz w:val="24"/>
          <w:szCs w:val="24"/>
          <w:highlight w:val="none"/>
        </w:rPr>
      </w:pPr>
      <w:r>
        <w:rPr>
          <w:rFonts w:hint="eastAsia" w:ascii="宋体" w:hAnsi="宋体" w:cs="Times New Roman"/>
          <w:b w:val="0"/>
          <w:bCs w:val="0"/>
          <w:color w:val="auto"/>
          <w:sz w:val="24"/>
          <w:szCs w:val="24"/>
          <w:highlight w:val="none"/>
          <w:lang w:eastAsia="zh-CN"/>
        </w:rPr>
        <w:t>（</w:t>
      </w:r>
      <w:r>
        <w:rPr>
          <w:rFonts w:hint="eastAsia" w:ascii="宋体" w:hAnsi="宋体" w:cs="Times New Roman"/>
          <w:b w:val="0"/>
          <w:bCs w:val="0"/>
          <w:color w:val="auto"/>
          <w:sz w:val="24"/>
          <w:szCs w:val="24"/>
          <w:highlight w:val="none"/>
          <w:lang w:val="en-US" w:eastAsia="zh-CN"/>
        </w:rPr>
        <w:t>1</w:t>
      </w:r>
      <w:r>
        <w:rPr>
          <w:rFonts w:hint="eastAsia" w:ascii="宋体" w:hAnsi="宋体" w:cs="Times New Roman"/>
          <w:b w:val="0"/>
          <w:bCs w:val="0"/>
          <w:color w:val="auto"/>
          <w:sz w:val="24"/>
          <w:szCs w:val="24"/>
          <w:highlight w:val="none"/>
          <w:lang w:eastAsia="zh-CN"/>
        </w:rPr>
        <w:t>）</w:t>
      </w:r>
      <w:r>
        <w:rPr>
          <w:rFonts w:hint="eastAsia" w:ascii="宋体" w:hAnsi="宋体" w:eastAsia="宋体" w:cs="Times New Roman"/>
          <w:b w:val="0"/>
          <w:bCs w:val="0"/>
          <w:color w:val="auto"/>
          <w:sz w:val="24"/>
          <w:szCs w:val="24"/>
          <w:highlight w:val="none"/>
        </w:rPr>
        <w:t>终止通知：提前终止时，一方应向另一方发出终止通知，说明终止合同的原因，如果因一方违约提前终止的，应说明违约的事件。</w:t>
      </w:r>
    </w:p>
    <w:p w14:paraId="226A06EF">
      <w:pPr>
        <w:widowControl/>
        <w:numPr>
          <w:ilvl w:val="0"/>
          <w:numId w:val="0"/>
        </w:numPr>
        <w:kinsoku/>
        <w:overflowPunct/>
        <w:bidi w:val="0"/>
        <w:spacing w:line="360" w:lineRule="auto"/>
        <w:ind w:left="0" w:leftChars="0" w:right="0" w:rightChars="0" w:firstLine="435" w:firstLineChars="0"/>
        <w:rPr>
          <w:rFonts w:hint="eastAsia" w:ascii="宋体" w:hAnsi="宋体" w:eastAsia="宋体" w:cs="Times New Roman"/>
          <w:b w:val="0"/>
          <w:bCs w:val="0"/>
          <w:color w:val="auto"/>
          <w:sz w:val="24"/>
          <w:szCs w:val="24"/>
          <w:highlight w:val="none"/>
        </w:rPr>
      </w:pPr>
      <w:r>
        <w:rPr>
          <w:rFonts w:hint="eastAsia" w:ascii="宋体" w:hAnsi="宋体" w:cs="Times New Roman"/>
          <w:b w:val="0"/>
          <w:bCs w:val="0"/>
          <w:color w:val="auto"/>
          <w:sz w:val="24"/>
          <w:szCs w:val="24"/>
          <w:highlight w:val="none"/>
          <w:lang w:eastAsia="zh-CN"/>
        </w:rPr>
        <w:t>（</w:t>
      </w:r>
      <w:r>
        <w:rPr>
          <w:rFonts w:hint="eastAsia" w:ascii="宋体" w:hAnsi="宋体" w:cs="Times New Roman"/>
          <w:b w:val="0"/>
          <w:bCs w:val="0"/>
          <w:color w:val="auto"/>
          <w:sz w:val="24"/>
          <w:szCs w:val="24"/>
          <w:highlight w:val="none"/>
          <w:lang w:val="en-US" w:eastAsia="zh-CN"/>
        </w:rPr>
        <w:t>2</w:t>
      </w:r>
      <w:r>
        <w:rPr>
          <w:rFonts w:hint="eastAsia" w:ascii="宋体" w:hAnsi="宋体" w:cs="Times New Roman"/>
          <w:b w:val="0"/>
          <w:bCs w:val="0"/>
          <w:color w:val="auto"/>
          <w:sz w:val="24"/>
          <w:szCs w:val="24"/>
          <w:highlight w:val="none"/>
          <w:lang w:eastAsia="zh-CN"/>
        </w:rPr>
        <w:t>）</w:t>
      </w:r>
      <w:r>
        <w:rPr>
          <w:rFonts w:hint="eastAsia" w:ascii="宋体" w:hAnsi="宋体" w:eastAsia="宋体" w:cs="Times New Roman"/>
          <w:b w:val="0"/>
          <w:bCs w:val="0"/>
          <w:color w:val="auto"/>
          <w:sz w:val="24"/>
          <w:szCs w:val="24"/>
          <w:highlight w:val="none"/>
        </w:rPr>
        <w:t>终止后果：本合同终止时乙方应自终止通知注明的日期开始向</w:t>
      </w:r>
      <w:r>
        <w:rPr>
          <w:rFonts w:hint="eastAsia" w:ascii="宋体" w:hAnsi="宋体" w:cs="Times New Roman"/>
          <w:b w:val="0"/>
          <w:bCs w:val="0"/>
          <w:color w:val="auto"/>
          <w:sz w:val="24"/>
          <w:szCs w:val="24"/>
          <w:highlight w:val="none"/>
          <w:lang w:val="en-US" w:eastAsia="zh-CN"/>
        </w:rPr>
        <w:t>招标人</w:t>
      </w:r>
      <w:r>
        <w:rPr>
          <w:rFonts w:hint="eastAsia" w:ascii="宋体" w:hAnsi="宋体" w:eastAsia="宋体" w:cs="Times New Roman"/>
          <w:b w:val="0"/>
          <w:bCs w:val="0"/>
          <w:color w:val="auto"/>
          <w:sz w:val="24"/>
          <w:szCs w:val="24"/>
          <w:highlight w:val="none"/>
        </w:rPr>
        <w:t>办理移交手续。</w:t>
      </w:r>
    </w:p>
    <w:p w14:paraId="0F085977">
      <w:pPr>
        <w:widowControl/>
        <w:numPr>
          <w:ilvl w:val="0"/>
          <w:numId w:val="0"/>
        </w:numPr>
        <w:kinsoku/>
        <w:overflowPunct/>
        <w:bidi w:val="0"/>
        <w:spacing w:line="360" w:lineRule="auto"/>
        <w:ind w:left="0" w:leftChars="0" w:right="0" w:rightChars="0" w:firstLine="435" w:firstLineChars="0"/>
        <w:rPr>
          <w:rFonts w:hint="eastAsia" w:ascii="宋体" w:hAnsi="宋体" w:eastAsia="宋体" w:cs="Times New Roman"/>
          <w:b w:val="0"/>
          <w:bCs w:val="0"/>
          <w:color w:val="auto"/>
          <w:sz w:val="24"/>
          <w:szCs w:val="24"/>
          <w:highlight w:val="none"/>
        </w:rPr>
      </w:pPr>
      <w:r>
        <w:rPr>
          <w:rFonts w:hint="eastAsia" w:ascii="宋体" w:hAnsi="宋体" w:cs="Times New Roman"/>
          <w:b w:val="0"/>
          <w:bCs w:val="0"/>
          <w:color w:val="auto"/>
          <w:sz w:val="24"/>
          <w:szCs w:val="24"/>
          <w:highlight w:val="none"/>
          <w:lang w:eastAsia="zh-CN"/>
        </w:rPr>
        <w:t>（</w:t>
      </w:r>
      <w:r>
        <w:rPr>
          <w:rFonts w:hint="eastAsia" w:ascii="宋体" w:hAnsi="宋体" w:cs="Times New Roman"/>
          <w:b w:val="0"/>
          <w:bCs w:val="0"/>
          <w:color w:val="auto"/>
          <w:sz w:val="24"/>
          <w:szCs w:val="24"/>
          <w:highlight w:val="none"/>
          <w:lang w:val="en-US" w:eastAsia="zh-CN"/>
        </w:rPr>
        <w:t>3</w:t>
      </w:r>
      <w:r>
        <w:rPr>
          <w:rFonts w:hint="eastAsia" w:ascii="宋体" w:hAnsi="宋体" w:cs="Times New Roman"/>
          <w:b w:val="0"/>
          <w:bCs w:val="0"/>
          <w:color w:val="auto"/>
          <w:sz w:val="24"/>
          <w:szCs w:val="24"/>
          <w:highlight w:val="none"/>
          <w:lang w:eastAsia="zh-CN"/>
        </w:rPr>
        <w:t>）</w:t>
      </w:r>
      <w:r>
        <w:rPr>
          <w:rFonts w:hint="eastAsia" w:ascii="宋体" w:hAnsi="宋体" w:eastAsia="宋体" w:cs="Times New Roman"/>
          <w:b w:val="0"/>
          <w:bCs w:val="0"/>
          <w:color w:val="auto"/>
          <w:sz w:val="24"/>
          <w:szCs w:val="24"/>
          <w:highlight w:val="none"/>
        </w:rPr>
        <w:t>本合同关于违约索赔和争议解决的条款，不因合同的终止而失去效力。</w:t>
      </w:r>
    </w:p>
    <w:p w14:paraId="35A99172">
      <w:pPr>
        <w:widowControl/>
        <w:numPr>
          <w:ilvl w:val="0"/>
          <w:numId w:val="0"/>
        </w:numPr>
        <w:kinsoku/>
        <w:overflowPunct/>
        <w:bidi w:val="0"/>
        <w:spacing w:line="360" w:lineRule="auto"/>
        <w:ind w:left="0" w:leftChars="0" w:right="0" w:rightChars="0" w:firstLine="435" w:firstLineChars="0"/>
        <w:rPr>
          <w:rFonts w:hint="eastAsia" w:ascii="宋体" w:hAnsi="宋体" w:eastAsia="宋体" w:cs="Times New Roman"/>
          <w:b w:val="0"/>
          <w:bCs w:val="0"/>
          <w:color w:val="auto"/>
          <w:sz w:val="24"/>
          <w:szCs w:val="24"/>
          <w:highlight w:val="none"/>
        </w:rPr>
      </w:pPr>
      <w:r>
        <w:rPr>
          <w:rFonts w:hint="eastAsia" w:ascii="宋体" w:hAnsi="宋体" w:cs="Times New Roman"/>
          <w:b w:val="0"/>
          <w:bCs w:val="0"/>
          <w:color w:val="auto"/>
          <w:sz w:val="24"/>
          <w:szCs w:val="24"/>
          <w:highlight w:val="none"/>
          <w:lang w:eastAsia="zh-CN"/>
        </w:rPr>
        <w:t>（</w:t>
      </w:r>
      <w:r>
        <w:rPr>
          <w:rFonts w:hint="eastAsia" w:ascii="宋体" w:hAnsi="宋体" w:cs="Times New Roman"/>
          <w:b w:val="0"/>
          <w:bCs w:val="0"/>
          <w:color w:val="auto"/>
          <w:sz w:val="24"/>
          <w:szCs w:val="24"/>
          <w:highlight w:val="none"/>
          <w:lang w:val="en-US" w:eastAsia="zh-CN"/>
        </w:rPr>
        <w:t>4</w:t>
      </w:r>
      <w:r>
        <w:rPr>
          <w:rFonts w:hint="eastAsia" w:ascii="宋体" w:hAnsi="宋体" w:cs="Times New Roman"/>
          <w:b w:val="0"/>
          <w:bCs w:val="0"/>
          <w:color w:val="auto"/>
          <w:sz w:val="24"/>
          <w:szCs w:val="24"/>
          <w:highlight w:val="none"/>
          <w:lang w:eastAsia="zh-CN"/>
        </w:rPr>
        <w:t>）</w:t>
      </w:r>
      <w:r>
        <w:rPr>
          <w:rFonts w:hint="eastAsia" w:ascii="宋体" w:hAnsi="宋体" w:eastAsia="宋体" w:cs="Times New Roman"/>
          <w:b w:val="0"/>
          <w:bCs w:val="0"/>
          <w:color w:val="auto"/>
          <w:sz w:val="24"/>
          <w:szCs w:val="24"/>
          <w:highlight w:val="none"/>
        </w:rPr>
        <w:t>义务不可免除：从本合同终止至乙方办理完移交手续并且质保期届满时止，乙方基于本合同项下的义务和责任不可免除。业主也应继续向乙方支付欠付的款项。因乙方违约造成本合同终止的，乙方应承担违约责任。</w:t>
      </w:r>
    </w:p>
    <w:p w14:paraId="330A2B21">
      <w:pPr>
        <w:kinsoku/>
        <w:overflowPunct/>
        <w:bidi w:val="0"/>
        <w:spacing w:line="360" w:lineRule="auto"/>
        <w:ind w:left="0" w:leftChars="0" w:right="0" w:rightChars="0" w:firstLine="437" w:firstLineChars="0"/>
        <w:jc w:val="left"/>
        <w:outlineLvl w:val="2"/>
        <w:rPr>
          <w:rFonts w:hint="eastAsia" w:ascii="宋体" w:hAnsi="宋体" w:eastAsia="宋体" w:cs="Times New Roman"/>
          <w:b/>
          <w:bCs/>
          <w:color w:val="auto"/>
          <w:sz w:val="24"/>
          <w:szCs w:val="24"/>
          <w:highlight w:val="none"/>
        </w:rPr>
      </w:pPr>
      <w:bookmarkStart w:id="158" w:name="_Toc11137"/>
      <w:bookmarkStart w:id="159" w:name="_Toc309383990"/>
      <w:bookmarkStart w:id="160" w:name="_Toc312229982"/>
      <w:bookmarkStart w:id="161" w:name="_Toc354153683"/>
      <w:bookmarkStart w:id="162" w:name="_Toc306625583"/>
      <w:bookmarkStart w:id="163" w:name="_Toc306876539"/>
      <w:bookmarkStart w:id="164" w:name="_Toc3562126"/>
      <w:bookmarkStart w:id="165" w:name="_Toc353555614"/>
      <w:bookmarkStart w:id="166" w:name="_Toc509245059"/>
      <w:bookmarkStart w:id="167" w:name="_Toc351022848"/>
      <w:bookmarkStart w:id="168" w:name="_Toc309136428"/>
      <w:r>
        <w:rPr>
          <w:rFonts w:hint="eastAsia" w:ascii="宋体" w:hAnsi="宋体" w:eastAsia="宋体" w:cs="Times New Roman"/>
          <w:b/>
          <w:bCs/>
          <w:color w:val="auto"/>
          <w:sz w:val="24"/>
          <w:szCs w:val="24"/>
          <w:highlight w:val="none"/>
          <w:lang w:val="en-US" w:eastAsia="zh-CN"/>
        </w:rPr>
        <w:t>1.13</w:t>
      </w:r>
      <w:r>
        <w:rPr>
          <w:rFonts w:hint="eastAsia" w:ascii="宋体" w:hAnsi="宋体" w:eastAsia="宋体" w:cs="Times New Roman"/>
          <w:b/>
          <w:bCs/>
          <w:color w:val="auto"/>
          <w:sz w:val="24"/>
          <w:szCs w:val="24"/>
          <w:highlight w:val="none"/>
        </w:rPr>
        <w:t>合同的变更</w:t>
      </w:r>
      <w:bookmarkEnd w:id="158"/>
      <w:bookmarkEnd w:id="159"/>
      <w:bookmarkEnd w:id="160"/>
      <w:bookmarkEnd w:id="161"/>
      <w:bookmarkEnd w:id="162"/>
      <w:bookmarkEnd w:id="163"/>
      <w:bookmarkEnd w:id="164"/>
      <w:bookmarkEnd w:id="165"/>
      <w:bookmarkEnd w:id="166"/>
      <w:bookmarkEnd w:id="167"/>
      <w:bookmarkEnd w:id="168"/>
    </w:p>
    <w:p w14:paraId="74676FF5">
      <w:pPr>
        <w:widowControl/>
        <w:numPr>
          <w:ilvl w:val="0"/>
          <w:numId w:val="0"/>
        </w:numPr>
        <w:kinsoku/>
        <w:overflowPunct/>
        <w:bidi w:val="0"/>
        <w:spacing w:line="360" w:lineRule="auto"/>
        <w:ind w:left="0" w:leftChars="0" w:right="0" w:rightChars="0" w:firstLine="435" w:firstLineChars="0"/>
        <w:rPr>
          <w:rFonts w:hint="eastAsia" w:ascii="宋体" w:hAnsi="宋体" w:eastAsia="宋体" w:cs="Times New Roman"/>
          <w:b w:val="0"/>
          <w:bCs w:val="0"/>
          <w:color w:val="auto"/>
          <w:sz w:val="24"/>
          <w:szCs w:val="24"/>
          <w:highlight w:val="none"/>
        </w:rPr>
      </w:pPr>
      <w:r>
        <w:rPr>
          <w:rFonts w:hint="eastAsia" w:ascii="宋体" w:hAnsi="宋体" w:eastAsia="宋体" w:cs="Times New Roman"/>
          <w:b w:val="0"/>
          <w:bCs w:val="0"/>
          <w:color w:val="auto"/>
          <w:sz w:val="24"/>
          <w:szCs w:val="24"/>
          <w:highlight w:val="none"/>
        </w:rPr>
        <w:t>本合同可由双方协商随时作出补充或修改，双方就有关补充或修改内容须达成书面协议并由双方签署方具法律效力。任何修改和补充的内容或协议均构成本合同的一部分。</w:t>
      </w:r>
    </w:p>
    <w:p w14:paraId="5C2807CC">
      <w:pPr>
        <w:kinsoku/>
        <w:overflowPunct/>
        <w:bidi w:val="0"/>
        <w:spacing w:line="360" w:lineRule="auto"/>
        <w:ind w:left="0" w:leftChars="0" w:right="0" w:rightChars="0" w:firstLine="437"/>
        <w:outlineLvl w:val="2"/>
        <w:rPr>
          <w:rFonts w:hint="eastAsia"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1.</w:t>
      </w:r>
      <w:r>
        <w:rPr>
          <w:rFonts w:hint="eastAsia" w:ascii="宋体" w:hAnsi="宋体" w:cs="Times New Roman"/>
          <w:b/>
          <w:bCs/>
          <w:color w:val="auto"/>
          <w:sz w:val="24"/>
          <w:szCs w:val="24"/>
          <w:highlight w:val="none"/>
          <w:lang w:val="en-US" w:eastAsia="zh-CN"/>
        </w:rPr>
        <w:t>14</w:t>
      </w:r>
      <w:r>
        <w:rPr>
          <w:rFonts w:hint="eastAsia" w:ascii="宋体" w:hAnsi="宋体" w:eastAsia="宋体" w:cs="Times New Roman"/>
          <w:b/>
          <w:bCs/>
          <w:color w:val="auto"/>
          <w:sz w:val="24"/>
          <w:szCs w:val="24"/>
          <w:highlight w:val="none"/>
          <w:lang w:val="en-US" w:eastAsia="zh-CN"/>
        </w:rPr>
        <w:t>争议解决</w:t>
      </w:r>
    </w:p>
    <w:p w14:paraId="634998DE">
      <w:pPr>
        <w:kinsoku/>
        <w:overflowPunct/>
        <w:bidi w:val="0"/>
        <w:spacing w:line="360" w:lineRule="auto"/>
        <w:ind w:left="0" w:leftChars="0" w:right="0" w:rightChars="0"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本合</w:t>
      </w:r>
      <w:r>
        <w:rPr>
          <w:rFonts w:ascii="宋体" w:hAnsi="宋体" w:eastAsia="宋体" w:cs="Times New Roman"/>
          <w:color w:val="auto"/>
          <w:sz w:val="24"/>
          <w:szCs w:val="24"/>
          <w:highlight w:val="none"/>
        </w:rPr>
        <w:t>同履行过程中发生的任何争议，双方当事人均可</w:t>
      </w:r>
      <w:r>
        <w:rPr>
          <w:rFonts w:hint="eastAsia" w:ascii="宋体" w:hAnsi="宋体" w:eastAsia="宋体" w:cs="Times New Roman"/>
          <w:color w:val="auto"/>
          <w:sz w:val="24"/>
          <w:szCs w:val="24"/>
          <w:highlight w:val="none"/>
        </w:rPr>
        <w:t>通过和解或者调解解决；不愿和解、调解或者和解、调解不成的，可以选择下列第</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1</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种方式解决：</w:t>
      </w:r>
    </w:p>
    <w:p w14:paraId="792CB55D">
      <w:pPr>
        <w:kinsoku/>
        <w:overflowPunct/>
        <w:bidi w:val="0"/>
        <w:spacing w:line="360" w:lineRule="auto"/>
        <w:ind w:left="0" w:leftChars="0" w:right="0" w:rightChars="0"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w:t>
      </w:r>
      <w:r>
        <w:rPr>
          <w:rFonts w:hint="eastAsia" w:ascii="宋体" w:hAnsi="宋体" w:cs="Times New Roman"/>
          <w:color w:val="auto"/>
          <w:sz w:val="24"/>
          <w:szCs w:val="24"/>
          <w:highlight w:val="none"/>
          <w:lang w:val="en-US" w:eastAsia="zh-CN"/>
        </w:rPr>
        <w:t>14</w:t>
      </w:r>
      <w:r>
        <w:rPr>
          <w:rFonts w:hint="eastAsia" w:ascii="宋体" w:hAnsi="宋体" w:eastAsia="宋体" w:cs="Times New Roman"/>
          <w:color w:val="auto"/>
          <w:sz w:val="24"/>
          <w:szCs w:val="24"/>
          <w:highlight w:val="none"/>
        </w:rPr>
        <w:t>.1将争议提交</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滁州</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仲裁委员会依申请仲裁时其现行有效的仲裁规则裁决；</w:t>
      </w:r>
    </w:p>
    <w:p w14:paraId="37C0828D">
      <w:pPr>
        <w:kinsoku/>
        <w:overflowPunct/>
        <w:bidi w:val="0"/>
        <w:spacing w:line="360" w:lineRule="auto"/>
        <w:ind w:left="0" w:leftChars="0" w:right="0" w:rightChars="0"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w:t>
      </w:r>
      <w:r>
        <w:rPr>
          <w:rFonts w:hint="eastAsia" w:ascii="宋体" w:hAnsi="宋体" w:cs="Times New Roman"/>
          <w:color w:val="auto"/>
          <w:sz w:val="24"/>
          <w:szCs w:val="24"/>
          <w:highlight w:val="none"/>
          <w:lang w:val="en-US" w:eastAsia="zh-CN"/>
        </w:rPr>
        <w:t>14</w:t>
      </w:r>
      <w:r>
        <w:rPr>
          <w:rFonts w:hint="eastAsia" w:ascii="宋体" w:hAnsi="宋体" w:eastAsia="宋体" w:cs="Times New Roman"/>
          <w:color w:val="auto"/>
          <w:sz w:val="24"/>
          <w:szCs w:val="24"/>
          <w:highlight w:val="none"/>
        </w:rPr>
        <w:t>.2向</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甲方（招标人）所在地</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人民法院起诉。</w:t>
      </w:r>
    </w:p>
    <w:p w14:paraId="6124BE86">
      <w:pPr>
        <w:kinsoku/>
        <w:overflowPunct/>
        <w:bidi w:val="0"/>
        <w:spacing w:line="360" w:lineRule="auto"/>
        <w:ind w:left="0" w:leftChars="0" w:right="0" w:rightChars="0" w:firstLine="437"/>
        <w:outlineLvl w:val="2"/>
        <w:rPr>
          <w:rFonts w:hint="eastAsia"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1.</w:t>
      </w:r>
      <w:r>
        <w:rPr>
          <w:rFonts w:hint="eastAsia" w:ascii="宋体" w:hAnsi="宋体" w:cs="Times New Roman"/>
          <w:b/>
          <w:bCs/>
          <w:color w:val="auto"/>
          <w:sz w:val="24"/>
          <w:szCs w:val="24"/>
          <w:highlight w:val="none"/>
          <w:lang w:val="en-US" w:eastAsia="zh-CN"/>
        </w:rPr>
        <w:t>15</w:t>
      </w:r>
      <w:r>
        <w:rPr>
          <w:rFonts w:hint="eastAsia" w:ascii="宋体" w:hAnsi="宋体" w:eastAsia="宋体" w:cs="Times New Roman"/>
          <w:b/>
          <w:bCs/>
          <w:color w:val="auto"/>
          <w:sz w:val="24"/>
          <w:szCs w:val="24"/>
          <w:highlight w:val="none"/>
          <w:lang w:val="en-US" w:eastAsia="zh-CN"/>
        </w:rPr>
        <w:t>合同签订地点</w:t>
      </w:r>
    </w:p>
    <w:p w14:paraId="291C8A6F">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本合同在安徽省</w:t>
      </w:r>
      <w:r>
        <w:rPr>
          <w:rFonts w:hint="eastAsia" w:ascii="宋体" w:hAnsi="宋体" w:eastAsia="宋体" w:cs="Times New Roman"/>
          <w:color w:val="auto"/>
          <w:sz w:val="24"/>
          <w:szCs w:val="24"/>
          <w:highlight w:val="none"/>
          <w:u w:val="single"/>
          <w:lang w:val="en-US" w:eastAsia="zh-CN"/>
        </w:rPr>
        <w:t xml:space="preserve">  滁州市  </w:t>
      </w:r>
      <w:r>
        <w:rPr>
          <w:rFonts w:hint="eastAsia" w:ascii="宋体" w:hAnsi="宋体" w:eastAsia="宋体" w:cs="Times New Roman"/>
          <w:color w:val="auto"/>
          <w:sz w:val="24"/>
          <w:szCs w:val="24"/>
          <w:highlight w:val="none"/>
          <w:lang w:val="en-US" w:eastAsia="zh-CN"/>
        </w:rPr>
        <w:t>签订。</w:t>
      </w:r>
    </w:p>
    <w:p w14:paraId="5D900B9A">
      <w:pPr>
        <w:kinsoku/>
        <w:overflowPunct/>
        <w:bidi w:val="0"/>
        <w:spacing w:line="360" w:lineRule="auto"/>
        <w:ind w:left="0" w:leftChars="0" w:right="0" w:rightChars="0" w:firstLine="437"/>
        <w:outlineLvl w:val="2"/>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lang w:val="en-US" w:eastAsia="zh-CN"/>
        </w:rPr>
        <w:t>1</w:t>
      </w:r>
      <w:r>
        <w:rPr>
          <w:rFonts w:hint="eastAsia" w:ascii="宋体" w:hAnsi="宋体" w:eastAsia="宋体" w:cs="Times New Roman"/>
          <w:b/>
          <w:bCs/>
          <w:color w:val="auto"/>
          <w:sz w:val="24"/>
          <w:szCs w:val="24"/>
          <w:highlight w:val="none"/>
          <w:lang w:val="en-US"/>
        </w:rPr>
        <w:t>.</w:t>
      </w:r>
      <w:r>
        <w:rPr>
          <w:rFonts w:hint="eastAsia" w:ascii="宋体" w:hAnsi="宋体" w:eastAsia="宋体" w:cs="Times New Roman"/>
          <w:b/>
          <w:bCs/>
          <w:color w:val="auto"/>
          <w:sz w:val="24"/>
          <w:szCs w:val="24"/>
          <w:highlight w:val="none"/>
          <w:lang w:val="en-US" w:eastAsia="zh-CN"/>
        </w:rPr>
        <w:t>1</w:t>
      </w:r>
      <w:r>
        <w:rPr>
          <w:rFonts w:hint="eastAsia" w:ascii="宋体" w:hAnsi="宋体" w:cs="Times New Roman"/>
          <w:b/>
          <w:bCs/>
          <w:color w:val="auto"/>
          <w:sz w:val="24"/>
          <w:szCs w:val="24"/>
          <w:highlight w:val="none"/>
          <w:lang w:val="en-US" w:eastAsia="zh-CN"/>
        </w:rPr>
        <w:t>6</w:t>
      </w:r>
      <w:r>
        <w:rPr>
          <w:rFonts w:hint="eastAsia" w:ascii="宋体" w:hAnsi="宋体" w:eastAsia="宋体" w:cs="Times New Roman"/>
          <w:b/>
          <w:bCs/>
          <w:color w:val="auto"/>
          <w:sz w:val="24"/>
          <w:szCs w:val="24"/>
          <w:highlight w:val="none"/>
          <w:lang w:val="en-US"/>
        </w:rPr>
        <w:t xml:space="preserve"> 履约保证金</w:t>
      </w:r>
    </w:p>
    <w:p w14:paraId="6AC09D71">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rPr>
        <w:t>.1</w:t>
      </w:r>
      <w:r>
        <w:rPr>
          <w:rFonts w:hint="eastAsia" w:ascii="宋体" w:hAnsi="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rPr>
        <w:t>.1采购文件要求乙方提交履约保证金的，乙方应按</w:t>
      </w:r>
      <w:r>
        <w:rPr>
          <w:rFonts w:hint="eastAsia" w:ascii="宋体" w:hAnsi="宋体" w:eastAsia="宋体" w:cs="Times New Roman"/>
          <w:b w:val="0"/>
          <w:i w:val="0"/>
          <w:color w:val="auto"/>
          <w:sz w:val="24"/>
          <w:szCs w:val="24"/>
          <w:highlight w:val="none"/>
          <w:u w:val="none"/>
        </w:rPr>
        <w:t>合同</w:t>
      </w:r>
      <w:r>
        <w:rPr>
          <w:rFonts w:hint="eastAsia" w:ascii="宋体" w:hAnsi="宋体" w:eastAsia="宋体" w:cs="Times New Roman"/>
          <w:color w:val="auto"/>
          <w:sz w:val="24"/>
          <w:szCs w:val="24"/>
          <w:highlight w:val="none"/>
        </w:rPr>
        <w:t>约定的方式，以支票、汇票、本票或者金融机构、担保机构出具的保函等非现金形式提交；</w:t>
      </w:r>
    </w:p>
    <w:p w14:paraId="389A9450">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rPr>
        <w:t>.1</w:t>
      </w:r>
      <w:r>
        <w:rPr>
          <w:rFonts w:hint="eastAsia" w:ascii="宋体" w:hAnsi="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rPr>
        <w:t>.2履约保证金在</w:t>
      </w:r>
      <w:r>
        <w:rPr>
          <w:rFonts w:hint="eastAsia" w:ascii="宋体" w:hAnsi="宋体" w:eastAsia="宋体" w:cs="Times New Roman"/>
          <w:b w:val="0"/>
          <w:i w:val="0"/>
          <w:color w:val="auto"/>
          <w:sz w:val="24"/>
          <w:szCs w:val="24"/>
          <w:highlight w:val="none"/>
          <w:u w:val="none"/>
        </w:rPr>
        <w:t>合同</w:t>
      </w:r>
      <w:r>
        <w:rPr>
          <w:rFonts w:hint="eastAsia" w:ascii="宋体" w:hAnsi="宋体" w:eastAsia="宋体" w:cs="Times New Roman"/>
          <w:color w:val="auto"/>
          <w:sz w:val="24"/>
          <w:szCs w:val="24"/>
          <w:highlight w:val="none"/>
        </w:rPr>
        <w:t>约定期间内不予退还或者应完全有效，前述约定期间届满之日起</w:t>
      </w:r>
      <w:r>
        <w:rPr>
          <w:rFonts w:hint="eastAsia" w:ascii="宋体" w:hAnsi="宋体" w:eastAsia="宋体" w:cs="Times New Roman"/>
          <w:color w:val="auto"/>
          <w:sz w:val="24"/>
          <w:szCs w:val="24"/>
          <w:highlight w:val="none"/>
          <w:u w:val="none"/>
          <w:lang w:val="en-US" w:eastAsia="zh-CN"/>
        </w:rPr>
        <w:t>5</w:t>
      </w:r>
      <w:r>
        <w:rPr>
          <w:rFonts w:hint="eastAsia" w:ascii="宋体" w:hAnsi="宋体" w:eastAsia="宋体" w:cs="Times New Roman"/>
          <w:color w:val="auto"/>
          <w:sz w:val="24"/>
          <w:szCs w:val="24"/>
          <w:highlight w:val="none"/>
        </w:rPr>
        <w:t>个工作日内，甲方应将履约保证金退还乙方</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甲方</w:t>
      </w:r>
      <w:r>
        <w:rPr>
          <w:rFonts w:hint="eastAsia" w:ascii="宋体" w:hAnsi="宋体" w:eastAsia="宋体" w:cs="Times New Roman"/>
          <w:color w:val="auto"/>
          <w:sz w:val="24"/>
          <w:szCs w:val="24"/>
          <w:highlight w:val="none"/>
        </w:rPr>
        <w:t>逾期退还履约保证金</w:t>
      </w:r>
      <w:r>
        <w:rPr>
          <w:rFonts w:hint="eastAsia" w:ascii="宋体" w:hAnsi="宋体" w:eastAsia="宋体" w:cs="Times New Roman"/>
          <w:color w:val="auto"/>
          <w:sz w:val="24"/>
          <w:szCs w:val="24"/>
          <w:highlight w:val="none"/>
          <w:lang w:val="en-US" w:eastAsia="zh-CN"/>
        </w:rPr>
        <w:t>应承担违约责任。</w:t>
      </w:r>
    </w:p>
    <w:p w14:paraId="7BADFEBA">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rPr>
        <w:t>.1</w:t>
      </w:r>
      <w:r>
        <w:rPr>
          <w:rFonts w:hint="eastAsia" w:ascii="宋体" w:hAnsi="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rPr>
        <w:t>.3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71B7693C">
      <w:pPr>
        <w:kinsoku/>
        <w:overflowPunct/>
        <w:bidi w:val="0"/>
        <w:spacing w:line="360" w:lineRule="auto"/>
        <w:ind w:left="0" w:leftChars="0" w:right="0" w:rightChars="0" w:firstLine="437"/>
        <w:outlineLvl w:val="2"/>
        <w:rPr>
          <w:rFonts w:hint="eastAsia"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1.1</w:t>
      </w:r>
      <w:r>
        <w:rPr>
          <w:rFonts w:hint="eastAsia" w:ascii="宋体" w:hAnsi="宋体" w:cs="Times New Roman"/>
          <w:b/>
          <w:bCs/>
          <w:color w:val="auto"/>
          <w:sz w:val="24"/>
          <w:szCs w:val="24"/>
          <w:highlight w:val="none"/>
          <w:lang w:val="en-US" w:eastAsia="zh-CN"/>
        </w:rPr>
        <w:t>7</w:t>
      </w:r>
      <w:r>
        <w:rPr>
          <w:rFonts w:hint="eastAsia" w:ascii="宋体" w:hAnsi="宋体" w:eastAsia="宋体" w:cs="Times New Roman"/>
          <w:b/>
          <w:bCs/>
          <w:color w:val="auto"/>
          <w:sz w:val="24"/>
          <w:szCs w:val="24"/>
          <w:highlight w:val="none"/>
          <w:lang w:val="en-US" w:eastAsia="zh-CN"/>
        </w:rPr>
        <w:t>其他条款</w:t>
      </w:r>
    </w:p>
    <w:p w14:paraId="18B173A7">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本合同自双方签字盖章之日起生效，一式四份，甲乙双方各执两份，具有同等法律效力。</w:t>
      </w:r>
    </w:p>
    <w:bookmarkEnd w:id="96"/>
    <w:bookmarkEnd w:id="97"/>
    <w:bookmarkEnd w:id="98"/>
    <w:p w14:paraId="6B014523">
      <w:pPr>
        <w:kinsoku/>
        <w:overflowPunct/>
        <w:autoSpaceDE w:val="0"/>
        <w:autoSpaceDN w:val="0"/>
        <w:bidi w:val="0"/>
        <w:adjustRightInd w:val="0"/>
        <w:spacing w:line="560" w:lineRule="exact"/>
        <w:ind w:left="0" w:leftChars="0" w:right="0" w:rightChars="0"/>
        <w:rPr>
          <w:rFonts w:ascii="宋体" w:hAnsi="宋体" w:eastAsia="宋体" w:cs="Times New Roman"/>
          <w:color w:val="auto"/>
          <w:sz w:val="24"/>
          <w:szCs w:val="24"/>
          <w:highlight w:val="none"/>
          <w:lang w:val="zh-CN"/>
        </w:rPr>
      </w:pPr>
    </w:p>
    <w:p w14:paraId="6152A151">
      <w:pPr>
        <w:kinsoku/>
        <w:overflowPunct/>
        <w:autoSpaceDE w:val="0"/>
        <w:autoSpaceDN w:val="0"/>
        <w:bidi w:val="0"/>
        <w:adjustRightInd w:val="0"/>
        <w:spacing w:line="560" w:lineRule="exact"/>
        <w:ind w:left="0" w:leftChars="0" w:right="0" w:rightChars="0"/>
        <w:rPr>
          <w:rFonts w:ascii="宋体" w:hAnsi="宋体" w:eastAsia="宋体" w:cs="Times New Roman"/>
          <w:color w:val="auto"/>
          <w:sz w:val="24"/>
          <w:szCs w:val="24"/>
          <w:highlight w:val="none"/>
          <w:lang w:val="zh-CN"/>
        </w:rPr>
      </w:pPr>
    </w:p>
    <w:p w14:paraId="2A8CF61D">
      <w:pPr>
        <w:kinsoku/>
        <w:overflowPunct/>
        <w:autoSpaceDE w:val="0"/>
        <w:autoSpaceDN w:val="0"/>
        <w:bidi w:val="0"/>
        <w:adjustRightInd w:val="0"/>
        <w:spacing w:line="560" w:lineRule="exact"/>
        <w:ind w:left="0" w:leftChars="0" w:right="0" w:rightChars="0"/>
        <w:rPr>
          <w:rFonts w:ascii="宋体" w:hAnsi="宋体" w:eastAsia="宋体" w:cs="Times New Roman"/>
          <w:color w:val="auto"/>
          <w:sz w:val="24"/>
          <w:szCs w:val="24"/>
          <w:highlight w:val="none"/>
          <w:lang w:val="zh-CN"/>
        </w:rPr>
      </w:pPr>
    </w:p>
    <w:p w14:paraId="75D8F870">
      <w:pPr>
        <w:kinsoku/>
        <w:overflowPunct/>
        <w:autoSpaceDE w:val="0"/>
        <w:autoSpaceDN w:val="0"/>
        <w:bidi w:val="0"/>
        <w:adjustRightInd w:val="0"/>
        <w:spacing w:line="560" w:lineRule="exact"/>
        <w:ind w:left="0" w:leftChars="0" w:right="0" w:rightChars="0"/>
        <w:rPr>
          <w:rFonts w:ascii="宋体" w:hAnsi="宋体" w:eastAsia="宋体" w:cs="Times New Roman"/>
          <w:bCs/>
          <w:color w:val="auto"/>
          <w:sz w:val="24"/>
          <w:szCs w:val="24"/>
          <w:highlight w:val="none"/>
          <w:lang w:val="zh-CN"/>
        </w:rPr>
      </w:pPr>
      <w:r>
        <w:rPr>
          <w:rFonts w:hint="eastAsia" w:ascii="宋体" w:hAnsi="宋体" w:eastAsia="宋体" w:cs="Times New Roman"/>
          <w:bCs/>
          <w:color w:val="auto"/>
          <w:sz w:val="24"/>
          <w:szCs w:val="24"/>
          <w:highlight w:val="none"/>
          <w:lang w:val="zh-CN"/>
        </w:rPr>
        <w:t xml:space="preserve">甲 </w:t>
      </w:r>
      <w:r>
        <w:rPr>
          <w:rFonts w:ascii="宋体" w:hAnsi="宋体" w:eastAsia="宋体" w:cs="Times New Roman"/>
          <w:bCs/>
          <w:color w:val="auto"/>
          <w:sz w:val="24"/>
          <w:szCs w:val="24"/>
          <w:highlight w:val="none"/>
          <w:lang w:val="zh-CN"/>
        </w:rPr>
        <w:t xml:space="preserve">   </w:t>
      </w:r>
      <w:r>
        <w:rPr>
          <w:rFonts w:hint="eastAsia" w:ascii="宋体" w:hAnsi="宋体" w:eastAsia="宋体" w:cs="Times New Roman"/>
          <w:bCs/>
          <w:color w:val="auto"/>
          <w:sz w:val="24"/>
          <w:szCs w:val="24"/>
          <w:highlight w:val="none"/>
          <w:lang w:val="zh-CN"/>
        </w:rPr>
        <w:t>方：</w:t>
      </w:r>
      <w:r>
        <w:rPr>
          <w:rFonts w:hint="eastAsia" w:ascii="宋体" w:hAnsi="宋体" w:eastAsia="宋体" w:cs="Times New Roman"/>
          <w:bCs/>
          <w:color w:val="auto"/>
          <w:sz w:val="24"/>
          <w:szCs w:val="24"/>
          <w:highlight w:val="none"/>
          <w:u w:val="single"/>
          <w:lang w:val="zh-CN"/>
        </w:rPr>
        <w:t xml:space="preserve">    （单位盖章）     </w:t>
      </w:r>
      <w:r>
        <w:rPr>
          <w:rFonts w:hint="eastAsia" w:ascii="宋体" w:hAnsi="宋体" w:eastAsia="宋体" w:cs="Times New Roman"/>
          <w:bCs/>
          <w:color w:val="auto"/>
          <w:sz w:val="24"/>
          <w:szCs w:val="24"/>
          <w:highlight w:val="none"/>
          <w:lang w:val="zh-CN"/>
        </w:rPr>
        <w:t xml:space="preserve">          乙方：</w:t>
      </w:r>
      <w:r>
        <w:rPr>
          <w:rFonts w:hint="eastAsia" w:ascii="宋体" w:hAnsi="宋体" w:eastAsia="宋体" w:cs="Times New Roman"/>
          <w:bCs/>
          <w:color w:val="auto"/>
          <w:sz w:val="24"/>
          <w:szCs w:val="24"/>
          <w:highlight w:val="none"/>
          <w:u w:val="single"/>
          <w:lang w:val="zh-CN"/>
        </w:rPr>
        <w:t xml:space="preserve">    （单位盖章）     </w:t>
      </w:r>
    </w:p>
    <w:p w14:paraId="4E582E50">
      <w:pPr>
        <w:kinsoku/>
        <w:overflowPunct/>
        <w:autoSpaceDE w:val="0"/>
        <w:autoSpaceDN w:val="0"/>
        <w:bidi w:val="0"/>
        <w:adjustRightInd w:val="0"/>
        <w:spacing w:line="560" w:lineRule="exact"/>
        <w:ind w:left="0" w:leftChars="0" w:right="0" w:rightChars="0"/>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 xml:space="preserve">法定代表人                             </w:t>
      </w:r>
      <w:r>
        <w:rPr>
          <w:rFonts w:ascii="宋体" w:hAnsi="宋体" w:eastAsia="宋体" w:cs="Times New Roman"/>
          <w:color w:val="auto"/>
          <w:sz w:val="24"/>
          <w:szCs w:val="24"/>
          <w:highlight w:val="none"/>
          <w:lang w:val="zh-CN"/>
        </w:rPr>
        <w:t xml:space="preserve">  </w:t>
      </w:r>
      <w:r>
        <w:rPr>
          <w:rFonts w:hint="eastAsia" w:ascii="宋体" w:hAnsi="宋体" w:eastAsia="宋体" w:cs="Times New Roman"/>
          <w:color w:val="auto"/>
          <w:sz w:val="24"/>
          <w:szCs w:val="24"/>
          <w:highlight w:val="none"/>
          <w:lang w:val="zh-CN"/>
        </w:rPr>
        <w:t>法定代表人</w:t>
      </w:r>
    </w:p>
    <w:p w14:paraId="46252299">
      <w:pPr>
        <w:kinsoku/>
        <w:overflowPunct/>
        <w:autoSpaceDE w:val="0"/>
        <w:autoSpaceDN w:val="0"/>
        <w:bidi w:val="0"/>
        <w:adjustRightInd w:val="0"/>
        <w:spacing w:line="560" w:lineRule="exact"/>
        <w:ind w:left="0" w:leftChars="0" w:right="0" w:rightChars="0"/>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或授权代表（签字）：                      或授权代表（签字）：</w:t>
      </w:r>
    </w:p>
    <w:p w14:paraId="3E4983AC">
      <w:pPr>
        <w:widowControl/>
        <w:kinsoku/>
        <w:overflowPunct/>
        <w:bidi w:val="0"/>
        <w:spacing w:line="560" w:lineRule="exact"/>
        <w:ind w:left="0" w:leftChars="0" w:right="0" w:rightChars="0"/>
        <w:jc w:val="left"/>
        <w:rPr>
          <w:rFonts w:ascii="宋体" w:hAnsi="宋体" w:eastAsia="宋体" w:cs="Times New Roman"/>
          <w:bCs/>
          <w:color w:val="auto"/>
          <w:sz w:val="24"/>
          <w:szCs w:val="24"/>
          <w:highlight w:val="none"/>
        </w:rPr>
      </w:pPr>
      <w:bookmarkStart w:id="169" w:name="_Toc331685783"/>
      <w:r>
        <w:rPr>
          <w:rFonts w:hint="eastAsia" w:ascii="宋体" w:hAnsi="宋体" w:eastAsia="宋体" w:cs="Times New Roman"/>
          <w:bCs/>
          <w:color w:val="auto"/>
          <w:sz w:val="24"/>
          <w:szCs w:val="24"/>
          <w:highlight w:val="none"/>
        </w:rPr>
        <w:t>时间：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月</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日               时间：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月</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日</w:t>
      </w:r>
    </w:p>
    <w:p w14:paraId="05C48942">
      <w:pPr>
        <w:kinsoku/>
        <w:overflowPunct/>
        <w:bidi w:val="0"/>
        <w:spacing w:line="560" w:lineRule="exact"/>
        <w:ind w:left="0" w:leftChars="0" w:right="0" w:rightChars="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bookmarkStart w:id="170" w:name="_Hlk110099149"/>
      <w:r>
        <w:rPr>
          <w:rFonts w:hint="eastAsia" w:ascii="宋体" w:hAnsi="宋体" w:eastAsia="宋体"/>
          <w:color w:val="auto"/>
          <w:sz w:val="24"/>
          <w:szCs w:val="24"/>
          <w:highlight w:val="none"/>
          <w:u w:val="single"/>
        </w:rPr>
        <w:t xml:space="preserve">     </w:t>
      </w:r>
    </w:p>
    <w:bookmarkEnd w:id="169"/>
    <w:bookmarkEnd w:id="170"/>
    <w:p w14:paraId="5FA914CA">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Times New Roman" w:eastAsia="宋体" w:cs="Times New Roman"/>
          <w:b/>
          <w:bCs w:val="0"/>
          <w:color w:val="auto"/>
          <w:kern w:val="2"/>
          <w:sz w:val="32"/>
          <w:szCs w:val="32"/>
          <w:highlight w:val="none"/>
          <w:lang w:val="en-US" w:eastAsia="zh-CN" w:bidi="ar-SA"/>
        </w:rPr>
      </w:pPr>
      <w:r>
        <w:rPr>
          <w:rFonts w:ascii="宋体" w:hAnsi="宋体" w:eastAsia="宋体" w:cs="Times New Roman"/>
          <w:color w:val="auto"/>
          <w:sz w:val="24"/>
          <w:szCs w:val="24"/>
          <w:highlight w:val="none"/>
        </w:rPr>
        <w:br w:type="page"/>
      </w:r>
    </w:p>
    <w:p w14:paraId="3DFA671C">
      <w:pPr>
        <w:shd w:val="clear"/>
        <w:kinsoku/>
        <w:overflowPunct/>
        <w:bidi w:val="0"/>
        <w:ind w:left="0" w:leftChars="0" w:right="0" w:rightChars="0"/>
        <w:rPr>
          <w:color w:val="auto"/>
          <w:highlight w:val="none"/>
        </w:rPr>
      </w:pPr>
    </w:p>
    <w:p w14:paraId="457DE694">
      <w:pPr>
        <w:pStyle w:val="2"/>
        <w:shd w:val="clear"/>
        <w:kinsoku/>
        <w:overflowPunct/>
        <w:bidi w:val="0"/>
        <w:ind w:left="0" w:leftChars="0" w:right="0" w:rightChars="0"/>
        <w:rPr>
          <w:color w:val="auto"/>
          <w:highlight w:val="none"/>
        </w:rPr>
      </w:pPr>
      <w:bookmarkStart w:id="171" w:name="_Toc8628"/>
      <w:r>
        <w:rPr>
          <w:rFonts w:hint="eastAsia"/>
          <w:color w:val="auto"/>
          <w:highlight w:val="none"/>
        </w:rPr>
        <w:t>第六章  投标文件格式</w:t>
      </w:r>
      <w:bookmarkEnd w:id="94"/>
      <w:bookmarkEnd w:id="171"/>
    </w:p>
    <w:p w14:paraId="39818888">
      <w:pPr>
        <w:shd w:val="clear"/>
        <w:kinsoku/>
        <w:overflowPunct/>
        <w:bidi w:val="0"/>
        <w:ind w:left="0" w:leftChars="0" w:right="0" w:rightChars="0"/>
        <w:jc w:val="center"/>
        <w:rPr>
          <w:rFonts w:ascii="宋体" w:hAnsi="宋体"/>
          <w:b/>
          <w:color w:val="auto"/>
          <w:sz w:val="28"/>
          <w:szCs w:val="28"/>
          <w:highlight w:val="none"/>
          <w:bdr w:val="single" w:color="auto" w:sz="4" w:space="0"/>
        </w:rPr>
      </w:pPr>
      <w:r>
        <w:rPr>
          <w:rFonts w:hint="eastAsia" w:ascii="宋体" w:hAnsi="宋体"/>
          <w:b/>
          <w:color w:val="auto"/>
          <w:sz w:val="28"/>
          <w:szCs w:val="28"/>
          <w:highlight w:val="none"/>
        </w:rPr>
        <w:t>一、资信证明格式文件</w:t>
      </w:r>
    </w:p>
    <w:p w14:paraId="2D44B8D0">
      <w:pPr>
        <w:shd w:val="clear"/>
        <w:kinsoku/>
        <w:overflowPunct/>
        <w:bidi w:val="0"/>
        <w:ind w:left="0" w:leftChars="0" w:right="0" w:rightChars="0"/>
        <w:jc w:val="center"/>
        <w:rPr>
          <w:rFonts w:eastAsia="黑体"/>
          <w:color w:val="auto"/>
          <w:sz w:val="20"/>
          <w:highlight w:val="none"/>
        </w:rPr>
      </w:pPr>
    </w:p>
    <w:p w14:paraId="16758330">
      <w:pPr>
        <w:shd w:val="clear"/>
        <w:kinsoku/>
        <w:overflowPunct/>
        <w:bidi w:val="0"/>
        <w:ind w:left="0" w:leftChars="0" w:right="0" w:rightChars="0"/>
        <w:rPr>
          <w:rFonts w:eastAsia="黑体"/>
          <w:color w:val="auto"/>
          <w:sz w:val="20"/>
          <w:highlight w:val="none"/>
        </w:rPr>
      </w:pPr>
    </w:p>
    <w:p w14:paraId="3838E293">
      <w:pPr>
        <w:shd w:val="clear"/>
        <w:kinsoku/>
        <w:overflowPunct/>
        <w:bidi w:val="0"/>
        <w:ind w:left="0" w:leftChars="0" w:right="0" w:rightChars="0"/>
        <w:jc w:val="center"/>
        <w:rPr>
          <w:rFonts w:ascii="宋体"/>
          <w:b/>
          <w:color w:val="auto"/>
          <w:sz w:val="44"/>
          <w:szCs w:val="44"/>
          <w:highlight w:val="none"/>
        </w:rPr>
      </w:pPr>
      <w:bookmarkStart w:id="172" w:name="_Toc350698753"/>
      <w:bookmarkStart w:id="173" w:name="_Toc449028949"/>
      <w:r>
        <w:rPr>
          <w:rFonts w:hint="eastAsia" w:ascii="宋体"/>
          <w:b/>
          <w:color w:val="auto"/>
          <w:sz w:val="44"/>
          <w:szCs w:val="44"/>
          <w:highlight w:val="none"/>
        </w:rPr>
        <w:t>资信证明文件</w:t>
      </w:r>
      <w:bookmarkEnd w:id="172"/>
      <w:bookmarkEnd w:id="173"/>
    </w:p>
    <w:p w14:paraId="52106849">
      <w:pPr>
        <w:shd w:val="clear"/>
        <w:kinsoku/>
        <w:overflowPunct/>
        <w:bidi w:val="0"/>
        <w:ind w:left="0" w:leftChars="0" w:right="0" w:rightChars="0"/>
        <w:jc w:val="center"/>
        <w:rPr>
          <w:rFonts w:ascii="宋体"/>
          <w:color w:val="auto"/>
          <w:sz w:val="32"/>
          <w:szCs w:val="32"/>
          <w:highlight w:val="none"/>
        </w:rPr>
      </w:pPr>
      <w:r>
        <w:rPr>
          <w:rFonts w:hint="eastAsia" w:ascii="宋体"/>
          <w:color w:val="auto"/>
          <w:sz w:val="32"/>
          <w:szCs w:val="32"/>
          <w:highlight w:val="none"/>
        </w:rPr>
        <w:t>（投标文件一）</w:t>
      </w:r>
    </w:p>
    <w:p w14:paraId="0C7077DB">
      <w:pPr>
        <w:shd w:val="clear"/>
        <w:kinsoku/>
        <w:overflowPunct/>
        <w:bidi w:val="0"/>
        <w:ind w:left="0" w:leftChars="0" w:right="0" w:rightChars="0"/>
        <w:jc w:val="center"/>
        <w:rPr>
          <w:rFonts w:eastAsia="黑体"/>
          <w:color w:val="auto"/>
          <w:sz w:val="44"/>
          <w:szCs w:val="44"/>
          <w:highlight w:val="none"/>
        </w:rPr>
      </w:pPr>
    </w:p>
    <w:p w14:paraId="354E1FB8">
      <w:pPr>
        <w:shd w:val="clear"/>
        <w:kinsoku/>
        <w:overflowPunct/>
        <w:bidi w:val="0"/>
        <w:ind w:left="0" w:leftChars="0" w:right="0" w:rightChars="0"/>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1CEDA6D3">
      <w:pPr>
        <w:shd w:val="clear"/>
        <w:kinsoku/>
        <w:overflowPunct/>
        <w:bidi w:val="0"/>
        <w:ind w:left="0" w:leftChars="0" w:right="0" w:rightChars="0"/>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6F4017B9">
      <w:pPr>
        <w:shd w:val="clear"/>
        <w:kinsoku/>
        <w:overflowPunct/>
        <w:bidi w:val="0"/>
        <w:ind w:left="0" w:leftChars="0" w:right="0" w:rightChars="0"/>
        <w:rPr>
          <w:rFonts w:ascii="宋体"/>
          <w:color w:val="auto"/>
          <w:sz w:val="28"/>
          <w:szCs w:val="28"/>
          <w:highlight w:val="none"/>
        </w:rPr>
      </w:pPr>
    </w:p>
    <w:p w14:paraId="236710E5">
      <w:pPr>
        <w:shd w:val="clear"/>
        <w:kinsoku/>
        <w:overflowPunct/>
        <w:bidi w:val="0"/>
        <w:ind w:left="0" w:leftChars="0" w:right="0" w:rightChars="0"/>
        <w:rPr>
          <w:rFonts w:ascii="宋体"/>
          <w:color w:val="auto"/>
          <w:sz w:val="28"/>
          <w:szCs w:val="28"/>
          <w:highlight w:val="none"/>
        </w:rPr>
      </w:pPr>
    </w:p>
    <w:p w14:paraId="3FF73A11">
      <w:pPr>
        <w:shd w:val="clear"/>
        <w:kinsoku/>
        <w:overflowPunct/>
        <w:bidi w:val="0"/>
        <w:ind w:left="0" w:leftChars="0" w:right="0" w:rightChars="0"/>
        <w:rPr>
          <w:rFonts w:ascii="宋体"/>
          <w:color w:val="auto"/>
          <w:sz w:val="28"/>
          <w:szCs w:val="28"/>
          <w:highlight w:val="none"/>
        </w:rPr>
      </w:pPr>
    </w:p>
    <w:p w14:paraId="18D99A30">
      <w:pPr>
        <w:shd w:val="clear"/>
        <w:kinsoku/>
        <w:overflowPunct/>
        <w:bidi w:val="0"/>
        <w:ind w:left="0" w:leftChars="0" w:right="0" w:rightChars="0"/>
        <w:rPr>
          <w:rFonts w:ascii="宋体"/>
          <w:color w:val="auto"/>
          <w:sz w:val="28"/>
          <w:szCs w:val="28"/>
          <w:highlight w:val="none"/>
        </w:rPr>
      </w:pPr>
    </w:p>
    <w:p w14:paraId="4255A2F0">
      <w:pPr>
        <w:shd w:val="clear"/>
        <w:kinsoku/>
        <w:overflowPunct/>
        <w:bidi w:val="0"/>
        <w:ind w:left="0" w:leftChars="0" w:right="0" w:rightChars="0"/>
        <w:rPr>
          <w:rFonts w:ascii="宋体"/>
          <w:color w:val="auto"/>
          <w:sz w:val="28"/>
          <w:szCs w:val="28"/>
          <w:highlight w:val="none"/>
        </w:rPr>
      </w:pPr>
    </w:p>
    <w:p w14:paraId="5423F851">
      <w:pPr>
        <w:shd w:val="clear"/>
        <w:kinsoku/>
        <w:overflowPunct/>
        <w:bidi w:val="0"/>
        <w:ind w:left="0" w:leftChars="0" w:right="0" w:rightChars="0"/>
        <w:rPr>
          <w:rFonts w:ascii="宋体"/>
          <w:color w:val="auto"/>
          <w:sz w:val="28"/>
          <w:szCs w:val="28"/>
          <w:highlight w:val="none"/>
        </w:rPr>
      </w:pPr>
    </w:p>
    <w:p w14:paraId="666E7538">
      <w:pPr>
        <w:shd w:val="clear"/>
        <w:kinsoku/>
        <w:overflowPunct/>
        <w:bidi w:val="0"/>
        <w:ind w:left="0" w:leftChars="0" w:right="0" w:rightChars="0"/>
        <w:rPr>
          <w:rFonts w:ascii="宋体"/>
          <w:color w:val="auto"/>
          <w:sz w:val="28"/>
          <w:szCs w:val="28"/>
          <w:highlight w:val="none"/>
        </w:rPr>
      </w:pPr>
    </w:p>
    <w:p w14:paraId="17D5CAB8">
      <w:pPr>
        <w:shd w:val="clear"/>
        <w:kinsoku/>
        <w:overflowPunct/>
        <w:bidi w:val="0"/>
        <w:ind w:left="0" w:leftChars="0" w:right="0" w:rightChars="0"/>
        <w:jc w:val="center"/>
        <w:rPr>
          <w:rFonts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7FA08363">
      <w:pPr>
        <w:shd w:val="clear"/>
        <w:kinsoku/>
        <w:overflowPunct/>
        <w:bidi w:val="0"/>
        <w:ind w:left="0" w:leftChars="0" w:right="0" w:rightChars="0" w:firstLine="560" w:firstLineChars="200"/>
        <w:rPr>
          <w:rFonts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7B89275E">
      <w:pPr>
        <w:shd w:val="clear"/>
        <w:kinsoku/>
        <w:overflowPunct/>
        <w:bidi w:val="0"/>
        <w:ind w:left="0" w:leftChars="0" w:right="0" w:rightChars="0"/>
        <w:jc w:val="center"/>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1940778D">
      <w:pPr>
        <w:shd w:val="clear"/>
        <w:kinsoku/>
        <w:overflowPunct/>
        <w:bidi w:val="0"/>
        <w:spacing w:line="720" w:lineRule="auto"/>
        <w:ind w:left="0" w:leftChars="0" w:right="0" w:rightChars="0"/>
        <w:jc w:val="center"/>
        <w:rPr>
          <w:rFonts w:ascii="宋体"/>
          <w:b/>
          <w:color w:val="auto"/>
          <w:sz w:val="36"/>
          <w:szCs w:val="36"/>
          <w:highlight w:val="none"/>
        </w:rPr>
      </w:pPr>
    </w:p>
    <w:p w14:paraId="4406A234">
      <w:pPr>
        <w:shd w:val="clear"/>
        <w:kinsoku/>
        <w:overflowPunct/>
        <w:bidi w:val="0"/>
        <w:spacing w:line="400" w:lineRule="exact"/>
        <w:ind w:left="0" w:leftChars="0" w:right="0" w:rightChars="0" w:firstLine="4130" w:firstLineChars="935"/>
        <w:rPr>
          <w:b/>
          <w:color w:val="auto"/>
          <w:sz w:val="44"/>
          <w:szCs w:val="44"/>
          <w:highlight w:val="none"/>
        </w:rPr>
      </w:pPr>
    </w:p>
    <w:p w14:paraId="6891E8D5">
      <w:pPr>
        <w:pStyle w:val="33"/>
        <w:shd w:val="clear"/>
        <w:kinsoku/>
        <w:overflowPunct/>
        <w:bidi w:val="0"/>
        <w:ind w:left="0" w:leftChars="0" w:right="0" w:rightChars="0" w:firstLine="210"/>
        <w:rPr>
          <w:color w:val="auto"/>
          <w:highlight w:val="none"/>
        </w:rPr>
      </w:pPr>
    </w:p>
    <w:p w14:paraId="5401311B">
      <w:pPr>
        <w:shd w:val="clear"/>
        <w:kinsoku/>
        <w:overflowPunct/>
        <w:bidi w:val="0"/>
        <w:ind w:left="0" w:leftChars="0" w:right="0" w:rightChars="0"/>
        <w:jc w:val="center"/>
        <w:rPr>
          <w:b/>
          <w:color w:val="auto"/>
          <w:sz w:val="44"/>
          <w:szCs w:val="44"/>
          <w:highlight w:val="none"/>
        </w:rPr>
      </w:pPr>
      <w:r>
        <w:rPr>
          <w:rFonts w:hint="eastAsia"/>
          <w:b/>
          <w:color w:val="auto"/>
          <w:sz w:val="36"/>
          <w:szCs w:val="36"/>
          <w:highlight w:val="none"/>
        </w:rPr>
        <w:t>目   录</w:t>
      </w:r>
    </w:p>
    <w:p w14:paraId="7E5535E2">
      <w:pPr>
        <w:shd w:val="clear"/>
        <w:kinsoku/>
        <w:overflowPunct/>
        <w:bidi w:val="0"/>
        <w:spacing w:line="400" w:lineRule="exact"/>
        <w:ind w:left="0" w:leftChars="0" w:right="0" w:rightChars="0" w:firstLine="562" w:firstLineChars="200"/>
        <w:rPr>
          <w:b/>
          <w:color w:val="auto"/>
          <w:sz w:val="28"/>
          <w:szCs w:val="28"/>
          <w:highlight w:val="none"/>
        </w:rPr>
      </w:pPr>
    </w:p>
    <w:p w14:paraId="389C46A5">
      <w:pPr>
        <w:shd w:val="clear"/>
        <w:kinsoku/>
        <w:overflowPunct/>
        <w:bidi w:val="0"/>
        <w:spacing w:line="440" w:lineRule="exact"/>
        <w:ind w:left="0" w:leftChars="0" w:right="0" w:rightChars="0"/>
        <w:jc w:val="left"/>
        <w:rPr>
          <w:rFonts w:ascii="宋体" w:hAnsi="宋体" w:cs="宋体"/>
          <w:bCs/>
          <w:color w:val="auto"/>
          <w:szCs w:val="21"/>
          <w:highlight w:val="none"/>
        </w:rPr>
      </w:pPr>
      <w:r>
        <w:rPr>
          <w:rFonts w:hint="eastAsia" w:ascii="宋体" w:hAnsi="宋体" w:cs="宋体"/>
          <w:bCs/>
          <w:color w:val="auto"/>
          <w:szCs w:val="21"/>
          <w:highlight w:val="none"/>
        </w:rPr>
        <w:t>（1）法定代表人身份证明及其有效身份证（或法定代表人授权委托书及其有效身份证）（格式见附件）；</w:t>
      </w:r>
    </w:p>
    <w:p w14:paraId="49BF682E">
      <w:pPr>
        <w:shd w:val="clear"/>
        <w:kinsoku/>
        <w:overflowPunct/>
        <w:bidi w:val="0"/>
        <w:spacing w:line="440" w:lineRule="exact"/>
        <w:ind w:left="0" w:leftChars="0" w:right="0" w:rightChars="0"/>
        <w:jc w:val="left"/>
        <w:rPr>
          <w:rFonts w:ascii="宋体" w:hAnsi="宋体" w:cs="宋体"/>
          <w:bCs/>
          <w:color w:val="auto"/>
          <w:szCs w:val="21"/>
          <w:highlight w:val="none"/>
        </w:rPr>
      </w:pPr>
      <w:r>
        <w:rPr>
          <w:rFonts w:hint="eastAsia" w:ascii="宋体" w:hAnsi="宋体" w:cs="宋体"/>
          <w:bCs/>
          <w:color w:val="auto"/>
          <w:szCs w:val="21"/>
          <w:highlight w:val="none"/>
        </w:rPr>
        <w:t>（2）投标人有效的营业执照、税务登记证、组织机构代码证（或三合一证书）；</w:t>
      </w:r>
    </w:p>
    <w:p w14:paraId="7FF33117">
      <w:pPr>
        <w:shd w:val="clear"/>
        <w:kinsoku/>
        <w:overflowPunct/>
        <w:bidi w:val="0"/>
        <w:spacing w:line="440" w:lineRule="exact"/>
        <w:ind w:left="0" w:leftChars="0" w:right="0" w:rightChars="0"/>
        <w:jc w:val="left"/>
        <w:rPr>
          <w:rFonts w:ascii="宋体" w:hAnsi="宋体" w:eastAsia="宋体" w:cs="宋体"/>
          <w:bCs/>
          <w:color w:val="auto"/>
          <w:szCs w:val="21"/>
          <w:highlight w:val="none"/>
        </w:rPr>
      </w:pPr>
      <w:r>
        <w:rPr>
          <w:rFonts w:hint="eastAsia" w:ascii="宋体" w:hAnsi="宋体" w:cs="宋体"/>
          <w:bCs/>
          <w:color w:val="auto"/>
          <w:szCs w:val="21"/>
          <w:highlight w:val="none"/>
        </w:rPr>
        <w:t>（3）</w:t>
      </w:r>
      <w:r>
        <w:rPr>
          <w:rFonts w:hint="eastAsia" w:ascii="宋体" w:hAnsi="宋体" w:cs="宋体"/>
          <w:color w:val="auto"/>
          <w:szCs w:val="21"/>
          <w:highlight w:val="none"/>
        </w:rPr>
        <w:t>企业资质证书</w:t>
      </w:r>
      <w:r>
        <w:rPr>
          <w:rFonts w:hint="eastAsia" w:ascii="宋体" w:hAnsi="宋体" w:cs="宋体"/>
          <w:bCs/>
          <w:color w:val="auto"/>
          <w:szCs w:val="21"/>
          <w:highlight w:val="none"/>
        </w:rPr>
        <w:t>；</w:t>
      </w:r>
    </w:p>
    <w:p w14:paraId="40F1F673">
      <w:pPr>
        <w:shd w:val="clear"/>
        <w:kinsoku/>
        <w:overflowPunct/>
        <w:bidi w:val="0"/>
        <w:spacing w:line="440" w:lineRule="exact"/>
        <w:ind w:left="0" w:leftChars="0" w:right="0" w:rightChars="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（4）企业安全生产许可证；</w:t>
      </w:r>
    </w:p>
    <w:p w14:paraId="58372440">
      <w:pPr>
        <w:shd w:val="clear"/>
        <w:kinsoku/>
        <w:overflowPunct/>
        <w:bidi w:val="0"/>
        <w:spacing w:line="440" w:lineRule="exact"/>
        <w:ind w:left="0" w:leftChars="0" w:right="0" w:rightChars="0"/>
        <w:jc w:val="left"/>
        <w:rPr>
          <w:rFonts w:ascii="宋体" w:hAnsi="宋体" w:cs="宋体"/>
          <w:bCs/>
          <w:color w:val="auto"/>
          <w:szCs w:val="21"/>
          <w:highlight w:val="none"/>
        </w:rPr>
      </w:pPr>
      <w:r>
        <w:rPr>
          <w:rFonts w:hint="eastAsia" w:ascii="宋体" w:hAnsi="宋体" w:eastAsia="宋体" w:cs="宋体"/>
          <w:bCs/>
          <w:color w:val="auto"/>
          <w:szCs w:val="21"/>
          <w:highlight w:val="none"/>
        </w:rPr>
        <w:t>（5）</w:t>
      </w:r>
      <w:r>
        <w:rPr>
          <w:rFonts w:hint="eastAsia" w:ascii="宋体" w:hAnsi="宋体" w:cs="宋体"/>
          <w:color w:val="auto"/>
          <w:szCs w:val="21"/>
          <w:highlight w:val="none"/>
        </w:rPr>
        <w:t>诚信投标承诺书（格式见附件）或公共信用信息报告（无违法违规证明版或核查版）</w:t>
      </w:r>
      <w:r>
        <w:rPr>
          <w:rFonts w:hint="eastAsia" w:ascii="宋体" w:hAnsi="宋体" w:cs="宋体"/>
          <w:bCs/>
          <w:color w:val="auto"/>
          <w:szCs w:val="21"/>
          <w:highlight w:val="none"/>
        </w:rPr>
        <w:t>；</w:t>
      </w:r>
    </w:p>
    <w:p w14:paraId="51117EE1">
      <w:pPr>
        <w:shd w:val="clear"/>
        <w:kinsoku/>
        <w:overflowPunct/>
        <w:bidi w:val="0"/>
        <w:spacing w:line="440" w:lineRule="exact"/>
        <w:ind w:left="0" w:leftChars="0" w:right="0" w:rightChars="0"/>
        <w:jc w:val="left"/>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）服务承诺：是否响应招标文件要求的书面说明和服务承诺书（格式见附件）</w:t>
      </w:r>
    </w:p>
    <w:p w14:paraId="11B2E1DF">
      <w:pPr>
        <w:shd w:val="clear"/>
        <w:kinsoku/>
        <w:overflowPunct/>
        <w:bidi w:val="0"/>
        <w:spacing w:line="440" w:lineRule="exact"/>
        <w:ind w:left="0" w:leftChars="0" w:right="0" w:rightChars="0"/>
        <w:jc w:val="left"/>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服务内容及技术要求</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要求的人员相关证明材料；</w:t>
      </w:r>
    </w:p>
    <w:p w14:paraId="308E6E81">
      <w:pPr>
        <w:shd w:val="clear"/>
        <w:kinsoku/>
        <w:overflowPunct/>
        <w:bidi w:val="0"/>
        <w:spacing w:line="440" w:lineRule="exact"/>
        <w:ind w:left="0" w:leftChars="0" w:right="0" w:rightChars="0"/>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招标文件中要求的资信标评审及其他支持资料</w:t>
      </w:r>
      <w:r>
        <w:rPr>
          <w:rFonts w:hint="eastAsia" w:ascii="宋体" w:hAnsi="宋体" w:cs="宋体"/>
          <w:bCs/>
          <w:color w:val="auto"/>
          <w:szCs w:val="21"/>
          <w:highlight w:val="none"/>
          <w:lang w:eastAsia="zh-CN"/>
        </w:rPr>
        <w:t>。</w:t>
      </w:r>
    </w:p>
    <w:p w14:paraId="75460FFE">
      <w:pPr>
        <w:shd w:val="clear"/>
        <w:kinsoku/>
        <w:overflowPunct/>
        <w:bidi w:val="0"/>
        <w:spacing w:line="400" w:lineRule="exact"/>
        <w:ind w:left="0" w:leftChars="0" w:right="0" w:rightChars="0" w:firstLine="562" w:firstLineChars="200"/>
        <w:rPr>
          <w:b/>
          <w:color w:val="auto"/>
          <w:sz w:val="28"/>
          <w:szCs w:val="28"/>
          <w:highlight w:val="none"/>
        </w:rPr>
      </w:pPr>
    </w:p>
    <w:p w14:paraId="3D91E656">
      <w:pPr>
        <w:shd w:val="clear"/>
        <w:kinsoku/>
        <w:overflowPunct/>
        <w:bidi w:val="0"/>
        <w:spacing w:line="400" w:lineRule="exact"/>
        <w:ind w:left="0" w:leftChars="0" w:right="0" w:rightChars="0" w:firstLine="562" w:firstLineChars="200"/>
        <w:rPr>
          <w:b/>
          <w:color w:val="auto"/>
          <w:sz w:val="28"/>
          <w:szCs w:val="28"/>
          <w:highlight w:val="none"/>
        </w:rPr>
      </w:pPr>
    </w:p>
    <w:p w14:paraId="47C42AD0">
      <w:pPr>
        <w:shd w:val="clear"/>
        <w:kinsoku/>
        <w:overflowPunct/>
        <w:bidi w:val="0"/>
        <w:spacing w:line="400" w:lineRule="exact"/>
        <w:ind w:left="0" w:leftChars="0" w:right="0" w:rightChars="0" w:firstLine="562" w:firstLineChars="200"/>
        <w:rPr>
          <w:b/>
          <w:color w:val="auto"/>
          <w:sz w:val="28"/>
          <w:szCs w:val="28"/>
          <w:highlight w:val="none"/>
        </w:rPr>
      </w:pPr>
    </w:p>
    <w:p w14:paraId="647CE73E">
      <w:pPr>
        <w:shd w:val="clear"/>
        <w:kinsoku/>
        <w:overflowPunct/>
        <w:bidi w:val="0"/>
        <w:spacing w:line="400" w:lineRule="exact"/>
        <w:ind w:left="0" w:leftChars="0" w:right="0" w:rightChars="0" w:firstLine="562" w:firstLineChars="200"/>
        <w:rPr>
          <w:b/>
          <w:color w:val="auto"/>
          <w:sz w:val="28"/>
          <w:szCs w:val="28"/>
          <w:highlight w:val="none"/>
        </w:rPr>
      </w:pPr>
    </w:p>
    <w:p w14:paraId="49B9508F">
      <w:pPr>
        <w:shd w:val="clear"/>
        <w:kinsoku/>
        <w:overflowPunct/>
        <w:bidi w:val="0"/>
        <w:spacing w:line="400" w:lineRule="exact"/>
        <w:ind w:left="0" w:leftChars="0" w:right="0" w:rightChars="0"/>
        <w:rPr>
          <w:b/>
          <w:color w:val="auto"/>
          <w:sz w:val="28"/>
          <w:szCs w:val="28"/>
          <w:highlight w:val="none"/>
        </w:rPr>
        <w:sectPr>
          <w:headerReference r:id="rId5" w:type="default"/>
          <w:footerReference r:id="rId6" w:type="default"/>
          <w:pgSz w:w="11906" w:h="16838"/>
          <w:pgMar w:top="1440" w:right="1247" w:bottom="1417" w:left="1247" w:header="851" w:footer="992" w:gutter="0"/>
          <w:pgNumType w:fmt="numberInDash"/>
          <w:cols w:space="0" w:num="1"/>
          <w:rtlGutter w:val="0"/>
          <w:docGrid w:type="lines" w:linePitch="312" w:charSpace="0"/>
        </w:sectPr>
      </w:pPr>
    </w:p>
    <w:p w14:paraId="477269B5">
      <w:pPr>
        <w:shd w:val="clear"/>
        <w:kinsoku/>
        <w:overflowPunct/>
        <w:bidi w:val="0"/>
        <w:spacing w:line="360" w:lineRule="auto"/>
        <w:ind w:left="0" w:leftChars="0" w:right="0" w:rightChars="0"/>
        <w:rPr>
          <w:b/>
          <w:color w:val="auto"/>
          <w:sz w:val="28"/>
          <w:szCs w:val="28"/>
          <w:highlight w:val="none"/>
        </w:rPr>
      </w:pPr>
      <w:r>
        <w:rPr>
          <w:rFonts w:hint="eastAsia"/>
          <w:b/>
          <w:color w:val="auto"/>
          <w:sz w:val="28"/>
          <w:szCs w:val="28"/>
          <w:highlight w:val="none"/>
        </w:rPr>
        <w:t>附件1</w:t>
      </w:r>
    </w:p>
    <w:p w14:paraId="5448B5F4">
      <w:pPr>
        <w:shd w:val="clear"/>
        <w:kinsoku/>
        <w:overflowPunct/>
        <w:bidi w:val="0"/>
        <w:spacing w:line="360" w:lineRule="auto"/>
        <w:ind w:left="0" w:leftChars="0" w:right="0" w:rightChars="0"/>
        <w:jc w:val="center"/>
        <w:rPr>
          <w:rFonts w:ascii="宋体"/>
          <w:b/>
          <w:color w:val="auto"/>
          <w:sz w:val="28"/>
          <w:szCs w:val="28"/>
          <w:highlight w:val="none"/>
        </w:rPr>
      </w:pPr>
      <w:r>
        <w:rPr>
          <w:rFonts w:hint="eastAsia"/>
          <w:b/>
          <w:color w:val="auto"/>
          <w:sz w:val="28"/>
          <w:szCs w:val="28"/>
          <w:highlight w:val="none"/>
        </w:rPr>
        <w:t>法定代表人身份证明或授权委托书</w:t>
      </w:r>
    </w:p>
    <w:p w14:paraId="1FB80223">
      <w:pPr>
        <w:pStyle w:val="104"/>
        <w:shd w:val="clear"/>
        <w:kinsoku/>
        <w:overflowPunct/>
        <w:bidi w:val="0"/>
        <w:spacing w:beforeLines="100" w:afterLines="100" w:line="480" w:lineRule="exact"/>
        <w:ind w:left="0" w:leftChars="0" w:right="0" w:rightChars="0" w:firstLine="180" w:firstLineChars="75"/>
        <w:rPr>
          <w:rFonts w:ascii="宋体"/>
          <w:b/>
          <w:color w:val="auto"/>
          <w:sz w:val="24"/>
          <w:szCs w:val="24"/>
          <w:highlight w:val="none"/>
        </w:rPr>
      </w:pPr>
      <w:r>
        <w:rPr>
          <w:rFonts w:hint="eastAsia" w:ascii="宋体"/>
          <w:color w:val="auto"/>
          <w:sz w:val="24"/>
          <w:szCs w:val="24"/>
          <w:highlight w:val="none"/>
        </w:rPr>
        <w:t>1.法定代表人身份证明</w:t>
      </w:r>
    </w:p>
    <w:p w14:paraId="037406A0">
      <w:pPr>
        <w:shd w:val="clear"/>
        <w:kinsoku/>
        <w:overflowPunct/>
        <w:bidi w:val="0"/>
        <w:spacing w:line="480" w:lineRule="exact"/>
        <w:ind w:left="0" w:leftChars="0" w:right="0" w:rightChars="0" w:firstLine="480" w:firstLineChars="200"/>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0AB3BFBD">
      <w:pPr>
        <w:shd w:val="clear"/>
        <w:kinsoku/>
        <w:overflowPunct/>
        <w:bidi w:val="0"/>
        <w:spacing w:line="480" w:lineRule="exact"/>
        <w:ind w:left="0" w:leftChars="0" w:right="0" w:rightChars="0" w:firstLine="480" w:firstLineChars="200"/>
        <w:rPr>
          <w:rFonts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5C446A5B">
      <w:pPr>
        <w:shd w:val="clear"/>
        <w:kinsoku/>
        <w:overflowPunct/>
        <w:bidi w:val="0"/>
        <w:spacing w:line="480" w:lineRule="exact"/>
        <w:ind w:left="0" w:leftChars="0" w:right="0" w:rightChars="0" w:firstLine="480" w:firstLineChars="200"/>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07A85906">
      <w:pPr>
        <w:shd w:val="clear"/>
        <w:kinsoku/>
        <w:overflowPunct/>
        <w:bidi w:val="0"/>
        <w:spacing w:line="480" w:lineRule="exact"/>
        <w:ind w:left="0" w:leftChars="0" w:right="0" w:rightChars="0" w:firstLine="480" w:firstLineChars="200"/>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704F2981">
      <w:pPr>
        <w:shd w:val="clear"/>
        <w:kinsoku/>
        <w:overflowPunct/>
        <w:bidi w:val="0"/>
        <w:spacing w:line="480" w:lineRule="exact"/>
        <w:ind w:left="0" w:leftChars="0" w:right="0" w:rightChars="0" w:firstLine="480" w:firstLineChars="200"/>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4FA1A029">
      <w:pPr>
        <w:shd w:val="clear"/>
        <w:kinsoku/>
        <w:overflowPunct/>
        <w:bidi w:val="0"/>
        <w:spacing w:line="480" w:lineRule="exact"/>
        <w:ind w:left="0" w:leftChars="0" w:right="0" w:rightChars="0" w:firstLine="1440" w:firstLineChars="200"/>
        <w:rPr>
          <w:rFonts w:ascii="宋体"/>
          <w:color w:val="auto"/>
          <w:sz w:val="24"/>
          <w:highlight w:val="non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_</w:t>
      </w:r>
    </w:p>
    <w:p w14:paraId="2AE61EBD">
      <w:pPr>
        <w:shd w:val="clear"/>
        <w:kinsoku/>
        <w:overflowPunct/>
        <w:bidi w:val="0"/>
        <w:spacing w:line="480" w:lineRule="exact"/>
        <w:ind w:left="0" w:leftChars="0" w:right="0" w:rightChars="0" w:firstLine="480" w:firstLineChars="200"/>
        <w:rPr>
          <w:rFonts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w:t>
      </w:r>
    </w:p>
    <w:p w14:paraId="1E5C6F13">
      <w:pPr>
        <w:shd w:val="clear"/>
        <w:kinsoku/>
        <w:overflowPunct/>
        <w:bidi w:val="0"/>
        <w:spacing w:line="480" w:lineRule="exact"/>
        <w:ind w:left="0" w:leftChars="0" w:right="0" w:rightChars="0" w:firstLine="960" w:firstLineChars="400"/>
        <w:rPr>
          <w:rFonts w:ascii="宋体"/>
          <w:color w:val="auto"/>
          <w:sz w:val="24"/>
          <w:highlight w:val="none"/>
        </w:rPr>
      </w:pPr>
      <w:r>
        <w:rPr>
          <w:rFonts w:hint="eastAsia" w:ascii="宋体"/>
          <w:color w:val="auto"/>
          <w:sz w:val="24"/>
          <w:highlight w:val="none"/>
        </w:rPr>
        <w:t>特此证明。</w:t>
      </w:r>
    </w:p>
    <w:p w14:paraId="7B01580B">
      <w:pPr>
        <w:shd w:val="clear"/>
        <w:kinsoku/>
        <w:overflowPunct/>
        <w:bidi w:val="0"/>
        <w:spacing w:line="360" w:lineRule="auto"/>
        <w:ind w:left="0" w:leftChars="0" w:right="0" w:rightChars="0" w:firstLine="3480" w:firstLineChars="14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rPr>
        <w:t>（盖单位章）</w:t>
      </w:r>
    </w:p>
    <w:p w14:paraId="32E70931">
      <w:pPr>
        <w:shd w:val="clear"/>
        <w:kinsoku/>
        <w:wordWrap w:val="0"/>
        <w:overflowPunct/>
        <w:bidi w:val="0"/>
        <w:spacing w:line="360" w:lineRule="auto"/>
        <w:ind w:left="0" w:leftChars="0" w:right="0" w:rightChars="0"/>
        <w:jc w:val="right"/>
        <w:rPr>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3181964D">
      <w:pPr>
        <w:shd w:val="clear"/>
        <w:kinsoku/>
        <w:overflowPunct/>
        <w:bidi w:val="0"/>
        <w:spacing w:beforeLines="100" w:afterLines="100" w:line="480" w:lineRule="exact"/>
        <w:ind w:left="0" w:leftChars="0" w:right="0" w:rightChars="0" w:firstLine="3654" w:firstLineChars="1305"/>
        <w:rPr>
          <w:rFonts w:ascii="宋体"/>
          <w:color w:val="auto"/>
          <w:sz w:val="28"/>
          <w:szCs w:val="28"/>
          <w:highlight w:val="none"/>
        </w:rPr>
      </w:pPr>
      <w:r>
        <w:rPr>
          <w:rFonts w:hint="eastAsia" w:ascii="宋体"/>
          <w:color w:val="auto"/>
          <w:sz w:val="28"/>
          <w:szCs w:val="28"/>
          <w:highlight w:val="none"/>
        </w:rPr>
        <w:t>2.授权委托书</w:t>
      </w:r>
    </w:p>
    <w:p w14:paraId="75B95580">
      <w:pPr>
        <w:shd w:val="clear"/>
        <w:kinsoku/>
        <w:overflowPunct/>
        <w:bidi w:val="0"/>
        <w:spacing w:line="480" w:lineRule="exact"/>
        <w:ind w:left="0" w:leftChars="0" w:right="0" w:rightChars="0" w:firstLine="480" w:firstLineChars="200"/>
        <w:rPr>
          <w:rFonts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”(项目名称、编号）投标文件，全权处理与该项目投标、评审答疑、签订合同以及与合同执行有关的一切事务，其法律后果由我方承担。</w:t>
      </w:r>
    </w:p>
    <w:p w14:paraId="6882F59D">
      <w:pPr>
        <w:shd w:val="clear"/>
        <w:kinsoku/>
        <w:overflowPunct/>
        <w:bidi w:val="0"/>
        <w:spacing w:line="480" w:lineRule="exact"/>
        <w:ind w:left="0" w:leftChars="0" w:right="0" w:rightChars="0" w:firstLine="480" w:firstLineChars="200"/>
        <w:rPr>
          <w:rFonts w:ascii="宋体"/>
          <w:color w:val="auto"/>
          <w:sz w:val="24"/>
          <w:highlight w:val="none"/>
        </w:rPr>
      </w:pPr>
      <w:r>
        <w:rPr>
          <w:rFonts w:hint="eastAsia" w:ascii="宋体"/>
          <w:color w:val="auto"/>
          <w:sz w:val="24"/>
          <w:highlight w:val="none"/>
        </w:rPr>
        <w:t xml:space="preserve">委托期限：                                </w:t>
      </w:r>
    </w:p>
    <w:p w14:paraId="15CBF56B">
      <w:pPr>
        <w:shd w:val="clear"/>
        <w:kinsoku/>
        <w:overflowPunct/>
        <w:bidi w:val="0"/>
        <w:spacing w:line="480" w:lineRule="exact"/>
        <w:ind w:left="0" w:leftChars="0" w:right="0" w:rightChars="0" w:firstLine="480" w:firstLineChars="200"/>
        <w:rPr>
          <w:rFonts w:ascii="宋体"/>
          <w:color w:val="auto"/>
          <w:sz w:val="24"/>
          <w:highlight w:val="none"/>
        </w:rPr>
      </w:pPr>
      <w:r>
        <w:rPr>
          <w:rFonts w:hint="eastAsia" w:ascii="宋体"/>
          <w:color w:val="auto"/>
          <w:sz w:val="24"/>
          <w:highlight w:val="none"/>
        </w:rPr>
        <w:t>代理人无转委托权。</w:t>
      </w:r>
    </w:p>
    <w:p w14:paraId="1FDFF012">
      <w:pPr>
        <w:shd w:val="clear"/>
        <w:kinsoku/>
        <w:overflowPunct/>
        <w:bidi w:val="0"/>
        <w:spacing w:line="480" w:lineRule="exact"/>
        <w:ind w:left="0" w:leftChars="0" w:right="0" w:rightChars="0" w:firstLine="480" w:firstLineChars="200"/>
        <w:rPr>
          <w:rFonts w:ascii="宋体"/>
          <w:color w:val="auto"/>
          <w:sz w:val="24"/>
          <w:highlight w:val="none"/>
        </w:rPr>
      </w:pPr>
      <w:r>
        <w:rPr>
          <w:rFonts w:hint="eastAsia" w:ascii="宋体"/>
          <w:color w:val="auto"/>
          <w:sz w:val="24"/>
          <w:highlight w:val="none"/>
        </w:rPr>
        <w:t>附：授权委托人有效身份证及法定代表人有效身份证</w:t>
      </w:r>
    </w:p>
    <w:p w14:paraId="623890DC">
      <w:pPr>
        <w:shd w:val="clear"/>
        <w:kinsoku/>
        <w:overflowPunct/>
        <w:bidi w:val="0"/>
        <w:spacing w:line="480" w:lineRule="exact"/>
        <w:ind w:left="0" w:leftChars="0" w:right="0" w:rightChars="0"/>
        <w:rPr>
          <w:rFonts w:ascii="宋体"/>
          <w:color w:val="auto"/>
          <w:sz w:val="24"/>
          <w:highlight w:val="none"/>
        </w:rPr>
      </w:pPr>
      <w:r>
        <w:rPr>
          <w:rFonts w:hint="eastAsia" w:ascii="宋体"/>
          <w:color w:val="auto"/>
          <w:sz w:val="24"/>
          <w:highlight w:val="none"/>
        </w:rPr>
        <w:t xml:space="preserve">                                     投标人：             （盖单位章）</w:t>
      </w:r>
    </w:p>
    <w:p w14:paraId="01F26E13">
      <w:pPr>
        <w:shd w:val="clear"/>
        <w:kinsoku/>
        <w:overflowPunct/>
        <w:bidi w:val="0"/>
        <w:spacing w:line="480" w:lineRule="exact"/>
        <w:ind w:left="0" w:leftChars="0" w:right="0" w:rightChars="0"/>
        <w:jc w:val="right"/>
        <w:rPr>
          <w:rFonts w:ascii="宋体"/>
          <w:color w:val="auto"/>
          <w:sz w:val="24"/>
          <w:highlight w:val="none"/>
        </w:rPr>
      </w:pPr>
      <w:r>
        <w:rPr>
          <w:rFonts w:hint="eastAsia" w:ascii="宋体"/>
          <w:color w:val="auto"/>
          <w:sz w:val="24"/>
          <w:highlight w:val="none"/>
        </w:rPr>
        <w:t>法定代表人（身份证号码）：             （签章）</w:t>
      </w:r>
    </w:p>
    <w:p w14:paraId="330D4FEF">
      <w:pPr>
        <w:shd w:val="clear"/>
        <w:kinsoku/>
        <w:overflowPunct/>
        <w:bidi w:val="0"/>
        <w:spacing w:line="480" w:lineRule="exact"/>
        <w:ind w:left="0" w:leftChars="0" w:right="0" w:rightChars="0" w:firstLine="2820" w:firstLineChars="1175"/>
        <w:rPr>
          <w:rFonts w:ascii="宋体"/>
          <w:color w:val="auto"/>
          <w:sz w:val="24"/>
          <w:highlight w:val="none"/>
        </w:rPr>
      </w:pPr>
      <w:r>
        <w:rPr>
          <w:rFonts w:hint="eastAsia" w:ascii="宋体"/>
          <w:color w:val="auto"/>
          <w:sz w:val="24"/>
          <w:highlight w:val="none"/>
        </w:rPr>
        <w:t xml:space="preserve">              年    月    日</w:t>
      </w:r>
    </w:p>
    <w:p w14:paraId="6D0A51DD">
      <w:pPr>
        <w:shd w:val="clear"/>
        <w:kinsoku/>
        <w:overflowPunct/>
        <w:bidi w:val="0"/>
        <w:spacing w:line="360" w:lineRule="exact"/>
        <w:ind w:left="0" w:leftChars="0" w:right="0" w:rightChars="0" w:firstLine="413" w:firstLineChars="147"/>
        <w:rPr>
          <w:b/>
          <w:color w:val="auto"/>
          <w:sz w:val="28"/>
          <w:szCs w:val="28"/>
          <w:highlight w:val="none"/>
          <w:u w:val="single"/>
        </w:rPr>
      </w:pPr>
    </w:p>
    <w:p w14:paraId="1D992496">
      <w:pPr>
        <w:shd w:val="clear"/>
        <w:kinsoku/>
        <w:overflowPunct/>
        <w:bidi w:val="0"/>
        <w:spacing w:line="360" w:lineRule="exact"/>
        <w:ind w:left="0" w:leftChars="0" w:right="0" w:rightChars="0" w:firstLine="413" w:firstLineChars="147"/>
        <w:rPr>
          <w:b/>
          <w:color w:val="auto"/>
          <w:sz w:val="28"/>
          <w:szCs w:val="28"/>
          <w:highlight w:val="none"/>
          <w:u w:val="single"/>
        </w:rPr>
      </w:pPr>
    </w:p>
    <w:p w14:paraId="5E278B24">
      <w:pPr>
        <w:shd w:val="clear"/>
        <w:kinsoku/>
        <w:overflowPunct/>
        <w:bidi w:val="0"/>
        <w:spacing w:line="360" w:lineRule="exact"/>
        <w:ind w:left="0" w:leftChars="0" w:right="0" w:rightChars="0"/>
        <w:rPr>
          <w:rFonts w:ascii="宋体"/>
          <w:b/>
          <w:color w:val="auto"/>
          <w:sz w:val="30"/>
          <w:szCs w:val="30"/>
          <w:highlight w:val="none"/>
        </w:rPr>
      </w:pPr>
      <w:r>
        <w:rPr>
          <w:rFonts w:hint="eastAsia" w:ascii="宋体"/>
          <w:b/>
          <w:color w:val="auto"/>
          <w:sz w:val="30"/>
          <w:szCs w:val="30"/>
          <w:highlight w:val="none"/>
        </w:rPr>
        <w:t>附件2</w:t>
      </w:r>
    </w:p>
    <w:p w14:paraId="1F1590F2">
      <w:pPr>
        <w:shd w:val="clear"/>
        <w:kinsoku/>
        <w:overflowPunct/>
        <w:bidi w:val="0"/>
        <w:spacing w:line="360" w:lineRule="exact"/>
        <w:ind w:left="0" w:leftChars="0" w:right="0" w:rightChars="0" w:firstLine="413" w:firstLineChars="147"/>
        <w:jc w:val="center"/>
        <w:rPr>
          <w:b/>
          <w:color w:val="auto"/>
          <w:sz w:val="28"/>
          <w:szCs w:val="28"/>
          <w:highlight w:val="none"/>
        </w:rPr>
      </w:pPr>
      <w:bookmarkStart w:id="174" w:name="_Toc449028950"/>
      <w:bookmarkStart w:id="175" w:name="_Toc440443268"/>
      <w:r>
        <w:rPr>
          <w:rFonts w:hint="eastAsia"/>
          <w:b/>
          <w:color w:val="auto"/>
          <w:sz w:val="28"/>
          <w:szCs w:val="28"/>
          <w:highlight w:val="none"/>
        </w:rPr>
        <w:t>（2）诚信投标承诺书</w:t>
      </w:r>
    </w:p>
    <w:p w14:paraId="0C3B14F2">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784E3E3E">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项目的投标，所提供的一切材料都是真实、有效、合法的；</w:t>
      </w:r>
    </w:p>
    <w:p w14:paraId="3537BB5E">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二、本单位郑重声明，根据《中华人民共和国招标投标法》及《中华人民共和国招标投标法实施条例》的规定，我公司具有良好的商业信誉和健全的财务会计制度，具有履行合同所必需的设备和专业技术能力，有依法缴纳税收和社会保障资金的良好记录；没有因违法经营受到刑事处罚或者责令停产停业、吊销许可证或者执照、较大数额罚款等行政处罚。</w:t>
      </w:r>
    </w:p>
    <w:p w14:paraId="15B24D97">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14B49FBB">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22E617DA">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1796B52F">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 xml:space="preserve">      （企业名称）或       （企业名称）法定代表人       </w:t>
      </w:r>
      <w:r>
        <w:rPr>
          <w:rFonts w:hint="eastAsia" w:ascii="宋体" w:hAnsi="宋体"/>
          <w:color w:val="auto"/>
          <w:szCs w:val="21"/>
          <w:highlight w:val="none"/>
        </w:rPr>
        <w:t>没有下列情形：</w:t>
      </w:r>
      <w:bookmarkStart w:id="176" w:name="OLE_LINK134"/>
      <w:bookmarkStart w:id="177" w:name="OLE_LINK133"/>
      <w:r>
        <w:rPr>
          <w:rFonts w:hint="eastAsia" w:ascii="宋体" w:hAnsi="宋体"/>
          <w:color w:val="auto"/>
          <w:szCs w:val="21"/>
          <w:highlight w:val="none"/>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bookmarkEnd w:id="176"/>
      <w:bookmarkEnd w:id="177"/>
      <w:r>
        <w:rPr>
          <w:rFonts w:hint="eastAsia" w:ascii="宋体" w:hAnsi="宋体"/>
          <w:color w:val="auto"/>
          <w:szCs w:val="21"/>
          <w:highlight w:val="none"/>
        </w:rPr>
        <w:t>若招标文件对投标人所属分公司、办事处等分支机构有上述1-10项信誉要求，在此一并承诺我公司所属分公司、办事处等分支机构没有上述1-10项情形）</w:t>
      </w:r>
    </w:p>
    <w:p w14:paraId="0C38330C">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七、严格遵守开标现场纪律，服从监管人员管理；</w:t>
      </w:r>
    </w:p>
    <w:p w14:paraId="3C88A8AF">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八、保证中标后不转包，若有分包征得招标人同意；</w:t>
      </w:r>
    </w:p>
    <w:p w14:paraId="14336911">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九、保证中标之后，按照投标文件要求提供相关后续服务；</w:t>
      </w:r>
    </w:p>
    <w:p w14:paraId="110B1A4A">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041843C6">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8032262">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以上内容我已仔细阅读，本公司若有违反承诺内容的行为，自愿接受取消投标或者中标资格、记入不良行为记录、投标保证金不予退还等有关处理，愿意承担法律责任，给招标人造成损失的，依法承担赔偿责任。 </w:t>
      </w:r>
    </w:p>
    <w:p w14:paraId="32A734BA">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开户银行：                          基本账户：</w:t>
      </w:r>
    </w:p>
    <w:p w14:paraId="0484093A">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投标单位（签章或盖章）：          法定代表人（签章）：</w:t>
      </w:r>
    </w:p>
    <w:p w14:paraId="50AB8593">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14E0C288">
      <w:pPr>
        <w:shd w:val="clear"/>
        <w:kinsoku/>
        <w:overflowPunct/>
        <w:bidi w:val="0"/>
        <w:ind w:left="0" w:leftChars="0" w:right="0" w:rightChars="0"/>
        <w:rPr>
          <w:rFonts w:ascii="宋体" w:hAnsi="宋体"/>
          <w:color w:val="auto"/>
          <w:szCs w:val="21"/>
          <w:highlight w:val="none"/>
        </w:rPr>
      </w:pPr>
    </w:p>
    <w:p w14:paraId="26A6FBD6">
      <w:pPr>
        <w:shd w:val="clear"/>
        <w:kinsoku/>
        <w:overflowPunct/>
        <w:bidi w:val="0"/>
        <w:ind w:left="0" w:leftChars="0" w:right="0" w:rightChars="0"/>
        <w:rPr>
          <w:rFonts w:ascii="宋体" w:hAnsi="宋体"/>
          <w:color w:val="auto"/>
          <w:szCs w:val="21"/>
          <w:highlight w:val="none"/>
        </w:rPr>
      </w:pPr>
    </w:p>
    <w:p w14:paraId="6C4DD6A6">
      <w:pPr>
        <w:shd w:val="clear"/>
        <w:kinsoku/>
        <w:overflowPunct/>
        <w:bidi w:val="0"/>
        <w:spacing w:line="280" w:lineRule="exact"/>
        <w:ind w:right="0" w:rightChars="0"/>
        <w:jc w:val="center"/>
        <w:rPr>
          <w:b/>
          <w:color w:val="auto"/>
          <w:sz w:val="28"/>
          <w:szCs w:val="28"/>
          <w:highlight w:val="none"/>
        </w:rPr>
      </w:pPr>
      <w:r>
        <w:rPr>
          <w:rFonts w:hint="eastAsia"/>
          <w:b/>
          <w:color w:val="auto"/>
          <w:sz w:val="28"/>
          <w:szCs w:val="28"/>
          <w:highlight w:val="none"/>
        </w:rPr>
        <w:t>或（2）公共信用信息报告（无违法违规证明版或核查版））</w:t>
      </w:r>
    </w:p>
    <w:p w14:paraId="202BB602">
      <w:pPr>
        <w:keepNext w:val="0"/>
        <w:keepLines w:val="0"/>
        <w:pageBreakBefore w:val="0"/>
        <w:widowControl w:val="0"/>
        <w:shd w:val="clear"/>
        <w:kinsoku/>
        <w:wordWrap w:val="0"/>
        <w:overflowPunct/>
        <w:topLinePunct w:val="0"/>
        <w:autoSpaceDE/>
        <w:autoSpaceDN/>
        <w:bidi w:val="0"/>
        <w:adjustRightInd/>
        <w:snapToGrid/>
        <w:ind w:left="0" w:leftChars="0" w:right="0" w:rightChars="0"/>
        <w:textAlignment w:val="auto"/>
        <w:rPr>
          <w:rFonts w:hint="eastAsia" w:ascii="宋体" w:hAnsi="宋体"/>
          <w:color w:val="auto"/>
          <w:szCs w:val="21"/>
          <w:highlight w:val="none"/>
        </w:rPr>
      </w:pPr>
    </w:p>
    <w:p w14:paraId="7D4174F5">
      <w:pPr>
        <w:keepNext w:val="0"/>
        <w:keepLines w:val="0"/>
        <w:pageBreakBefore w:val="0"/>
        <w:widowControl w:val="0"/>
        <w:shd w:val="clear"/>
        <w:kinsoku/>
        <w:wordWrap w:val="0"/>
        <w:overflowPunct/>
        <w:topLinePunct w:val="0"/>
        <w:autoSpaceDE/>
        <w:autoSpaceDN/>
        <w:bidi w:val="0"/>
        <w:adjustRightInd/>
        <w:snapToGrid/>
        <w:ind w:left="0" w:leftChars="0" w:right="0" w:rightChars="0"/>
        <w:textAlignment w:val="auto"/>
        <w:rPr>
          <w:rFonts w:ascii="宋体" w:hAnsi="宋体"/>
          <w:b/>
          <w:color w:val="auto"/>
          <w:sz w:val="24"/>
          <w:highlight w:val="none"/>
        </w:rPr>
      </w:pPr>
      <w:r>
        <w:rPr>
          <w:rFonts w:hint="eastAsia" w:ascii="宋体" w:hAnsi="宋体"/>
          <w:color w:val="auto"/>
          <w:szCs w:val="21"/>
          <w:highlight w:val="none"/>
        </w:rPr>
        <w:t>符合条件的投标人可在信用中国（安徽）网站（网址</w:t>
      </w:r>
      <w:r>
        <w:rPr>
          <w:color w:val="auto"/>
          <w:highlight w:val="none"/>
        </w:rPr>
        <w:fldChar w:fldCharType="begin"/>
      </w:r>
      <w:r>
        <w:rPr>
          <w:color w:val="auto"/>
          <w:highlight w:val="none"/>
        </w:rPr>
        <w:instrText xml:space="preserve"> HYPERLINK "https://credit.ah.gov.cn/xinyongfuwu/index.html" </w:instrText>
      </w:r>
      <w:r>
        <w:rPr>
          <w:color w:val="auto"/>
          <w:highlight w:val="none"/>
        </w:rPr>
        <w:fldChar w:fldCharType="separate"/>
      </w:r>
      <w:r>
        <w:rPr>
          <w:rFonts w:hint="eastAsia" w:ascii="宋体" w:hAnsi="宋体"/>
          <w:color w:val="auto"/>
          <w:szCs w:val="21"/>
          <w:highlight w:val="none"/>
        </w:rPr>
        <w:t>https://credit.ah.gov.cn/xinyongfuwu/index.html</w:t>
      </w:r>
      <w:r>
        <w:rPr>
          <w:rFonts w:hint="eastAsia" w:ascii="宋体" w:hAnsi="宋体"/>
          <w:color w:val="auto"/>
          <w:szCs w:val="21"/>
          <w:highlight w:val="none"/>
        </w:rPr>
        <w:fldChar w:fldCharType="end"/>
      </w:r>
      <w:r>
        <w:rPr>
          <w:rFonts w:hint="eastAsia" w:ascii="宋体" w:hAnsi="宋体"/>
          <w:color w:val="auto"/>
          <w:szCs w:val="21"/>
          <w:highlight w:val="none"/>
        </w:rPr>
        <w:t>），获取信用报告（无违法违规证明版或核查版）并上传至投标文件中。</w:t>
      </w:r>
      <w:r>
        <w:rPr>
          <w:rFonts w:hint="eastAsia" w:ascii="宋体" w:hAnsi="宋体"/>
          <w:b/>
          <w:color w:val="auto"/>
          <w:sz w:val="24"/>
          <w:highlight w:val="none"/>
        </w:rPr>
        <w:br w:type="page"/>
      </w:r>
    </w:p>
    <w:p w14:paraId="697A6E54">
      <w:pPr>
        <w:shd w:val="clear"/>
        <w:kinsoku/>
        <w:overflowPunct/>
        <w:bidi w:val="0"/>
        <w:spacing w:line="360" w:lineRule="auto"/>
        <w:ind w:left="0" w:leftChars="0" w:right="0" w:rightChars="0"/>
        <w:rPr>
          <w:b/>
          <w:color w:val="auto"/>
          <w:sz w:val="28"/>
          <w:szCs w:val="28"/>
          <w:highlight w:val="none"/>
        </w:rPr>
      </w:pPr>
      <w:r>
        <w:rPr>
          <w:rFonts w:hint="eastAsia" w:ascii="宋体" w:hAnsi="宋体"/>
          <w:b/>
          <w:color w:val="auto"/>
          <w:sz w:val="24"/>
          <w:highlight w:val="none"/>
        </w:rPr>
        <w:t>附件3</w:t>
      </w:r>
    </w:p>
    <w:p w14:paraId="185E7333">
      <w:pPr>
        <w:shd w:val="clear"/>
        <w:kinsoku/>
        <w:overflowPunct/>
        <w:bidi w:val="0"/>
        <w:spacing w:line="400" w:lineRule="exact"/>
        <w:ind w:left="0" w:leftChars="0" w:right="0" w:rightChars="0" w:firstLine="562" w:firstLineChars="200"/>
        <w:rPr>
          <w:b/>
          <w:color w:val="auto"/>
          <w:sz w:val="28"/>
          <w:szCs w:val="28"/>
          <w:highlight w:val="none"/>
        </w:rPr>
      </w:pPr>
    </w:p>
    <w:p w14:paraId="313FD099">
      <w:pPr>
        <w:shd w:val="clear"/>
        <w:kinsoku/>
        <w:overflowPunct/>
        <w:bidi w:val="0"/>
        <w:ind w:left="0" w:leftChars="0" w:right="0" w:rightChars="0"/>
        <w:jc w:val="center"/>
        <w:rPr>
          <w:rFonts w:ascii="宋体"/>
          <w:b/>
          <w:color w:val="auto"/>
          <w:sz w:val="30"/>
          <w:szCs w:val="30"/>
          <w:highlight w:val="none"/>
        </w:rPr>
      </w:pPr>
      <w:r>
        <w:rPr>
          <w:rFonts w:hint="eastAsia" w:ascii="宋体"/>
          <w:b/>
          <w:color w:val="auto"/>
          <w:sz w:val="30"/>
          <w:szCs w:val="30"/>
          <w:highlight w:val="none"/>
        </w:rPr>
        <w:t>服务承诺书</w:t>
      </w:r>
    </w:p>
    <w:p w14:paraId="0A28FA71">
      <w:pPr>
        <w:shd w:val="clear"/>
        <w:kinsoku/>
        <w:overflowPunct/>
        <w:bidi w:val="0"/>
        <w:ind w:left="0" w:leftChars="0" w:right="0" w:rightChars="0" w:firstLine="480" w:firstLineChars="200"/>
        <w:rPr>
          <w:rFonts w:ascii="宋体"/>
          <w:color w:val="auto"/>
          <w:sz w:val="24"/>
          <w:highlight w:val="none"/>
        </w:rPr>
      </w:pPr>
    </w:p>
    <w:p w14:paraId="7F660E54">
      <w:pPr>
        <w:shd w:val="clear"/>
        <w:kinsoku/>
        <w:overflowPunct/>
        <w:bidi w:val="0"/>
        <w:ind w:left="0" w:leftChars="0" w:right="0" w:rightChars="0"/>
        <w:rPr>
          <w:rFonts w:ascii="宋体"/>
          <w:b/>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（采购人）</w:t>
      </w:r>
      <w:r>
        <w:rPr>
          <w:rFonts w:hint="eastAsia" w:ascii="宋体"/>
          <w:color w:val="auto"/>
          <w:sz w:val="24"/>
          <w:highlight w:val="none"/>
        </w:rPr>
        <w:t>：</w:t>
      </w:r>
    </w:p>
    <w:p w14:paraId="0113F672">
      <w:pPr>
        <w:shd w:val="clear"/>
        <w:kinsoku/>
        <w:overflowPunct/>
        <w:bidi w:val="0"/>
        <w:spacing w:line="800" w:lineRule="exact"/>
        <w:ind w:left="0" w:leftChars="0" w:right="0" w:rightChars="0" w:firstLine="480" w:firstLineChars="200"/>
        <w:rPr>
          <w:rFonts w:ascii="宋体"/>
          <w:color w:val="auto"/>
          <w:sz w:val="24"/>
          <w:highlight w:val="none"/>
        </w:rPr>
      </w:pPr>
      <w:r>
        <w:rPr>
          <w:rFonts w:hint="eastAsia" w:ascii="宋体"/>
          <w:color w:val="auto"/>
          <w:sz w:val="24"/>
          <w:highlight w:val="none"/>
        </w:rPr>
        <w:t>本承诺声明：</w:t>
      </w:r>
      <w:r>
        <w:rPr>
          <w:rFonts w:hint="eastAsia" w:ascii="宋体"/>
          <w:color w:val="auto"/>
          <w:sz w:val="24"/>
          <w:highlight w:val="none"/>
          <w:u w:val="single"/>
        </w:rPr>
        <w:t xml:space="preserve">                   </w:t>
      </w:r>
      <w:r>
        <w:rPr>
          <w:rFonts w:hint="eastAsia" w:ascii="宋体"/>
          <w:color w:val="auto"/>
          <w:sz w:val="24"/>
          <w:highlight w:val="none"/>
        </w:rPr>
        <w:t>（投标人名称）对本招标文件的相关要求完全响应。若有幸中标将严格按照以上承诺进行服务。</w:t>
      </w:r>
    </w:p>
    <w:p w14:paraId="29C9732A">
      <w:pPr>
        <w:shd w:val="clear"/>
        <w:kinsoku/>
        <w:overflowPunct/>
        <w:bidi w:val="0"/>
        <w:spacing w:line="800" w:lineRule="exact"/>
        <w:ind w:left="0" w:leftChars="0" w:right="0" w:rightChars="0" w:firstLine="480" w:firstLineChars="200"/>
        <w:rPr>
          <w:rFonts w:ascii="宋体"/>
          <w:color w:val="auto"/>
          <w:sz w:val="24"/>
          <w:highlight w:val="none"/>
        </w:rPr>
      </w:pPr>
      <w:r>
        <w:rPr>
          <w:rFonts w:hint="eastAsia" w:ascii="宋体"/>
          <w:color w:val="auto"/>
          <w:sz w:val="24"/>
          <w:highlight w:val="none"/>
        </w:rPr>
        <w:t>特此声明。</w:t>
      </w:r>
    </w:p>
    <w:p w14:paraId="1611C006">
      <w:pPr>
        <w:shd w:val="clear"/>
        <w:kinsoku/>
        <w:overflowPunct/>
        <w:bidi w:val="0"/>
        <w:spacing w:line="600" w:lineRule="exact"/>
        <w:ind w:left="0" w:leftChars="0" w:right="0" w:rightChars="0"/>
        <w:rPr>
          <w:rFonts w:ascii="宋体"/>
          <w:color w:val="auto"/>
          <w:sz w:val="24"/>
          <w:highlight w:val="none"/>
        </w:rPr>
      </w:pPr>
      <w:r>
        <w:rPr>
          <w:rFonts w:hint="eastAsia" w:ascii="宋体"/>
          <w:color w:val="auto"/>
          <w:sz w:val="24"/>
          <w:highlight w:val="none"/>
        </w:rPr>
        <w:t> </w:t>
      </w:r>
    </w:p>
    <w:p w14:paraId="753C0F3B">
      <w:pPr>
        <w:shd w:val="clear"/>
        <w:kinsoku/>
        <w:overflowPunct/>
        <w:bidi w:val="0"/>
        <w:spacing w:line="480" w:lineRule="auto"/>
        <w:ind w:left="0" w:leftChars="0" w:right="0" w:rightChars="0" w:firstLine="480" w:firstLineChars="200"/>
        <w:jc w:val="right"/>
        <w:rPr>
          <w:rFonts w:ascii="宋体" w:hAnsi="宋体"/>
          <w:color w:val="auto"/>
          <w:sz w:val="24"/>
          <w:szCs w:val="21"/>
          <w:highlight w:val="none"/>
        </w:rPr>
      </w:pPr>
      <w:r>
        <w:rPr>
          <w:rFonts w:hint="eastAsia" w:ascii="宋体"/>
          <w:color w:val="auto"/>
          <w:sz w:val="24"/>
          <w:highlight w:val="none"/>
        </w:rPr>
        <w:t xml:space="preserve">                </w:t>
      </w:r>
      <w:r>
        <w:rPr>
          <w:rFonts w:hint="eastAsia" w:ascii="宋体" w:hAnsi="宋体"/>
          <w:color w:val="auto"/>
          <w:sz w:val="24"/>
          <w:szCs w:val="21"/>
          <w:highlight w:val="none"/>
        </w:rPr>
        <w:t>投标人名称：</w:t>
      </w:r>
      <w:r>
        <w:rPr>
          <w:rFonts w:ascii="宋体" w:hAnsi="宋体"/>
          <w:color w:val="auto"/>
          <w:sz w:val="24"/>
          <w:szCs w:val="21"/>
          <w:highlight w:val="none"/>
          <w:u w:val="single"/>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14:paraId="036C338C">
      <w:pPr>
        <w:shd w:val="clear"/>
        <w:kinsoku/>
        <w:overflowPunct/>
        <w:bidi w:val="0"/>
        <w:spacing w:line="480" w:lineRule="auto"/>
        <w:ind w:left="0" w:leftChars="0" w:right="0" w:rightChars="0" w:firstLine="480" w:firstLineChars="200"/>
        <w:jc w:val="right"/>
        <w:rPr>
          <w:rFonts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(签章)</w:t>
      </w:r>
    </w:p>
    <w:p w14:paraId="3FE99769">
      <w:pPr>
        <w:shd w:val="clear"/>
        <w:kinsoku/>
        <w:overflowPunct/>
        <w:bidi w:val="0"/>
        <w:spacing w:line="480" w:lineRule="auto"/>
        <w:ind w:left="0" w:leftChars="0" w:right="0" w:rightChars="0"/>
        <w:jc w:val="right"/>
        <w:rPr>
          <w:b/>
          <w:color w:val="auto"/>
          <w:sz w:val="36"/>
          <w:szCs w:val="28"/>
          <w:highlight w:val="none"/>
        </w:rPr>
      </w:pPr>
      <w:r>
        <w:rPr>
          <w:rFonts w:hint="eastAsia" w:ascii="宋体" w:hAnsi="宋体"/>
          <w:color w:val="auto"/>
          <w:sz w:val="24"/>
          <w:szCs w:val="21"/>
          <w:highlight w:val="none"/>
        </w:rPr>
        <w:t xml:space="preserve">                                  日    期：</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日</w:t>
      </w:r>
    </w:p>
    <w:p w14:paraId="53F303B8">
      <w:pPr>
        <w:pStyle w:val="34"/>
        <w:shd w:val="clear"/>
        <w:kinsoku/>
        <w:overflowPunct/>
        <w:bidi w:val="0"/>
        <w:ind w:left="0" w:leftChars="0" w:right="0" w:rightChars="0" w:firstLine="400"/>
        <w:rPr>
          <w:color w:val="auto"/>
          <w:highlight w:val="none"/>
        </w:rPr>
      </w:pPr>
    </w:p>
    <w:bookmarkEnd w:id="174"/>
    <w:bookmarkEnd w:id="175"/>
    <w:p w14:paraId="4662246A">
      <w:pPr>
        <w:shd w:val="clear"/>
        <w:kinsoku/>
        <w:wordWrap w:val="0"/>
        <w:overflowPunct/>
        <w:bidi w:val="0"/>
        <w:spacing w:before="100" w:beforeAutospacing="1" w:after="100" w:afterAutospacing="1"/>
        <w:ind w:left="0" w:leftChars="0" w:right="0" w:rightChars="0"/>
        <w:jc w:val="center"/>
        <w:rPr>
          <w:rFonts w:ascii="宋体" w:hAnsi="宋体"/>
          <w:b/>
          <w:color w:val="auto"/>
          <w:sz w:val="28"/>
          <w:szCs w:val="28"/>
          <w:highlight w:val="none"/>
          <w:bdr w:val="single" w:color="auto" w:sz="4" w:space="0"/>
        </w:rPr>
      </w:pPr>
      <w:r>
        <w:rPr>
          <w:rFonts w:hint="eastAsia" w:ascii="宋体" w:hAnsi="宋体"/>
          <w:b/>
          <w:color w:val="auto"/>
          <w:sz w:val="28"/>
          <w:szCs w:val="28"/>
          <w:highlight w:val="none"/>
        </w:rPr>
        <w:br w:type="page"/>
      </w:r>
      <w:r>
        <w:rPr>
          <w:rFonts w:hint="eastAsia" w:ascii="宋体" w:hAnsi="宋体"/>
          <w:b/>
          <w:color w:val="auto"/>
          <w:sz w:val="28"/>
          <w:szCs w:val="28"/>
          <w:highlight w:val="none"/>
        </w:rPr>
        <w:t>二、技术标格式文件</w:t>
      </w:r>
    </w:p>
    <w:p w14:paraId="09B014BE">
      <w:pPr>
        <w:shd w:val="clear"/>
        <w:kinsoku/>
        <w:overflowPunct/>
        <w:bidi w:val="0"/>
        <w:ind w:left="0" w:leftChars="0" w:right="0" w:rightChars="0"/>
        <w:jc w:val="center"/>
        <w:rPr>
          <w:rFonts w:ascii="宋体"/>
          <w:b/>
          <w:color w:val="auto"/>
          <w:sz w:val="44"/>
          <w:szCs w:val="44"/>
          <w:highlight w:val="none"/>
        </w:rPr>
      </w:pPr>
      <w:bookmarkStart w:id="178" w:name="_Toc449028953"/>
      <w:bookmarkStart w:id="179" w:name="_Toc387149626"/>
    </w:p>
    <w:p w14:paraId="184C39B7">
      <w:pPr>
        <w:shd w:val="clear"/>
        <w:kinsoku/>
        <w:overflowPunct/>
        <w:bidi w:val="0"/>
        <w:ind w:left="0" w:leftChars="0" w:right="0" w:rightChars="0"/>
        <w:jc w:val="center"/>
        <w:rPr>
          <w:rFonts w:ascii="宋体"/>
          <w:b/>
          <w:color w:val="auto"/>
          <w:sz w:val="44"/>
          <w:szCs w:val="44"/>
          <w:highlight w:val="none"/>
        </w:rPr>
      </w:pPr>
      <w:r>
        <w:rPr>
          <w:rFonts w:hint="eastAsia" w:ascii="宋体"/>
          <w:b/>
          <w:color w:val="auto"/>
          <w:sz w:val="44"/>
          <w:szCs w:val="44"/>
          <w:highlight w:val="none"/>
        </w:rPr>
        <w:t>技术标</w:t>
      </w:r>
      <w:bookmarkEnd w:id="178"/>
      <w:bookmarkEnd w:id="179"/>
    </w:p>
    <w:p w14:paraId="794EF0E5">
      <w:pPr>
        <w:shd w:val="clear"/>
        <w:kinsoku/>
        <w:overflowPunct/>
        <w:bidi w:val="0"/>
        <w:ind w:left="0" w:leftChars="0" w:right="0" w:rightChars="0"/>
        <w:jc w:val="center"/>
        <w:rPr>
          <w:rFonts w:ascii="宋体"/>
          <w:color w:val="auto"/>
          <w:sz w:val="32"/>
          <w:szCs w:val="32"/>
          <w:highlight w:val="none"/>
        </w:rPr>
      </w:pPr>
      <w:r>
        <w:rPr>
          <w:rFonts w:hint="eastAsia" w:ascii="宋体"/>
          <w:color w:val="auto"/>
          <w:sz w:val="32"/>
          <w:szCs w:val="32"/>
          <w:highlight w:val="none"/>
        </w:rPr>
        <w:t>（投标文件二）</w:t>
      </w:r>
    </w:p>
    <w:p w14:paraId="2EEB0E33">
      <w:pPr>
        <w:shd w:val="clear"/>
        <w:kinsoku/>
        <w:overflowPunct/>
        <w:bidi w:val="0"/>
        <w:ind w:left="0" w:leftChars="0" w:right="0" w:rightChars="0"/>
        <w:jc w:val="center"/>
        <w:rPr>
          <w:rFonts w:eastAsia="黑体"/>
          <w:color w:val="auto"/>
          <w:sz w:val="44"/>
          <w:szCs w:val="44"/>
          <w:highlight w:val="none"/>
        </w:rPr>
      </w:pPr>
    </w:p>
    <w:p w14:paraId="4CF087D7">
      <w:pPr>
        <w:shd w:val="clear"/>
        <w:kinsoku/>
        <w:overflowPunct/>
        <w:bidi w:val="0"/>
        <w:ind w:left="0" w:leftChars="0" w:right="0" w:rightChars="0"/>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22FD1090">
      <w:pPr>
        <w:shd w:val="clear"/>
        <w:kinsoku/>
        <w:overflowPunct/>
        <w:bidi w:val="0"/>
        <w:ind w:left="0" w:leftChars="0" w:right="0" w:rightChars="0"/>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70A8E3F5">
      <w:pPr>
        <w:shd w:val="clear"/>
        <w:kinsoku/>
        <w:overflowPunct/>
        <w:bidi w:val="0"/>
        <w:ind w:left="0" w:leftChars="0" w:right="0" w:rightChars="0"/>
        <w:rPr>
          <w:rFonts w:ascii="宋体"/>
          <w:color w:val="auto"/>
          <w:sz w:val="28"/>
          <w:szCs w:val="28"/>
          <w:highlight w:val="none"/>
        </w:rPr>
      </w:pPr>
    </w:p>
    <w:p w14:paraId="3520D157">
      <w:pPr>
        <w:shd w:val="clear"/>
        <w:kinsoku/>
        <w:overflowPunct/>
        <w:bidi w:val="0"/>
        <w:ind w:left="0" w:leftChars="0" w:right="0" w:rightChars="0"/>
        <w:rPr>
          <w:rFonts w:ascii="宋体"/>
          <w:color w:val="auto"/>
          <w:sz w:val="28"/>
          <w:szCs w:val="28"/>
          <w:highlight w:val="none"/>
        </w:rPr>
      </w:pPr>
    </w:p>
    <w:p w14:paraId="39180A69">
      <w:pPr>
        <w:shd w:val="clear"/>
        <w:kinsoku/>
        <w:overflowPunct/>
        <w:bidi w:val="0"/>
        <w:spacing w:line="700" w:lineRule="exact"/>
        <w:ind w:left="0" w:leftChars="0" w:right="0" w:rightChars="0"/>
        <w:jc w:val="left"/>
        <w:rPr>
          <w:color w:val="auto"/>
          <w:sz w:val="24"/>
          <w:szCs w:val="32"/>
          <w:highlight w:val="none"/>
        </w:rPr>
      </w:pPr>
      <w:r>
        <w:rPr>
          <w:rFonts w:ascii="宋体"/>
          <w:color w:val="auto"/>
          <w:sz w:val="28"/>
          <w:szCs w:val="28"/>
          <w:highlight w:val="none"/>
        </w:rPr>
        <w:tab/>
      </w:r>
      <w:r>
        <w:rPr>
          <w:rFonts w:hint="eastAsia" w:ascii="宋体" w:hAnsi="宋体" w:cs="宋体"/>
          <w:b/>
          <w:bCs/>
          <w:color w:val="auto"/>
          <w:sz w:val="24"/>
          <w:highlight w:val="none"/>
        </w:rPr>
        <w:t>【该项目技术标为暗标横向评审，暗标横向评审技术标不设目录，评审前系统自动对所有投标人的技术标及各评分点分别进行编号；投标企业制作的技术标部分不得出现可能泄露投标人单位及个人信息的文字、图片、图表（技术标部分不得签章）等有关表述，否则</w:t>
      </w:r>
      <w:r>
        <w:rPr>
          <w:rFonts w:hint="eastAsia" w:ascii="宋体" w:hAnsi="宋体" w:cs="宋体"/>
          <w:b/>
          <w:bCs/>
          <w:color w:val="auto"/>
          <w:sz w:val="24"/>
          <w:highlight w:val="none"/>
          <w:lang w:val="en-US" w:eastAsia="zh-CN"/>
        </w:rPr>
        <w:t>对应</w:t>
      </w:r>
      <w:r>
        <w:rPr>
          <w:rFonts w:hint="eastAsia" w:ascii="宋体" w:hAnsi="宋体" w:cs="宋体"/>
          <w:b/>
          <w:bCs/>
          <w:color w:val="auto"/>
          <w:sz w:val="24"/>
          <w:highlight w:val="none"/>
        </w:rPr>
        <w:t>评分点作零分处理。】</w:t>
      </w:r>
    </w:p>
    <w:p w14:paraId="341618CB">
      <w:pPr>
        <w:pStyle w:val="34"/>
        <w:shd w:val="clear"/>
        <w:kinsoku/>
        <w:overflowPunct/>
        <w:bidi w:val="0"/>
        <w:ind w:left="0" w:leftChars="0" w:right="0" w:rightChars="0" w:firstLine="560"/>
        <w:rPr>
          <w:rFonts w:ascii="宋体"/>
          <w:color w:val="auto"/>
          <w:sz w:val="28"/>
          <w:szCs w:val="28"/>
          <w:highlight w:val="none"/>
        </w:rPr>
      </w:pPr>
      <w:r>
        <w:rPr>
          <w:rFonts w:hint="eastAsia" w:ascii="宋体"/>
          <w:color w:val="auto"/>
          <w:sz w:val="28"/>
          <w:szCs w:val="28"/>
          <w:highlight w:val="none"/>
        </w:rPr>
        <w:br w:type="page"/>
      </w:r>
    </w:p>
    <w:p w14:paraId="167758B7">
      <w:pPr>
        <w:shd w:val="clear"/>
        <w:kinsoku/>
        <w:overflowPunct/>
        <w:bidi w:val="0"/>
        <w:ind w:left="0" w:leftChars="0" w:right="0" w:rightChars="0"/>
        <w:rPr>
          <w:rFonts w:ascii="宋体"/>
          <w:color w:val="auto"/>
          <w:sz w:val="28"/>
          <w:szCs w:val="28"/>
          <w:highlight w:val="none"/>
        </w:rPr>
      </w:pPr>
    </w:p>
    <w:p w14:paraId="59310380">
      <w:pPr>
        <w:pStyle w:val="34"/>
        <w:shd w:val="clear"/>
        <w:kinsoku/>
        <w:overflowPunct/>
        <w:bidi w:val="0"/>
        <w:ind w:left="0" w:leftChars="0" w:right="0" w:rightChars="0" w:firstLine="400"/>
        <w:rPr>
          <w:color w:val="auto"/>
          <w:highlight w:val="none"/>
        </w:rPr>
      </w:pPr>
    </w:p>
    <w:p w14:paraId="6BA21F6A">
      <w:pPr>
        <w:shd w:val="clear"/>
        <w:kinsoku/>
        <w:overflowPunct/>
        <w:bidi w:val="0"/>
        <w:spacing w:line="400" w:lineRule="exact"/>
        <w:ind w:left="0" w:leftChars="0" w:right="0" w:rightChars="0"/>
        <w:rPr>
          <w:b/>
          <w:color w:val="auto"/>
          <w:sz w:val="36"/>
          <w:szCs w:val="36"/>
          <w:highlight w:val="none"/>
        </w:rPr>
      </w:pPr>
    </w:p>
    <w:p w14:paraId="3D2AAF70">
      <w:pPr>
        <w:shd w:val="clear"/>
        <w:kinsoku/>
        <w:overflowPunct/>
        <w:bidi w:val="0"/>
        <w:spacing w:line="400" w:lineRule="exact"/>
        <w:ind w:left="0" w:leftChars="0" w:right="0" w:rightChars="0"/>
        <w:jc w:val="center"/>
        <w:rPr>
          <w:rFonts w:hint="eastAsia"/>
          <w:b/>
          <w:color w:val="auto"/>
          <w:sz w:val="36"/>
          <w:szCs w:val="36"/>
          <w:highlight w:val="none"/>
        </w:rPr>
      </w:pPr>
      <w:r>
        <w:rPr>
          <w:rFonts w:hint="eastAsia"/>
          <w:b/>
          <w:color w:val="auto"/>
          <w:sz w:val="36"/>
          <w:szCs w:val="36"/>
          <w:highlight w:val="none"/>
        </w:rPr>
        <w:t>目   录</w:t>
      </w:r>
    </w:p>
    <w:p w14:paraId="3A1BD600">
      <w:pPr>
        <w:shd w:val="clear"/>
        <w:kinsoku/>
        <w:overflowPunct/>
        <w:bidi w:val="0"/>
        <w:spacing w:line="400" w:lineRule="exact"/>
        <w:ind w:left="0" w:leftChars="0" w:right="0" w:rightChars="0"/>
        <w:jc w:val="center"/>
        <w:rPr>
          <w:rFonts w:hint="eastAsia"/>
          <w:b/>
          <w:color w:val="auto"/>
          <w:sz w:val="36"/>
          <w:szCs w:val="36"/>
          <w:highlight w:val="none"/>
        </w:rPr>
      </w:pPr>
    </w:p>
    <w:p w14:paraId="5EB40EC6">
      <w:pPr>
        <w:numPr>
          <w:ilvl w:val="0"/>
          <w:numId w:val="0"/>
        </w:numPr>
        <w:shd w:val="clear"/>
        <w:kinsoku/>
        <w:overflowPunct/>
        <w:bidi w:val="0"/>
        <w:spacing w:line="440" w:lineRule="exact"/>
        <w:ind w:left="0" w:leftChars="0" w:right="0" w:rightChars="0"/>
        <w:jc w:val="left"/>
        <w:rPr>
          <w:rFonts w:hint="eastAsia" w:ascii="宋体" w:hAnsi="宋体" w:cs="宋体"/>
          <w:b/>
          <w:bCs/>
          <w:color w:val="auto"/>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（1）</w:t>
      </w:r>
      <w:r>
        <w:rPr>
          <w:rFonts w:hint="eastAsia" w:ascii="宋体" w:hAnsi="宋体" w:cs="宋体"/>
          <w:b/>
          <w:bCs/>
          <w:color w:val="auto"/>
          <w:szCs w:val="21"/>
          <w:highlight w:val="none"/>
          <w:lang w:val="en-US" w:eastAsia="zh-CN"/>
        </w:rPr>
        <w:t>维护实施方案（格式自拟）；</w:t>
      </w:r>
    </w:p>
    <w:p w14:paraId="483682E9">
      <w:pPr>
        <w:widowControl w:val="0"/>
        <w:numPr>
          <w:ilvl w:val="0"/>
          <w:numId w:val="0"/>
        </w:numPr>
        <w:shd w:val="clear"/>
        <w:kinsoku/>
        <w:overflowPunct/>
        <w:bidi w:val="0"/>
        <w:spacing w:line="440" w:lineRule="exact"/>
        <w:ind w:left="0" w:leftChars="0" w:right="0" w:rightChars="0"/>
        <w:jc w:val="left"/>
        <w:rPr>
          <w:rFonts w:ascii="宋体" w:hAnsi="宋体" w:cs="宋体"/>
          <w:b/>
          <w:bCs/>
          <w:color w:val="auto"/>
          <w:szCs w:val="21"/>
          <w:highlight w:val="none"/>
        </w:rPr>
      </w:pPr>
      <w:r>
        <w:rPr>
          <w:rFonts w:hint="eastAsia" w:ascii="宋体" w:hAnsi="宋体" w:eastAsia="宋体" w:cs="宋体"/>
          <w:b/>
          <w:bCs/>
          <w:color w:val="auto"/>
          <w:kern w:val="2"/>
          <w:sz w:val="21"/>
          <w:szCs w:val="21"/>
          <w:highlight w:val="none"/>
          <w:lang w:val="en-US" w:eastAsia="zh-CN" w:bidi="ar-SA"/>
        </w:rPr>
        <w:t>（2）</w:t>
      </w:r>
      <w:r>
        <w:rPr>
          <w:rFonts w:hint="eastAsia" w:ascii="宋体" w:hAnsi="宋体" w:cs="宋体"/>
          <w:b/>
          <w:bCs/>
          <w:color w:val="auto"/>
          <w:kern w:val="0"/>
          <w:szCs w:val="21"/>
          <w:highlight w:val="none"/>
        </w:rPr>
        <w:t>维护日志与记录</w:t>
      </w:r>
      <w:r>
        <w:rPr>
          <w:rFonts w:hint="eastAsia" w:ascii="宋体" w:hAnsi="宋体" w:cs="宋体"/>
          <w:b/>
          <w:bCs/>
          <w:color w:val="auto"/>
          <w:szCs w:val="21"/>
          <w:highlight w:val="none"/>
          <w:lang w:val="en-US" w:eastAsia="zh-CN"/>
        </w:rPr>
        <w:t>（格式自拟）；</w:t>
      </w:r>
    </w:p>
    <w:p w14:paraId="4559D3D9">
      <w:pPr>
        <w:widowControl w:val="0"/>
        <w:numPr>
          <w:ilvl w:val="0"/>
          <w:numId w:val="0"/>
        </w:numPr>
        <w:shd w:val="clear"/>
        <w:kinsoku/>
        <w:overflowPunct/>
        <w:bidi w:val="0"/>
        <w:spacing w:line="440" w:lineRule="exact"/>
        <w:ind w:left="0" w:leftChars="0" w:right="0" w:rightChars="0"/>
        <w:jc w:val="left"/>
        <w:rPr>
          <w:rFonts w:hint="eastAsia" w:ascii="宋体" w:hAnsi="宋体" w:cs="宋体"/>
          <w:b/>
          <w:bCs/>
          <w:color w:val="auto"/>
          <w:kern w:val="0"/>
          <w:szCs w:val="21"/>
          <w:highlight w:val="none"/>
        </w:rPr>
      </w:pPr>
      <w:r>
        <w:rPr>
          <w:rFonts w:hint="eastAsia" w:ascii="宋体" w:hAnsi="宋体" w:eastAsia="宋体" w:cs="宋体"/>
          <w:b/>
          <w:bCs/>
          <w:color w:val="auto"/>
          <w:kern w:val="2"/>
          <w:sz w:val="21"/>
          <w:szCs w:val="21"/>
          <w:highlight w:val="none"/>
          <w:lang w:val="en-US" w:eastAsia="zh-CN" w:bidi="ar-SA"/>
        </w:rPr>
        <w:t>（3）</w:t>
      </w:r>
      <w:r>
        <w:rPr>
          <w:rFonts w:hint="eastAsia" w:ascii="宋体" w:hAnsi="宋体" w:eastAsia="宋体" w:cs="宋体"/>
          <w:b/>
          <w:bCs/>
          <w:color w:val="auto"/>
          <w:kern w:val="0"/>
          <w:szCs w:val="21"/>
          <w:highlight w:val="none"/>
        </w:rPr>
        <w:t>特殊情况恢复方案</w:t>
      </w:r>
      <w:r>
        <w:rPr>
          <w:rFonts w:hint="eastAsia" w:ascii="宋体" w:hAnsi="宋体" w:cs="宋体"/>
          <w:b/>
          <w:bCs/>
          <w:color w:val="auto"/>
          <w:szCs w:val="21"/>
          <w:highlight w:val="none"/>
          <w:lang w:val="en-US" w:eastAsia="zh-CN"/>
        </w:rPr>
        <w:t>（格式自拟）；</w:t>
      </w:r>
    </w:p>
    <w:p w14:paraId="7980E5E8">
      <w:pPr>
        <w:widowControl w:val="0"/>
        <w:numPr>
          <w:ilvl w:val="0"/>
          <w:numId w:val="0"/>
        </w:numPr>
        <w:shd w:val="clear"/>
        <w:kinsoku/>
        <w:overflowPunct/>
        <w:bidi w:val="0"/>
        <w:spacing w:line="440" w:lineRule="exact"/>
        <w:ind w:left="0" w:leftChars="0" w:right="0" w:rightChars="0"/>
        <w:jc w:val="left"/>
        <w:rPr>
          <w:rFonts w:hint="eastAsia" w:ascii="宋体" w:hAnsi="宋体" w:cs="宋体"/>
          <w:b/>
          <w:bCs/>
          <w:color w:val="auto"/>
          <w:kern w:val="0"/>
          <w:szCs w:val="21"/>
          <w:highlight w:val="none"/>
        </w:rPr>
      </w:pPr>
      <w:r>
        <w:rPr>
          <w:rFonts w:hint="eastAsia" w:ascii="宋体" w:hAnsi="宋体" w:eastAsia="宋体" w:cs="宋体"/>
          <w:b/>
          <w:bCs/>
          <w:color w:val="auto"/>
          <w:kern w:val="2"/>
          <w:sz w:val="21"/>
          <w:szCs w:val="21"/>
          <w:highlight w:val="none"/>
          <w:lang w:val="en-US" w:eastAsia="zh-CN" w:bidi="ar-SA"/>
        </w:rPr>
        <w:t>（4）</w:t>
      </w:r>
      <w:r>
        <w:rPr>
          <w:rFonts w:hint="eastAsia" w:ascii="宋体" w:hAnsi="宋体" w:eastAsia="宋体" w:cs="宋体"/>
          <w:b/>
          <w:bCs/>
          <w:color w:val="auto"/>
          <w:kern w:val="0"/>
          <w:szCs w:val="21"/>
          <w:highlight w:val="none"/>
          <w:lang w:val="en-US" w:eastAsia="zh-CN"/>
        </w:rPr>
        <w:t>安全文明作业方案</w:t>
      </w:r>
      <w:r>
        <w:rPr>
          <w:rFonts w:hint="eastAsia" w:ascii="宋体" w:hAnsi="宋体" w:cs="宋体"/>
          <w:b/>
          <w:bCs/>
          <w:color w:val="auto"/>
          <w:szCs w:val="21"/>
          <w:highlight w:val="none"/>
          <w:lang w:val="en-US" w:eastAsia="zh-CN"/>
        </w:rPr>
        <w:t>（格式自拟）；</w:t>
      </w:r>
    </w:p>
    <w:p w14:paraId="04803681">
      <w:pPr>
        <w:widowControl w:val="0"/>
        <w:numPr>
          <w:ilvl w:val="0"/>
          <w:numId w:val="0"/>
        </w:numPr>
        <w:shd w:val="clear"/>
        <w:kinsoku/>
        <w:overflowPunct/>
        <w:bidi w:val="0"/>
        <w:spacing w:line="440" w:lineRule="exact"/>
        <w:ind w:left="0" w:leftChars="0" w:right="0" w:rightChars="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2"/>
          <w:sz w:val="21"/>
          <w:szCs w:val="21"/>
          <w:highlight w:val="none"/>
          <w:lang w:val="en-US" w:eastAsia="zh-CN" w:bidi="ar-SA"/>
        </w:rPr>
        <w:t>（5）</w:t>
      </w:r>
      <w:r>
        <w:rPr>
          <w:rFonts w:hint="eastAsia" w:ascii="宋体" w:hAnsi="宋体" w:eastAsia="宋体" w:cs="宋体"/>
          <w:b/>
          <w:bCs/>
          <w:color w:val="auto"/>
          <w:kern w:val="0"/>
          <w:szCs w:val="21"/>
          <w:highlight w:val="none"/>
          <w:lang w:val="en-US" w:eastAsia="zh-CN"/>
        </w:rPr>
        <w:t>人员管理和培训方案</w:t>
      </w:r>
      <w:r>
        <w:rPr>
          <w:rFonts w:hint="eastAsia" w:ascii="宋体" w:hAnsi="宋体" w:cs="宋体"/>
          <w:b/>
          <w:bCs/>
          <w:color w:val="auto"/>
          <w:szCs w:val="21"/>
          <w:highlight w:val="none"/>
          <w:lang w:val="en-US" w:eastAsia="zh-CN"/>
        </w:rPr>
        <w:t>（格式自拟）；</w:t>
      </w:r>
    </w:p>
    <w:p w14:paraId="365A9901">
      <w:pPr>
        <w:shd w:val="clear"/>
        <w:kinsoku/>
        <w:overflowPunct/>
        <w:bidi w:val="0"/>
        <w:adjustRightInd w:val="0"/>
        <w:snapToGrid w:val="0"/>
        <w:spacing w:line="560" w:lineRule="exact"/>
        <w:ind w:left="0" w:leftChars="0" w:right="0" w:rightChars="0"/>
        <w:rPr>
          <w:rFonts w:ascii="宋体" w:hAnsi="宋体"/>
          <w:b/>
          <w:bCs/>
          <w:color w:val="auto"/>
          <w:sz w:val="24"/>
          <w:highlight w:val="none"/>
        </w:rPr>
      </w:pPr>
    </w:p>
    <w:p w14:paraId="34E0FEB6">
      <w:pPr>
        <w:shd w:val="clear"/>
        <w:kinsoku/>
        <w:overflowPunct/>
        <w:bidi w:val="0"/>
        <w:adjustRightInd w:val="0"/>
        <w:snapToGrid w:val="0"/>
        <w:spacing w:line="560" w:lineRule="exact"/>
        <w:ind w:left="0" w:leftChars="0" w:right="0" w:rightChars="0"/>
        <w:rPr>
          <w:rFonts w:ascii="宋体" w:hAnsi="宋体"/>
          <w:b/>
          <w:bCs/>
          <w:color w:val="auto"/>
          <w:sz w:val="24"/>
          <w:highlight w:val="none"/>
        </w:rPr>
      </w:pPr>
      <w:r>
        <w:rPr>
          <w:rFonts w:hint="eastAsia" w:ascii="宋体" w:hAnsi="宋体"/>
          <w:b/>
          <w:bCs/>
          <w:color w:val="auto"/>
          <w:sz w:val="24"/>
          <w:highlight w:val="none"/>
        </w:rPr>
        <w:t>注：本项目采用横向暗标评审，请投标人结合技术标评审细则和系统内容在对应模块上传技术标评审内容。</w:t>
      </w:r>
    </w:p>
    <w:p w14:paraId="7C8D4F78">
      <w:pPr>
        <w:pStyle w:val="14"/>
        <w:shd w:val="clear"/>
        <w:kinsoku/>
        <w:overflowPunct/>
        <w:bidi w:val="0"/>
        <w:ind w:left="0" w:leftChars="0" w:right="0" w:rightChars="0"/>
        <w:rPr>
          <w:color w:val="auto"/>
          <w:highlight w:val="none"/>
        </w:rPr>
      </w:pPr>
    </w:p>
    <w:p w14:paraId="4F5221CC">
      <w:pPr>
        <w:shd w:val="clear"/>
        <w:kinsoku/>
        <w:overflowPunct/>
        <w:bidi w:val="0"/>
        <w:spacing w:line="400" w:lineRule="exact"/>
        <w:ind w:left="0" w:leftChars="0" w:right="0" w:rightChars="0" w:firstLine="562" w:firstLineChars="200"/>
        <w:rPr>
          <w:b/>
          <w:color w:val="auto"/>
          <w:sz w:val="28"/>
          <w:szCs w:val="28"/>
          <w:highlight w:val="none"/>
        </w:rPr>
      </w:pPr>
    </w:p>
    <w:p w14:paraId="063167E8">
      <w:pPr>
        <w:shd w:val="clear"/>
        <w:kinsoku/>
        <w:overflowPunct/>
        <w:bidi w:val="0"/>
        <w:spacing w:line="400" w:lineRule="exact"/>
        <w:ind w:left="0" w:leftChars="0" w:right="0" w:rightChars="0" w:firstLine="562" w:firstLineChars="200"/>
        <w:rPr>
          <w:b/>
          <w:color w:val="auto"/>
          <w:sz w:val="28"/>
          <w:szCs w:val="28"/>
          <w:highlight w:val="none"/>
        </w:rPr>
      </w:pPr>
    </w:p>
    <w:p w14:paraId="65CC32BF">
      <w:pPr>
        <w:shd w:val="clear"/>
        <w:kinsoku/>
        <w:overflowPunct/>
        <w:bidi w:val="0"/>
        <w:spacing w:line="400" w:lineRule="exact"/>
        <w:ind w:left="0" w:leftChars="0" w:right="0" w:rightChars="0" w:firstLine="562" w:firstLineChars="200"/>
        <w:rPr>
          <w:b/>
          <w:color w:val="auto"/>
          <w:sz w:val="28"/>
          <w:szCs w:val="28"/>
          <w:highlight w:val="none"/>
        </w:rPr>
      </w:pPr>
    </w:p>
    <w:p w14:paraId="4709A7CA">
      <w:pPr>
        <w:shd w:val="clear"/>
        <w:kinsoku/>
        <w:overflowPunct/>
        <w:bidi w:val="0"/>
        <w:spacing w:line="480" w:lineRule="auto"/>
        <w:ind w:left="0" w:leftChars="0" w:right="0" w:rightChars="0"/>
        <w:rPr>
          <w:b/>
          <w:color w:val="auto"/>
          <w:sz w:val="28"/>
          <w:szCs w:val="28"/>
          <w:highlight w:val="none"/>
        </w:rPr>
      </w:pPr>
      <w:r>
        <w:rPr>
          <w:rFonts w:hint="eastAsia"/>
          <w:b/>
          <w:color w:val="auto"/>
          <w:sz w:val="28"/>
          <w:szCs w:val="28"/>
          <w:highlight w:val="none"/>
        </w:rPr>
        <w:br w:type="page"/>
      </w:r>
    </w:p>
    <w:p w14:paraId="782CFC0E">
      <w:pPr>
        <w:shd w:val="clear"/>
        <w:kinsoku/>
        <w:overflowPunct/>
        <w:bidi w:val="0"/>
        <w:spacing w:line="300" w:lineRule="exact"/>
        <w:ind w:left="0" w:leftChars="0" w:right="0" w:rightChars="0"/>
        <w:rPr>
          <w:rFonts w:ascii="宋体"/>
          <w:color w:val="auto"/>
          <w:sz w:val="24"/>
          <w:highlight w:val="none"/>
          <w:u w:val="single"/>
        </w:rPr>
      </w:pPr>
      <w:r>
        <w:rPr>
          <w:rFonts w:hint="eastAsia" w:ascii="宋体"/>
          <w:color w:val="auto"/>
          <w:sz w:val="24"/>
          <w:highlight w:val="none"/>
          <w:u w:val="single"/>
        </w:rPr>
        <w:t xml:space="preserve">      </w:t>
      </w:r>
    </w:p>
    <w:p w14:paraId="730D5E1F">
      <w:pPr>
        <w:shd w:val="clear"/>
        <w:kinsoku/>
        <w:overflowPunct/>
        <w:bidi w:val="0"/>
        <w:ind w:left="0" w:leftChars="0" w:right="0" w:rightChars="0"/>
        <w:jc w:val="center"/>
        <w:rPr>
          <w:rFonts w:ascii="宋体"/>
          <w:color w:val="auto"/>
          <w:sz w:val="24"/>
          <w:highlight w:val="none"/>
        </w:rPr>
      </w:pPr>
      <w:r>
        <w:rPr>
          <w:rFonts w:hint="eastAsia" w:ascii="宋体" w:hAnsi="宋体"/>
          <w:b/>
          <w:color w:val="auto"/>
          <w:sz w:val="28"/>
          <w:szCs w:val="28"/>
          <w:highlight w:val="none"/>
        </w:rPr>
        <w:t>三、商务标格式文件</w:t>
      </w:r>
    </w:p>
    <w:p w14:paraId="30893947">
      <w:pPr>
        <w:shd w:val="clear"/>
        <w:kinsoku/>
        <w:overflowPunct/>
        <w:bidi w:val="0"/>
        <w:ind w:left="0" w:leftChars="0" w:right="0" w:rightChars="0"/>
        <w:jc w:val="center"/>
        <w:rPr>
          <w:rFonts w:eastAsia="黑体"/>
          <w:color w:val="auto"/>
          <w:sz w:val="20"/>
          <w:highlight w:val="none"/>
        </w:rPr>
      </w:pPr>
    </w:p>
    <w:p w14:paraId="49ED6611">
      <w:pPr>
        <w:shd w:val="clear"/>
        <w:kinsoku/>
        <w:overflowPunct/>
        <w:bidi w:val="0"/>
        <w:ind w:left="0" w:leftChars="0" w:right="0" w:rightChars="0"/>
        <w:rPr>
          <w:rFonts w:ascii="宋体"/>
          <w:color w:val="auto"/>
          <w:sz w:val="20"/>
          <w:highlight w:val="none"/>
        </w:rPr>
      </w:pPr>
    </w:p>
    <w:p w14:paraId="4001AD57">
      <w:pPr>
        <w:pStyle w:val="34"/>
        <w:shd w:val="clear"/>
        <w:kinsoku/>
        <w:overflowPunct/>
        <w:bidi w:val="0"/>
        <w:ind w:left="0" w:leftChars="0" w:right="0" w:rightChars="0" w:firstLine="400"/>
        <w:rPr>
          <w:color w:val="auto"/>
          <w:highlight w:val="none"/>
        </w:rPr>
      </w:pPr>
    </w:p>
    <w:p w14:paraId="02216963">
      <w:pPr>
        <w:shd w:val="clear"/>
        <w:kinsoku/>
        <w:overflowPunct/>
        <w:bidi w:val="0"/>
        <w:ind w:left="0" w:leftChars="0" w:right="0" w:rightChars="0"/>
        <w:jc w:val="center"/>
        <w:rPr>
          <w:rFonts w:ascii="宋体"/>
          <w:b/>
          <w:color w:val="auto"/>
          <w:sz w:val="44"/>
          <w:szCs w:val="44"/>
          <w:highlight w:val="none"/>
        </w:rPr>
      </w:pPr>
      <w:bookmarkStart w:id="180" w:name="_Toc449028954"/>
      <w:r>
        <w:rPr>
          <w:rFonts w:hint="eastAsia" w:ascii="宋体"/>
          <w:b/>
          <w:color w:val="auto"/>
          <w:sz w:val="44"/>
          <w:szCs w:val="44"/>
          <w:highlight w:val="none"/>
        </w:rPr>
        <w:t>商务标</w:t>
      </w:r>
      <w:bookmarkEnd w:id="180"/>
    </w:p>
    <w:p w14:paraId="7C451471">
      <w:pPr>
        <w:shd w:val="clear"/>
        <w:kinsoku/>
        <w:overflowPunct/>
        <w:bidi w:val="0"/>
        <w:ind w:left="0" w:leftChars="0" w:right="0" w:rightChars="0"/>
        <w:jc w:val="center"/>
        <w:rPr>
          <w:rFonts w:ascii="宋体"/>
          <w:color w:val="auto"/>
          <w:sz w:val="36"/>
          <w:szCs w:val="36"/>
          <w:highlight w:val="none"/>
        </w:rPr>
      </w:pPr>
      <w:r>
        <w:rPr>
          <w:rFonts w:hint="eastAsia" w:ascii="宋体"/>
          <w:color w:val="auto"/>
          <w:sz w:val="44"/>
          <w:szCs w:val="44"/>
          <w:highlight w:val="none"/>
        </w:rPr>
        <w:t>（</w:t>
      </w:r>
      <w:r>
        <w:rPr>
          <w:rFonts w:hint="eastAsia" w:ascii="宋体"/>
          <w:color w:val="auto"/>
          <w:sz w:val="36"/>
          <w:szCs w:val="36"/>
          <w:highlight w:val="none"/>
        </w:rPr>
        <w:t>投标文件三）</w:t>
      </w:r>
    </w:p>
    <w:p w14:paraId="0B86A495">
      <w:pPr>
        <w:shd w:val="clear"/>
        <w:kinsoku/>
        <w:overflowPunct/>
        <w:bidi w:val="0"/>
        <w:ind w:left="0" w:leftChars="0" w:right="0" w:rightChars="0"/>
        <w:jc w:val="center"/>
        <w:rPr>
          <w:rFonts w:ascii="宋体"/>
          <w:color w:val="auto"/>
          <w:sz w:val="36"/>
          <w:szCs w:val="36"/>
          <w:highlight w:val="none"/>
        </w:rPr>
      </w:pPr>
    </w:p>
    <w:p w14:paraId="34FF8A4E">
      <w:pPr>
        <w:shd w:val="clear"/>
        <w:kinsoku/>
        <w:overflowPunct/>
        <w:bidi w:val="0"/>
        <w:ind w:left="0" w:leftChars="0" w:right="0" w:rightChars="0"/>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3E8006DA">
      <w:pPr>
        <w:shd w:val="clear"/>
        <w:kinsoku/>
        <w:overflowPunct/>
        <w:bidi w:val="0"/>
        <w:ind w:left="0" w:leftChars="0" w:right="0" w:rightChars="0"/>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5BDE60BF">
      <w:pPr>
        <w:shd w:val="clear"/>
        <w:kinsoku/>
        <w:overflowPunct/>
        <w:bidi w:val="0"/>
        <w:ind w:left="0" w:leftChars="0" w:right="0" w:rightChars="0"/>
        <w:rPr>
          <w:rFonts w:ascii="宋体"/>
          <w:color w:val="auto"/>
          <w:sz w:val="28"/>
          <w:szCs w:val="28"/>
          <w:highlight w:val="none"/>
        </w:rPr>
      </w:pPr>
    </w:p>
    <w:p w14:paraId="38998AA8">
      <w:pPr>
        <w:shd w:val="clear"/>
        <w:kinsoku/>
        <w:overflowPunct/>
        <w:bidi w:val="0"/>
        <w:ind w:left="0" w:leftChars="0" w:right="0" w:rightChars="0"/>
        <w:rPr>
          <w:rFonts w:ascii="宋体"/>
          <w:color w:val="auto"/>
          <w:sz w:val="28"/>
          <w:szCs w:val="28"/>
          <w:highlight w:val="none"/>
        </w:rPr>
      </w:pPr>
    </w:p>
    <w:p w14:paraId="02098B3B">
      <w:pPr>
        <w:shd w:val="clear"/>
        <w:kinsoku/>
        <w:overflowPunct/>
        <w:bidi w:val="0"/>
        <w:ind w:left="0" w:leftChars="0" w:right="0" w:rightChars="0"/>
        <w:rPr>
          <w:rFonts w:ascii="宋体"/>
          <w:color w:val="auto"/>
          <w:sz w:val="28"/>
          <w:szCs w:val="28"/>
          <w:highlight w:val="none"/>
        </w:rPr>
      </w:pPr>
    </w:p>
    <w:p w14:paraId="06BDB167">
      <w:pPr>
        <w:shd w:val="clear"/>
        <w:kinsoku/>
        <w:overflowPunct/>
        <w:bidi w:val="0"/>
        <w:ind w:left="0" w:leftChars="0" w:right="0" w:rightChars="0"/>
        <w:rPr>
          <w:rFonts w:ascii="宋体"/>
          <w:color w:val="auto"/>
          <w:sz w:val="28"/>
          <w:szCs w:val="28"/>
          <w:highlight w:val="none"/>
        </w:rPr>
      </w:pPr>
    </w:p>
    <w:p w14:paraId="2CA01845">
      <w:pPr>
        <w:shd w:val="clear"/>
        <w:kinsoku/>
        <w:overflowPunct/>
        <w:bidi w:val="0"/>
        <w:ind w:left="0" w:leftChars="0" w:right="0" w:rightChars="0"/>
        <w:rPr>
          <w:rFonts w:ascii="宋体"/>
          <w:color w:val="auto"/>
          <w:sz w:val="28"/>
          <w:szCs w:val="28"/>
          <w:highlight w:val="none"/>
        </w:rPr>
      </w:pPr>
    </w:p>
    <w:p w14:paraId="21A2A976">
      <w:pPr>
        <w:shd w:val="clear"/>
        <w:kinsoku/>
        <w:overflowPunct/>
        <w:bidi w:val="0"/>
        <w:ind w:left="0" w:leftChars="0" w:right="0" w:rightChars="0"/>
        <w:rPr>
          <w:rFonts w:ascii="宋体"/>
          <w:color w:val="auto"/>
          <w:sz w:val="28"/>
          <w:szCs w:val="28"/>
          <w:highlight w:val="none"/>
        </w:rPr>
      </w:pPr>
    </w:p>
    <w:p w14:paraId="2768955C">
      <w:pPr>
        <w:shd w:val="clear"/>
        <w:kinsoku/>
        <w:overflowPunct/>
        <w:bidi w:val="0"/>
        <w:ind w:left="0" w:leftChars="0" w:right="0" w:rightChars="0"/>
        <w:rPr>
          <w:rFonts w:ascii="宋体"/>
          <w:color w:val="auto"/>
          <w:sz w:val="28"/>
          <w:szCs w:val="28"/>
          <w:highlight w:val="none"/>
        </w:rPr>
      </w:pPr>
    </w:p>
    <w:p w14:paraId="2FBB93E3">
      <w:pPr>
        <w:shd w:val="clear"/>
        <w:kinsoku/>
        <w:overflowPunct/>
        <w:bidi w:val="0"/>
        <w:ind w:left="0" w:leftChars="0" w:right="0" w:rightChars="0"/>
        <w:jc w:val="center"/>
        <w:rPr>
          <w:rFonts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0EA5F81A">
      <w:pPr>
        <w:shd w:val="clear"/>
        <w:kinsoku/>
        <w:overflowPunct/>
        <w:bidi w:val="0"/>
        <w:ind w:left="0" w:leftChars="0" w:right="0" w:rightChars="0" w:firstLine="700" w:firstLineChars="250"/>
        <w:rPr>
          <w:rFonts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621588F3">
      <w:pPr>
        <w:shd w:val="clear"/>
        <w:kinsoku/>
        <w:overflowPunct/>
        <w:bidi w:val="0"/>
        <w:ind w:left="0" w:leftChars="0" w:right="0" w:rightChars="0"/>
        <w:jc w:val="center"/>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37322A62">
      <w:pPr>
        <w:shd w:val="clear"/>
        <w:kinsoku/>
        <w:overflowPunct/>
        <w:bidi w:val="0"/>
        <w:spacing w:line="720" w:lineRule="auto"/>
        <w:ind w:left="0" w:leftChars="0" w:right="0" w:rightChars="0"/>
        <w:jc w:val="center"/>
        <w:rPr>
          <w:rFonts w:ascii="宋体"/>
          <w:b/>
          <w:color w:val="auto"/>
          <w:sz w:val="36"/>
          <w:szCs w:val="36"/>
          <w:highlight w:val="none"/>
        </w:rPr>
      </w:pPr>
    </w:p>
    <w:p w14:paraId="25AB4E95">
      <w:pPr>
        <w:shd w:val="clear"/>
        <w:kinsoku/>
        <w:overflowPunct/>
        <w:bidi w:val="0"/>
        <w:spacing w:line="400" w:lineRule="exact"/>
        <w:ind w:left="0" w:leftChars="0" w:right="0" w:rightChars="0" w:firstLine="562" w:firstLineChars="200"/>
        <w:rPr>
          <w:b/>
          <w:color w:val="auto"/>
          <w:sz w:val="28"/>
          <w:szCs w:val="28"/>
          <w:highlight w:val="none"/>
        </w:rPr>
      </w:pPr>
    </w:p>
    <w:p w14:paraId="24392C6B">
      <w:pPr>
        <w:shd w:val="clear"/>
        <w:kinsoku/>
        <w:overflowPunct/>
        <w:bidi w:val="0"/>
        <w:spacing w:line="400" w:lineRule="exact"/>
        <w:ind w:left="0" w:leftChars="0" w:right="0" w:rightChars="0"/>
        <w:jc w:val="center"/>
        <w:rPr>
          <w:b/>
          <w:color w:val="auto"/>
          <w:sz w:val="36"/>
          <w:szCs w:val="36"/>
          <w:highlight w:val="none"/>
        </w:rPr>
      </w:pPr>
      <w:r>
        <w:rPr>
          <w:b/>
          <w:color w:val="auto"/>
          <w:sz w:val="36"/>
          <w:szCs w:val="36"/>
          <w:highlight w:val="none"/>
        </w:rPr>
        <w:br w:type="page"/>
      </w:r>
      <w:r>
        <w:rPr>
          <w:rFonts w:hint="eastAsia"/>
          <w:b/>
          <w:color w:val="auto"/>
          <w:sz w:val="36"/>
          <w:szCs w:val="36"/>
          <w:highlight w:val="none"/>
        </w:rPr>
        <w:t>目   录</w:t>
      </w:r>
    </w:p>
    <w:p w14:paraId="3BBDA5FB">
      <w:pPr>
        <w:shd w:val="clear"/>
        <w:kinsoku/>
        <w:overflowPunct/>
        <w:bidi w:val="0"/>
        <w:spacing w:line="400" w:lineRule="exact"/>
        <w:ind w:left="0" w:leftChars="0" w:right="0" w:rightChars="0" w:firstLine="4130" w:firstLineChars="935"/>
        <w:rPr>
          <w:b/>
          <w:color w:val="auto"/>
          <w:sz w:val="44"/>
          <w:szCs w:val="44"/>
          <w:highlight w:val="none"/>
        </w:rPr>
      </w:pPr>
    </w:p>
    <w:p w14:paraId="756F35BA">
      <w:pPr>
        <w:shd w:val="clear"/>
        <w:kinsoku/>
        <w:overflowPunct/>
        <w:bidi w:val="0"/>
        <w:spacing w:line="440" w:lineRule="exact"/>
        <w:ind w:left="0" w:leftChars="0" w:right="0" w:rightChars="0"/>
        <w:jc w:val="left"/>
        <w:rPr>
          <w:rFonts w:ascii="宋体"/>
          <w:color w:val="auto"/>
          <w:szCs w:val="21"/>
          <w:highlight w:val="none"/>
        </w:rPr>
      </w:pPr>
      <w:r>
        <w:rPr>
          <w:rFonts w:hint="eastAsia" w:ascii="宋体"/>
          <w:color w:val="auto"/>
          <w:szCs w:val="21"/>
          <w:highlight w:val="none"/>
        </w:rPr>
        <w:t>（1）开标一览表（格式见附件）；</w:t>
      </w:r>
    </w:p>
    <w:p w14:paraId="02319F7F">
      <w:pPr>
        <w:shd w:val="clear"/>
        <w:kinsoku/>
        <w:overflowPunct/>
        <w:bidi w:val="0"/>
        <w:spacing w:line="440" w:lineRule="exact"/>
        <w:ind w:left="0" w:leftChars="0" w:right="0" w:rightChars="0"/>
        <w:jc w:val="left"/>
        <w:rPr>
          <w:rFonts w:ascii="宋体"/>
          <w:color w:val="auto"/>
          <w:szCs w:val="21"/>
          <w:highlight w:val="none"/>
        </w:rPr>
      </w:pPr>
      <w:r>
        <w:rPr>
          <w:rFonts w:hint="eastAsia" w:ascii="宋体"/>
          <w:color w:val="auto"/>
          <w:szCs w:val="21"/>
          <w:highlight w:val="none"/>
        </w:rPr>
        <w:t>（2）投标函（格式见附件）；</w:t>
      </w:r>
    </w:p>
    <w:p w14:paraId="47E23BC6">
      <w:pPr>
        <w:shd w:val="clear"/>
        <w:kinsoku/>
        <w:overflowPunct/>
        <w:bidi w:val="0"/>
        <w:spacing w:line="440" w:lineRule="exact"/>
        <w:ind w:right="0" w:rightChars="0"/>
        <w:jc w:val="left"/>
        <w:rPr>
          <w:rFonts w:ascii="宋体"/>
          <w:color w:val="auto"/>
          <w:szCs w:val="21"/>
          <w:highlight w:val="none"/>
        </w:rPr>
      </w:pPr>
      <w:r>
        <w:rPr>
          <w:rFonts w:hint="eastAsia" w:ascii="宋体"/>
          <w:color w:val="auto"/>
          <w:szCs w:val="21"/>
          <w:highlight w:val="none"/>
        </w:rPr>
        <w:t>（3）投标人认为需要提供的其他材料。</w:t>
      </w:r>
    </w:p>
    <w:p w14:paraId="7BBBABF9">
      <w:pPr>
        <w:shd w:val="clear"/>
        <w:kinsoku/>
        <w:overflowPunct/>
        <w:bidi w:val="0"/>
        <w:ind w:left="0" w:leftChars="0" w:right="0" w:rightChars="0"/>
        <w:jc w:val="center"/>
        <w:rPr>
          <w:rFonts w:ascii="宋体"/>
          <w:b/>
          <w:color w:val="auto"/>
          <w:sz w:val="28"/>
          <w:szCs w:val="28"/>
          <w:highlight w:val="none"/>
        </w:rPr>
      </w:pPr>
    </w:p>
    <w:p w14:paraId="704EAA34">
      <w:pPr>
        <w:shd w:val="clear"/>
        <w:kinsoku/>
        <w:overflowPunct/>
        <w:bidi w:val="0"/>
        <w:snapToGrid w:val="0"/>
        <w:spacing w:line="460" w:lineRule="exact"/>
        <w:ind w:left="0" w:leftChars="0" w:right="0" w:rightChars="0" w:firstLine="964" w:firstLineChars="300"/>
        <w:rPr>
          <w:rFonts w:ascii="宋体"/>
          <w:b/>
          <w:color w:val="auto"/>
          <w:sz w:val="32"/>
          <w:szCs w:val="32"/>
          <w:highlight w:val="none"/>
        </w:rPr>
      </w:pPr>
    </w:p>
    <w:p w14:paraId="5E510441">
      <w:pPr>
        <w:shd w:val="clear"/>
        <w:kinsoku/>
        <w:overflowPunct/>
        <w:bidi w:val="0"/>
        <w:snapToGrid w:val="0"/>
        <w:spacing w:line="460" w:lineRule="exact"/>
        <w:ind w:left="0" w:leftChars="0" w:right="0" w:rightChars="0" w:firstLine="964" w:firstLineChars="300"/>
        <w:rPr>
          <w:rFonts w:ascii="宋体"/>
          <w:b/>
          <w:color w:val="auto"/>
          <w:sz w:val="32"/>
          <w:szCs w:val="32"/>
          <w:highlight w:val="none"/>
        </w:rPr>
      </w:pPr>
    </w:p>
    <w:p w14:paraId="26D594A5">
      <w:pPr>
        <w:shd w:val="clear"/>
        <w:kinsoku/>
        <w:overflowPunct/>
        <w:bidi w:val="0"/>
        <w:snapToGrid w:val="0"/>
        <w:spacing w:line="460" w:lineRule="exact"/>
        <w:ind w:left="0" w:leftChars="0" w:right="0" w:rightChars="0" w:firstLine="964" w:firstLineChars="300"/>
        <w:rPr>
          <w:rFonts w:ascii="宋体"/>
          <w:b/>
          <w:color w:val="auto"/>
          <w:sz w:val="32"/>
          <w:szCs w:val="32"/>
          <w:highlight w:val="none"/>
        </w:rPr>
      </w:pPr>
    </w:p>
    <w:p w14:paraId="7B91D013">
      <w:pPr>
        <w:shd w:val="clear"/>
        <w:kinsoku/>
        <w:overflowPunct/>
        <w:bidi w:val="0"/>
        <w:snapToGrid w:val="0"/>
        <w:spacing w:line="460" w:lineRule="exact"/>
        <w:ind w:left="0" w:leftChars="0" w:right="0" w:rightChars="0" w:firstLine="964" w:firstLineChars="300"/>
        <w:rPr>
          <w:rFonts w:ascii="宋体"/>
          <w:b/>
          <w:color w:val="auto"/>
          <w:sz w:val="32"/>
          <w:szCs w:val="32"/>
          <w:highlight w:val="none"/>
        </w:rPr>
      </w:pPr>
    </w:p>
    <w:p w14:paraId="3ACE19E7">
      <w:pPr>
        <w:shd w:val="clear"/>
        <w:kinsoku/>
        <w:overflowPunct/>
        <w:bidi w:val="0"/>
        <w:snapToGrid w:val="0"/>
        <w:spacing w:line="460" w:lineRule="exact"/>
        <w:ind w:left="0" w:leftChars="0" w:right="0" w:rightChars="0" w:firstLine="964" w:firstLineChars="300"/>
        <w:rPr>
          <w:rFonts w:ascii="宋体"/>
          <w:b/>
          <w:color w:val="auto"/>
          <w:sz w:val="32"/>
          <w:szCs w:val="32"/>
          <w:highlight w:val="none"/>
        </w:rPr>
      </w:pPr>
    </w:p>
    <w:p w14:paraId="0BD61DDA">
      <w:pPr>
        <w:shd w:val="clear"/>
        <w:kinsoku/>
        <w:overflowPunct/>
        <w:bidi w:val="0"/>
        <w:snapToGrid w:val="0"/>
        <w:spacing w:line="460" w:lineRule="exact"/>
        <w:ind w:left="0" w:leftChars="0" w:right="0" w:rightChars="0" w:firstLine="964" w:firstLineChars="300"/>
        <w:rPr>
          <w:rFonts w:ascii="宋体"/>
          <w:b/>
          <w:color w:val="auto"/>
          <w:sz w:val="32"/>
          <w:szCs w:val="32"/>
          <w:highlight w:val="none"/>
        </w:rPr>
      </w:pPr>
    </w:p>
    <w:p w14:paraId="6C3475E4">
      <w:pPr>
        <w:shd w:val="clear"/>
        <w:kinsoku/>
        <w:overflowPunct/>
        <w:bidi w:val="0"/>
        <w:spacing w:line="360" w:lineRule="exact"/>
        <w:ind w:left="0" w:leftChars="0" w:right="0" w:rightChars="0"/>
        <w:rPr>
          <w:rFonts w:ascii="宋体" w:hAnsi="宋体"/>
          <w:b/>
          <w:color w:val="auto"/>
          <w:sz w:val="30"/>
          <w:szCs w:val="30"/>
          <w:highlight w:val="none"/>
        </w:rPr>
      </w:pPr>
      <w:r>
        <w:rPr>
          <w:rFonts w:ascii="宋体" w:hAnsi="宋体"/>
          <w:b/>
          <w:color w:val="auto"/>
          <w:sz w:val="30"/>
          <w:szCs w:val="30"/>
          <w:highlight w:val="none"/>
        </w:rPr>
        <w:br w:type="page"/>
      </w:r>
      <w:r>
        <w:rPr>
          <w:rFonts w:hint="eastAsia" w:ascii="宋体" w:hAnsi="宋体"/>
          <w:b/>
          <w:color w:val="auto"/>
          <w:sz w:val="30"/>
          <w:szCs w:val="30"/>
          <w:highlight w:val="none"/>
        </w:rPr>
        <w:t>附件1</w:t>
      </w:r>
    </w:p>
    <w:p w14:paraId="32ABA013">
      <w:pPr>
        <w:shd w:val="clear"/>
        <w:kinsoku/>
        <w:overflowPunct/>
        <w:bidi w:val="0"/>
        <w:spacing w:line="360" w:lineRule="exact"/>
        <w:ind w:left="0" w:leftChars="0" w:right="0" w:rightChars="0" w:firstLine="472" w:firstLineChars="147"/>
        <w:jc w:val="center"/>
        <w:rPr>
          <w:rFonts w:ascii="宋体"/>
          <w:b/>
          <w:color w:val="auto"/>
          <w:sz w:val="32"/>
          <w:szCs w:val="32"/>
          <w:highlight w:val="none"/>
        </w:rPr>
      </w:pPr>
    </w:p>
    <w:p w14:paraId="4806CB44">
      <w:pPr>
        <w:shd w:val="clear"/>
        <w:kinsoku/>
        <w:overflowPunct/>
        <w:bidi w:val="0"/>
        <w:spacing w:line="360" w:lineRule="exact"/>
        <w:ind w:left="0" w:leftChars="0" w:right="0" w:rightChars="0" w:firstLine="531" w:firstLineChars="147"/>
        <w:jc w:val="center"/>
        <w:rPr>
          <w:rFonts w:ascii="宋体"/>
          <w:b/>
          <w:color w:val="auto"/>
          <w:sz w:val="36"/>
          <w:szCs w:val="36"/>
          <w:highlight w:val="none"/>
        </w:rPr>
      </w:pPr>
      <w:r>
        <w:rPr>
          <w:rFonts w:hint="eastAsia" w:ascii="宋体"/>
          <w:b/>
          <w:color w:val="auto"/>
          <w:sz w:val="36"/>
          <w:szCs w:val="36"/>
          <w:highlight w:val="none"/>
        </w:rPr>
        <w:t>开标一览表</w:t>
      </w:r>
    </w:p>
    <w:p w14:paraId="446D6596">
      <w:pPr>
        <w:shd w:val="clear"/>
        <w:kinsoku/>
        <w:overflowPunct/>
        <w:bidi w:val="0"/>
        <w:spacing w:line="360" w:lineRule="exact"/>
        <w:ind w:left="0" w:leftChars="0" w:right="0" w:rightChars="0" w:firstLine="354" w:firstLineChars="147"/>
        <w:rPr>
          <w:rFonts w:ascii="宋体"/>
          <w:b/>
          <w:color w:val="auto"/>
          <w:sz w:val="24"/>
          <w:highlight w:val="none"/>
        </w:rPr>
      </w:pPr>
    </w:p>
    <w:tbl>
      <w:tblPr>
        <w:tblStyle w:val="3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7654"/>
      </w:tblGrid>
      <w:tr w14:paraId="0E7F21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50" w:hRule="exact"/>
        </w:trPr>
        <w:tc>
          <w:tcPr>
            <w:tcW w:w="1803" w:type="dxa"/>
            <w:tcBorders>
              <w:top w:val="single" w:color="auto" w:sz="12" w:space="0"/>
              <w:bottom w:val="single" w:color="auto" w:sz="12" w:space="0"/>
              <w:right w:val="single" w:color="auto" w:sz="12" w:space="0"/>
            </w:tcBorders>
            <w:vAlign w:val="center"/>
          </w:tcPr>
          <w:p w14:paraId="79D24B5F">
            <w:pPr>
              <w:shd w:val="clear"/>
              <w:kinsoku/>
              <w:overflowPunct/>
              <w:bidi w:val="0"/>
              <w:spacing w:line="700" w:lineRule="exact"/>
              <w:ind w:left="0" w:leftChars="0" w:right="0" w:rightChars="0"/>
              <w:jc w:val="center"/>
              <w:rPr>
                <w:rFonts w:ascii="宋体"/>
                <w:color w:val="auto"/>
                <w:sz w:val="24"/>
                <w:highlight w:val="none"/>
              </w:rPr>
            </w:pPr>
            <w:r>
              <w:rPr>
                <w:rFonts w:hint="eastAsia" w:ascii="宋体"/>
                <w:color w:val="auto"/>
                <w:sz w:val="24"/>
                <w:highlight w:val="none"/>
              </w:rPr>
              <w:t>项目名称</w:t>
            </w:r>
          </w:p>
        </w:tc>
        <w:tc>
          <w:tcPr>
            <w:tcW w:w="7654" w:type="dxa"/>
            <w:tcBorders>
              <w:top w:val="single" w:color="auto" w:sz="12" w:space="0"/>
              <w:left w:val="single" w:color="auto" w:sz="12" w:space="0"/>
              <w:bottom w:val="single" w:color="auto" w:sz="12" w:space="0"/>
            </w:tcBorders>
            <w:vAlign w:val="center"/>
          </w:tcPr>
          <w:p w14:paraId="0063642D">
            <w:pPr>
              <w:shd w:val="clear"/>
              <w:kinsoku/>
              <w:overflowPunct/>
              <w:bidi w:val="0"/>
              <w:spacing w:line="700" w:lineRule="exact"/>
              <w:ind w:left="0" w:leftChars="0" w:right="0" w:rightChars="0"/>
              <w:jc w:val="left"/>
              <w:rPr>
                <w:color w:val="auto"/>
                <w:sz w:val="24"/>
                <w:highlight w:val="none"/>
              </w:rPr>
            </w:pPr>
            <w:r>
              <w:rPr>
                <w:rFonts w:hint="eastAsia"/>
                <w:color w:val="auto"/>
                <w:sz w:val="24"/>
                <w:highlight w:val="none"/>
              </w:rPr>
              <w:t xml:space="preserve">         </w:t>
            </w:r>
          </w:p>
        </w:tc>
      </w:tr>
      <w:tr w14:paraId="401A1E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2" w:hRule="exact"/>
        </w:trPr>
        <w:tc>
          <w:tcPr>
            <w:tcW w:w="1803" w:type="dxa"/>
            <w:tcBorders>
              <w:top w:val="single" w:color="auto" w:sz="12" w:space="0"/>
              <w:right w:val="single" w:color="auto" w:sz="12" w:space="0"/>
            </w:tcBorders>
            <w:vAlign w:val="center"/>
          </w:tcPr>
          <w:p w14:paraId="4679C99B">
            <w:pPr>
              <w:shd w:val="clear"/>
              <w:kinsoku/>
              <w:overflowPunct/>
              <w:bidi w:val="0"/>
              <w:spacing w:line="700" w:lineRule="exact"/>
              <w:ind w:left="0" w:leftChars="0" w:right="0" w:rightChars="0"/>
              <w:jc w:val="center"/>
              <w:rPr>
                <w:rFonts w:ascii="宋体"/>
                <w:color w:val="auto"/>
                <w:sz w:val="24"/>
                <w:highlight w:val="none"/>
              </w:rPr>
            </w:pPr>
            <w:r>
              <w:rPr>
                <w:rFonts w:hint="eastAsia" w:ascii="宋体"/>
                <w:color w:val="auto"/>
                <w:sz w:val="24"/>
                <w:highlight w:val="none"/>
              </w:rPr>
              <w:t>项目编号</w:t>
            </w:r>
          </w:p>
        </w:tc>
        <w:tc>
          <w:tcPr>
            <w:tcW w:w="7654" w:type="dxa"/>
            <w:tcBorders>
              <w:top w:val="single" w:color="auto" w:sz="12" w:space="0"/>
              <w:left w:val="single" w:color="auto" w:sz="12" w:space="0"/>
            </w:tcBorders>
            <w:vAlign w:val="center"/>
          </w:tcPr>
          <w:p w14:paraId="6B935D53">
            <w:pPr>
              <w:shd w:val="clear"/>
              <w:kinsoku/>
              <w:overflowPunct/>
              <w:bidi w:val="0"/>
              <w:spacing w:line="700" w:lineRule="exact"/>
              <w:ind w:left="0" w:leftChars="0" w:right="0" w:rightChars="0"/>
              <w:rPr>
                <w:rFonts w:ascii="宋体"/>
                <w:color w:val="auto"/>
                <w:sz w:val="24"/>
                <w:highlight w:val="none"/>
              </w:rPr>
            </w:pPr>
          </w:p>
        </w:tc>
      </w:tr>
      <w:tr w14:paraId="579036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8" w:hRule="exact"/>
        </w:trPr>
        <w:tc>
          <w:tcPr>
            <w:tcW w:w="1803" w:type="dxa"/>
            <w:tcBorders>
              <w:right w:val="single" w:color="auto" w:sz="12" w:space="0"/>
            </w:tcBorders>
            <w:vAlign w:val="center"/>
          </w:tcPr>
          <w:p w14:paraId="334ADC01">
            <w:pPr>
              <w:shd w:val="clear"/>
              <w:kinsoku/>
              <w:overflowPunct/>
              <w:bidi w:val="0"/>
              <w:spacing w:line="700" w:lineRule="exact"/>
              <w:ind w:left="0" w:leftChars="0" w:right="0" w:rightChars="0" w:firstLine="120" w:firstLineChars="50"/>
              <w:rPr>
                <w:rFonts w:ascii="宋体"/>
                <w:color w:val="auto"/>
                <w:sz w:val="24"/>
                <w:highlight w:val="none"/>
              </w:rPr>
            </w:pPr>
            <w:r>
              <w:rPr>
                <w:rFonts w:hint="eastAsia" w:ascii="宋体"/>
                <w:color w:val="auto"/>
                <w:sz w:val="24"/>
                <w:highlight w:val="none"/>
              </w:rPr>
              <w:t>投标人名称</w:t>
            </w:r>
          </w:p>
        </w:tc>
        <w:tc>
          <w:tcPr>
            <w:tcW w:w="7654" w:type="dxa"/>
            <w:tcBorders>
              <w:left w:val="single" w:color="auto" w:sz="12" w:space="0"/>
            </w:tcBorders>
          </w:tcPr>
          <w:p w14:paraId="52DC698D">
            <w:pPr>
              <w:pStyle w:val="19"/>
              <w:shd w:val="clear"/>
              <w:kinsoku/>
              <w:overflowPunct/>
              <w:bidi w:val="0"/>
              <w:spacing w:line="700" w:lineRule="exact"/>
              <w:ind w:left="0" w:leftChars="0" w:right="0" w:rightChars="0"/>
              <w:rPr>
                <w:rFonts w:ascii="宋体" w:eastAsia="宋体"/>
                <w:color w:val="auto"/>
                <w:sz w:val="24"/>
                <w:szCs w:val="24"/>
                <w:highlight w:val="none"/>
              </w:rPr>
            </w:pPr>
          </w:p>
        </w:tc>
      </w:tr>
      <w:tr w14:paraId="5AE175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86" w:hRule="exact"/>
        </w:trPr>
        <w:tc>
          <w:tcPr>
            <w:tcW w:w="1803" w:type="dxa"/>
            <w:tcBorders>
              <w:right w:val="single" w:color="auto" w:sz="12" w:space="0"/>
            </w:tcBorders>
            <w:vAlign w:val="center"/>
          </w:tcPr>
          <w:p w14:paraId="2D3DFAC0">
            <w:pPr>
              <w:shd w:val="clear"/>
              <w:kinsoku/>
              <w:overflowPunct/>
              <w:bidi w:val="0"/>
              <w:spacing w:line="360" w:lineRule="auto"/>
              <w:ind w:left="0" w:leftChars="0" w:right="0" w:rightChars="0"/>
              <w:jc w:val="center"/>
              <w:rPr>
                <w:rFonts w:ascii="宋体"/>
                <w:color w:val="auto"/>
                <w:sz w:val="24"/>
                <w:highlight w:val="none"/>
              </w:rPr>
            </w:pPr>
            <w:r>
              <w:rPr>
                <w:rFonts w:hint="eastAsia" w:ascii="宋体" w:hAnsi="宋体"/>
                <w:color w:val="auto"/>
                <w:sz w:val="24"/>
                <w:highlight w:val="none"/>
              </w:rPr>
              <w:t>投标报价\合同履行期限</w:t>
            </w:r>
          </w:p>
        </w:tc>
        <w:tc>
          <w:tcPr>
            <w:tcW w:w="7654" w:type="dxa"/>
            <w:tcBorders>
              <w:left w:val="single" w:color="auto" w:sz="12" w:space="0"/>
            </w:tcBorders>
            <w:vAlign w:val="center"/>
          </w:tcPr>
          <w:p w14:paraId="2C722C33">
            <w:pPr>
              <w:shd w:val="clear"/>
              <w:kinsoku/>
              <w:overflowPunct/>
              <w:bidi w:val="0"/>
              <w:spacing w:line="360" w:lineRule="auto"/>
              <w:ind w:left="0" w:leftChars="0" w:right="0" w:rightChars="0"/>
              <w:jc w:val="left"/>
              <w:rPr>
                <w:rFonts w:ascii="宋体" w:hAnsi="宋体"/>
                <w:color w:val="auto"/>
                <w:sz w:val="24"/>
                <w:szCs w:val="24"/>
                <w:highlight w:val="none"/>
              </w:rPr>
            </w:pPr>
            <w:r>
              <w:rPr>
                <w:rFonts w:hint="eastAsia" w:ascii="宋体" w:hAnsi="宋体"/>
                <w:color w:val="auto"/>
                <w:sz w:val="24"/>
                <w:highlight w:val="none"/>
              </w:rPr>
              <w:t>投标报价 ：（大写）：</w:t>
            </w:r>
            <w:r>
              <w:rPr>
                <w:rFonts w:hint="eastAsia" w:ascii="宋体" w:hAnsi="宋体"/>
                <w:color w:val="auto"/>
                <w:sz w:val="24"/>
                <w:highlight w:val="none"/>
                <w:u w:val="single"/>
              </w:rPr>
              <w:t xml:space="preserve">             </w:t>
            </w:r>
            <w:r>
              <w:rPr>
                <w:rFonts w:hint="eastAsia" w:ascii="宋体" w:hAnsi="宋体"/>
                <w:color w:val="auto"/>
                <w:sz w:val="24"/>
                <w:szCs w:val="24"/>
                <w:highlight w:val="none"/>
                <w:u w:val="single"/>
              </w:rPr>
              <w:t xml:space="preserve"> </w:t>
            </w:r>
            <w:r>
              <w:rPr>
                <w:rFonts w:hint="eastAsia" w:ascii="仿宋" w:hAnsi="仿宋" w:eastAsia="仿宋"/>
                <w:color w:val="auto"/>
                <w:sz w:val="24"/>
                <w:szCs w:val="24"/>
                <w:highlight w:val="none"/>
                <w:lang w:val="en-US" w:eastAsia="zh-CN"/>
              </w:rPr>
              <w:t>元/千伏安/年（含税）</w:t>
            </w:r>
            <w:r>
              <w:rPr>
                <w:rFonts w:hint="eastAsia" w:ascii="宋体" w:hAnsi="宋体"/>
                <w:color w:val="auto"/>
                <w:sz w:val="24"/>
                <w:szCs w:val="24"/>
                <w:highlight w:val="none"/>
              </w:rPr>
              <w:t xml:space="preserve">。  </w:t>
            </w:r>
          </w:p>
          <w:p w14:paraId="77BCA01B">
            <w:pPr>
              <w:shd w:val="clear"/>
              <w:kinsoku/>
              <w:overflowPunct/>
              <w:bidi w:val="0"/>
              <w:spacing w:line="360" w:lineRule="auto"/>
              <w:ind w:left="0" w:leftChars="0" w:right="0" w:rightChars="0"/>
              <w:jc w:val="left"/>
              <w:rPr>
                <w:rFonts w:ascii="宋体" w:hAnsi="宋体"/>
                <w:color w:val="auto"/>
                <w:sz w:val="24"/>
                <w:highlight w:val="none"/>
              </w:rPr>
            </w:pPr>
            <w:r>
              <w:rPr>
                <w:rFonts w:hint="eastAsia" w:ascii="宋体" w:hAnsi="宋体"/>
                <w:color w:val="auto"/>
                <w:sz w:val="24"/>
                <w:szCs w:val="24"/>
                <w:highlight w:val="none"/>
              </w:rPr>
              <w:t>(小写) ：</w:t>
            </w:r>
            <w:r>
              <w:rPr>
                <w:rFonts w:hint="eastAsia" w:ascii="宋体" w:hAnsi="宋体"/>
                <w:color w:val="auto"/>
                <w:sz w:val="24"/>
                <w:szCs w:val="24"/>
                <w:highlight w:val="none"/>
                <w:u w:val="single"/>
              </w:rPr>
              <w:t xml:space="preserve">                      </w:t>
            </w:r>
            <w:r>
              <w:rPr>
                <w:rFonts w:hint="eastAsia" w:ascii="仿宋" w:hAnsi="仿宋" w:eastAsia="仿宋"/>
                <w:color w:val="auto"/>
                <w:sz w:val="24"/>
                <w:szCs w:val="24"/>
                <w:highlight w:val="none"/>
                <w:lang w:val="en-US" w:eastAsia="zh-CN"/>
              </w:rPr>
              <w:t>元/千伏安/年（含税）</w:t>
            </w:r>
            <w:r>
              <w:rPr>
                <w:rFonts w:hint="eastAsia" w:ascii="宋体" w:hAnsi="宋体"/>
                <w:color w:val="auto"/>
                <w:sz w:val="24"/>
                <w:szCs w:val="24"/>
                <w:highlight w:val="none"/>
              </w:rPr>
              <w:t>。</w:t>
            </w:r>
            <w:r>
              <w:rPr>
                <w:rFonts w:hint="eastAsia" w:ascii="宋体" w:hAnsi="宋体"/>
                <w:color w:val="auto"/>
                <w:sz w:val="24"/>
                <w:highlight w:val="none"/>
              </w:rPr>
              <w:br w:type="textWrapping"/>
            </w:r>
            <w:r>
              <w:rPr>
                <w:rFonts w:hint="eastAsia" w:ascii="宋体" w:hAnsi="宋体"/>
                <w:color w:val="auto"/>
                <w:sz w:val="24"/>
                <w:highlight w:val="none"/>
              </w:rPr>
              <w:t xml:space="preserve">          </w:t>
            </w:r>
          </w:p>
          <w:p w14:paraId="1AC74723">
            <w:pPr>
              <w:shd w:val="clear"/>
              <w:kinsoku/>
              <w:overflowPunct/>
              <w:bidi w:val="0"/>
              <w:spacing w:line="360" w:lineRule="auto"/>
              <w:ind w:left="0" w:leftChars="0" w:right="0" w:rightChars="0"/>
              <w:rPr>
                <w:color w:val="auto"/>
                <w:sz w:val="24"/>
                <w:highlight w:val="none"/>
              </w:rPr>
            </w:pPr>
            <w:r>
              <w:rPr>
                <w:rFonts w:hint="eastAsia"/>
                <w:color w:val="auto"/>
                <w:sz w:val="24"/>
                <w:highlight w:val="none"/>
              </w:rPr>
              <w:t>合同履行期限：</w:t>
            </w:r>
            <w:r>
              <w:rPr>
                <w:rFonts w:hint="eastAsia"/>
                <w:color w:val="auto"/>
                <w:sz w:val="24"/>
                <w:highlight w:val="none"/>
                <w:lang w:val="en-US" w:eastAsia="zh-CN"/>
              </w:rPr>
              <w:t>服务期一年</w:t>
            </w:r>
            <w:r>
              <w:rPr>
                <w:rFonts w:hint="eastAsia"/>
                <w:color w:val="auto"/>
                <w:sz w:val="24"/>
                <w:highlight w:val="none"/>
              </w:rPr>
              <w:t xml:space="preserve">。 </w:t>
            </w:r>
          </w:p>
        </w:tc>
      </w:tr>
    </w:tbl>
    <w:p w14:paraId="3EDF1605">
      <w:pPr>
        <w:shd w:val="clear"/>
        <w:kinsoku/>
        <w:overflowPunct/>
        <w:bidi w:val="0"/>
        <w:snapToGrid w:val="0"/>
        <w:spacing w:line="460" w:lineRule="exact"/>
        <w:ind w:left="0" w:leftChars="0" w:right="0" w:rightChars="0" w:firstLine="723" w:firstLineChars="300"/>
        <w:rPr>
          <w:rFonts w:ascii="宋体"/>
          <w:b/>
          <w:color w:val="auto"/>
          <w:sz w:val="24"/>
          <w:highlight w:val="none"/>
        </w:rPr>
      </w:pPr>
    </w:p>
    <w:p w14:paraId="150ECB1F">
      <w:pPr>
        <w:shd w:val="clear"/>
        <w:kinsoku/>
        <w:overflowPunct/>
        <w:bidi w:val="0"/>
        <w:ind w:left="0" w:leftChars="0" w:right="0" w:rightChars="0"/>
        <w:rPr>
          <w:rFonts w:ascii="宋体"/>
          <w:color w:val="auto"/>
          <w:sz w:val="24"/>
          <w:highlight w:val="none"/>
        </w:rPr>
      </w:pPr>
      <w:r>
        <w:rPr>
          <w:rFonts w:hint="eastAsia" w:ascii="宋体"/>
          <w:color w:val="auto"/>
          <w:sz w:val="24"/>
          <w:highlight w:val="none"/>
        </w:rPr>
        <w:t>法定代表人（签章）：         投标人（盖单位章）：</w:t>
      </w:r>
    </w:p>
    <w:p w14:paraId="2CFC1675">
      <w:pPr>
        <w:shd w:val="clear"/>
        <w:kinsoku/>
        <w:overflowPunct/>
        <w:bidi w:val="0"/>
        <w:snapToGrid w:val="0"/>
        <w:spacing w:beforeLines="100" w:afterLines="100" w:line="360" w:lineRule="auto"/>
        <w:ind w:left="0" w:leftChars="0" w:right="0" w:rightChars="0"/>
        <w:jc w:val="center"/>
        <w:rPr>
          <w:rFonts w:cs="Arial"/>
          <w:b/>
          <w:bCs/>
          <w:color w:val="auto"/>
          <w:sz w:val="30"/>
          <w:szCs w:val="30"/>
          <w:highlight w:val="none"/>
        </w:rPr>
        <w:sectPr>
          <w:pgSz w:w="11906" w:h="16838"/>
          <w:pgMar w:top="1440" w:right="1247" w:bottom="1417" w:left="1247" w:header="851" w:footer="992" w:gutter="0"/>
          <w:pgNumType w:fmt="numberInDash"/>
          <w:cols w:space="0" w:num="1"/>
          <w:rtlGutter w:val="0"/>
          <w:docGrid w:type="lines" w:linePitch="312" w:charSpace="0"/>
        </w:sectPr>
      </w:pPr>
      <w:r>
        <w:rPr>
          <w:rFonts w:hint="eastAsia" w:asci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color w:val="auto"/>
          <w:sz w:val="24"/>
          <w:highlight w:val="none"/>
        </w:rPr>
        <w:t>年</w:t>
      </w:r>
      <w:r>
        <w:rPr>
          <w:rFonts w:hint="eastAsia" w:ascii="宋体" w:hAnsi="宋体"/>
          <w:color w:val="auto"/>
          <w:sz w:val="24"/>
          <w:highlight w:val="none"/>
          <w:u w:val="single"/>
        </w:rPr>
        <w:t xml:space="preserve">   </w:t>
      </w:r>
      <w:r>
        <w:rPr>
          <w:rFonts w:hint="eastAsia" w:ascii="宋体"/>
          <w:color w:val="auto"/>
          <w:sz w:val="24"/>
          <w:highlight w:val="none"/>
        </w:rPr>
        <w:t>月</w:t>
      </w:r>
      <w:r>
        <w:rPr>
          <w:rFonts w:hint="eastAsia" w:ascii="宋体" w:hAnsi="宋体"/>
          <w:color w:val="auto"/>
          <w:sz w:val="24"/>
          <w:highlight w:val="none"/>
          <w:u w:val="single"/>
        </w:rPr>
        <w:t xml:space="preserve">   </w:t>
      </w:r>
      <w:r>
        <w:rPr>
          <w:rFonts w:hint="eastAsia" w:ascii="宋体"/>
          <w:color w:val="auto"/>
          <w:sz w:val="24"/>
          <w:highlight w:val="none"/>
        </w:rPr>
        <w:t xml:space="preserve">日 </w:t>
      </w:r>
    </w:p>
    <w:p w14:paraId="48BDFE8E">
      <w:pPr>
        <w:shd w:val="clear"/>
        <w:kinsoku/>
        <w:overflowPunct/>
        <w:bidi w:val="0"/>
        <w:spacing w:line="360" w:lineRule="exact"/>
        <w:ind w:left="0" w:leftChars="0" w:right="0" w:rightChars="0" w:firstLine="443" w:firstLineChars="147"/>
        <w:rPr>
          <w:rFonts w:ascii="宋体" w:hAnsi="宋体"/>
          <w:b/>
          <w:color w:val="auto"/>
          <w:sz w:val="30"/>
          <w:szCs w:val="30"/>
          <w:highlight w:val="none"/>
        </w:rPr>
      </w:pPr>
      <w:r>
        <w:rPr>
          <w:rFonts w:hint="eastAsia" w:ascii="宋体" w:hAnsi="宋体"/>
          <w:b/>
          <w:color w:val="auto"/>
          <w:sz w:val="30"/>
          <w:szCs w:val="30"/>
          <w:highlight w:val="none"/>
        </w:rPr>
        <w:t>附件2</w:t>
      </w:r>
    </w:p>
    <w:p w14:paraId="1CD6A3FA">
      <w:pPr>
        <w:shd w:val="clear"/>
        <w:kinsoku/>
        <w:overflowPunct/>
        <w:bidi w:val="0"/>
        <w:spacing w:line="360" w:lineRule="exact"/>
        <w:ind w:left="0" w:leftChars="0" w:right="0" w:rightChars="0" w:firstLine="531" w:firstLineChars="147"/>
        <w:jc w:val="center"/>
        <w:rPr>
          <w:rFonts w:ascii="宋体"/>
          <w:b/>
          <w:color w:val="auto"/>
          <w:sz w:val="36"/>
          <w:szCs w:val="36"/>
          <w:highlight w:val="none"/>
        </w:rPr>
      </w:pPr>
      <w:r>
        <w:rPr>
          <w:rFonts w:hint="eastAsia" w:ascii="宋体"/>
          <w:b/>
          <w:color w:val="auto"/>
          <w:sz w:val="36"/>
          <w:szCs w:val="36"/>
          <w:highlight w:val="none"/>
        </w:rPr>
        <w:t>投  标  函</w:t>
      </w:r>
    </w:p>
    <w:p w14:paraId="7C80AD6C">
      <w:pPr>
        <w:shd w:val="clear"/>
        <w:kinsoku/>
        <w:overflowPunct/>
        <w:bidi w:val="0"/>
        <w:spacing w:line="440" w:lineRule="exact"/>
        <w:ind w:left="0" w:leftChars="0" w:right="0" w:rightChars="0"/>
        <w:rPr>
          <w:rFonts w:ascii="宋体"/>
          <w:color w:val="auto"/>
          <w:sz w:val="24"/>
          <w:highlight w:val="none"/>
        </w:rPr>
      </w:pPr>
    </w:p>
    <w:p w14:paraId="5ECB6D4B">
      <w:pPr>
        <w:shd w:val="clear"/>
        <w:kinsoku/>
        <w:overflowPunct/>
        <w:bidi w:val="0"/>
        <w:spacing w:line="500" w:lineRule="exact"/>
        <w:ind w:left="0" w:leftChars="0" w:right="0" w:rightChars="0"/>
        <w:jc w:val="lef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(招标人)       </w:t>
      </w:r>
      <w:r>
        <w:rPr>
          <w:rFonts w:hint="eastAsia" w:ascii="宋体" w:hAnsi="宋体" w:cs="宋体"/>
          <w:color w:val="auto"/>
          <w:sz w:val="24"/>
          <w:highlight w:val="none"/>
        </w:rPr>
        <w:t xml:space="preserve"> </w:t>
      </w:r>
    </w:p>
    <w:p w14:paraId="11BE0C6D">
      <w:pPr>
        <w:shd w:val="clear"/>
        <w:kinsoku/>
        <w:overflowPunct/>
        <w:bidi w:val="0"/>
        <w:spacing w:line="500" w:lineRule="exact"/>
        <w:ind w:left="0" w:leftChars="0" w:right="0" w:rightChars="0" w:firstLine="480" w:firstLineChars="200"/>
        <w:jc w:val="left"/>
        <w:rPr>
          <w:rFonts w:ascii="宋体" w:hAnsi="宋体" w:cs="宋体"/>
          <w:color w:val="auto"/>
          <w:sz w:val="24"/>
          <w:highlight w:val="none"/>
        </w:rPr>
      </w:pPr>
      <w:r>
        <w:rPr>
          <w:rFonts w:hint="eastAsia" w:ascii="宋体" w:hAnsi="宋体" w:cs="宋体"/>
          <w:color w:val="auto"/>
          <w:sz w:val="24"/>
          <w:highlight w:val="none"/>
        </w:rPr>
        <w:t>1、我们决定参加贵单位组织的“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）”的采购。我方授权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(姓名和职务)代表我方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（投标人的名称）全权处理本项目投标的有关事宜。</w:t>
      </w:r>
    </w:p>
    <w:p w14:paraId="2773578A">
      <w:pPr>
        <w:shd w:val="clear"/>
        <w:kinsoku/>
        <w:overflowPunct/>
        <w:bidi w:val="0"/>
        <w:spacing w:line="500" w:lineRule="exact"/>
        <w:ind w:left="0" w:leftChars="0" w:right="0" w:rightChars="0" w:firstLine="480" w:firstLineChars="200"/>
        <w:jc w:val="left"/>
        <w:rPr>
          <w:rFonts w:ascii="宋体" w:hAnsi="宋体" w:cs="宋体"/>
          <w:color w:val="auto"/>
          <w:sz w:val="24"/>
          <w:highlight w:val="none"/>
        </w:rPr>
      </w:pPr>
      <w:r>
        <w:rPr>
          <w:rFonts w:hint="eastAsia" w:ascii="宋体" w:hAnsi="宋体" w:cs="宋体"/>
          <w:color w:val="auto"/>
          <w:sz w:val="24"/>
          <w:highlight w:val="none"/>
        </w:rPr>
        <w:t>2、我方愿意按照招标文件规定的各项要求，向招标人提供“</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（项目编号）”项目的服务，投标报价为</w:t>
      </w:r>
      <w:r>
        <w:rPr>
          <w:rFonts w:hint="eastAsia" w:ascii="宋体" w:hAnsi="宋体" w:cs="宋体"/>
          <w:color w:val="auto"/>
          <w:sz w:val="24"/>
          <w:highlight w:val="none"/>
          <w:u w:val="single"/>
        </w:rPr>
        <w:t>（大写）</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元/千伏安/年（含税）；</w:t>
      </w:r>
      <w:r>
        <w:rPr>
          <w:rFonts w:hint="eastAsia" w:ascii="宋体" w:hAnsi="宋体" w:cs="宋体"/>
          <w:color w:val="auto"/>
          <w:sz w:val="24"/>
          <w:highlight w:val="none"/>
          <w:u w:val="single"/>
        </w:rPr>
        <w:t xml:space="preserve"> （小写）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元/千伏安/年（含税）</w:t>
      </w:r>
      <w:r>
        <w:rPr>
          <w:rFonts w:hint="eastAsia" w:ascii="宋体" w:hAnsi="宋体" w:cs="宋体"/>
          <w:color w:val="auto"/>
          <w:sz w:val="24"/>
          <w:highlight w:val="none"/>
        </w:rPr>
        <w:t>。</w:t>
      </w:r>
    </w:p>
    <w:p w14:paraId="1885BFC9">
      <w:pPr>
        <w:shd w:val="clear"/>
        <w:kinsoku/>
        <w:overflowPunct/>
        <w:bidi w:val="0"/>
        <w:spacing w:line="500" w:lineRule="exact"/>
        <w:ind w:left="0" w:leftChars="0" w:right="0" w:rightChars="0" w:firstLine="480" w:firstLineChars="200"/>
        <w:jc w:val="left"/>
        <w:rPr>
          <w:rFonts w:ascii="宋体" w:hAnsi="宋体" w:cs="宋体"/>
          <w:color w:val="auto"/>
          <w:sz w:val="24"/>
          <w:highlight w:val="none"/>
        </w:rPr>
      </w:pPr>
      <w:r>
        <w:rPr>
          <w:rFonts w:hint="eastAsia" w:ascii="宋体" w:hAnsi="宋体" w:cs="宋体"/>
          <w:color w:val="auto"/>
          <w:sz w:val="24"/>
          <w:highlight w:val="none"/>
        </w:rPr>
        <w:t>3、一旦我方成为合同签字人，我方将严格履行合同规定的责任和义务。</w:t>
      </w:r>
    </w:p>
    <w:p w14:paraId="20D0D60A">
      <w:pPr>
        <w:shd w:val="clear"/>
        <w:kinsoku/>
        <w:overflowPunct/>
        <w:bidi w:val="0"/>
        <w:spacing w:line="500" w:lineRule="exact"/>
        <w:ind w:left="0" w:leftChars="0" w:right="0" w:rightChars="0" w:firstLine="480" w:firstLineChars="200"/>
        <w:jc w:val="left"/>
        <w:rPr>
          <w:rFonts w:ascii="宋体" w:hAnsi="宋体" w:cs="宋体"/>
          <w:color w:val="auto"/>
          <w:sz w:val="24"/>
          <w:highlight w:val="none"/>
        </w:rPr>
      </w:pPr>
      <w:r>
        <w:rPr>
          <w:rFonts w:hint="eastAsia" w:ascii="宋体" w:hAnsi="宋体" w:cs="宋体"/>
          <w:color w:val="auto"/>
          <w:sz w:val="24"/>
          <w:highlight w:val="none"/>
        </w:rPr>
        <w:t>4、若我方中标，愿意为本项目提交的纸质投标文件一式三份，其中正本一份、副本二份。</w:t>
      </w:r>
    </w:p>
    <w:p w14:paraId="024E7348">
      <w:pPr>
        <w:shd w:val="clear"/>
        <w:kinsoku/>
        <w:overflowPunct/>
        <w:bidi w:val="0"/>
        <w:spacing w:line="500" w:lineRule="exact"/>
        <w:ind w:left="0" w:leftChars="0" w:right="0" w:rightChars="0" w:firstLine="480" w:firstLineChars="200"/>
        <w:jc w:val="left"/>
        <w:rPr>
          <w:rFonts w:ascii="宋体" w:hAnsi="宋体" w:cs="宋体"/>
          <w:color w:val="auto"/>
          <w:sz w:val="24"/>
          <w:highlight w:val="none"/>
        </w:rPr>
      </w:pPr>
      <w:r>
        <w:rPr>
          <w:rFonts w:hint="eastAsia" w:ascii="宋体" w:hAnsi="宋体" w:cs="宋体"/>
          <w:color w:val="auto"/>
          <w:sz w:val="24"/>
          <w:highlight w:val="none"/>
        </w:rPr>
        <w:t>5、我方愿意提供可能另外要求的、与采购投标有关的文件资料，并保证我方已提供和将要提供的文件是真实的、准确的。</w:t>
      </w:r>
    </w:p>
    <w:p w14:paraId="3E1AA4C1">
      <w:pPr>
        <w:pStyle w:val="34"/>
        <w:shd w:val="clear"/>
        <w:kinsoku/>
        <w:overflowPunct/>
        <w:bidi w:val="0"/>
        <w:spacing w:after="0" w:line="500" w:lineRule="exact"/>
        <w:ind w:left="0" w:leftChars="0" w:right="0" w:rightChars="0" w:firstLine="480"/>
        <w:jc w:val="left"/>
        <w:rPr>
          <w:rFonts w:ascii="宋体" w:hAnsi="宋体" w:cs="宋体"/>
          <w:color w:val="auto"/>
          <w:sz w:val="24"/>
          <w:highlight w:val="none"/>
        </w:rPr>
      </w:pPr>
      <w:r>
        <w:rPr>
          <w:rFonts w:hint="eastAsia" w:ascii="宋体" w:hAnsi="宋体" w:cs="宋体"/>
          <w:color w:val="auto"/>
          <w:sz w:val="24"/>
          <w:highlight w:val="none"/>
        </w:rPr>
        <w:t>6、投标有效期为</w:t>
      </w:r>
      <w:r>
        <w:rPr>
          <w:rFonts w:hint="eastAsia" w:ascii="宋体" w:hAnsi="宋体" w:cs="宋体"/>
          <w:color w:val="auto"/>
          <w:sz w:val="24"/>
          <w:highlight w:val="none"/>
          <w:u w:val="single"/>
        </w:rPr>
        <w:t xml:space="preserve"> 90  </w:t>
      </w:r>
      <w:r>
        <w:rPr>
          <w:rFonts w:hint="eastAsia" w:ascii="宋体" w:hAnsi="宋体" w:cs="宋体"/>
          <w:color w:val="auto"/>
          <w:sz w:val="24"/>
          <w:highlight w:val="none"/>
        </w:rPr>
        <w:t>日历天（从投标截止之日算起）。</w:t>
      </w:r>
    </w:p>
    <w:p w14:paraId="586D5837">
      <w:pPr>
        <w:shd w:val="clear"/>
        <w:kinsoku/>
        <w:overflowPunct/>
        <w:bidi w:val="0"/>
        <w:spacing w:line="500" w:lineRule="exact"/>
        <w:ind w:left="0" w:leftChars="0" w:right="0" w:rightChars="0"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7、我单位提供如下通讯地址：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电子邮箱（地址），确认本项目相关法律文书均通过提供的以上地址送达，相关文书只要发送至以上电子邮箱（地址）即视为送达，投标人愿意承担一切法律后果。</w:t>
      </w:r>
    </w:p>
    <w:p w14:paraId="21452CF9">
      <w:pPr>
        <w:shd w:val="clear"/>
        <w:kinsoku/>
        <w:overflowPunct/>
        <w:bidi w:val="0"/>
        <w:spacing w:line="500" w:lineRule="exact"/>
        <w:ind w:left="0" w:leftChars="0" w:right="0" w:rightChars="0"/>
        <w:jc w:val="left"/>
        <w:rPr>
          <w:rFonts w:ascii="宋体" w:hAnsi="宋体" w:cs="宋体"/>
          <w:color w:val="auto"/>
          <w:sz w:val="24"/>
          <w:highlight w:val="none"/>
        </w:rPr>
      </w:pPr>
      <w:r>
        <w:rPr>
          <w:rFonts w:hint="eastAsia" w:ascii="宋体" w:hAnsi="宋体" w:cs="宋体"/>
          <w:color w:val="auto"/>
          <w:sz w:val="24"/>
          <w:highlight w:val="none"/>
        </w:rPr>
        <w:t> </w:t>
      </w:r>
    </w:p>
    <w:p w14:paraId="338009D4">
      <w:pPr>
        <w:shd w:val="clear"/>
        <w:kinsoku/>
        <w:overflowPunct/>
        <w:bidi w:val="0"/>
        <w:spacing w:line="500" w:lineRule="exact"/>
        <w:ind w:left="0" w:leftChars="0" w:right="0" w:rightChars="0"/>
        <w:jc w:val="left"/>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6A5468C4">
      <w:pPr>
        <w:shd w:val="clear"/>
        <w:kinsoku/>
        <w:overflowPunct/>
        <w:bidi w:val="0"/>
        <w:spacing w:line="500" w:lineRule="exact"/>
        <w:ind w:left="0" w:leftChars="0" w:right="0" w:rightChars="0"/>
        <w:jc w:val="left"/>
        <w:rPr>
          <w:rFonts w:ascii="宋体" w:hAnsi="宋体" w:cs="宋体"/>
          <w:color w:val="auto"/>
          <w:sz w:val="24"/>
          <w:highlight w:val="none"/>
        </w:rPr>
      </w:pPr>
      <w:r>
        <w:rPr>
          <w:rFonts w:hint="eastAsia" w:ascii="宋体" w:hAnsi="宋体" w:cs="宋体"/>
          <w:color w:val="auto"/>
          <w:sz w:val="24"/>
          <w:highlight w:val="none"/>
        </w:rPr>
        <w:t>投标人法定代表人：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14:paraId="2F5BB195">
      <w:pPr>
        <w:shd w:val="clear"/>
        <w:kinsoku/>
        <w:overflowPunct/>
        <w:bidi w:val="0"/>
        <w:spacing w:line="500" w:lineRule="exact"/>
        <w:ind w:left="0" w:leftChars="0" w:right="0" w:rightChars="0" w:firstLine="3360" w:firstLineChars="1400"/>
        <w:jc w:val="left"/>
        <w:rPr>
          <w:rFonts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13D8B150">
      <w:pPr>
        <w:shd w:val="clear"/>
        <w:kinsoku/>
        <w:overflowPunct/>
        <w:bidi w:val="0"/>
        <w:spacing w:line="500" w:lineRule="exact"/>
        <w:ind w:left="0" w:leftChars="0" w:right="0" w:rightChars="0" w:firstLine="3360" w:firstLineChars="1400"/>
        <w:jc w:val="left"/>
        <w:rPr>
          <w:rFonts w:ascii="宋体" w:hAnsi="宋体" w:cs="宋体"/>
          <w:color w:val="auto"/>
          <w:sz w:val="24"/>
          <w:highlight w:val="none"/>
        </w:rPr>
      </w:pPr>
      <w:r>
        <w:rPr>
          <w:rFonts w:hint="eastAsia" w:ascii="宋体" w:hAnsi="宋体" w:cs="宋体"/>
          <w:color w:val="auto"/>
          <w:sz w:val="24"/>
          <w:highlight w:val="none"/>
        </w:rPr>
        <w:t>通讯地址：</w:t>
      </w:r>
      <w:r>
        <w:rPr>
          <w:rFonts w:hint="eastAsia" w:ascii="宋体" w:hAnsi="宋体" w:cs="宋体"/>
          <w:color w:val="auto"/>
          <w:sz w:val="24"/>
          <w:highlight w:val="none"/>
          <w:u w:val="single"/>
        </w:rPr>
        <w:t xml:space="preserve">                 </w:t>
      </w:r>
    </w:p>
    <w:p w14:paraId="25BCA962">
      <w:pPr>
        <w:shd w:val="clear"/>
        <w:kinsoku/>
        <w:overflowPunct/>
        <w:bidi w:val="0"/>
        <w:spacing w:line="500" w:lineRule="exact"/>
        <w:ind w:left="0" w:leftChars="0" w:right="0" w:rightChars="0" w:firstLine="3240" w:firstLineChars="1350"/>
        <w:jc w:val="left"/>
        <w:rPr>
          <w:rFonts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s="宋体"/>
          <w:color w:val="auto"/>
          <w:sz w:val="24"/>
          <w:highlight w:val="none"/>
          <w:u w:val="single"/>
        </w:rPr>
        <w:t xml:space="preserve">                 </w:t>
      </w:r>
    </w:p>
    <w:p w14:paraId="49E37CF2">
      <w:pPr>
        <w:shd w:val="clear"/>
        <w:kinsoku/>
        <w:overflowPunct/>
        <w:bidi w:val="0"/>
        <w:spacing w:line="500" w:lineRule="exact"/>
        <w:ind w:left="0" w:leftChars="0" w:right="0" w:rightChars="0" w:firstLine="3240" w:firstLineChars="1350"/>
        <w:jc w:val="left"/>
        <w:rPr>
          <w:rFonts w:ascii="宋体"/>
          <w:b/>
          <w:color w:val="auto"/>
          <w:sz w:val="28"/>
          <w:szCs w:val="28"/>
          <w:highlight w:val="none"/>
        </w:rPr>
      </w:pPr>
      <w:r>
        <w:rPr>
          <w:rFonts w:hint="eastAsia" w:ascii="宋体" w:hAnsi="宋体" w:cs="宋体"/>
          <w:color w:val="auto"/>
          <w:sz w:val="24"/>
          <w:highlight w:val="none"/>
        </w:rPr>
        <w:t>传    真：</w:t>
      </w:r>
      <w:r>
        <w:rPr>
          <w:rFonts w:hint="eastAsia" w:ascii="宋体" w:hAnsi="宋体" w:cs="宋体"/>
          <w:color w:val="auto"/>
          <w:sz w:val="24"/>
          <w:highlight w:val="none"/>
          <w:u w:val="single"/>
        </w:rPr>
        <w:t xml:space="preserve">  </w:t>
      </w:r>
      <w:r>
        <w:rPr>
          <w:rFonts w:hint="eastAsia" w:ascii="宋体"/>
          <w:color w:val="auto"/>
          <w:sz w:val="24"/>
          <w:highlight w:val="none"/>
          <w:u w:val="single"/>
        </w:rPr>
        <w:t xml:space="preserve">               </w:t>
      </w:r>
    </w:p>
    <w:p w14:paraId="744AB99F">
      <w:pPr>
        <w:shd w:val="clear"/>
        <w:kinsoku/>
        <w:overflowPunct/>
        <w:bidi w:val="0"/>
        <w:ind w:left="0" w:leftChars="0" w:right="0" w:rightChars="0"/>
        <w:rPr>
          <w:rFonts w:ascii="宋体" w:hAnsi="宋体"/>
          <w:b/>
          <w:color w:val="auto"/>
          <w:sz w:val="30"/>
          <w:szCs w:val="30"/>
          <w:highlight w:val="none"/>
        </w:rPr>
      </w:pPr>
    </w:p>
    <w:p w14:paraId="3DDF22A4">
      <w:pPr>
        <w:shd w:val="clear"/>
        <w:kinsoku/>
        <w:overflowPunct/>
        <w:bidi w:val="0"/>
        <w:ind w:left="0" w:leftChars="0" w:right="0" w:rightChars="0"/>
        <w:jc w:val="center"/>
        <w:rPr>
          <w:rFonts w:hint="default" w:ascii="宋体" w:hAnsi="宋体" w:eastAsia="宋体"/>
          <w:b/>
          <w:color w:val="auto"/>
          <w:sz w:val="30"/>
          <w:szCs w:val="30"/>
          <w:highlight w:val="none"/>
          <w:lang w:val="en-US" w:eastAsia="zh-CN"/>
        </w:rPr>
      </w:pPr>
      <w:r>
        <w:rPr>
          <w:rFonts w:hint="eastAsia" w:ascii="宋体" w:hAnsi="宋体"/>
          <w:b/>
          <w:color w:val="auto"/>
          <w:sz w:val="30"/>
          <w:szCs w:val="30"/>
          <w:highlight w:val="none"/>
          <w:lang w:val="en-US" w:eastAsia="zh-CN"/>
        </w:rPr>
        <w:t>系统生成报价与本投标函不一致的，以本投标函报价为准。</w:t>
      </w:r>
    </w:p>
    <w:p w14:paraId="5C0F6C63">
      <w:pPr>
        <w:shd w:val="clear"/>
        <w:kinsoku/>
        <w:overflowPunct/>
        <w:bidi w:val="0"/>
        <w:spacing w:line="380" w:lineRule="exact"/>
        <w:ind w:left="0" w:leftChars="0" w:right="0" w:rightChars="0"/>
        <w:rPr>
          <w:rFonts w:hint="eastAsia" w:ascii="宋体" w:hAnsi="宋体"/>
          <w:b/>
          <w:color w:val="auto"/>
          <w:sz w:val="30"/>
          <w:szCs w:val="30"/>
          <w:highlight w:val="none"/>
          <w:lang w:val="en-US"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3</w:t>
      </w:r>
    </w:p>
    <w:p w14:paraId="72DADAFB">
      <w:pPr>
        <w:shd w:val="clear"/>
        <w:kinsoku/>
        <w:overflowPunct/>
        <w:bidi w:val="0"/>
        <w:spacing w:line="380" w:lineRule="exact"/>
        <w:ind w:left="0" w:leftChars="0" w:right="0" w:rightChars="0"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投标人认为需要提供的其他材料（如有）。</w:t>
      </w:r>
    </w:p>
    <w:p w14:paraId="67FDF55E">
      <w:pPr>
        <w:shd w:val="clear"/>
        <w:kinsoku/>
        <w:overflowPunct/>
        <w:bidi w:val="0"/>
        <w:spacing w:line="380" w:lineRule="exact"/>
        <w:ind w:left="0" w:leftChars="0" w:right="0" w:rightChars="0" w:firstLine="568" w:firstLineChars="202"/>
        <w:rPr>
          <w:rFonts w:hint="eastAsia" w:ascii="宋体" w:hAnsi="宋体" w:eastAsia="宋体" w:cs="宋体"/>
          <w:b/>
          <w:bCs/>
          <w:color w:val="auto"/>
          <w:sz w:val="28"/>
          <w:szCs w:val="28"/>
          <w:highlight w:val="none"/>
          <w:lang w:eastAsia="zh-CN"/>
        </w:rPr>
      </w:pPr>
    </w:p>
    <w:p w14:paraId="46BA0D75">
      <w:pPr>
        <w:shd w:val="clear"/>
        <w:kinsoku/>
        <w:overflowPunct/>
        <w:bidi w:val="0"/>
        <w:ind w:left="0" w:leftChars="0" w:right="0" w:rightChars="0"/>
        <w:outlineLvl w:val="0"/>
        <w:rPr>
          <w:rFonts w:ascii="宋体" w:hAnsi="宋体" w:cs="宋体"/>
          <w:color w:val="auto"/>
          <w:sz w:val="28"/>
          <w:szCs w:val="28"/>
          <w:highlight w:val="none"/>
        </w:rPr>
      </w:pPr>
      <w:r>
        <w:rPr>
          <w:rFonts w:hint="eastAsia"/>
          <w:color w:val="auto"/>
          <w:highlight w:val="none"/>
        </w:rPr>
        <w:br w:type="page"/>
      </w:r>
      <w:bookmarkStart w:id="181" w:name="_Toc11016"/>
      <w:r>
        <w:rPr>
          <w:rFonts w:hint="eastAsia" w:ascii="宋体" w:hAnsi="宋体" w:cs="宋体"/>
          <w:b/>
          <w:color w:val="auto"/>
          <w:sz w:val="28"/>
          <w:szCs w:val="28"/>
          <w:highlight w:val="none"/>
        </w:rPr>
        <w:t>附件1</w:t>
      </w:r>
      <w:bookmarkEnd w:id="181"/>
    </w:p>
    <w:p w14:paraId="582CD185">
      <w:pPr>
        <w:shd w:val="clear"/>
        <w:kinsoku/>
        <w:overflowPunct/>
        <w:bidi w:val="0"/>
        <w:spacing w:line="440" w:lineRule="exact"/>
        <w:ind w:left="0" w:leftChars="0" w:right="0" w:rightChars="0"/>
        <w:jc w:val="center"/>
        <w:rPr>
          <w:rFonts w:ascii="宋体" w:hAnsi="宋体" w:cs="宋体"/>
          <w:b/>
          <w:color w:val="auto"/>
          <w:sz w:val="30"/>
          <w:szCs w:val="30"/>
          <w:highlight w:val="none"/>
        </w:rPr>
      </w:pPr>
      <w:r>
        <w:rPr>
          <w:rFonts w:hint="eastAsia" w:ascii="宋体" w:hAnsi="宋体" w:cs="宋体"/>
          <w:b/>
          <w:color w:val="auto"/>
          <w:sz w:val="30"/>
          <w:szCs w:val="30"/>
          <w:highlight w:val="none"/>
        </w:rPr>
        <w:t>关于联合惩戒失信行为 加强信用查询管理的通知</w:t>
      </w:r>
    </w:p>
    <w:p w14:paraId="5BA39DCC">
      <w:pPr>
        <w:shd w:val="clear"/>
        <w:kinsoku/>
        <w:overflowPunct/>
        <w:bidi w:val="0"/>
        <w:spacing w:line="480" w:lineRule="exact"/>
        <w:ind w:left="0" w:leftChars="0" w:right="0" w:rightChars="0" w:firstLine="482" w:firstLineChars="200"/>
        <w:rPr>
          <w:rFonts w:ascii="宋体" w:hAnsi="宋体" w:cs="宋体"/>
          <w:b/>
          <w:color w:val="auto"/>
          <w:sz w:val="24"/>
          <w:highlight w:val="none"/>
        </w:rPr>
      </w:pPr>
      <w:r>
        <w:rPr>
          <w:rFonts w:hint="eastAsia" w:ascii="宋体" w:hAnsi="宋体" w:cs="宋体"/>
          <w:b/>
          <w:color w:val="auto"/>
          <w:sz w:val="24"/>
          <w:highlight w:val="none"/>
        </w:rPr>
        <w:t>一、失信行为联合惩戒的范围和查询渠道</w:t>
      </w:r>
    </w:p>
    <w:p w14:paraId="3F528F47">
      <w:pPr>
        <w:widowControl/>
        <w:shd w:val="clear"/>
        <w:kinsoku/>
        <w:overflowPunct/>
        <w:autoSpaceDE w:val="0"/>
        <w:bidi w:val="0"/>
        <w:spacing w:line="480" w:lineRule="exact"/>
        <w:ind w:left="0" w:leftChars="0" w:right="0" w:rightChars="0"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rPr>
        <w:t>在我市公共资源交易活动中对存在下列失信行为的投标人、法定代表人及其项目经理（建造师）实施联合惩戒，禁止参与我市公共资源交易活动。</w:t>
      </w:r>
    </w:p>
    <w:p w14:paraId="23BAF753">
      <w:pPr>
        <w:widowControl/>
        <w:shd w:val="clear"/>
        <w:kinsoku/>
        <w:overflowPunct/>
        <w:autoSpaceDE w:val="0"/>
        <w:bidi w:val="0"/>
        <w:spacing w:line="480" w:lineRule="exact"/>
        <w:ind w:left="0" w:leftChars="0" w:right="0" w:rightChars="0"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rPr>
        <w:t>（一）工程建设项目</w:t>
      </w:r>
    </w:p>
    <w:p w14:paraId="437018C9">
      <w:pPr>
        <w:widowControl/>
        <w:shd w:val="clear"/>
        <w:kinsoku/>
        <w:overflowPunct/>
        <w:autoSpaceDE w:val="0"/>
        <w:bidi w:val="0"/>
        <w:spacing w:line="480" w:lineRule="exact"/>
        <w:ind w:left="0" w:leftChars="0" w:right="0" w:rightChars="0"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1、“信用中国”网站（www.creditchina.gov.cn）查询投标人、法定代表人及其项目经理(建造师)以下失信行为：</w:t>
      </w:r>
    </w:p>
    <w:p w14:paraId="7AF91C1D">
      <w:pPr>
        <w:widowControl/>
        <w:shd w:val="clear"/>
        <w:kinsoku/>
        <w:overflowPunct/>
        <w:autoSpaceDE w:val="0"/>
        <w:bidi w:val="0"/>
        <w:spacing w:line="480" w:lineRule="exact"/>
        <w:ind w:left="0" w:leftChars="0" w:right="0" w:rightChars="0"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①被列入“失信被执行人”的;</w:t>
      </w:r>
    </w:p>
    <w:p w14:paraId="3489D1A5">
      <w:pPr>
        <w:widowControl/>
        <w:shd w:val="clear"/>
        <w:kinsoku/>
        <w:overflowPunct/>
        <w:autoSpaceDE w:val="0"/>
        <w:bidi w:val="0"/>
        <w:spacing w:line="480" w:lineRule="exact"/>
        <w:ind w:left="0" w:leftChars="0" w:right="0" w:rightChars="0"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②被列入“重大税收违法失信主体”的；</w:t>
      </w:r>
    </w:p>
    <w:p w14:paraId="24579873">
      <w:pPr>
        <w:widowControl/>
        <w:shd w:val="clear"/>
        <w:kinsoku/>
        <w:overflowPunct/>
        <w:autoSpaceDE w:val="0"/>
        <w:bidi w:val="0"/>
        <w:spacing w:line="480" w:lineRule="exact"/>
        <w:ind w:left="0" w:leftChars="0" w:right="0" w:rightChars="0"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③被列入“拖欠农民工工资失信联合惩戒对象名单”的；</w:t>
      </w:r>
    </w:p>
    <w:p w14:paraId="2FEA95DD">
      <w:pPr>
        <w:widowControl/>
        <w:shd w:val="clear"/>
        <w:kinsoku/>
        <w:overflowPunct/>
        <w:autoSpaceDE w:val="0"/>
        <w:bidi w:val="0"/>
        <w:spacing w:line="480" w:lineRule="exact"/>
        <w:ind w:left="0" w:leftChars="0" w:right="0" w:rightChars="0"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④被列入 “严重失信主体名单”的；</w:t>
      </w:r>
    </w:p>
    <w:p w14:paraId="09E0414F">
      <w:pPr>
        <w:widowControl/>
        <w:shd w:val="clear"/>
        <w:kinsoku/>
        <w:overflowPunct/>
        <w:autoSpaceDE w:val="0"/>
        <w:bidi w:val="0"/>
        <w:spacing w:line="480" w:lineRule="exact"/>
        <w:ind w:left="0" w:leftChars="0" w:right="0" w:rightChars="0"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⑤在“信用中国”网站上披露的仍在公示期的严重失信行为(具体行为类别及判定依据见附件2)的。</w:t>
      </w:r>
    </w:p>
    <w:p w14:paraId="197E08C1">
      <w:pPr>
        <w:widowControl/>
        <w:shd w:val="clear"/>
        <w:kinsoku/>
        <w:overflowPunct/>
        <w:autoSpaceDE w:val="0"/>
        <w:bidi w:val="0"/>
        <w:spacing w:line="480" w:lineRule="exact"/>
        <w:ind w:left="0" w:leftChars="0" w:right="0" w:rightChars="0"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2、国家企业信用信息公示系统网站（www.gsxt.gov.cn）查询投标人以下失信行为：</w:t>
      </w:r>
    </w:p>
    <w:p w14:paraId="605A074C">
      <w:pPr>
        <w:widowControl/>
        <w:shd w:val="clear"/>
        <w:kinsoku/>
        <w:overflowPunct/>
        <w:autoSpaceDE w:val="0"/>
        <w:bidi w:val="0"/>
        <w:spacing w:line="480" w:lineRule="exact"/>
        <w:ind w:left="0" w:leftChars="0" w:right="0" w:rightChars="0"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①被列入“经营异常名录”或者“严重违法失信名单”的。</w:t>
      </w:r>
    </w:p>
    <w:p w14:paraId="747CA439">
      <w:pPr>
        <w:widowControl/>
        <w:shd w:val="clear"/>
        <w:kinsoku/>
        <w:overflowPunct/>
        <w:autoSpaceDE w:val="0"/>
        <w:bidi w:val="0"/>
        <w:spacing w:line="480" w:lineRule="exact"/>
        <w:ind w:left="0" w:leftChars="0" w:right="0" w:rightChars="0"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3、由投标人、法定代表人及其项目经理(建造师)进行承诺，不进行现场网上信用查询的失信行为：</w:t>
      </w:r>
    </w:p>
    <w:p w14:paraId="36E57CDA">
      <w:pPr>
        <w:widowControl/>
        <w:shd w:val="clear"/>
        <w:kinsoku/>
        <w:overflowPunct/>
        <w:autoSpaceDE w:val="0"/>
        <w:bidi w:val="0"/>
        <w:spacing w:line="480" w:lineRule="exact"/>
        <w:ind w:left="0" w:leftChars="0" w:right="0" w:rightChars="0"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①前三年有行贿犯罪行为的单位和个人；</w:t>
      </w:r>
    </w:p>
    <w:p w14:paraId="07187835">
      <w:pPr>
        <w:widowControl/>
        <w:shd w:val="clear"/>
        <w:kinsoku/>
        <w:overflowPunct/>
        <w:autoSpaceDE w:val="0"/>
        <w:bidi w:val="0"/>
        <w:spacing w:line="480" w:lineRule="exact"/>
        <w:ind w:left="0" w:leftChars="0" w:right="0" w:rightChars="0"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②被滁州市县两级公管部门取消在一定期限内的投标资格且在取消期限内的；</w:t>
      </w:r>
    </w:p>
    <w:p w14:paraId="7BF9826D">
      <w:pPr>
        <w:widowControl/>
        <w:shd w:val="clear"/>
        <w:kinsoku/>
        <w:overflowPunct/>
        <w:autoSpaceDE w:val="0"/>
        <w:bidi w:val="0"/>
        <w:spacing w:line="480" w:lineRule="exact"/>
        <w:ind w:left="0" w:leftChars="0" w:right="0" w:rightChars="0"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③被滁州市县两级各行业主管部门取消在一定期限内的投标资格且在取消期限内的；</w:t>
      </w:r>
    </w:p>
    <w:p w14:paraId="58AF5C99">
      <w:pPr>
        <w:widowControl/>
        <w:shd w:val="clear"/>
        <w:kinsoku/>
        <w:overflowPunct/>
        <w:autoSpaceDE w:val="0"/>
        <w:bidi w:val="0"/>
        <w:spacing w:line="480" w:lineRule="exact"/>
        <w:ind w:left="0" w:leftChars="0" w:right="0" w:rightChars="0"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④因拖欠农民工工资被县级及以上有关行政主管部门限制投标资格且在限制期限内的；</w:t>
      </w:r>
    </w:p>
    <w:p w14:paraId="52A647D1">
      <w:pPr>
        <w:widowControl/>
        <w:shd w:val="clear"/>
        <w:kinsoku/>
        <w:overflowPunct/>
        <w:autoSpaceDE w:val="0"/>
        <w:bidi w:val="0"/>
        <w:spacing w:line="480" w:lineRule="exact"/>
        <w:ind w:left="0" w:leftChars="0" w:right="0" w:rightChars="0"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615E2B76">
      <w:pPr>
        <w:widowControl/>
        <w:shd w:val="clear"/>
        <w:kinsoku/>
        <w:overflowPunct/>
        <w:autoSpaceDE w:val="0"/>
        <w:bidi w:val="0"/>
        <w:spacing w:line="480" w:lineRule="exact"/>
        <w:ind w:left="0" w:leftChars="0" w:right="0" w:rightChars="0"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rPr>
        <w:t>（二）政府采购项目</w:t>
      </w:r>
    </w:p>
    <w:p w14:paraId="72E7A69C">
      <w:pPr>
        <w:widowControl/>
        <w:shd w:val="clear"/>
        <w:kinsoku/>
        <w:overflowPunct/>
        <w:autoSpaceDE w:val="0"/>
        <w:bidi w:val="0"/>
        <w:spacing w:line="480" w:lineRule="exact"/>
        <w:ind w:left="0" w:leftChars="0" w:right="0" w:rightChars="0"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1、“信用中国”网站（www.creditchina.gov.cn）查询供应商、法定代表人及其项目负责人以下失信行为：</w:t>
      </w:r>
    </w:p>
    <w:p w14:paraId="31F57139">
      <w:pPr>
        <w:widowControl/>
        <w:shd w:val="clear"/>
        <w:kinsoku/>
        <w:overflowPunct/>
        <w:autoSpaceDE w:val="0"/>
        <w:bidi w:val="0"/>
        <w:spacing w:line="480" w:lineRule="exact"/>
        <w:ind w:left="0" w:leftChars="0" w:right="0" w:rightChars="0"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①被列入“失信被执行人”的;</w:t>
      </w:r>
    </w:p>
    <w:p w14:paraId="6D3172CB">
      <w:pPr>
        <w:widowControl/>
        <w:shd w:val="clear"/>
        <w:kinsoku/>
        <w:overflowPunct/>
        <w:autoSpaceDE w:val="0"/>
        <w:bidi w:val="0"/>
        <w:spacing w:line="480" w:lineRule="exact"/>
        <w:ind w:left="0" w:leftChars="0" w:right="0" w:rightChars="0"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②被列入“重大税收违法失信主体”的；</w:t>
      </w:r>
    </w:p>
    <w:p w14:paraId="47F61264">
      <w:pPr>
        <w:widowControl/>
        <w:shd w:val="clear"/>
        <w:kinsoku/>
        <w:overflowPunct/>
        <w:autoSpaceDE w:val="0"/>
        <w:bidi w:val="0"/>
        <w:spacing w:line="480" w:lineRule="exact"/>
        <w:ind w:left="0" w:leftChars="0" w:right="0" w:rightChars="0"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③被列入 “严重失信主体名单”的；</w:t>
      </w:r>
    </w:p>
    <w:p w14:paraId="303C720D">
      <w:pPr>
        <w:widowControl/>
        <w:shd w:val="clear"/>
        <w:kinsoku/>
        <w:overflowPunct/>
        <w:autoSpaceDE w:val="0"/>
        <w:bidi w:val="0"/>
        <w:spacing w:line="480" w:lineRule="exact"/>
        <w:ind w:left="0" w:leftChars="0" w:right="0" w:rightChars="0"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④在“信用中国”网站上披露的仍在公示期的严重失信行为(具体行为类别及判定依据见附件2)的。</w:t>
      </w:r>
    </w:p>
    <w:p w14:paraId="51DC3AA6">
      <w:pPr>
        <w:widowControl/>
        <w:shd w:val="clear"/>
        <w:kinsoku/>
        <w:overflowPunct/>
        <w:autoSpaceDE w:val="0"/>
        <w:bidi w:val="0"/>
        <w:spacing w:line="480" w:lineRule="exact"/>
        <w:ind w:left="0" w:leftChars="0" w:right="0" w:rightChars="0"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2、国家企业信用信息公示系统网站（</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Fonts w:hint="eastAsia" w:ascii="宋体" w:hAnsi="宋体" w:cs="宋体"/>
          <w:bCs/>
          <w:color w:val="auto"/>
          <w:kern w:val="0"/>
          <w:sz w:val="24"/>
          <w:highlight w:val="none"/>
        </w:rPr>
        <w:t>www.gsxt.gov.cn）</w:t>
      </w:r>
      <w:r>
        <w:rPr>
          <w:rFonts w:hint="eastAsia" w:ascii="宋体" w:hAnsi="宋体" w:cs="宋体"/>
          <w:bCs/>
          <w:color w:val="auto"/>
          <w:kern w:val="0"/>
          <w:sz w:val="24"/>
          <w:highlight w:val="none"/>
        </w:rPr>
        <w:fldChar w:fldCharType="end"/>
      </w:r>
      <w:r>
        <w:rPr>
          <w:rFonts w:hint="eastAsia" w:ascii="宋体" w:hAnsi="宋体" w:cs="宋体"/>
          <w:bCs/>
          <w:color w:val="auto"/>
          <w:kern w:val="0"/>
          <w:sz w:val="24"/>
          <w:highlight w:val="none"/>
        </w:rPr>
        <w:t>查询供应商以下失信行为：</w:t>
      </w:r>
    </w:p>
    <w:p w14:paraId="0DB356BA">
      <w:pPr>
        <w:widowControl/>
        <w:shd w:val="clear"/>
        <w:kinsoku/>
        <w:overflowPunct/>
        <w:autoSpaceDE w:val="0"/>
        <w:bidi w:val="0"/>
        <w:spacing w:line="480" w:lineRule="exact"/>
        <w:ind w:left="0" w:leftChars="0" w:right="0" w:rightChars="0"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①</w:t>
      </w:r>
      <w:bookmarkStart w:id="182" w:name="OLE_LINK100"/>
      <w:bookmarkStart w:id="183" w:name="OLE_LINK101"/>
      <w:bookmarkStart w:id="184" w:name="OLE_LINK102"/>
      <w:r>
        <w:rPr>
          <w:rFonts w:hint="eastAsia" w:ascii="宋体" w:hAnsi="宋体" w:cs="宋体"/>
          <w:bCs/>
          <w:color w:val="auto"/>
          <w:kern w:val="0"/>
          <w:sz w:val="24"/>
          <w:highlight w:val="none"/>
        </w:rPr>
        <w:t>被列入“经营异常名录”或者“严重违法失信名单”的</w:t>
      </w:r>
      <w:bookmarkEnd w:id="182"/>
      <w:bookmarkEnd w:id="183"/>
      <w:bookmarkEnd w:id="184"/>
      <w:r>
        <w:rPr>
          <w:rFonts w:hint="eastAsia" w:ascii="宋体" w:hAnsi="宋体" w:cs="宋体"/>
          <w:bCs/>
          <w:color w:val="auto"/>
          <w:kern w:val="0"/>
          <w:sz w:val="24"/>
          <w:highlight w:val="none"/>
        </w:rPr>
        <w:t>。</w:t>
      </w:r>
    </w:p>
    <w:p w14:paraId="4EC2D0C6">
      <w:pPr>
        <w:widowControl/>
        <w:shd w:val="clear"/>
        <w:kinsoku/>
        <w:overflowPunct/>
        <w:autoSpaceDE w:val="0"/>
        <w:bidi w:val="0"/>
        <w:spacing w:line="480" w:lineRule="exact"/>
        <w:ind w:left="0" w:leftChars="0" w:right="0" w:rightChars="0"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3、中国政府采购网站（</w:t>
      </w:r>
      <w:bookmarkStart w:id="185" w:name="OLE_LINK95"/>
      <w:bookmarkStart w:id="186" w:name="OLE_LINK96"/>
      <w:r>
        <w:rPr>
          <w:rFonts w:hint="eastAsia" w:ascii="宋体" w:hAnsi="宋体" w:cs="宋体"/>
          <w:bCs/>
          <w:color w:val="auto"/>
          <w:kern w:val="0"/>
          <w:sz w:val="24"/>
          <w:highlight w:val="none"/>
        </w:rPr>
        <w:fldChar w:fldCharType="begin"/>
      </w:r>
      <w:r>
        <w:rPr>
          <w:rFonts w:hint="eastAsia" w:ascii="宋体" w:hAnsi="宋体" w:cs="宋体"/>
          <w:bCs/>
          <w:color w:val="auto"/>
          <w:kern w:val="0"/>
          <w:sz w:val="24"/>
          <w:highlight w:val="none"/>
        </w:rPr>
        <w:instrText xml:space="preserve"> HYPERLINK "http://www.ccgp.gov.cn" </w:instrText>
      </w:r>
      <w:r>
        <w:rPr>
          <w:rFonts w:hint="eastAsia" w:ascii="宋体" w:hAnsi="宋体" w:cs="宋体"/>
          <w:bCs/>
          <w:color w:val="auto"/>
          <w:kern w:val="0"/>
          <w:sz w:val="24"/>
          <w:highlight w:val="none"/>
        </w:rPr>
        <w:fldChar w:fldCharType="separate"/>
      </w:r>
      <w:r>
        <w:rPr>
          <w:rFonts w:hint="eastAsia" w:ascii="宋体" w:hAnsi="宋体" w:cs="宋体"/>
          <w:bCs/>
          <w:color w:val="auto"/>
          <w:kern w:val="0"/>
          <w:sz w:val="24"/>
          <w:highlight w:val="none"/>
        </w:rPr>
        <w:t>www.ccgp.gov.cn</w:t>
      </w:r>
      <w:r>
        <w:rPr>
          <w:rFonts w:hint="eastAsia" w:ascii="宋体" w:hAnsi="宋体" w:cs="宋体"/>
          <w:bCs/>
          <w:color w:val="auto"/>
          <w:kern w:val="0"/>
          <w:sz w:val="24"/>
          <w:highlight w:val="none"/>
        </w:rPr>
        <w:fldChar w:fldCharType="end"/>
      </w:r>
      <w:bookmarkEnd w:id="185"/>
      <w:bookmarkEnd w:id="186"/>
      <w:r>
        <w:rPr>
          <w:rFonts w:hint="eastAsia" w:ascii="宋体" w:hAnsi="宋体" w:cs="宋体"/>
          <w:bCs/>
          <w:color w:val="auto"/>
          <w:kern w:val="0"/>
          <w:sz w:val="24"/>
          <w:highlight w:val="none"/>
        </w:rPr>
        <w:t>）查询以下失信行为：</w:t>
      </w:r>
    </w:p>
    <w:p w14:paraId="55281B51">
      <w:pPr>
        <w:widowControl/>
        <w:shd w:val="clear"/>
        <w:kinsoku/>
        <w:overflowPunct/>
        <w:autoSpaceDE w:val="0"/>
        <w:bidi w:val="0"/>
        <w:spacing w:line="480" w:lineRule="exact"/>
        <w:ind w:left="0" w:leftChars="0" w:right="0" w:rightChars="0"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①</w:t>
      </w:r>
      <w:bookmarkStart w:id="187" w:name="OLE_LINK106"/>
      <w:bookmarkStart w:id="188" w:name="OLE_LINK104"/>
      <w:bookmarkStart w:id="189" w:name="OLE_LINK105"/>
      <w:r>
        <w:rPr>
          <w:rFonts w:hint="eastAsia" w:ascii="宋体" w:hAnsi="宋体" w:cs="宋体"/>
          <w:bCs/>
          <w:color w:val="auto"/>
          <w:kern w:val="0"/>
          <w:sz w:val="24"/>
          <w:highlight w:val="none"/>
        </w:rPr>
        <w:t>被列入“政府采购严重违法失信行为信息记录”的</w:t>
      </w:r>
      <w:bookmarkEnd w:id="187"/>
      <w:bookmarkEnd w:id="188"/>
      <w:bookmarkEnd w:id="189"/>
      <w:r>
        <w:rPr>
          <w:rFonts w:hint="eastAsia" w:ascii="宋体" w:hAnsi="宋体" w:cs="宋体"/>
          <w:bCs/>
          <w:color w:val="auto"/>
          <w:kern w:val="0"/>
          <w:sz w:val="24"/>
          <w:highlight w:val="none"/>
        </w:rPr>
        <w:t>。</w:t>
      </w:r>
    </w:p>
    <w:p w14:paraId="063A1713">
      <w:pPr>
        <w:widowControl/>
        <w:shd w:val="clear"/>
        <w:kinsoku/>
        <w:overflowPunct/>
        <w:autoSpaceDE w:val="0"/>
        <w:bidi w:val="0"/>
        <w:spacing w:line="480" w:lineRule="exact"/>
        <w:ind w:left="0" w:leftChars="0" w:right="0" w:rightChars="0"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4、由竞争主体进行承诺，不进行现场网上信用查询的失信行为：</w:t>
      </w:r>
    </w:p>
    <w:p w14:paraId="2C76FB52">
      <w:pPr>
        <w:widowControl/>
        <w:shd w:val="clear"/>
        <w:kinsoku/>
        <w:overflowPunct/>
        <w:autoSpaceDE w:val="0"/>
        <w:bidi w:val="0"/>
        <w:spacing w:line="480" w:lineRule="exact"/>
        <w:ind w:left="0" w:leftChars="0" w:right="0" w:rightChars="0"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rPr>
        <w:t>①前三年有行贿犯罪行为的单位和个人。</w:t>
      </w:r>
    </w:p>
    <w:p w14:paraId="44F8481A">
      <w:pPr>
        <w:widowControl/>
        <w:shd w:val="clear"/>
        <w:kinsoku/>
        <w:overflowPunct/>
        <w:autoSpaceDE w:val="0"/>
        <w:bidi w:val="0"/>
        <w:spacing w:line="480" w:lineRule="exact"/>
        <w:ind w:left="0" w:leftChars="0" w:right="0" w:rightChars="0"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rPr>
        <w:t>二、在开评标活动中的查询程序</w:t>
      </w:r>
    </w:p>
    <w:p w14:paraId="742D0B28">
      <w:pPr>
        <w:widowControl/>
        <w:shd w:val="clear"/>
        <w:kinsoku/>
        <w:overflowPunct/>
        <w:autoSpaceDE w:val="0"/>
        <w:bidi w:val="0"/>
        <w:spacing w:line="480" w:lineRule="exact"/>
        <w:ind w:left="0" w:leftChars="0" w:right="0" w:rightChars="0"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5098A7B2">
      <w:pPr>
        <w:widowControl/>
        <w:shd w:val="clear"/>
        <w:kinsoku/>
        <w:overflowPunct/>
        <w:autoSpaceDE w:val="0"/>
        <w:bidi w:val="0"/>
        <w:spacing w:line="480" w:lineRule="exact"/>
        <w:ind w:left="0" w:leftChars="0" w:right="0" w:rightChars="0"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1A74D11B">
      <w:pPr>
        <w:widowControl/>
        <w:shd w:val="clear"/>
        <w:kinsoku/>
        <w:overflowPunct/>
        <w:autoSpaceDE w:val="0"/>
        <w:bidi w:val="0"/>
        <w:spacing w:line="480" w:lineRule="exact"/>
        <w:ind w:left="0" w:leftChars="0" w:right="0" w:rightChars="0"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rPr>
        <w:t>3、项目单位及其委托的代理机构应当做好信用查询结果截图和记录留存。</w:t>
      </w:r>
    </w:p>
    <w:p w14:paraId="300A0BF9">
      <w:pPr>
        <w:widowControl/>
        <w:shd w:val="clear"/>
        <w:kinsoku/>
        <w:overflowPunct/>
        <w:autoSpaceDE w:val="0"/>
        <w:bidi w:val="0"/>
        <w:spacing w:line="480" w:lineRule="exact"/>
        <w:ind w:left="0" w:leftChars="0" w:right="0" w:rightChars="0"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rPr>
        <w:t>三、相关要求</w:t>
      </w:r>
    </w:p>
    <w:p w14:paraId="6EA6B557">
      <w:pPr>
        <w:widowControl/>
        <w:shd w:val="clear"/>
        <w:kinsoku/>
        <w:wordWrap w:val="0"/>
        <w:overflowPunct/>
        <w:autoSpaceDE w:val="0"/>
        <w:bidi w:val="0"/>
        <w:spacing w:line="480" w:lineRule="exact"/>
        <w:ind w:left="0" w:leftChars="0" w:right="0" w:rightChars="0"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4D168991">
      <w:pPr>
        <w:widowControl/>
        <w:shd w:val="clear"/>
        <w:kinsoku/>
        <w:wordWrap w:val="0"/>
        <w:overflowPunct/>
        <w:autoSpaceDE w:val="0"/>
        <w:bidi w:val="0"/>
        <w:spacing w:line="480" w:lineRule="exact"/>
        <w:ind w:left="0" w:leftChars="0" w:right="0" w:rightChars="0"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06844E28">
      <w:pPr>
        <w:widowControl/>
        <w:shd w:val="clear"/>
        <w:kinsoku/>
        <w:wordWrap w:val="0"/>
        <w:overflowPunct/>
        <w:autoSpaceDE w:val="0"/>
        <w:bidi w:val="0"/>
        <w:spacing w:line="480" w:lineRule="exact"/>
        <w:ind w:left="0" w:leftChars="0" w:right="0" w:rightChars="0"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rPr>
        <w:t>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https://credit.ah.gov.cn/xinyong-fuwu/xvbahv/index.html)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7384ABC8">
      <w:pPr>
        <w:widowControl/>
        <w:shd w:val="clear"/>
        <w:kinsoku/>
        <w:overflowPunct/>
        <w:autoSpaceDE w:val="0"/>
        <w:bidi w:val="0"/>
        <w:spacing w:line="480" w:lineRule="exact"/>
        <w:ind w:left="0" w:leftChars="0" w:right="0" w:rightChars="0"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rPr>
        <w:t>2、“信用中国”查询的严重失信行为判定依据为各行业主管部门下发的联合惩戒文件中规定的行为（按附件2执行）。</w:t>
      </w:r>
    </w:p>
    <w:p w14:paraId="72255B53">
      <w:pPr>
        <w:widowControl/>
        <w:shd w:val="clear"/>
        <w:kinsoku/>
        <w:overflowPunct/>
        <w:autoSpaceDE w:val="0"/>
        <w:bidi w:val="0"/>
        <w:spacing w:line="480" w:lineRule="exact"/>
        <w:ind w:left="0" w:leftChars="0" w:right="0" w:rightChars="0"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3、资格预审的项目以递交资格预审申请文件截止时间查询为准；资格后审的项目以递交投标文件截止时间查询为准。</w:t>
      </w:r>
    </w:p>
    <w:p w14:paraId="44C0FFAE">
      <w:pPr>
        <w:shd w:val="clear"/>
        <w:kinsoku/>
        <w:overflowPunct/>
        <w:bidi w:val="0"/>
        <w:spacing w:line="440" w:lineRule="exact"/>
        <w:ind w:left="0" w:leftChars="0" w:right="0" w:rightChars="0"/>
        <w:rPr>
          <w:rFonts w:ascii="宋体" w:hAnsi="宋体" w:cs="宋体"/>
          <w:b/>
          <w:color w:val="auto"/>
          <w:sz w:val="24"/>
          <w:highlight w:val="none"/>
        </w:rPr>
      </w:pPr>
      <w:r>
        <w:rPr>
          <w:rFonts w:hint="eastAsia" w:ascii="宋体" w:hAnsi="宋体" w:cs="宋体"/>
          <w:b/>
          <w:color w:val="auto"/>
          <w:sz w:val="24"/>
          <w:highlight w:val="none"/>
        </w:rPr>
        <w:t xml:space="preserve"> </w:t>
      </w:r>
    </w:p>
    <w:p w14:paraId="4613DB32">
      <w:pPr>
        <w:pStyle w:val="30"/>
        <w:shd w:val="clear"/>
        <w:kinsoku/>
        <w:overflowPunct/>
        <w:bidi w:val="0"/>
        <w:spacing w:before="0" w:after="120" w:afterAutospacing="0" w:line="360" w:lineRule="auto"/>
        <w:ind w:left="0" w:leftChars="0" w:right="0" w:rightChars="0" w:firstLine="420" w:firstLineChars="200"/>
        <w:jc w:val="both"/>
        <w:rPr>
          <w:color w:val="auto"/>
          <w:kern w:val="2"/>
          <w:sz w:val="21"/>
          <w:szCs w:val="21"/>
          <w:highlight w:val="none"/>
        </w:rPr>
      </w:pPr>
      <w:r>
        <w:rPr>
          <w:rFonts w:hint="eastAsia"/>
          <w:color w:val="auto"/>
          <w:kern w:val="2"/>
          <w:sz w:val="21"/>
          <w:szCs w:val="21"/>
          <w:highlight w:val="none"/>
        </w:rPr>
        <w:t xml:space="preserve"> </w:t>
      </w:r>
    </w:p>
    <w:p w14:paraId="75CA5267">
      <w:pPr>
        <w:shd w:val="clear"/>
        <w:kinsoku/>
        <w:overflowPunct/>
        <w:bidi w:val="0"/>
        <w:spacing w:line="440" w:lineRule="exact"/>
        <w:ind w:left="0" w:leftChars="0" w:right="0" w:rightChars="0"/>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附件2</w:t>
      </w:r>
    </w:p>
    <w:p w14:paraId="17470BF5">
      <w:pPr>
        <w:shd w:val="clear"/>
        <w:kinsoku/>
        <w:overflowPunct/>
        <w:bidi w:val="0"/>
        <w:spacing w:line="440" w:lineRule="exact"/>
        <w:ind w:left="0" w:leftChars="0" w:right="0" w:rightChars="0"/>
        <w:jc w:val="center"/>
        <w:rPr>
          <w:rFonts w:ascii="宋体" w:hAnsi="宋体" w:cs="宋体"/>
          <w:b/>
          <w:color w:val="auto"/>
          <w:sz w:val="24"/>
          <w:highlight w:val="none"/>
        </w:rPr>
      </w:pPr>
      <w:r>
        <w:rPr>
          <w:rFonts w:hint="eastAsia" w:ascii="宋体" w:hAnsi="宋体" w:cs="宋体"/>
          <w:b/>
          <w:color w:val="auto"/>
          <w:sz w:val="24"/>
          <w:highlight w:val="none"/>
        </w:rPr>
        <w:t>“信用中国”查询的严重失信行为类别及判定依据</w:t>
      </w:r>
    </w:p>
    <w:p w14:paraId="0C17B646">
      <w:pPr>
        <w:shd w:val="clear"/>
        <w:kinsoku/>
        <w:overflowPunct/>
        <w:bidi w:val="0"/>
        <w:spacing w:line="440" w:lineRule="exact"/>
        <w:ind w:left="0" w:leftChars="0" w:right="0" w:rightChars="0"/>
        <w:jc w:val="center"/>
        <w:rPr>
          <w:rFonts w:ascii="宋体" w:hAnsi="宋体" w:cs="宋体"/>
          <w:b/>
          <w:color w:val="auto"/>
          <w:sz w:val="24"/>
          <w:highlight w:val="none"/>
        </w:rPr>
      </w:pPr>
      <w:r>
        <w:rPr>
          <w:rFonts w:hint="eastAsia" w:ascii="宋体" w:hAnsi="宋体" w:cs="宋体"/>
          <w:b/>
          <w:color w:val="auto"/>
          <w:sz w:val="24"/>
          <w:highlight w:val="none"/>
        </w:rPr>
        <w:t xml:space="preserve"> </w:t>
      </w:r>
    </w:p>
    <w:p w14:paraId="743B0557">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rPr>
        <w:t>“信用中国”查询的严重失信行为判定依据为各行业主管部门下发的联合惩戒文件中规定的行为。下面将部分类别的严重失信行为列举如下：</w:t>
      </w:r>
    </w:p>
    <w:p w14:paraId="17373288">
      <w:pPr>
        <w:widowControl/>
        <w:shd w:val="clear"/>
        <w:kinsoku/>
        <w:overflowPunct/>
        <w:autoSpaceDE w:val="0"/>
        <w:bidi w:val="0"/>
        <w:spacing w:line="480" w:lineRule="exact"/>
        <w:ind w:left="0" w:leftChars="0" w:right="0" w:rightChars="0"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rPr>
        <w:t>一、安全生产领域严重失信行为：</w:t>
      </w:r>
    </w:p>
    <w:p w14:paraId="11C3CDB7">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（一）下列发生生产安全事故的生产经营单位及其有关人员应当列入严重失信主体名单：</w:t>
      </w:r>
    </w:p>
    <w:p w14:paraId="039669EA">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1、发生特别重大、重大生产安全事故的生产经营单位及其主要负责人，以及经调查认定对该事故发生负有责任，应当列入名单的其他单位和人员；</w:t>
      </w:r>
    </w:p>
    <w:p w14:paraId="5C95E079">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2、12个月内累计发生2起以上较大生产安全事故的生产经营单位及其主要负责人；</w:t>
      </w:r>
    </w:p>
    <w:p w14:paraId="24EBBD90">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3、发生生产安全事故，情节特别严重、影响特别恶劣，依照《中华人民共和国安全生产法》第一百一十四条的规定被处以罚款数额2倍以上5倍以下罚款的生产经营单位及其主要负责人；</w:t>
      </w:r>
    </w:p>
    <w:p w14:paraId="1EE11518">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4、瞒报、谎报生产安全事故的生产经营单位及其有关责任人员；</w:t>
      </w:r>
    </w:p>
    <w:p w14:paraId="24F72F01">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5、发生生产安全事故后，不立即组织抢救或者在事故调查处理期间擅离职守或者逃匿的生产经营单位主要负责人。</w:t>
      </w:r>
    </w:p>
    <w:p w14:paraId="75A6BFAF">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（二）下列未发生生产安全事故，但因安全生产违法行为，受到行政处罚的生产经营单位或者机构及其有关人员，应当列入严重失信主体名单：</w:t>
      </w:r>
    </w:p>
    <w:p w14:paraId="0FBDBA2D">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1、未依法取得安全生产相关许可或者许可被暂扣、吊销期间从事相关生产经营活动的生产经营单位及其主要负责人；</w:t>
      </w:r>
    </w:p>
    <w:p w14:paraId="2B90D326">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2、承担安全评价、认证、检测、检验职责的机构及其直接责任人员租借资质、挂靠、出具虚假报告或者证书的；</w:t>
      </w:r>
    </w:p>
    <w:p w14:paraId="501E1B8D">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3、在应急管理部门作出行政处罚后，有执行能力拒不执行或者逃避执行的生产经营单位及其主要负责人；</w:t>
      </w:r>
    </w:p>
    <w:p w14:paraId="5E918BDD">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rPr>
        <w:t>4、其他违反安全生产法律法规受到行政处罚，且性质恶劣、情节严重的。</w:t>
      </w:r>
    </w:p>
    <w:p w14:paraId="2E811034">
      <w:pPr>
        <w:widowControl/>
        <w:shd w:val="clear"/>
        <w:kinsoku/>
        <w:overflowPunct/>
        <w:autoSpaceDE w:val="0"/>
        <w:bidi w:val="0"/>
        <w:spacing w:line="480" w:lineRule="exact"/>
        <w:ind w:left="0" w:leftChars="0" w:right="0" w:rightChars="0"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rPr>
        <w:t>依据：《安全生产严重失信主体名单管理办法》（2023年8月8日应急管理部令第11号）</w:t>
      </w:r>
    </w:p>
    <w:p w14:paraId="2585B2BB">
      <w:pPr>
        <w:widowControl/>
        <w:shd w:val="clear"/>
        <w:kinsoku/>
        <w:overflowPunct/>
        <w:autoSpaceDE w:val="0"/>
        <w:bidi w:val="0"/>
        <w:spacing w:line="480" w:lineRule="exact"/>
        <w:ind w:left="0" w:leftChars="0" w:right="0" w:rightChars="0"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rPr>
        <w:t xml:space="preserve"> </w:t>
      </w:r>
    </w:p>
    <w:p w14:paraId="4E0184DB">
      <w:pPr>
        <w:widowControl/>
        <w:shd w:val="clear"/>
        <w:kinsoku/>
        <w:overflowPunct/>
        <w:autoSpaceDE w:val="0"/>
        <w:bidi w:val="0"/>
        <w:spacing w:line="480" w:lineRule="exact"/>
        <w:ind w:left="0" w:leftChars="0" w:right="0" w:rightChars="0"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rPr>
        <w:t>二、环境保护领域严重失信行为：</w:t>
      </w:r>
    </w:p>
    <w:p w14:paraId="33F67769">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（一）因为环境违法构成环境犯罪的；</w:t>
      </w:r>
    </w:p>
    <w:p w14:paraId="24ED5499">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（二）建设项目环境影响评价文件未按规定通过审批，擅自开工建设的；</w:t>
      </w:r>
    </w:p>
    <w:p w14:paraId="43B91C3C">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（三）建设项目环保设施未建成、环保措施未落实、未通过竣工环保验收或者验收不合格，主体工程正式投入生产或者使用的；</w:t>
      </w:r>
    </w:p>
    <w:p w14:paraId="64331581">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（四）建设项目性质、规模、地点、采用的生产工艺或者防治污染、防止生态破坏的措施发生重大变动，未重新报批环境影响评价文件，擅自投入生产或者使用的；</w:t>
      </w:r>
    </w:p>
    <w:p w14:paraId="4D57DAD2">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（五）主要污染物排放总量超过控制指标的；</w:t>
      </w:r>
    </w:p>
    <w:p w14:paraId="585BA96A">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（六）私设暗管或者利用渗井、渗坑、裂隙、溶洞等排放、倾倒、处置水污染物，或者通过私设旁路排放大气污染物的；</w:t>
      </w:r>
    </w:p>
    <w:p w14:paraId="7C9BAE74">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（七）非法排放、倾倒、处置危险废物，或者向无经营许可证或者超出经营许可范围的单位或个人提供或者委托其收集、贮存、利用、处置危险废物的；</w:t>
      </w:r>
    </w:p>
    <w:p w14:paraId="2ED84340">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（八）环境违法行为造成集中式生活饮用水水源取水中断的；</w:t>
      </w:r>
    </w:p>
    <w:p w14:paraId="21E74101">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（九）环境违法行为对生活饮用水水源保护区、自然保护区、国家重点生态功能区、风景名胜区、居住功能区、基本农田保护区等环境敏感区造成重大不利影响的；</w:t>
      </w:r>
    </w:p>
    <w:p w14:paraId="7ADB2C1E">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（十）违法从事自然资源开发、交通基础设施建设，以及其他开发建设活动，造成严重生态破坏的；</w:t>
      </w:r>
    </w:p>
    <w:p w14:paraId="69CBF03A">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（十一）发生较大及以上突发环境事件的；</w:t>
      </w:r>
    </w:p>
    <w:p w14:paraId="51679E1E">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（十二）被环保部门挂牌督办，整改逾期未完成的；</w:t>
      </w:r>
    </w:p>
    <w:p w14:paraId="14B6AA5A">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（十三）以暴力、威胁等方式拒绝、阻挠环保部门工作人员现场检查的；</w:t>
      </w:r>
    </w:p>
    <w:p w14:paraId="66033FB0">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rPr>
        <w:t>（十四）违反重污染天气应急预案有关规定，对重污染天气响应不力的。</w:t>
      </w:r>
    </w:p>
    <w:p w14:paraId="6016E6AF">
      <w:pPr>
        <w:widowControl/>
        <w:shd w:val="clear"/>
        <w:kinsoku/>
        <w:overflowPunct/>
        <w:autoSpaceDE w:val="0"/>
        <w:bidi w:val="0"/>
        <w:spacing w:line="480" w:lineRule="exact"/>
        <w:ind w:left="0" w:leftChars="0" w:right="0" w:rightChars="0"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rPr>
        <w:t>依据：《关于对环境保护领域失信生产经营单位及其有关人员开展联合惩戒的合作备忘录》、《企业环境信用评价办法（试行）》（环发〔2013〕150号）</w:t>
      </w:r>
    </w:p>
    <w:p w14:paraId="26569D17">
      <w:pPr>
        <w:widowControl/>
        <w:shd w:val="clear"/>
        <w:kinsoku/>
        <w:overflowPunct/>
        <w:autoSpaceDE w:val="0"/>
        <w:bidi w:val="0"/>
        <w:spacing w:line="480" w:lineRule="exact"/>
        <w:ind w:left="0" w:leftChars="0" w:right="0" w:rightChars="0"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rPr>
        <w:t xml:space="preserve"> </w:t>
      </w:r>
    </w:p>
    <w:p w14:paraId="37674721">
      <w:pPr>
        <w:widowControl/>
        <w:shd w:val="clear"/>
        <w:kinsoku/>
        <w:overflowPunct/>
        <w:autoSpaceDE w:val="0"/>
        <w:bidi w:val="0"/>
        <w:spacing w:line="480" w:lineRule="exact"/>
        <w:ind w:left="0" w:leftChars="0" w:right="0" w:rightChars="0"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rPr>
        <w:t>三、公共资源交易领域严重失信行为</w:t>
      </w:r>
    </w:p>
    <w:p w14:paraId="59710C67">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（一）违反法律规定，必须进行招标的项目而不招标的，将必须进行招标的项目化整为零或者以其他任何方式规避招标的； </w:t>
      </w:r>
    </w:p>
    <w:p w14:paraId="39EB0D5E">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（二）招标代理机构违反法律规定，泄露应当保密的与招标投标活动有关的情况和资料的，或者与招标人、投标人串通损害 国家利益、社会公共利益或者他人合法权益的；</w:t>
      </w:r>
    </w:p>
    <w:p w14:paraId="4CEA5F39">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（三）招标人以不合理的条件限制或者排斥潜在投标人的，对潜在投标人实行歧视待遇的，强制要求投标人组成联合体共同 投标的，或者限制投标人之间竞争的；</w:t>
      </w:r>
    </w:p>
    <w:p w14:paraId="5B1D3DD2">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（四）依法必须进行招标的项目的招标人向他人透露已获取招标文件的潜在投标人的名称、数量或者可能影响公平竞争的有 关招标投标的其他情况的，或者泄露标底的；</w:t>
      </w:r>
    </w:p>
    <w:p w14:paraId="5AFD746F">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（五）投标人相互串通投标或者与招标人串通投标的，投标人以向招标人或者评标委员会成员行贿的手段谋取中标的； </w:t>
      </w:r>
    </w:p>
    <w:p w14:paraId="56A6D259">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（六）投标人以他人名义投标或者以其他方式弄虚作假，骗取中标的；</w:t>
      </w:r>
    </w:p>
    <w:p w14:paraId="7CA5B329">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（七）依法必须进行招标的项目，招标人违反法律规定，与投标人就投标价格、投标方案等实质性内容进行谈判的；</w:t>
      </w:r>
    </w:p>
    <w:p w14:paraId="1E641BD6">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0FEFE6E6">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（九）招标人在评标委员会依法推荐的中标候选人以外确定中标人的，依法必须进行招标的项目在所有投标被评标委员会否 决后自行确定中标人的； </w:t>
      </w:r>
    </w:p>
    <w:p w14:paraId="49CC5FA8">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（十）中标人将中标项目转让给他人的，将中标项目肢解后分别转让给他人的，违反法律规定将中标项目的部分主体、关键 性工作分包给他人的，或者分包人再次分包的； </w:t>
      </w:r>
    </w:p>
    <w:p w14:paraId="4CEED2D4">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（十一）招标人与中标人不按照招标文件和中标人的投标文件订立合同的，或者招标人、中标人订立背离合同实质性内容的 协议的； </w:t>
      </w:r>
    </w:p>
    <w:p w14:paraId="0D549BA7">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（十二）中标人不按照与招标人订立的合同履行义务，情节严重的； </w:t>
      </w:r>
    </w:p>
    <w:p w14:paraId="0DD49823">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71FDE3D7">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bookmarkStart w:id="193" w:name="_GoBack"/>
      <w:bookmarkEnd w:id="193"/>
    </w:p>
    <w:p w14:paraId="2C6E09AF">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（十五）采购人对应当实行集中采购的政府采购项目，不委托集中采购机构实行集中采购的； </w:t>
      </w:r>
    </w:p>
    <w:p w14:paraId="5FC6D6CE">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（十六）采购人、采购代理机构违反法律规定隐匿、销毁应当保存的采购文件或者伪造、变造采购文件的； </w:t>
      </w:r>
    </w:p>
    <w:p w14:paraId="76D036DC">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37455BBE">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（十八）疫苗生产企业向县级疾病预防控制机构以外的单位或者个人销售第二类疫苗的； </w:t>
      </w:r>
    </w:p>
    <w:p w14:paraId="46F616B6">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rPr>
        <w:t>（十九）存在其他违反公共资源交易法律法规行为的。</w:t>
      </w:r>
    </w:p>
    <w:p w14:paraId="10F3CE8F">
      <w:pPr>
        <w:widowControl/>
        <w:shd w:val="clear"/>
        <w:kinsoku/>
        <w:overflowPunct/>
        <w:autoSpaceDE w:val="0"/>
        <w:bidi w:val="0"/>
        <w:spacing w:line="480" w:lineRule="exact"/>
        <w:ind w:left="0" w:leftChars="0" w:right="0" w:rightChars="0"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rPr>
        <w:t>依据：《关于对公共资源交易领域严重失信主体开展联合惩戒的备忘录》（发改法规〔2018〕457号）</w:t>
      </w:r>
    </w:p>
    <w:p w14:paraId="350DC153">
      <w:pPr>
        <w:widowControl/>
        <w:shd w:val="clear"/>
        <w:kinsoku/>
        <w:overflowPunct/>
        <w:autoSpaceDE w:val="0"/>
        <w:bidi w:val="0"/>
        <w:spacing w:line="480" w:lineRule="exact"/>
        <w:ind w:left="0" w:leftChars="0" w:right="0" w:rightChars="0"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rPr>
        <w:t xml:space="preserve"> </w:t>
      </w:r>
    </w:p>
    <w:p w14:paraId="52170FEC">
      <w:pPr>
        <w:widowControl/>
        <w:shd w:val="clear"/>
        <w:kinsoku/>
        <w:overflowPunct/>
        <w:autoSpaceDE w:val="0"/>
        <w:bidi w:val="0"/>
        <w:spacing w:line="480" w:lineRule="exact"/>
        <w:ind w:left="0" w:leftChars="0" w:right="0" w:rightChars="0"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rPr>
        <w:t>四、社会保险领域严重失信行为</w:t>
      </w:r>
    </w:p>
    <w:p w14:paraId="4550FCA8">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（一）用人单位未按相关规定参加社会保险且拒不整改的； </w:t>
      </w:r>
    </w:p>
    <w:p w14:paraId="227EE140">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（二）用人单位未如实申报社会保险缴费基数且拒不整改的； </w:t>
      </w:r>
    </w:p>
    <w:p w14:paraId="116B5D28">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（三）应缴纳社会保险费却拒不缴纳的； </w:t>
      </w:r>
    </w:p>
    <w:p w14:paraId="7F3FC026">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（四）隐匿、转移、侵占、挪用社会保险费款、基金或者违规投资运营的；</w:t>
      </w:r>
    </w:p>
    <w:p w14:paraId="6E5F997C">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（五）以欺诈、伪造证明材料或者其他手段参加、申报社会保险和骗取社会保险基金支出或社会保险待遇的； </w:t>
      </w:r>
    </w:p>
    <w:p w14:paraId="42F6B62E">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（六）非法获取、出售或变相交易社会保险个人权益数据的； </w:t>
      </w:r>
    </w:p>
    <w:p w14:paraId="24150E15">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（七）社会保险服务机构违反服务协议或相关规定的； </w:t>
      </w:r>
    </w:p>
    <w:p w14:paraId="3529EEA2">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（八）拒绝协助社会保险行政部门、经办机构对事故和问题进 行调查核实的；拒绝接受或协助税务部门对社会保险实施监督检查， 不如实提供与社会保险相关各项资料的； </w:t>
      </w:r>
    </w:p>
    <w:p w14:paraId="2AF6B451">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rPr>
        <w:t>（九）其他违反法律法规规定的。</w:t>
      </w:r>
    </w:p>
    <w:p w14:paraId="6939436C">
      <w:pPr>
        <w:widowControl/>
        <w:shd w:val="clear"/>
        <w:kinsoku/>
        <w:overflowPunct/>
        <w:autoSpaceDE w:val="0"/>
        <w:bidi w:val="0"/>
        <w:spacing w:line="480" w:lineRule="exact"/>
        <w:ind w:left="0" w:leftChars="0" w:right="0" w:rightChars="0"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rPr>
        <w:t>依据：《关于对社会保险领域严重失信企业及其有关人员实施联合惩戒的合作备忘录》（发改财金〔2018〕1704号）</w:t>
      </w:r>
    </w:p>
    <w:p w14:paraId="27D63723">
      <w:pPr>
        <w:widowControl/>
        <w:shd w:val="clear"/>
        <w:kinsoku/>
        <w:overflowPunct/>
        <w:autoSpaceDE w:val="0"/>
        <w:bidi w:val="0"/>
        <w:spacing w:line="480" w:lineRule="exact"/>
        <w:ind w:left="0" w:leftChars="0" w:right="0" w:rightChars="0"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rPr>
        <w:t xml:space="preserve"> </w:t>
      </w:r>
    </w:p>
    <w:p w14:paraId="5C58B5AC">
      <w:pPr>
        <w:widowControl/>
        <w:shd w:val="clear"/>
        <w:kinsoku/>
        <w:overflowPunct/>
        <w:autoSpaceDE w:val="0"/>
        <w:bidi w:val="0"/>
        <w:spacing w:line="480" w:lineRule="exact"/>
        <w:ind w:left="0" w:leftChars="0" w:right="0" w:rightChars="0"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rPr>
        <w:t>五、建筑市场领域严重失信行为</w:t>
      </w:r>
    </w:p>
    <w:p w14:paraId="729764FE">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（一）利用虚假材料、以欺骗手段取得企业资质的；</w:t>
      </w:r>
    </w:p>
    <w:p w14:paraId="27966DBE">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（二）发生转包、出借资质，受到行政处罚的；</w:t>
      </w:r>
    </w:p>
    <w:p w14:paraId="6CA62F18">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（三）发生重大及以上工程质量安全事故，或1年内累计发生2次及以上较大工程质量安全事故，或发生性质恶劣、危害性严重、社会影响大的较大工程质量安全事故，受到行政处罚的；</w:t>
      </w:r>
    </w:p>
    <w:p w14:paraId="5B1C731D">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（四）经法院判决或仲裁机构裁决，认定为拖欠工程款,且拒不履行生效法律文书确定的义务的。</w:t>
      </w:r>
    </w:p>
    <w:p w14:paraId="2BE69086">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rPr>
        <w:t>各级住房城乡建设主管部门应当参照建筑市场主体“黑名单”，对被人力资源社会保障行政部门列入拖欠农民工工资“黑名单”的建筑市场各方主体加强监管。</w:t>
      </w:r>
    </w:p>
    <w:p w14:paraId="4133C73A">
      <w:pPr>
        <w:widowControl/>
        <w:shd w:val="clear"/>
        <w:kinsoku/>
        <w:overflowPunct/>
        <w:autoSpaceDE w:val="0"/>
        <w:bidi w:val="0"/>
        <w:spacing w:line="480" w:lineRule="exact"/>
        <w:ind w:left="0" w:leftChars="0" w:right="0" w:rightChars="0" w:firstLine="482" w:firstLineChars="200"/>
        <w:jc w:val="left"/>
        <w:textAlignment w:val="baseline"/>
        <w:rPr>
          <w:rFonts w:ascii="宋体" w:hAnsi="宋体" w:cs="宋体"/>
          <w:color w:val="auto"/>
          <w:sz w:val="24"/>
          <w:highlight w:val="none"/>
        </w:rPr>
      </w:pPr>
      <w:r>
        <w:rPr>
          <w:rFonts w:hint="eastAsia" w:ascii="宋体" w:hAnsi="宋体" w:cs="宋体"/>
          <w:b/>
          <w:color w:val="auto"/>
          <w:kern w:val="0"/>
          <w:sz w:val="24"/>
          <w:highlight w:val="none"/>
        </w:rPr>
        <w:t>依据：《建筑市场信用管理暂行办法》（建市〔2017〕241号）</w:t>
      </w:r>
    </w:p>
    <w:p w14:paraId="67A54588">
      <w:pPr>
        <w:widowControl/>
        <w:shd w:val="clear"/>
        <w:kinsoku/>
        <w:overflowPunct/>
        <w:autoSpaceDE w:val="0"/>
        <w:bidi w:val="0"/>
        <w:spacing w:line="480" w:lineRule="exact"/>
        <w:ind w:left="0" w:leftChars="0" w:right="0" w:rightChars="0"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rPr>
        <w:t xml:space="preserve"> </w:t>
      </w:r>
    </w:p>
    <w:p w14:paraId="55414020">
      <w:pPr>
        <w:widowControl/>
        <w:shd w:val="clear"/>
        <w:kinsoku/>
        <w:overflowPunct/>
        <w:autoSpaceDE w:val="0"/>
        <w:bidi w:val="0"/>
        <w:spacing w:line="480" w:lineRule="exact"/>
        <w:ind w:left="0" w:leftChars="0" w:right="0" w:rightChars="0"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rPr>
        <w:t>六、政府采购严重失信行为</w:t>
      </w:r>
    </w:p>
    <w:p w14:paraId="4D27622F">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供应商、采购代理机构在三年内受到财政部门作出下列情形之一的行政处罚，列入政府采购严重违法失信行为记录名单。</w:t>
      </w:r>
    </w:p>
    <w:p w14:paraId="0AA7DC64">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（一）三万元以上罚款；</w:t>
      </w:r>
    </w:p>
    <w:p w14:paraId="595B14EB">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（二）在一至三年内禁止参加政府采购活动（处罚期限届满的除外）；</w:t>
      </w:r>
    </w:p>
    <w:p w14:paraId="1BBB89DE">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（三）在一至三年内禁止代理政府采购业务（处罚期限届满的除外）；</w:t>
      </w:r>
    </w:p>
    <w:p w14:paraId="5F8B453C">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rPr>
        <w:t>（四）撤销政府采购代理机构资格（仅针对《政府采购法》第78条修改前作出的处罚决定）。</w:t>
      </w:r>
    </w:p>
    <w:p w14:paraId="7458A28E">
      <w:pPr>
        <w:widowControl/>
        <w:shd w:val="clear"/>
        <w:kinsoku/>
        <w:overflowPunct/>
        <w:autoSpaceDE w:val="0"/>
        <w:bidi w:val="0"/>
        <w:spacing w:line="480" w:lineRule="exact"/>
        <w:ind w:left="0" w:leftChars="0" w:right="0" w:rightChars="0"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rPr>
        <w:t>依据：《关于报送政府采购严重违法失信行为信息记录的通知》（财办库〔2014〕526号）</w:t>
      </w:r>
    </w:p>
    <w:p w14:paraId="7F2E4B81">
      <w:pPr>
        <w:widowControl/>
        <w:shd w:val="clear"/>
        <w:kinsoku/>
        <w:overflowPunct/>
        <w:autoSpaceDE w:val="0"/>
        <w:bidi w:val="0"/>
        <w:spacing w:line="480" w:lineRule="exact"/>
        <w:ind w:left="0" w:leftChars="0" w:right="0" w:rightChars="0" w:firstLine="480" w:firstLineChars="200"/>
        <w:textAlignment w:val="baseline"/>
        <w:rPr>
          <w:rFonts w:ascii="宋体" w:hAnsi="宋体" w:cs="宋体"/>
          <w:color w:val="auto"/>
          <w:sz w:val="24"/>
          <w:highlight w:val="none"/>
        </w:rPr>
      </w:pPr>
      <w:r>
        <w:rPr>
          <w:rFonts w:hint="eastAsia" w:ascii="宋体" w:hAnsi="宋体" w:cs="宋体"/>
          <w:color w:val="auto"/>
          <w:kern w:val="0"/>
          <w:sz w:val="24"/>
          <w:highlight w:val="none"/>
        </w:rPr>
        <w:t xml:space="preserve"> </w:t>
      </w:r>
    </w:p>
    <w:p w14:paraId="06BBEBAB">
      <w:pPr>
        <w:widowControl/>
        <w:shd w:val="clear"/>
        <w:kinsoku/>
        <w:overflowPunct/>
        <w:autoSpaceDE w:val="0"/>
        <w:bidi w:val="0"/>
        <w:spacing w:line="480" w:lineRule="exact"/>
        <w:ind w:left="0" w:leftChars="0" w:right="0" w:rightChars="0" w:firstLine="482" w:firstLineChars="200"/>
        <w:jc w:val="left"/>
        <w:textAlignment w:val="baseline"/>
        <w:rPr>
          <w:rFonts w:ascii="宋体" w:hAnsi="宋体" w:cs="宋体"/>
          <w:b/>
          <w:color w:val="auto"/>
          <w:szCs w:val="21"/>
          <w:highlight w:val="none"/>
        </w:rPr>
      </w:pPr>
      <w:r>
        <w:rPr>
          <w:rFonts w:hint="eastAsia" w:ascii="宋体" w:hAnsi="宋体" w:cs="宋体"/>
          <w:b/>
          <w:color w:val="auto"/>
          <w:kern w:val="0"/>
          <w:sz w:val="24"/>
          <w:highlight w:val="none"/>
        </w:rPr>
        <w:t>未列出的其他类别严重失信行为，由招标人（代理机构）根据各类别行业主管部门下发的联合惩戒文件进行判断</w:t>
      </w:r>
      <w:r>
        <w:rPr>
          <w:rFonts w:hint="eastAsia" w:ascii="宋体" w:hAnsi="宋体" w:cs="宋体"/>
          <w:b/>
          <w:bCs/>
          <w:color w:val="auto"/>
          <w:kern w:val="0"/>
          <w:sz w:val="24"/>
          <w:highlight w:val="none"/>
        </w:rPr>
        <w:t>。</w:t>
      </w:r>
    </w:p>
    <w:p w14:paraId="7689797A">
      <w:pPr>
        <w:pStyle w:val="2"/>
        <w:shd w:val="clear"/>
        <w:kinsoku/>
        <w:overflowPunct/>
        <w:bidi w:val="0"/>
        <w:ind w:left="0" w:leftChars="0" w:right="0" w:rightChars="0"/>
        <w:rPr>
          <w:rFonts w:ascii="宋体"/>
          <w:b w:val="0"/>
          <w:color w:val="auto"/>
          <w:szCs w:val="32"/>
          <w:highlight w:val="none"/>
        </w:rPr>
      </w:pPr>
      <w:bookmarkStart w:id="190" w:name="_Toc449028957"/>
      <w:r>
        <w:rPr>
          <w:rFonts w:ascii="宋体"/>
          <w:b w:val="0"/>
          <w:color w:val="auto"/>
          <w:szCs w:val="32"/>
          <w:highlight w:val="none"/>
        </w:rPr>
        <w:br w:type="page"/>
      </w:r>
      <w:bookmarkStart w:id="191" w:name="_Toc25631"/>
      <w:bookmarkStart w:id="192" w:name="_Toc58430333"/>
      <w:r>
        <w:rPr>
          <w:rFonts w:hint="eastAsia" w:ascii="宋体"/>
          <w:color w:val="auto"/>
          <w:szCs w:val="32"/>
          <w:highlight w:val="none"/>
        </w:rPr>
        <w:t xml:space="preserve">第七章 </w:t>
      </w:r>
      <w:r>
        <w:rPr>
          <w:rFonts w:hint="eastAsia" w:ascii="宋体"/>
          <w:bCs w:val="0"/>
          <w:color w:val="auto"/>
          <w:szCs w:val="32"/>
          <w:highlight w:val="none"/>
        </w:rPr>
        <w:t>招标人、采购代理机构对本招标文件的确认</w:t>
      </w:r>
      <w:bookmarkEnd w:id="190"/>
      <w:bookmarkEnd w:id="191"/>
      <w:bookmarkEnd w:id="192"/>
    </w:p>
    <w:p w14:paraId="0C99BDF2">
      <w:pPr>
        <w:shd w:val="clear"/>
        <w:kinsoku/>
        <w:overflowPunct/>
        <w:bidi w:val="0"/>
        <w:spacing w:line="440" w:lineRule="exact"/>
        <w:ind w:left="0" w:leftChars="0" w:right="0" w:rightChars="0"/>
        <w:rPr>
          <w:rFonts w:ascii="宋体"/>
          <w:color w:val="auto"/>
          <w:sz w:val="24"/>
          <w:highlight w:val="none"/>
          <w:u w:val="single"/>
        </w:rPr>
      </w:pPr>
    </w:p>
    <w:bookmarkEnd w:id="0"/>
    <w:tbl>
      <w:tblPr>
        <w:tblStyle w:val="35"/>
        <w:tblW w:w="0" w:type="auto"/>
        <w:jc w:val="center"/>
        <w:tblLayout w:type="fixed"/>
        <w:tblCellMar>
          <w:top w:w="0" w:type="dxa"/>
          <w:left w:w="108" w:type="dxa"/>
          <w:bottom w:w="0" w:type="dxa"/>
          <w:right w:w="108" w:type="dxa"/>
        </w:tblCellMar>
      </w:tblPr>
      <w:tblGrid>
        <w:gridCol w:w="9460"/>
      </w:tblGrid>
      <w:tr w14:paraId="671EB698">
        <w:tblPrEx>
          <w:tblCellMar>
            <w:top w:w="0" w:type="dxa"/>
            <w:left w:w="108" w:type="dxa"/>
            <w:bottom w:w="0" w:type="dxa"/>
            <w:right w:w="108" w:type="dxa"/>
          </w:tblCellMar>
        </w:tblPrEx>
        <w:trPr>
          <w:trHeight w:val="5962" w:hRule="atLeast"/>
          <w:jc w:val="center"/>
        </w:trPr>
        <w:tc>
          <w:tcPr>
            <w:tcW w:w="9460" w:type="dxa"/>
            <w:tcBorders>
              <w:top w:val="single" w:color="auto" w:sz="4" w:space="0"/>
              <w:left w:val="single" w:color="auto" w:sz="4" w:space="0"/>
              <w:bottom w:val="single" w:color="auto" w:sz="4" w:space="0"/>
              <w:right w:val="single" w:color="auto" w:sz="4" w:space="0"/>
            </w:tcBorders>
          </w:tcPr>
          <w:p w14:paraId="41BA4DFF">
            <w:pPr>
              <w:shd w:val="clear"/>
              <w:kinsoku/>
              <w:overflowPunct/>
              <w:bidi w:val="0"/>
              <w:spacing w:line="440" w:lineRule="exact"/>
              <w:ind w:left="0" w:leftChars="0" w:right="0" w:rightChars="0" w:firstLine="560" w:firstLineChars="200"/>
              <w:rPr>
                <w:rFonts w:ascii="宋体" w:cs="宋体"/>
                <w:color w:val="auto"/>
                <w:sz w:val="28"/>
                <w:szCs w:val="28"/>
                <w:highlight w:val="none"/>
              </w:rPr>
            </w:pPr>
          </w:p>
          <w:p w14:paraId="71AD0014">
            <w:pPr>
              <w:shd w:val="clear"/>
              <w:kinsoku/>
              <w:overflowPunct/>
              <w:bidi w:val="0"/>
              <w:spacing w:afterLines="50"/>
              <w:ind w:left="0" w:leftChars="0" w:right="0" w:rightChars="0"/>
              <w:rPr>
                <w:rFonts w:ascii="宋体" w:cs="宋体"/>
                <w:color w:val="auto"/>
                <w:sz w:val="28"/>
                <w:szCs w:val="28"/>
                <w:highlight w:val="none"/>
              </w:rPr>
            </w:pPr>
            <w:r>
              <w:rPr>
                <w:rFonts w:hint="eastAsia" w:ascii="宋体" w:cs="宋体"/>
                <w:color w:val="auto"/>
                <w:sz w:val="28"/>
                <w:szCs w:val="28"/>
                <w:highlight w:val="none"/>
              </w:rPr>
              <w:t xml:space="preserve">  我单位对</w:t>
            </w:r>
            <w:r>
              <w:rPr>
                <w:rFonts w:hint="eastAsia" w:ascii="宋体" w:cs="宋体"/>
                <w:color w:val="auto"/>
                <w:sz w:val="28"/>
                <w:szCs w:val="28"/>
                <w:highlight w:val="none"/>
                <w:u w:val="single"/>
              </w:rPr>
              <w:t xml:space="preserve"> </w:t>
            </w:r>
            <w:r>
              <w:rPr>
                <w:rFonts w:hint="eastAsia" w:ascii="宋体" w:cs="宋体"/>
                <w:color w:val="auto"/>
                <w:sz w:val="28"/>
                <w:szCs w:val="28"/>
                <w:highlight w:val="none"/>
                <w:u w:val="single"/>
                <w:lang w:val="en-US" w:eastAsia="zh-CN"/>
              </w:rPr>
              <w:t>滁州工投新能源开发有限公司2026年在营光伏电站及汽车充电站高压设备巡检维护项目（三次）</w:t>
            </w:r>
            <w:r>
              <w:rPr>
                <w:rFonts w:hint="eastAsia" w:ascii="宋体" w:cs="宋体"/>
                <w:color w:val="auto"/>
                <w:sz w:val="28"/>
                <w:szCs w:val="28"/>
                <w:highlight w:val="none"/>
                <w:u w:val="single"/>
              </w:rPr>
              <w:t xml:space="preserve"> </w:t>
            </w:r>
            <w:r>
              <w:rPr>
                <w:rFonts w:hint="eastAsia" w:ascii="宋体" w:cs="宋体"/>
                <w:color w:val="auto"/>
                <w:sz w:val="28"/>
                <w:szCs w:val="28"/>
                <w:highlight w:val="none"/>
              </w:rPr>
              <w:t>的招标文件进行确认。</w:t>
            </w:r>
          </w:p>
          <w:p w14:paraId="2B39A730">
            <w:pPr>
              <w:shd w:val="clear"/>
              <w:kinsoku/>
              <w:overflowPunct/>
              <w:bidi w:val="0"/>
              <w:spacing w:line="540" w:lineRule="exact"/>
              <w:ind w:left="0" w:leftChars="0" w:right="0" w:rightChars="0"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招标单位：</w:t>
            </w:r>
            <w:r>
              <w:rPr>
                <w:rFonts w:hint="eastAsia" w:ascii="宋体" w:cs="宋体"/>
                <w:color w:val="auto"/>
                <w:sz w:val="28"/>
                <w:szCs w:val="28"/>
                <w:highlight w:val="none"/>
                <w:lang w:eastAsia="zh-CN"/>
              </w:rPr>
              <w:t>滁州工投新能源开发有限公司</w:t>
            </w:r>
          </w:p>
          <w:p w14:paraId="6F442B47">
            <w:pPr>
              <w:shd w:val="clear"/>
              <w:kinsoku/>
              <w:overflowPunct/>
              <w:bidi w:val="0"/>
              <w:spacing w:line="540" w:lineRule="exact"/>
              <w:ind w:left="0" w:leftChars="0" w:right="0" w:rightChars="0"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委托代理人：</w:t>
            </w:r>
            <w:r>
              <w:rPr>
                <w:rFonts w:hint="eastAsia" w:ascii="宋体" w:cs="宋体"/>
                <w:color w:val="auto"/>
                <w:sz w:val="28"/>
                <w:szCs w:val="28"/>
                <w:highlight w:val="none"/>
                <w:lang w:val="en-US" w:eastAsia="zh-CN"/>
              </w:rPr>
              <w:t>蔡工</w:t>
            </w:r>
          </w:p>
          <w:p w14:paraId="6654FBA7">
            <w:pPr>
              <w:shd w:val="clear"/>
              <w:kinsoku/>
              <w:overflowPunct/>
              <w:bidi w:val="0"/>
              <w:spacing w:line="540" w:lineRule="exact"/>
              <w:ind w:left="0" w:leftChars="0" w:right="0" w:rightChars="0"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联系电话：</w:t>
            </w:r>
            <w:r>
              <w:rPr>
                <w:rFonts w:hint="eastAsia" w:ascii="宋体" w:cs="宋体"/>
                <w:color w:val="auto"/>
                <w:sz w:val="28"/>
                <w:szCs w:val="28"/>
                <w:highlight w:val="none"/>
                <w:lang w:eastAsia="zh-CN"/>
              </w:rPr>
              <w:t>0550-3018125</w:t>
            </w:r>
          </w:p>
          <w:p w14:paraId="4EE91111">
            <w:pPr>
              <w:shd w:val="clear"/>
              <w:kinsoku/>
              <w:overflowPunct/>
              <w:bidi w:val="0"/>
              <w:spacing w:line="540" w:lineRule="exact"/>
              <w:ind w:left="0" w:leftChars="0" w:right="0" w:rightChars="0" w:firstLine="7140" w:firstLineChars="2550"/>
              <w:rPr>
                <w:rFonts w:ascii="宋体" w:cs="宋体"/>
                <w:color w:val="auto"/>
                <w:sz w:val="28"/>
                <w:szCs w:val="28"/>
                <w:highlight w:val="none"/>
              </w:rPr>
            </w:pPr>
          </w:p>
          <w:p w14:paraId="374A06F5">
            <w:pPr>
              <w:shd w:val="clear"/>
              <w:kinsoku/>
              <w:overflowPunct/>
              <w:bidi w:val="0"/>
              <w:spacing w:line="540" w:lineRule="exact"/>
              <w:ind w:left="0" w:leftChars="0" w:right="0" w:rightChars="0" w:firstLine="7140" w:firstLineChars="2550"/>
              <w:rPr>
                <w:rFonts w:ascii="宋体" w:cs="宋体"/>
                <w:color w:val="auto"/>
                <w:sz w:val="28"/>
                <w:szCs w:val="28"/>
                <w:highlight w:val="none"/>
              </w:rPr>
            </w:pPr>
            <w:r>
              <w:rPr>
                <w:rFonts w:hint="eastAsia" w:ascii="宋体" w:cs="宋体"/>
                <w:color w:val="auto"/>
                <w:sz w:val="28"/>
                <w:szCs w:val="28"/>
                <w:highlight w:val="none"/>
              </w:rPr>
              <w:t>（盖单位章）</w:t>
            </w:r>
          </w:p>
          <w:p w14:paraId="1544CE89">
            <w:pPr>
              <w:shd w:val="clear"/>
              <w:kinsoku/>
              <w:overflowPunct/>
              <w:bidi w:val="0"/>
              <w:spacing w:line="540" w:lineRule="exact"/>
              <w:ind w:left="0" w:leftChars="0" w:right="0" w:rightChars="0"/>
              <w:jc w:val="right"/>
              <w:rPr>
                <w:rFonts w:ascii="宋体" w:cs="宋体"/>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2</w:t>
            </w:r>
            <w:r>
              <w:rPr>
                <w:rFonts w:hint="eastAsia" w:ascii="宋体" w:cs="宋体"/>
                <w:color w:val="auto"/>
                <w:sz w:val="28"/>
                <w:szCs w:val="28"/>
                <w:highlight w:val="none"/>
              </w:rPr>
              <w:t>月</w:t>
            </w:r>
          </w:p>
        </w:tc>
      </w:tr>
      <w:tr w14:paraId="56B1CB51">
        <w:tblPrEx>
          <w:tblCellMar>
            <w:top w:w="0" w:type="dxa"/>
            <w:left w:w="108" w:type="dxa"/>
            <w:bottom w:w="0" w:type="dxa"/>
            <w:right w:w="108" w:type="dxa"/>
          </w:tblCellMar>
        </w:tblPrEx>
        <w:trPr>
          <w:trHeight w:val="5471" w:hRule="atLeast"/>
          <w:jc w:val="center"/>
        </w:trPr>
        <w:tc>
          <w:tcPr>
            <w:tcW w:w="9460" w:type="dxa"/>
            <w:tcBorders>
              <w:top w:val="single" w:color="auto" w:sz="4" w:space="0"/>
              <w:left w:val="single" w:color="auto" w:sz="4" w:space="0"/>
              <w:bottom w:val="single" w:color="auto" w:sz="4" w:space="0"/>
              <w:right w:val="single" w:color="auto" w:sz="4" w:space="0"/>
            </w:tcBorders>
          </w:tcPr>
          <w:p w14:paraId="428CD198">
            <w:pPr>
              <w:shd w:val="clear"/>
              <w:kinsoku/>
              <w:overflowPunct/>
              <w:bidi w:val="0"/>
              <w:spacing w:line="440" w:lineRule="exact"/>
              <w:ind w:left="0" w:leftChars="0" w:right="0" w:rightChars="0"/>
              <w:rPr>
                <w:rFonts w:ascii="宋体" w:cs="宋体"/>
                <w:color w:val="auto"/>
                <w:sz w:val="28"/>
                <w:szCs w:val="28"/>
                <w:highlight w:val="none"/>
              </w:rPr>
            </w:pPr>
          </w:p>
          <w:p w14:paraId="7C7EE2BA">
            <w:pPr>
              <w:shd w:val="clear"/>
              <w:kinsoku/>
              <w:overflowPunct/>
              <w:bidi w:val="0"/>
              <w:spacing w:line="520" w:lineRule="exact"/>
              <w:ind w:left="0" w:leftChars="0" w:right="0" w:rightChars="0" w:firstLine="560" w:firstLineChars="200"/>
              <w:rPr>
                <w:rFonts w:ascii="宋体" w:cs="宋体"/>
                <w:color w:val="auto"/>
                <w:sz w:val="28"/>
                <w:szCs w:val="28"/>
                <w:highlight w:val="none"/>
              </w:rPr>
            </w:pPr>
            <w:r>
              <w:rPr>
                <w:rFonts w:hint="eastAsia" w:ascii="宋体" w:cs="宋体"/>
                <w:color w:val="auto"/>
                <w:sz w:val="28"/>
                <w:szCs w:val="28"/>
                <w:highlight w:val="none"/>
              </w:rPr>
              <w:t>招标代理机构：滁州市城投工程咨询管理有限公司</w:t>
            </w:r>
          </w:p>
          <w:p w14:paraId="4FEF567E">
            <w:pPr>
              <w:shd w:val="clear"/>
              <w:kinsoku/>
              <w:overflowPunct/>
              <w:bidi w:val="0"/>
              <w:spacing w:line="520" w:lineRule="exact"/>
              <w:ind w:left="0" w:leftChars="0" w:right="0" w:rightChars="0"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经办人：</w:t>
            </w:r>
            <w:r>
              <w:rPr>
                <w:rFonts w:hint="eastAsia" w:ascii="宋体" w:cs="宋体"/>
                <w:color w:val="auto"/>
                <w:sz w:val="28"/>
                <w:szCs w:val="28"/>
                <w:highlight w:val="none"/>
                <w:lang w:val="en-US" w:eastAsia="zh-CN"/>
              </w:rPr>
              <w:t>关勤勤</w:t>
            </w:r>
          </w:p>
          <w:p w14:paraId="0A0FF70C">
            <w:pPr>
              <w:shd w:val="clear"/>
              <w:kinsoku/>
              <w:overflowPunct/>
              <w:bidi w:val="0"/>
              <w:spacing w:line="520" w:lineRule="exact"/>
              <w:ind w:left="0" w:leftChars="0" w:right="0" w:rightChars="0" w:firstLine="560" w:firstLineChars="200"/>
              <w:rPr>
                <w:rFonts w:hint="default" w:ascii="宋体" w:eastAsia="宋体" w:cs="宋体"/>
                <w:color w:val="auto"/>
                <w:sz w:val="28"/>
                <w:szCs w:val="28"/>
                <w:highlight w:val="none"/>
                <w:lang w:val="en-US" w:eastAsia="zh-CN"/>
              </w:rPr>
            </w:pPr>
            <w:r>
              <w:rPr>
                <w:rFonts w:hint="eastAsia" w:ascii="宋体" w:cs="宋体"/>
                <w:color w:val="auto"/>
                <w:sz w:val="28"/>
                <w:szCs w:val="28"/>
                <w:highlight w:val="none"/>
              </w:rPr>
              <w:t>电  话：0550-3519590、</w:t>
            </w:r>
            <w:r>
              <w:rPr>
                <w:rFonts w:hint="eastAsia" w:ascii="宋体" w:cs="宋体"/>
                <w:color w:val="auto"/>
                <w:sz w:val="28"/>
                <w:szCs w:val="28"/>
                <w:highlight w:val="none"/>
                <w:lang w:val="en-US" w:eastAsia="zh-CN"/>
              </w:rPr>
              <w:t>18909605753</w:t>
            </w:r>
          </w:p>
          <w:p w14:paraId="0675C185">
            <w:pPr>
              <w:shd w:val="clear"/>
              <w:kinsoku/>
              <w:overflowPunct/>
              <w:bidi w:val="0"/>
              <w:spacing w:line="520" w:lineRule="exact"/>
              <w:ind w:left="0" w:leftChars="0" w:right="0" w:rightChars="0" w:firstLine="6300" w:firstLineChars="2250"/>
              <w:rPr>
                <w:rFonts w:ascii="宋体" w:cs="宋体"/>
                <w:color w:val="auto"/>
                <w:sz w:val="28"/>
                <w:szCs w:val="28"/>
                <w:highlight w:val="none"/>
              </w:rPr>
            </w:pPr>
          </w:p>
          <w:p w14:paraId="35D3AC65">
            <w:pPr>
              <w:pStyle w:val="34"/>
              <w:shd w:val="clear"/>
              <w:kinsoku/>
              <w:overflowPunct/>
              <w:bidi w:val="0"/>
              <w:ind w:left="0" w:leftChars="0" w:right="0" w:rightChars="0"/>
              <w:rPr>
                <w:color w:val="auto"/>
                <w:kern w:val="2"/>
                <w:sz w:val="21"/>
                <w:szCs w:val="24"/>
                <w:highlight w:val="none"/>
              </w:rPr>
            </w:pPr>
          </w:p>
          <w:p w14:paraId="6CBA4020">
            <w:pPr>
              <w:shd w:val="clear"/>
              <w:kinsoku/>
              <w:overflowPunct/>
              <w:bidi w:val="0"/>
              <w:spacing w:line="520" w:lineRule="exact"/>
              <w:ind w:left="0" w:leftChars="0" w:right="0" w:rightChars="0" w:firstLine="6580" w:firstLineChars="2350"/>
              <w:rPr>
                <w:rFonts w:ascii="宋体" w:cs="宋体"/>
                <w:color w:val="auto"/>
                <w:sz w:val="28"/>
                <w:szCs w:val="28"/>
                <w:highlight w:val="none"/>
              </w:rPr>
            </w:pPr>
          </w:p>
          <w:p w14:paraId="15947740">
            <w:pPr>
              <w:shd w:val="clear"/>
              <w:kinsoku/>
              <w:overflowPunct/>
              <w:bidi w:val="0"/>
              <w:spacing w:line="520" w:lineRule="exact"/>
              <w:ind w:left="0" w:leftChars="0" w:right="0" w:rightChars="0" w:firstLine="7140" w:firstLineChars="2550"/>
              <w:rPr>
                <w:rFonts w:ascii="宋体" w:cs="宋体"/>
                <w:color w:val="auto"/>
                <w:sz w:val="28"/>
                <w:szCs w:val="28"/>
                <w:highlight w:val="none"/>
              </w:rPr>
            </w:pPr>
            <w:r>
              <w:rPr>
                <w:rFonts w:hint="eastAsia" w:ascii="宋体" w:cs="宋体"/>
                <w:color w:val="auto"/>
                <w:sz w:val="28"/>
                <w:szCs w:val="28"/>
                <w:highlight w:val="none"/>
              </w:rPr>
              <w:t>（盖单位章）</w:t>
            </w:r>
          </w:p>
          <w:p w14:paraId="05D32B17">
            <w:pPr>
              <w:shd w:val="clear"/>
              <w:kinsoku/>
              <w:overflowPunct/>
              <w:bidi w:val="0"/>
              <w:spacing w:line="540" w:lineRule="exact"/>
              <w:ind w:left="0" w:leftChars="0" w:right="0" w:rightChars="0"/>
              <w:jc w:val="right"/>
              <w:rPr>
                <w:rFonts w:ascii="宋体" w:cs="宋体"/>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2</w:t>
            </w:r>
            <w:r>
              <w:rPr>
                <w:rFonts w:hint="eastAsia" w:ascii="宋体" w:cs="宋体"/>
                <w:color w:val="auto"/>
                <w:sz w:val="28"/>
                <w:szCs w:val="28"/>
                <w:highlight w:val="none"/>
              </w:rPr>
              <w:t>月</w:t>
            </w:r>
          </w:p>
        </w:tc>
      </w:tr>
    </w:tbl>
    <w:p w14:paraId="245BEC10">
      <w:pPr>
        <w:shd w:val="clear"/>
        <w:kinsoku/>
        <w:overflowPunct/>
        <w:bidi w:val="0"/>
        <w:ind w:left="0" w:leftChars="0" w:right="0" w:rightChars="0"/>
        <w:rPr>
          <w:color w:val="auto"/>
          <w:highlight w:val="none"/>
        </w:rPr>
      </w:pPr>
    </w:p>
    <w:sectPr>
      <w:pgSz w:w="11906" w:h="16838"/>
      <w:pgMar w:top="1440" w:right="1247" w:bottom="1417" w:left="124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DokChampa">
    <w:altName w:val="Microsoft Sans Serif"/>
    <w:panose1 w:val="00000000000000000000"/>
    <w:charset w:val="00"/>
    <w:family w:val="swiss"/>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MS Sans Serif">
    <w:altName w:val="Segoe Print"/>
    <w:panose1 w:val="020B05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28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4002EFF" w:usb1="C000E47F" w:usb2="00000009" w:usb3="00000000" w:csb0="200001FF" w:csb1="00000000"/>
  </w:font>
  <w:font w:name="ActionIcon">
    <w:altName w:val="Segoe Print"/>
    <w:panose1 w:val="00000000000000000000"/>
    <w:charset w:val="00"/>
    <w:family w:val="auto"/>
    <w:pitch w:val="default"/>
    <w:sig w:usb0="00000000" w:usb1="00000000" w:usb2="00000000" w:usb3="00000000" w:csb0="00000000" w:csb1="00000000"/>
  </w:font>
  <w:font w:name="SourceHanSansCN-Regular">
    <w:altName w:val="Segoe Print"/>
    <w:panose1 w:val="00000000000000000000"/>
    <w:charset w:val="00"/>
    <w:family w:val="auto"/>
    <w:pitch w:val="default"/>
    <w:sig w:usb0="00000000" w:usb1="00000000" w:usb2="00000000" w:usb3="00000000" w:csb0="00000000" w:csb1="00000000"/>
  </w:font>
  <w:font w:name="ModIcon">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89A6A">
    <w:pPr>
      <w:pStyle w:val="22"/>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A2D3A">
    <w:pPr>
      <w:pStyle w:val="22"/>
      <w:tabs>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BDFEC4">
                          <w:pPr>
                            <w:pStyle w:val="2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2DBDFEC4">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D8BA4">
    <w:pPr>
      <w:pStyle w:val="23"/>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FAA30">
    <w:pPr>
      <w:pStyle w:val="23"/>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chineseCountingThousand"/>
      <w:pStyle w:val="102"/>
      <w:suff w:val="space"/>
      <w:lvlText w:val="%1、"/>
      <w:lvlJc w:val="left"/>
      <w:pPr>
        <w:ind w:left="425" w:hanging="425"/>
      </w:pPr>
      <w:rPr>
        <w:rFonts w:hint="eastAsia"/>
      </w:rPr>
    </w:lvl>
    <w:lvl w:ilvl="1" w:tentative="0">
      <w:start w:val="1"/>
      <w:numFmt w:val="decimal"/>
      <w:suff w:val="space"/>
      <w:lvlText w:val="%2、"/>
      <w:lvlJc w:val="left"/>
      <w:pPr>
        <w:ind w:left="454" w:hanging="454"/>
      </w:pPr>
      <w:rPr>
        <w:rFonts w:hint="eastAsia"/>
      </w:rPr>
    </w:lvl>
    <w:lvl w:ilvl="2" w:tentative="0">
      <w:start w:val="1"/>
      <w:numFmt w:val="decimal"/>
      <w:suff w:val="space"/>
      <w:lvlText w:val="%2.%3"/>
      <w:lvlJc w:val="left"/>
      <w:pPr>
        <w:ind w:left="454" w:hanging="454"/>
      </w:pPr>
      <w:rPr>
        <w:rFonts w:hint="default" w:ascii="Cambria" w:hAnsi="Cambria"/>
      </w:rPr>
    </w:lvl>
    <w:lvl w:ilvl="3" w:tentative="0">
      <w:start w:val="1"/>
      <w:numFmt w:val="decimal"/>
      <w:lvlText w:val="%2.%3.%4"/>
      <w:lvlJc w:val="left"/>
      <w:pPr>
        <w:ind w:left="454" w:hanging="454"/>
      </w:pPr>
      <w:rPr>
        <w:rFonts w:hint="eastAsia"/>
      </w:rPr>
    </w:lvl>
    <w:lvl w:ilvl="4" w:tentative="0">
      <w:start w:val="1"/>
      <w:numFmt w:val="decimal"/>
      <w:lvlText w:val="%2.%3.%4.%5"/>
      <w:lvlJc w:val="left"/>
      <w:pPr>
        <w:ind w:left="454" w:hanging="454"/>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1">
    <w:nsid w:val="00000007"/>
    <w:multiLevelType w:val="multilevel"/>
    <w:tmpl w:val="00000007"/>
    <w:lvl w:ilvl="0" w:tentative="0">
      <w:start w:val="1"/>
      <w:numFmt w:val="chineseCountingThousand"/>
      <w:pStyle w:val="31"/>
      <w:lvlText w:val="%1、"/>
      <w:lvlJc w:val="left"/>
      <w:pPr>
        <w:ind w:left="420" w:hanging="420"/>
      </w:pPr>
      <w:rPr>
        <w:rFonts w:ascii="Times New Roman" w:hAnsi="Times New Roman" w:cs="Times New Roman"/>
        <w:b w:val="0"/>
        <w:bCs w:val="0"/>
        <w:i w:val="0"/>
        <w:iCs w:val="0"/>
        <w:caps w:val="0"/>
        <w:smallCaps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decimal"/>
      <w:pStyle w:val="95"/>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000000F"/>
    <w:multiLevelType w:val="multilevel"/>
    <w:tmpl w:val="0000000F"/>
    <w:lvl w:ilvl="0" w:tentative="0">
      <w:start w:val="1"/>
      <w:numFmt w:val="decimal"/>
      <w:lvlText w:val="%1、"/>
      <w:lvlJc w:val="left"/>
      <w:pPr>
        <w:ind w:left="371" w:hanging="360"/>
      </w:pPr>
      <w:rPr>
        <w:rFonts w:hint="default"/>
      </w:rPr>
    </w:lvl>
    <w:lvl w:ilvl="1" w:tentative="0">
      <w:start w:val="1"/>
      <w:numFmt w:val="lowerLetter"/>
      <w:pStyle w:val="3"/>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4">
    <w:nsid w:val="00000010"/>
    <w:multiLevelType w:val="multilevel"/>
    <w:tmpl w:val="00000010"/>
    <w:lvl w:ilvl="0" w:tentative="0">
      <w:start w:val="1"/>
      <w:numFmt w:val="decimal"/>
      <w:pStyle w:val="10"/>
      <w:lvlText w:val="%1"/>
      <w:lvlJc w:val="left"/>
      <w:pPr>
        <w:tabs>
          <w:tab w:val="left" w:pos="425"/>
        </w:tabs>
        <w:ind w:left="425" w:hanging="425"/>
      </w:pPr>
      <w:rPr>
        <w:rFonts w:hint="default" w:ascii="Times New Roman" w:hAnsi="Times New Roman" w:cs="Times New Roman"/>
        <w:b/>
        <w:i w:val="0"/>
        <w:sz w:val="28"/>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5">
    <w:nsid w:val="00000012"/>
    <w:multiLevelType w:val="multilevel"/>
    <w:tmpl w:val="00000012"/>
    <w:lvl w:ilvl="0" w:tentative="0">
      <w:start w:val="1"/>
      <w:numFmt w:val="chineseCountingThousand"/>
      <w:pStyle w:val="118"/>
      <w:lvlText w:val="%1、"/>
      <w:lvlJc w:val="left"/>
      <w:pPr>
        <w:tabs>
          <w:tab w:val="left" w:pos="425"/>
        </w:tabs>
        <w:ind w:left="425" w:hanging="425"/>
      </w:pPr>
      <w:rPr>
        <w:rFonts w:hint="eastAsia" w:cs="Times New Roman"/>
      </w:r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69"/>
        </w:tabs>
        <w:ind w:left="1069" w:hanging="709"/>
      </w:pPr>
      <w:rPr>
        <w:rFonts w:hint="default" w:ascii="Arial" w:hAnsi="Arial" w:cs="Arial"/>
      </w:rPr>
    </w:lvl>
    <w:lvl w:ilvl="3" w:tentative="0">
      <w:start w:val="1"/>
      <w:numFmt w:val="decimal"/>
      <w:isLgl/>
      <w:lvlText w:val="%1.%2.%3.%4"/>
      <w:lvlJc w:val="left"/>
      <w:pPr>
        <w:tabs>
          <w:tab w:val="left" w:pos="1080"/>
        </w:tabs>
        <w:ind w:left="851" w:hanging="851"/>
      </w:pPr>
      <w:rPr>
        <w:rFonts w:hint="default" w:ascii="Arial" w:hAnsi="Arial" w:cs="Arial"/>
        <w:sz w:val="24"/>
        <w:szCs w:val="24"/>
      </w:rPr>
    </w:lvl>
    <w:lvl w:ilvl="4" w:tentative="0">
      <w:start w:val="1"/>
      <w:numFmt w:val="decimal"/>
      <w:isLgl/>
      <w:lvlText w:val="%1.%2.%3.%4.%5"/>
      <w:lvlJc w:val="left"/>
      <w:pPr>
        <w:tabs>
          <w:tab w:val="left" w:pos="1440"/>
        </w:tabs>
        <w:ind w:left="992" w:hanging="992"/>
      </w:pPr>
      <w:rPr>
        <w:rFonts w:hint="eastAsia" w:cs="Times New Roman"/>
      </w:rPr>
    </w:lvl>
    <w:lvl w:ilvl="5" w:tentative="0">
      <w:start w:val="1"/>
      <w:numFmt w:val="decimal"/>
      <w:isLgl/>
      <w:lvlText w:val="%1.%2.%3.%4.%5.%6"/>
      <w:lvlJc w:val="left"/>
      <w:pPr>
        <w:tabs>
          <w:tab w:val="left" w:pos="1440"/>
        </w:tabs>
        <w:ind w:left="1134" w:hanging="1134"/>
      </w:pPr>
      <w:rPr>
        <w:rFonts w:hint="eastAsia" w:cs="Times New Roman"/>
      </w:rPr>
    </w:lvl>
    <w:lvl w:ilvl="6" w:tentative="0">
      <w:start w:val="1"/>
      <w:numFmt w:val="decimal"/>
      <w:isLgl/>
      <w:lvlText w:val="%1.%2.%3.%4.%5.%6.%7"/>
      <w:lvlJc w:val="left"/>
      <w:pPr>
        <w:tabs>
          <w:tab w:val="left" w:pos="1800"/>
        </w:tabs>
        <w:ind w:left="1276" w:hanging="1276"/>
      </w:pPr>
      <w:rPr>
        <w:rFonts w:hint="eastAsia" w:cs="Times New Roman"/>
      </w:rPr>
    </w:lvl>
    <w:lvl w:ilvl="7" w:tentative="0">
      <w:start w:val="1"/>
      <w:numFmt w:val="decimal"/>
      <w:isLgl/>
      <w:lvlText w:val="%1.%2.%3.%4.%5.%6.%7.%8"/>
      <w:lvlJc w:val="left"/>
      <w:pPr>
        <w:tabs>
          <w:tab w:val="left" w:pos="1800"/>
        </w:tabs>
        <w:ind w:left="1418" w:hanging="1418"/>
      </w:pPr>
      <w:rPr>
        <w:rFonts w:hint="eastAsia" w:cs="Times New Roman"/>
      </w:rPr>
    </w:lvl>
    <w:lvl w:ilvl="8" w:tentative="0">
      <w:start w:val="1"/>
      <w:numFmt w:val="decimal"/>
      <w:isLgl/>
      <w:lvlText w:val="%1.%2.%3.%4.%5.%6.%7.%8.%9"/>
      <w:lvlJc w:val="left"/>
      <w:pPr>
        <w:tabs>
          <w:tab w:val="left" w:pos="2160"/>
        </w:tabs>
        <w:ind w:left="1559" w:hanging="1559"/>
      </w:pPr>
      <w:rPr>
        <w:rFonts w:hint="eastAsia" w:cs="Times New Roman"/>
      </w:rPr>
    </w:lvl>
  </w:abstractNum>
  <w:abstractNum w:abstractNumId="6">
    <w:nsid w:val="00000014"/>
    <w:multiLevelType w:val="multilevel"/>
    <w:tmpl w:val="00000014"/>
    <w:lvl w:ilvl="0" w:tentative="0">
      <w:start w:val="1"/>
      <w:numFmt w:val="decimal"/>
      <w:pStyle w:val="25"/>
      <w:lvlText w:val="%1."/>
      <w:lvlJc w:val="left"/>
      <w:pPr>
        <w:ind w:left="420" w:firstLine="0"/>
      </w:pPr>
      <w:rPr>
        <w:rFonts w:ascii="Times New Roman" w:hAnsi="Times New Roman" w:cs="Times New Roman"/>
        <w:b w:val="0"/>
        <w:bCs w:val="0"/>
        <w:i w:val="0"/>
        <w:iCs w:val="0"/>
        <w:caps w:val="0"/>
        <w:smallCaps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4"/>
  </w:num>
  <w:num w:numId="3">
    <w:abstractNumId w:val="6"/>
  </w:num>
  <w:num w:numId="4">
    <w:abstractNumId w:val="1"/>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4"/>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2MDg4MDUzNmIyYTdkNTNkMmFkNGIwMDY2OWVhZjIifQ=="/>
  </w:docVars>
  <w:rsids>
    <w:rsidRoot w:val="00172A27"/>
    <w:rsid w:val="000126F2"/>
    <w:rsid w:val="00086696"/>
    <w:rsid w:val="0009024D"/>
    <w:rsid w:val="000F5645"/>
    <w:rsid w:val="00115C78"/>
    <w:rsid w:val="00153AFF"/>
    <w:rsid w:val="00172A27"/>
    <w:rsid w:val="00186C2B"/>
    <w:rsid w:val="00212728"/>
    <w:rsid w:val="00233C4E"/>
    <w:rsid w:val="00251036"/>
    <w:rsid w:val="002E50F8"/>
    <w:rsid w:val="003225FB"/>
    <w:rsid w:val="00330766"/>
    <w:rsid w:val="003419E5"/>
    <w:rsid w:val="003955F9"/>
    <w:rsid w:val="00395E25"/>
    <w:rsid w:val="003E670B"/>
    <w:rsid w:val="00401F67"/>
    <w:rsid w:val="00403054"/>
    <w:rsid w:val="00466F77"/>
    <w:rsid w:val="004C4A9A"/>
    <w:rsid w:val="004F3A79"/>
    <w:rsid w:val="004F5165"/>
    <w:rsid w:val="00506947"/>
    <w:rsid w:val="00510AFB"/>
    <w:rsid w:val="00533663"/>
    <w:rsid w:val="005868F5"/>
    <w:rsid w:val="005931B7"/>
    <w:rsid w:val="005A3C00"/>
    <w:rsid w:val="005B5679"/>
    <w:rsid w:val="005C1BE9"/>
    <w:rsid w:val="00620A2A"/>
    <w:rsid w:val="00677F31"/>
    <w:rsid w:val="0069368B"/>
    <w:rsid w:val="0074554D"/>
    <w:rsid w:val="007678C6"/>
    <w:rsid w:val="007D541D"/>
    <w:rsid w:val="007F45BE"/>
    <w:rsid w:val="008005F7"/>
    <w:rsid w:val="008201B4"/>
    <w:rsid w:val="00833AB6"/>
    <w:rsid w:val="00853109"/>
    <w:rsid w:val="008766D7"/>
    <w:rsid w:val="008C7661"/>
    <w:rsid w:val="008E0C60"/>
    <w:rsid w:val="009255FE"/>
    <w:rsid w:val="009269A2"/>
    <w:rsid w:val="009343AA"/>
    <w:rsid w:val="00937817"/>
    <w:rsid w:val="009B2C38"/>
    <w:rsid w:val="009D17C8"/>
    <w:rsid w:val="009E196C"/>
    <w:rsid w:val="009F2CCC"/>
    <w:rsid w:val="00A012AB"/>
    <w:rsid w:val="00A54152"/>
    <w:rsid w:val="00A67D58"/>
    <w:rsid w:val="00A975DD"/>
    <w:rsid w:val="00AC5855"/>
    <w:rsid w:val="00AF40A6"/>
    <w:rsid w:val="00AF43B5"/>
    <w:rsid w:val="00B41BDC"/>
    <w:rsid w:val="00B45701"/>
    <w:rsid w:val="00B502D3"/>
    <w:rsid w:val="00B627A9"/>
    <w:rsid w:val="00B77363"/>
    <w:rsid w:val="00B84EF4"/>
    <w:rsid w:val="00B8500A"/>
    <w:rsid w:val="00BF0751"/>
    <w:rsid w:val="00C069E8"/>
    <w:rsid w:val="00C24AE6"/>
    <w:rsid w:val="00C2723E"/>
    <w:rsid w:val="00C57688"/>
    <w:rsid w:val="00C9047B"/>
    <w:rsid w:val="00CD391E"/>
    <w:rsid w:val="00CD4DF4"/>
    <w:rsid w:val="00CF1FFF"/>
    <w:rsid w:val="00D24FF0"/>
    <w:rsid w:val="00D25ACB"/>
    <w:rsid w:val="00D46C3D"/>
    <w:rsid w:val="00D50329"/>
    <w:rsid w:val="00D651BA"/>
    <w:rsid w:val="00DD6A62"/>
    <w:rsid w:val="00DD75A2"/>
    <w:rsid w:val="00E4156B"/>
    <w:rsid w:val="00E6284A"/>
    <w:rsid w:val="00E700A9"/>
    <w:rsid w:val="00E70847"/>
    <w:rsid w:val="00E87AA3"/>
    <w:rsid w:val="00F13E63"/>
    <w:rsid w:val="00F21540"/>
    <w:rsid w:val="00F768E1"/>
    <w:rsid w:val="00FC3E1B"/>
    <w:rsid w:val="00FF16F3"/>
    <w:rsid w:val="016947F9"/>
    <w:rsid w:val="016E2F6B"/>
    <w:rsid w:val="01826A17"/>
    <w:rsid w:val="01CB7DA6"/>
    <w:rsid w:val="01D9415D"/>
    <w:rsid w:val="01DA5E9C"/>
    <w:rsid w:val="01DB6127"/>
    <w:rsid w:val="01DE01EE"/>
    <w:rsid w:val="01F0374C"/>
    <w:rsid w:val="0219028B"/>
    <w:rsid w:val="022E6257"/>
    <w:rsid w:val="023850C1"/>
    <w:rsid w:val="02477318"/>
    <w:rsid w:val="0255285E"/>
    <w:rsid w:val="026B1259"/>
    <w:rsid w:val="02827B99"/>
    <w:rsid w:val="029F2E1F"/>
    <w:rsid w:val="02BC3AEB"/>
    <w:rsid w:val="02D079EE"/>
    <w:rsid w:val="02E1227E"/>
    <w:rsid w:val="02E54D69"/>
    <w:rsid w:val="02EB239A"/>
    <w:rsid w:val="02F254D6"/>
    <w:rsid w:val="02F53218"/>
    <w:rsid w:val="030355FF"/>
    <w:rsid w:val="03280EF8"/>
    <w:rsid w:val="0341645D"/>
    <w:rsid w:val="035241C7"/>
    <w:rsid w:val="037E320E"/>
    <w:rsid w:val="038A570F"/>
    <w:rsid w:val="039C407F"/>
    <w:rsid w:val="039E11BA"/>
    <w:rsid w:val="03A2514E"/>
    <w:rsid w:val="03B409DD"/>
    <w:rsid w:val="03C03826"/>
    <w:rsid w:val="03C30C20"/>
    <w:rsid w:val="03D1158F"/>
    <w:rsid w:val="03D96696"/>
    <w:rsid w:val="03DB41BC"/>
    <w:rsid w:val="03EF7C67"/>
    <w:rsid w:val="03FE7EAB"/>
    <w:rsid w:val="041C543C"/>
    <w:rsid w:val="04221DEB"/>
    <w:rsid w:val="04435676"/>
    <w:rsid w:val="044E498E"/>
    <w:rsid w:val="04651CD8"/>
    <w:rsid w:val="046A5576"/>
    <w:rsid w:val="04754611"/>
    <w:rsid w:val="048760F2"/>
    <w:rsid w:val="04A942BA"/>
    <w:rsid w:val="04AB3862"/>
    <w:rsid w:val="04BF3332"/>
    <w:rsid w:val="04ED2C18"/>
    <w:rsid w:val="04F01EE9"/>
    <w:rsid w:val="04F76DD4"/>
    <w:rsid w:val="05085485"/>
    <w:rsid w:val="050B6D23"/>
    <w:rsid w:val="053242B0"/>
    <w:rsid w:val="05373674"/>
    <w:rsid w:val="053E4A03"/>
    <w:rsid w:val="05455577"/>
    <w:rsid w:val="05465FAD"/>
    <w:rsid w:val="054B0F4A"/>
    <w:rsid w:val="05790131"/>
    <w:rsid w:val="058F1702"/>
    <w:rsid w:val="05A351AD"/>
    <w:rsid w:val="05DE3CE5"/>
    <w:rsid w:val="05E82BC0"/>
    <w:rsid w:val="05F477B7"/>
    <w:rsid w:val="061816F7"/>
    <w:rsid w:val="062278D0"/>
    <w:rsid w:val="06370ACC"/>
    <w:rsid w:val="063D5DC0"/>
    <w:rsid w:val="06624721"/>
    <w:rsid w:val="06632AA3"/>
    <w:rsid w:val="067A13EB"/>
    <w:rsid w:val="06836B5F"/>
    <w:rsid w:val="069D1BFD"/>
    <w:rsid w:val="06A55ADF"/>
    <w:rsid w:val="06A64F55"/>
    <w:rsid w:val="06C453DB"/>
    <w:rsid w:val="06D82C35"/>
    <w:rsid w:val="06DA075B"/>
    <w:rsid w:val="06F224DF"/>
    <w:rsid w:val="06F9554A"/>
    <w:rsid w:val="070659F4"/>
    <w:rsid w:val="0721282E"/>
    <w:rsid w:val="07371FAF"/>
    <w:rsid w:val="075239E7"/>
    <w:rsid w:val="07750484"/>
    <w:rsid w:val="07794418"/>
    <w:rsid w:val="0788465B"/>
    <w:rsid w:val="07950B26"/>
    <w:rsid w:val="07AD2313"/>
    <w:rsid w:val="07B611C8"/>
    <w:rsid w:val="07B76CEE"/>
    <w:rsid w:val="07E0529D"/>
    <w:rsid w:val="07ED2710"/>
    <w:rsid w:val="07F613C5"/>
    <w:rsid w:val="08140B8B"/>
    <w:rsid w:val="08143A40"/>
    <w:rsid w:val="081E6D6D"/>
    <w:rsid w:val="082779ED"/>
    <w:rsid w:val="08293B60"/>
    <w:rsid w:val="082C4FE6"/>
    <w:rsid w:val="08362309"/>
    <w:rsid w:val="08395955"/>
    <w:rsid w:val="084A1910"/>
    <w:rsid w:val="084F5934"/>
    <w:rsid w:val="085D1644"/>
    <w:rsid w:val="08607386"/>
    <w:rsid w:val="08713341"/>
    <w:rsid w:val="0873089C"/>
    <w:rsid w:val="088A4403"/>
    <w:rsid w:val="088A5A8D"/>
    <w:rsid w:val="08A13C26"/>
    <w:rsid w:val="08BF40AC"/>
    <w:rsid w:val="08C07429"/>
    <w:rsid w:val="08D35DAA"/>
    <w:rsid w:val="08D51B22"/>
    <w:rsid w:val="08E27D9B"/>
    <w:rsid w:val="08E92ED7"/>
    <w:rsid w:val="08EE00FD"/>
    <w:rsid w:val="08FA50E4"/>
    <w:rsid w:val="092B6141"/>
    <w:rsid w:val="0935241C"/>
    <w:rsid w:val="09524F20"/>
    <w:rsid w:val="097035F9"/>
    <w:rsid w:val="099217C1"/>
    <w:rsid w:val="09963123"/>
    <w:rsid w:val="09981838"/>
    <w:rsid w:val="09B5283E"/>
    <w:rsid w:val="09C166B7"/>
    <w:rsid w:val="09C851E3"/>
    <w:rsid w:val="09CB469C"/>
    <w:rsid w:val="09CF3948"/>
    <w:rsid w:val="09D678FF"/>
    <w:rsid w:val="09E71B0D"/>
    <w:rsid w:val="09EF44EC"/>
    <w:rsid w:val="09F14739"/>
    <w:rsid w:val="09F317FA"/>
    <w:rsid w:val="0A03621B"/>
    <w:rsid w:val="0A2D3F49"/>
    <w:rsid w:val="0A4708C9"/>
    <w:rsid w:val="0A522CFE"/>
    <w:rsid w:val="0A6E5D8A"/>
    <w:rsid w:val="0A8455AD"/>
    <w:rsid w:val="0A8712AB"/>
    <w:rsid w:val="0AA04DDE"/>
    <w:rsid w:val="0AB12DCE"/>
    <w:rsid w:val="0AB45767"/>
    <w:rsid w:val="0AC43BFC"/>
    <w:rsid w:val="0AD16319"/>
    <w:rsid w:val="0AD96F7B"/>
    <w:rsid w:val="0AEC4F01"/>
    <w:rsid w:val="0AF3628F"/>
    <w:rsid w:val="0B343101"/>
    <w:rsid w:val="0B4B60CB"/>
    <w:rsid w:val="0B626DE8"/>
    <w:rsid w:val="0B627EDA"/>
    <w:rsid w:val="0B704808"/>
    <w:rsid w:val="0B8127C6"/>
    <w:rsid w:val="0B982B0E"/>
    <w:rsid w:val="0BA94BA0"/>
    <w:rsid w:val="0BAB31B1"/>
    <w:rsid w:val="0BAF62FB"/>
    <w:rsid w:val="0BC66C7D"/>
    <w:rsid w:val="0BED3778"/>
    <w:rsid w:val="0C232BA4"/>
    <w:rsid w:val="0C2A577B"/>
    <w:rsid w:val="0C2D26E3"/>
    <w:rsid w:val="0C373ADB"/>
    <w:rsid w:val="0C37733F"/>
    <w:rsid w:val="0C3856AB"/>
    <w:rsid w:val="0C3C5A14"/>
    <w:rsid w:val="0C4274CE"/>
    <w:rsid w:val="0C6952DD"/>
    <w:rsid w:val="0CA75583"/>
    <w:rsid w:val="0CAD06C0"/>
    <w:rsid w:val="0CC52EA8"/>
    <w:rsid w:val="0CC53C5B"/>
    <w:rsid w:val="0CDB7B95"/>
    <w:rsid w:val="0CE95B9C"/>
    <w:rsid w:val="0CEA5470"/>
    <w:rsid w:val="0D077DD0"/>
    <w:rsid w:val="0D2B61B4"/>
    <w:rsid w:val="0D3E4B53"/>
    <w:rsid w:val="0D467F7C"/>
    <w:rsid w:val="0D6B65B1"/>
    <w:rsid w:val="0D8544BC"/>
    <w:rsid w:val="0DA20C83"/>
    <w:rsid w:val="0DA707B9"/>
    <w:rsid w:val="0DE01542"/>
    <w:rsid w:val="0DF2282E"/>
    <w:rsid w:val="0DFD3DA4"/>
    <w:rsid w:val="0E24538F"/>
    <w:rsid w:val="0E46735F"/>
    <w:rsid w:val="0E4969BD"/>
    <w:rsid w:val="0E5928AD"/>
    <w:rsid w:val="0E5B4877"/>
    <w:rsid w:val="0E707BF7"/>
    <w:rsid w:val="0E7D0D45"/>
    <w:rsid w:val="0E8611C8"/>
    <w:rsid w:val="0E975183"/>
    <w:rsid w:val="0EA32999"/>
    <w:rsid w:val="0EAD1661"/>
    <w:rsid w:val="0EBE21D3"/>
    <w:rsid w:val="0EBF7B36"/>
    <w:rsid w:val="0EC50C35"/>
    <w:rsid w:val="0EC51CF1"/>
    <w:rsid w:val="0ECC307F"/>
    <w:rsid w:val="0F0C791F"/>
    <w:rsid w:val="0F1A6FD6"/>
    <w:rsid w:val="0F495220"/>
    <w:rsid w:val="0F4E1CE6"/>
    <w:rsid w:val="0F4E7F38"/>
    <w:rsid w:val="0F706100"/>
    <w:rsid w:val="0F891446"/>
    <w:rsid w:val="0F9A13CF"/>
    <w:rsid w:val="0F9B000F"/>
    <w:rsid w:val="0F9D2C6D"/>
    <w:rsid w:val="0FB747DD"/>
    <w:rsid w:val="0FC91CB4"/>
    <w:rsid w:val="0FD10D03"/>
    <w:rsid w:val="0FD710A5"/>
    <w:rsid w:val="0FD77F2D"/>
    <w:rsid w:val="0FD83CA6"/>
    <w:rsid w:val="10131364"/>
    <w:rsid w:val="101822F4"/>
    <w:rsid w:val="10262C63"/>
    <w:rsid w:val="105B218F"/>
    <w:rsid w:val="10616837"/>
    <w:rsid w:val="107E794C"/>
    <w:rsid w:val="10857989"/>
    <w:rsid w:val="10AC25CA"/>
    <w:rsid w:val="10B4201D"/>
    <w:rsid w:val="10CA7A92"/>
    <w:rsid w:val="10EF574B"/>
    <w:rsid w:val="10F845FF"/>
    <w:rsid w:val="110C1E59"/>
    <w:rsid w:val="110D0173"/>
    <w:rsid w:val="11125CD9"/>
    <w:rsid w:val="111D5E14"/>
    <w:rsid w:val="112951FE"/>
    <w:rsid w:val="11317B11"/>
    <w:rsid w:val="113F7E2B"/>
    <w:rsid w:val="116E6670"/>
    <w:rsid w:val="117A3C75"/>
    <w:rsid w:val="11826A7D"/>
    <w:rsid w:val="118616F9"/>
    <w:rsid w:val="11904838"/>
    <w:rsid w:val="11A16A45"/>
    <w:rsid w:val="11A6405B"/>
    <w:rsid w:val="11B35173"/>
    <w:rsid w:val="11B83956"/>
    <w:rsid w:val="11C40985"/>
    <w:rsid w:val="11CC786A"/>
    <w:rsid w:val="11D54499"/>
    <w:rsid w:val="11E93F48"/>
    <w:rsid w:val="11EC68FB"/>
    <w:rsid w:val="11F03528"/>
    <w:rsid w:val="12046FD4"/>
    <w:rsid w:val="121420F8"/>
    <w:rsid w:val="12214445"/>
    <w:rsid w:val="12273D08"/>
    <w:rsid w:val="12324FEA"/>
    <w:rsid w:val="123D2FB3"/>
    <w:rsid w:val="124538DB"/>
    <w:rsid w:val="125067AE"/>
    <w:rsid w:val="12637655"/>
    <w:rsid w:val="12A12A75"/>
    <w:rsid w:val="12C04A67"/>
    <w:rsid w:val="12C80001"/>
    <w:rsid w:val="12CF56B4"/>
    <w:rsid w:val="12DB0575"/>
    <w:rsid w:val="12EF558E"/>
    <w:rsid w:val="12F92791"/>
    <w:rsid w:val="13033659"/>
    <w:rsid w:val="130354DD"/>
    <w:rsid w:val="13066050"/>
    <w:rsid w:val="13132BFE"/>
    <w:rsid w:val="132A7687"/>
    <w:rsid w:val="133236CD"/>
    <w:rsid w:val="134F1DF4"/>
    <w:rsid w:val="13557827"/>
    <w:rsid w:val="13631AD8"/>
    <w:rsid w:val="137F4B64"/>
    <w:rsid w:val="138B3117"/>
    <w:rsid w:val="138E7538"/>
    <w:rsid w:val="13904FC3"/>
    <w:rsid w:val="13C06B9F"/>
    <w:rsid w:val="13CD2CC1"/>
    <w:rsid w:val="140B464A"/>
    <w:rsid w:val="140C4736"/>
    <w:rsid w:val="140D6614"/>
    <w:rsid w:val="14172FEE"/>
    <w:rsid w:val="14364B2C"/>
    <w:rsid w:val="1438503B"/>
    <w:rsid w:val="144933C4"/>
    <w:rsid w:val="145F3F52"/>
    <w:rsid w:val="14694230"/>
    <w:rsid w:val="14720C0D"/>
    <w:rsid w:val="14740D4F"/>
    <w:rsid w:val="147D0BDA"/>
    <w:rsid w:val="14860A3B"/>
    <w:rsid w:val="14926B19"/>
    <w:rsid w:val="14972381"/>
    <w:rsid w:val="14AA2FD3"/>
    <w:rsid w:val="14B06F9F"/>
    <w:rsid w:val="14B52807"/>
    <w:rsid w:val="14B62AB7"/>
    <w:rsid w:val="14BA1BCC"/>
    <w:rsid w:val="14C724CE"/>
    <w:rsid w:val="14CA5427"/>
    <w:rsid w:val="14DA6A78"/>
    <w:rsid w:val="14DD669C"/>
    <w:rsid w:val="14DE1D5E"/>
    <w:rsid w:val="14E07884"/>
    <w:rsid w:val="14E16407"/>
    <w:rsid w:val="14EA0703"/>
    <w:rsid w:val="150572EB"/>
    <w:rsid w:val="150A448F"/>
    <w:rsid w:val="150C68CB"/>
    <w:rsid w:val="152229F1"/>
    <w:rsid w:val="152A1607"/>
    <w:rsid w:val="154461CC"/>
    <w:rsid w:val="15597637"/>
    <w:rsid w:val="15804BC3"/>
    <w:rsid w:val="15BD23EA"/>
    <w:rsid w:val="15C9430D"/>
    <w:rsid w:val="15D373E9"/>
    <w:rsid w:val="15E213DA"/>
    <w:rsid w:val="15E52C78"/>
    <w:rsid w:val="16210154"/>
    <w:rsid w:val="1633342F"/>
    <w:rsid w:val="164E6A70"/>
    <w:rsid w:val="16683008"/>
    <w:rsid w:val="168E3310"/>
    <w:rsid w:val="16A36DBB"/>
    <w:rsid w:val="16A50D85"/>
    <w:rsid w:val="16B81E85"/>
    <w:rsid w:val="16C86822"/>
    <w:rsid w:val="16CF7F44"/>
    <w:rsid w:val="16F94C2D"/>
    <w:rsid w:val="16FE3FF2"/>
    <w:rsid w:val="171323AA"/>
    <w:rsid w:val="17236AFE"/>
    <w:rsid w:val="173B5246"/>
    <w:rsid w:val="17B63456"/>
    <w:rsid w:val="17F2764F"/>
    <w:rsid w:val="1833416F"/>
    <w:rsid w:val="18524B4C"/>
    <w:rsid w:val="185C36C6"/>
    <w:rsid w:val="18737F6A"/>
    <w:rsid w:val="187D1E98"/>
    <w:rsid w:val="187D53EA"/>
    <w:rsid w:val="18A817AE"/>
    <w:rsid w:val="18B21538"/>
    <w:rsid w:val="18BB7749"/>
    <w:rsid w:val="18C44192"/>
    <w:rsid w:val="18D9512F"/>
    <w:rsid w:val="18ED431E"/>
    <w:rsid w:val="18F558C8"/>
    <w:rsid w:val="18F877F3"/>
    <w:rsid w:val="1901601B"/>
    <w:rsid w:val="19070275"/>
    <w:rsid w:val="19106B6F"/>
    <w:rsid w:val="19235F91"/>
    <w:rsid w:val="193C7053"/>
    <w:rsid w:val="193F7C64"/>
    <w:rsid w:val="196C36C2"/>
    <w:rsid w:val="196D1903"/>
    <w:rsid w:val="19724162"/>
    <w:rsid w:val="198F1879"/>
    <w:rsid w:val="19B47531"/>
    <w:rsid w:val="19C214C4"/>
    <w:rsid w:val="19F70AC5"/>
    <w:rsid w:val="19F85670"/>
    <w:rsid w:val="19F94F44"/>
    <w:rsid w:val="1A1324AA"/>
    <w:rsid w:val="1A2B77F4"/>
    <w:rsid w:val="1A2F16BB"/>
    <w:rsid w:val="1A501008"/>
    <w:rsid w:val="1A766595"/>
    <w:rsid w:val="1A8C59F8"/>
    <w:rsid w:val="1AA57FC0"/>
    <w:rsid w:val="1AA72169"/>
    <w:rsid w:val="1AAC1FB7"/>
    <w:rsid w:val="1AAE61FB"/>
    <w:rsid w:val="1AB01AA7"/>
    <w:rsid w:val="1AB23324"/>
    <w:rsid w:val="1ABA0B77"/>
    <w:rsid w:val="1ADF554D"/>
    <w:rsid w:val="1AED13C7"/>
    <w:rsid w:val="1B1069E9"/>
    <w:rsid w:val="1B193AF0"/>
    <w:rsid w:val="1B2D30F7"/>
    <w:rsid w:val="1B7747F3"/>
    <w:rsid w:val="1B79254B"/>
    <w:rsid w:val="1B7935FD"/>
    <w:rsid w:val="1B972C67"/>
    <w:rsid w:val="1BA55384"/>
    <w:rsid w:val="1BD619E1"/>
    <w:rsid w:val="1BD712B5"/>
    <w:rsid w:val="1BDD4B1E"/>
    <w:rsid w:val="1BE76F28"/>
    <w:rsid w:val="1C177904"/>
    <w:rsid w:val="1C284B16"/>
    <w:rsid w:val="1C4133A8"/>
    <w:rsid w:val="1C5A26D3"/>
    <w:rsid w:val="1C5A49E0"/>
    <w:rsid w:val="1C5D0DA4"/>
    <w:rsid w:val="1C5F6917"/>
    <w:rsid w:val="1C6F5742"/>
    <w:rsid w:val="1C76287C"/>
    <w:rsid w:val="1C872925"/>
    <w:rsid w:val="1C9E0082"/>
    <w:rsid w:val="1CA613B3"/>
    <w:rsid w:val="1CAA693B"/>
    <w:rsid w:val="1CB14442"/>
    <w:rsid w:val="1CC66428"/>
    <w:rsid w:val="1CC80B99"/>
    <w:rsid w:val="1CCB0E1A"/>
    <w:rsid w:val="1D0113C9"/>
    <w:rsid w:val="1D0A2DA7"/>
    <w:rsid w:val="1D1140B4"/>
    <w:rsid w:val="1D2B18B9"/>
    <w:rsid w:val="1D3E783E"/>
    <w:rsid w:val="1D61177E"/>
    <w:rsid w:val="1D630F86"/>
    <w:rsid w:val="1D7019C1"/>
    <w:rsid w:val="1D752B34"/>
    <w:rsid w:val="1D7E5E8C"/>
    <w:rsid w:val="1D836591"/>
    <w:rsid w:val="1DB55626"/>
    <w:rsid w:val="1DB7314C"/>
    <w:rsid w:val="1DC15D79"/>
    <w:rsid w:val="1DC53ABB"/>
    <w:rsid w:val="1DC835AB"/>
    <w:rsid w:val="1DC85AE6"/>
    <w:rsid w:val="1DDB503E"/>
    <w:rsid w:val="1DE84D03"/>
    <w:rsid w:val="1DE85A9D"/>
    <w:rsid w:val="1DF13B3B"/>
    <w:rsid w:val="1E0E2B0B"/>
    <w:rsid w:val="1E1660C5"/>
    <w:rsid w:val="1E205195"/>
    <w:rsid w:val="1E276322"/>
    <w:rsid w:val="1E5170FD"/>
    <w:rsid w:val="1E5F2F8D"/>
    <w:rsid w:val="1E650DFA"/>
    <w:rsid w:val="1E982F7E"/>
    <w:rsid w:val="1EAC45D3"/>
    <w:rsid w:val="1EC71AB5"/>
    <w:rsid w:val="1ECF4FD3"/>
    <w:rsid w:val="1ED0096A"/>
    <w:rsid w:val="1ED7455A"/>
    <w:rsid w:val="1EDB6610"/>
    <w:rsid w:val="1EF34658"/>
    <w:rsid w:val="1F02489B"/>
    <w:rsid w:val="1F095D51"/>
    <w:rsid w:val="1F0E1553"/>
    <w:rsid w:val="1F132604"/>
    <w:rsid w:val="1F242A63"/>
    <w:rsid w:val="1F2627EB"/>
    <w:rsid w:val="1F294332"/>
    <w:rsid w:val="1F2A62AD"/>
    <w:rsid w:val="1F3233D2"/>
    <w:rsid w:val="1F4804CC"/>
    <w:rsid w:val="1F63358C"/>
    <w:rsid w:val="1F6B68E4"/>
    <w:rsid w:val="1FB61E22"/>
    <w:rsid w:val="1FEB1DE0"/>
    <w:rsid w:val="1FEF6DB8"/>
    <w:rsid w:val="1FF64400"/>
    <w:rsid w:val="200D799B"/>
    <w:rsid w:val="201E4F4F"/>
    <w:rsid w:val="2024414B"/>
    <w:rsid w:val="20256A93"/>
    <w:rsid w:val="20384A18"/>
    <w:rsid w:val="20390790"/>
    <w:rsid w:val="203F5E7C"/>
    <w:rsid w:val="204A474C"/>
    <w:rsid w:val="205055EF"/>
    <w:rsid w:val="20546C12"/>
    <w:rsid w:val="20583FFA"/>
    <w:rsid w:val="206C46C2"/>
    <w:rsid w:val="20976AB4"/>
    <w:rsid w:val="20A81514"/>
    <w:rsid w:val="20AB6760"/>
    <w:rsid w:val="20B16579"/>
    <w:rsid w:val="20C95670"/>
    <w:rsid w:val="20D358CD"/>
    <w:rsid w:val="20D65FDF"/>
    <w:rsid w:val="20E85D1A"/>
    <w:rsid w:val="210055F8"/>
    <w:rsid w:val="21052421"/>
    <w:rsid w:val="211508B6"/>
    <w:rsid w:val="2126121F"/>
    <w:rsid w:val="216B1A91"/>
    <w:rsid w:val="217B0F40"/>
    <w:rsid w:val="218A192D"/>
    <w:rsid w:val="21A972E1"/>
    <w:rsid w:val="21BF0821"/>
    <w:rsid w:val="21DE60F4"/>
    <w:rsid w:val="21E464DA"/>
    <w:rsid w:val="21F816C1"/>
    <w:rsid w:val="221C5C74"/>
    <w:rsid w:val="222B0959"/>
    <w:rsid w:val="222F1E4B"/>
    <w:rsid w:val="2240564F"/>
    <w:rsid w:val="224F6049"/>
    <w:rsid w:val="22575E31"/>
    <w:rsid w:val="22816594"/>
    <w:rsid w:val="22A00653"/>
    <w:rsid w:val="22A52EFA"/>
    <w:rsid w:val="22A567AC"/>
    <w:rsid w:val="22A77054"/>
    <w:rsid w:val="22AA3280"/>
    <w:rsid w:val="22BD2FB3"/>
    <w:rsid w:val="22C04851"/>
    <w:rsid w:val="22CB1F7F"/>
    <w:rsid w:val="22CC31F6"/>
    <w:rsid w:val="22D43C96"/>
    <w:rsid w:val="22DB5B2F"/>
    <w:rsid w:val="22EC6903"/>
    <w:rsid w:val="22FB3ADB"/>
    <w:rsid w:val="23076924"/>
    <w:rsid w:val="2318468D"/>
    <w:rsid w:val="23214B81"/>
    <w:rsid w:val="23250B58"/>
    <w:rsid w:val="23287A3B"/>
    <w:rsid w:val="23377209"/>
    <w:rsid w:val="234C2589"/>
    <w:rsid w:val="234E0C74"/>
    <w:rsid w:val="235D595F"/>
    <w:rsid w:val="2366667A"/>
    <w:rsid w:val="236773C3"/>
    <w:rsid w:val="236B1B92"/>
    <w:rsid w:val="23725A46"/>
    <w:rsid w:val="239F4DAE"/>
    <w:rsid w:val="23A75A11"/>
    <w:rsid w:val="23D46034"/>
    <w:rsid w:val="23DD1433"/>
    <w:rsid w:val="23ED1676"/>
    <w:rsid w:val="23EF1892"/>
    <w:rsid w:val="23F37F14"/>
    <w:rsid w:val="23F956E8"/>
    <w:rsid w:val="23FA0237"/>
    <w:rsid w:val="24015121"/>
    <w:rsid w:val="24264B88"/>
    <w:rsid w:val="24305A06"/>
    <w:rsid w:val="2447702E"/>
    <w:rsid w:val="24765B0F"/>
    <w:rsid w:val="247C0C4C"/>
    <w:rsid w:val="247C50B5"/>
    <w:rsid w:val="248F4E23"/>
    <w:rsid w:val="249B0281"/>
    <w:rsid w:val="24A55645"/>
    <w:rsid w:val="24C22B02"/>
    <w:rsid w:val="24D570AE"/>
    <w:rsid w:val="24D6035C"/>
    <w:rsid w:val="24E01EF1"/>
    <w:rsid w:val="24E2777A"/>
    <w:rsid w:val="24F51DFC"/>
    <w:rsid w:val="250C30B2"/>
    <w:rsid w:val="250D7AF6"/>
    <w:rsid w:val="25423C43"/>
    <w:rsid w:val="256B13EC"/>
    <w:rsid w:val="256B3734"/>
    <w:rsid w:val="25924268"/>
    <w:rsid w:val="2593449F"/>
    <w:rsid w:val="25E67FEE"/>
    <w:rsid w:val="25F3318F"/>
    <w:rsid w:val="260D33F7"/>
    <w:rsid w:val="2629095F"/>
    <w:rsid w:val="26355556"/>
    <w:rsid w:val="263B7010"/>
    <w:rsid w:val="263C7979"/>
    <w:rsid w:val="264B2FCC"/>
    <w:rsid w:val="264E5249"/>
    <w:rsid w:val="2650413E"/>
    <w:rsid w:val="26521B8A"/>
    <w:rsid w:val="265359DC"/>
    <w:rsid w:val="26551754"/>
    <w:rsid w:val="26712A32"/>
    <w:rsid w:val="26834513"/>
    <w:rsid w:val="26A10E3D"/>
    <w:rsid w:val="26AC3A6A"/>
    <w:rsid w:val="26B96187"/>
    <w:rsid w:val="26BE763B"/>
    <w:rsid w:val="26C64400"/>
    <w:rsid w:val="26E730BC"/>
    <w:rsid w:val="270135A4"/>
    <w:rsid w:val="27090EBD"/>
    <w:rsid w:val="271635D9"/>
    <w:rsid w:val="2751016E"/>
    <w:rsid w:val="27764078"/>
    <w:rsid w:val="279F3713"/>
    <w:rsid w:val="27B84691"/>
    <w:rsid w:val="27BD1CA7"/>
    <w:rsid w:val="27C923FA"/>
    <w:rsid w:val="27CA464D"/>
    <w:rsid w:val="27CB7F20"/>
    <w:rsid w:val="27DF13AD"/>
    <w:rsid w:val="27E91720"/>
    <w:rsid w:val="27F136A9"/>
    <w:rsid w:val="27F21934"/>
    <w:rsid w:val="27F6382B"/>
    <w:rsid w:val="27FD20A3"/>
    <w:rsid w:val="280F14ED"/>
    <w:rsid w:val="280F3776"/>
    <w:rsid w:val="281C4C20"/>
    <w:rsid w:val="28527CD1"/>
    <w:rsid w:val="287C7ABF"/>
    <w:rsid w:val="28844573"/>
    <w:rsid w:val="28AA3FD9"/>
    <w:rsid w:val="28C52BC1"/>
    <w:rsid w:val="28D472A8"/>
    <w:rsid w:val="28E9787B"/>
    <w:rsid w:val="28F205C1"/>
    <w:rsid w:val="29441132"/>
    <w:rsid w:val="29565F0F"/>
    <w:rsid w:val="296C128F"/>
    <w:rsid w:val="29890753"/>
    <w:rsid w:val="298962E5"/>
    <w:rsid w:val="29934A6D"/>
    <w:rsid w:val="29B50E88"/>
    <w:rsid w:val="29B72649"/>
    <w:rsid w:val="29BC1AE3"/>
    <w:rsid w:val="29CD1E2A"/>
    <w:rsid w:val="29CF7F37"/>
    <w:rsid w:val="2A0C29B8"/>
    <w:rsid w:val="2A0E5104"/>
    <w:rsid w:val="2A131C98"/>
    <w:rsid w:val="2A1F09F7"/>
    <w:rsid w:val="2A570E85"/>
    <w:rsid w:val="2A830F86"/>
    <w:rsid w:val="2A8745B6"/>
    <w:rsid w:val="2A922F77"/>
    <w:rsid w:val="2A9860B3"/>
    <w:rsid w:val="2A9A1E2C"/>
    <w:rsid w:val="2A9F5694"/>
    <w:rsid w:val="2AA23A25"/>
    <w:rsid w:val="2AAA6513"/>
    <w:rsid w:val="2AD15C14"/>
    <w:rsid w:val="2AE71AF4"/>
    <w:rsid w:val="2B045837"/>
    <w:rsid w:val="2B07429B"/>
    <w:rsid w:val="2B0D0850"/>
    <w:rsid w:val="2B154372"/>
    <w:rsid w:val="2B230073"/>
    <w:rsid w:val="2B520958"/>
    <w:rsid w:val="2B634913"/>
    <w:rsid w:val="2B85488A"/>
    <w:rsid w:val="2B982ECD"/>
    <w:rsid w:val="2BA07916"/>
    <w:rsid w:val="2BB175E5"/>
    <w:rsid w:val="2BEC2B5B"/>
    <w:rsid w:val="2BFF63EA"/>
    <w:rsid w:val="2C002162"/>
    <w:rsid w:val="2C063C1D"/>
    <w:rsid w:val="2C246995"/>
    <w:rsid w:val="2C3562B0"/>
    <w:rsid w:val="2C385DA0"/>
    <w:rsid w:val="2C4944EB"/>
    <w:rsid w:val="2C4B162F"/>
    <w:rsid w:val="2C5D1363"/>
    <w:rsid w:val="2C5F50DB"/>
    <w:rsid w:val="2C792640"/>
    <w:rsid w:val="2C8B4122"/>
    <w:rsid w:val="2C9C1E8B"/>
    <w:rsid w:val="2CA24D2A"/>
    <w:rsid w:val="2CA91FCE"/>
    <w:rsid w:val="2CB847EB"/>
    <w:rsid w:val="2CC633AC"/>
    <w:rsid w:val="2CD72C54"/>
    <w:rsid w:val="2CEA709A"/>
    <w:rsid w:val="2D022235"/>
    <w:rsid w:val="2D031F0A"/>
    <w:rsid w:val="2D0F08AF"/>
    <w:rsid w:val="2D1C7470"/>
    <w:rsid w:val="2D2125B0"/>
    <w:rsid w:val="2D2C76B3"/>
    <w:rsid w:val="2D371BB4"/>
    <w:rsid w:val="2D3B78F6"/>
    <w:rsid w:val="2D7C1CBC"/>
    <w:rsid w:val="2D8017AD"/>
    <w:rsid w:val="2D8868B3"/>
    <w:rsid w:val="2DAC4350"/>
    <w:rsid w:val="2DFB251B"/>
    <w:rsid w:val="2E0F1AF1"/>
    <w:rsid w:val="2E1755ED"/>
    <w:rsid w:val="2E3A7BAD"/>
    <w:rsid w:val="2E56250D"/>
    <w:rsid w:val="2E623354"/>
    <w:rsid w:val="2E6A4E27"/>
    <w:rsid w:val="2E7806D6"/>
    <w:rsid w:val="2E876B6B"/>
    <w:rsid w:val="2E9B12B3"/>
    <w:rsid w:val="2EC709E4"/>
    <w:rsid w:val="2ED33B5E"/>
    <w:rsid w:val="2EDA313F"/>
    <w:rsid w:val="2EE53D89"/>
    <w:rsid w:val="2EEC10D1"/>
    <w:rsid w:val="2EFA733D"/>
    <w:rsid w:val="2F030EDA"/>
    <w:rsid w:val="2F0412C1"/>
    <w:rsid w:val="2F171C9D"/>
    <w:rsid w:val="2F202F46"/>
    <w:rsid w:val="2F2E6FE6"/>
    <w:rsid w:val="2F43007A"/>
    <w:rsid w:val="2F47268D"/>
    <w:rsid w:val="2F484F80"/>
    <w:rsid w:val="2F8F5CD7"/>
    <w:rsid w:val="2F926074"/>
    <w:rsid w:val="2F971630"/>
    <w:rsid w:val="2FA774C5"/>
    <w:rsid w:val="2FB44E46"/>
    <w:rsid w:val="2FCA005B"/>
    <w:rsid w:val="2FFF4CAE"/>
    <w:rsid w:val="30042C3B"/>
    <w:rsid w:val="301F1BC4"/>
    <w:rsid w:val="30204B81"/>
    <w:rsid w:val="302E5110"/>
    <w:rsid w:val="303A5A64"/>
    <w:rsid w:val="304E74D7"/>
    <w:rsid w:val="305111DE"/>
    <w:rsid w:val="30823A8E"/>
    <w:rsid w:val="30901D07"/>
    <w:rsid w:val="309317F7"/>
    <w:rsid w:val="30C85944"/>
    <w:rsid w:val="30D95A3C"/>
    <w:rsid w:val="30E12562"/>
    <w:rsid w:val="30E84AF7"/>
    <w:rsid w:val="31103BE8"/>
    <w:rsid w:val="31490108"/>
    <w:rsid w:val="315736D8"/>
    <w:rsid w:val="3166515D"/>
    <w:rsid w:val="31684A32"/>
    <w:rsid w:val="317403C7"/>
    <w:rsid w:val="3179559F"/>
    <w:rsid w:val="317E6003"/>
    <w:rsid w:val="319B6BB5"/>
    <w:rsid w:val="31A1154D"/>
    <w:rsid w:val="31A17F44"/>
    <w:rsid w:val="31AD053C"/>
    <w:rsid w:val="31CB6D6E"/>
    <w:rsid w:val="31D64091"/>
    <w:rsid w:val="31DE2F46"/>
    <w:rsid w:val="31E340B8"/>
    <w:rsid w:val="32056724"/>
    <w:rsid w:val="3206571E"/>
    <w:rsid w:val="320B1E88"/>
    <w:rsid w:val="3220530C"/>
    <w:rsid w:val="325B29A2"/>
    <w:rsid w:val="3268280F"/>
    <w:rsid w:val="32690A61"/>
    <w:rsid w:val="326D226F"/>
    <w:rsid w:val="32755BEE"/>
    <w:rsid w:val="32774ADB"/>
    <w:rsid w:val="32785148"/>
    <w:rsid w:val="327B2543"/>
    <w:rsid w:val="327E342C"/>
    <w:rsid w:val="328533C1"/>
    <w:rsid w:val="3296503C"/>
    <w:rsid w:val="32A4546A"/>
    <w:rsid w:val="32B31CDC"/>
    <w:rsid w:val="32ED1980"/>
    <w:rsid w:val="32F1304C"/>
    <w:rsid w:val="32F50547"/>
    <w:rsid w:val="33094881"/>
    <w:rsid w:val="333F3794"/>
    <w:rsid w:val="335A57BD"/>
    <w:rsid w:val="339E5D33"/>
    <w:rsid w:val="33E03C55"/>
    <w:rsid w:val="33EC17CD"/>
    <w:rsid w:val="33EF143A"/>
    <w:rsid w:val="33EF1C73"/>
    <w:rsid w:val="33FA6F1E"/>
    <w:rsid w:val="340661A5"/>
    <w:rsid w:val="34076784"/>
    <w:rsid w:val="340903E3"/>
    <w:rsid w:val="340E30B9"/>
    <w:rsid w:val="341E3ACD"/>
    <w:rsid w:val="343678CD"/>
    <w:rsid w:val="34480B4A"/>
    <w:rsid w:val="345968B4"/>
    <w:rsid w:val="345A0C5F"/>
    <w:rsid w:val="345B087E"/>
    <w:rsid w:val="346D120F"/>
    <w:rsid w:val="34702AF7"/>
    <w:rsid w:val="347A2085"/>
    <w:rsid w:val="347F27BE"/>
    <w:rsid w:val="34897199"/>
    <w:rsid w:val="34945B3E"/>
    <w:rsid w:val="34AD7661"/>
    <w:rsid w:val="34B01E1E"/>
    <w:rsid w:val="34B26409"/>
    <w:rsid w:val="34E16FD5"/>
    <w:rsid w:val="34E94961"/>
    <w:rsid w:val="34EA39B0"/>
    <w:rsid w:val="35171719"/>
    <w:rsid w:val="352E7D40"/>
    <w:rsid w:val="354B26A0"/>
    <w:rsid w:val="355F614C"/>
    <w:rsid w:val="357243F8"/>
    <w:rsid w:val="35853917"/>
    <w:rsid w:val="35906305"/>
    <w:rsid w:val="359C73A0"/>
    <w:rsid w:val="35A10512"/>
    <w:rsid w:val="35A26038"/>
    <w:rsid w:val="35AA3A3A"/>
    <w:rsid w:val="35AA4722"/>
    <w:rsid w:val="35CF507F"/>
    <w:rsid w:val="360B340E"/>
    <w:rsid w:val="362D5CD2"/>
    <w:rsid w:val="365E28A7"/>
    <w:rsid w:val="366B14C0"/>
    <w:rsid w:val="369342FF"/>
    <w:rsid w:val="369D456C"/>
    <w:rsid w:val="36A8455A"/>
    <w:rsid w:val="36AE738B"/>
    <w:rsid w:val="36C95F72"/>
    <w:rsid w:val="36DF3C16"/>
    <w:rsid w:val="36E27034"/>
    <w:rsid w:val="36ED1FA3"/>
    <w:rsid w:val="36F36DEE"/>
    <w:rsid w:val="36F6663C"/>
    <w:rsid w:val="370E607B"/>
    <w:rsid w:val="372E4027"/>
    <w:rsid w:val="373F79B1"/>
    <w:rsid w:val="37500442"/>
    <w:rsid w:val="37537F32"/>
    <w:rsid w:val="376C4F8C"/>
    <w:rsid w:val="376F2F1F"/>
    <w:rsid w:val="378400EB"/>
    <w:rsid w:val="37904CE2"/>
    <w:rsid w:val="37976071"/>
    <w:rsid w:val="379D00C8"/>
    <w:rsid w:val="379F2985"/>
    <w:rsid w:val="37C03BF9"/>
    <w:rsid w:val="37E1109A"/>
    <w:rsid w:val="37E97122"/>
    <w:rsid w:val="37F35CB8"/>
    <w:rsid w:val="382D2531"/>
    <w:rsid w:val="383A697D"/>
    <w:rsid w:val="383C09C6"/>
    <w:rsid w:val="384F4255"/>
    <w:rsid w:val="385633E2"/>
    <w:rsid w:val="386F79F1"/>
    <w:rsid w:val="38767A34"/>
    <w:rsid w:val="38795776"/>
    <w:rsid w:val="388D2FD0"/>
    <w:rsid w:val="389205E6"/>
    <w:rsid w:val="38983E4E"/>
    <w:rsid w:val="38A84A79"/>
    <w:rsid w:val="392C0A3B"/>
    <w:rsid w:val="39400042"/>
    <w:rsid w:val="39490357"/>
    <w:rsid w:val="395932B5"/>
    <w:rsid w:val="397877DC"/>
    <w:rsid w:val="3980288F"/>
    <w:rsid w:val="3999678C"/>
    <w:rsid w:val="39A6259B"/>
    <w:rsid w:val="39D377DB"/>
    <w:rsid w:val="3A016C56"/>
    <w:rsid w:val="3A223DCB"/>
    <w:rsid w:val="3A3462BA"/>
    <w:rsid w:val="3A58475F"/>
    <w:rsid w:val="3A5E7E93"/>
    <w:rsid w:val="3A6E6C87"/>
    <w:rsid w:val="3AB46F3A"/>
    <w:rsid w:val="3AD13648"/>
    <w:rsid w:val="3AE0388B"/>
    <w:rsid w:val="3B1C0596"/>
    <w:rsid w:val="3B2319C9"/>
    <w:rsid w:val="3B4938D4"/>
    <w:rsid w:val="3B5B1163"/>
    <w:rsid w:val="3B84063D"/>
    <w:rsid w:val="3B8701AA"/>
    <w:rsid w:val="3B8875E3"/>
    <w:rsid w:val="3B955700"/>
    <w:rsid w:val="3BC27434"/>
    <w:rsid w:val="3BC95C98"/>
    <w:rsid w:val="3BCB453B"/>
    <w:rsid w:val="3BD75940"/>
    <w:rsid w:val="3BDD7DCA"/>
    <w:rsid w:val="3BF42260"/>
    <w:rsid w:val="3C265C15"/>
    <w:rsid w:val="3C284C49"/>
    <w:rsid w:val="3C522566"/>
    <w:rsid w:val="3C541BC5"/>
    <w:rsid w:val="3C65673D"/>
    <w:rsid w:val="3C722C08"/>
    <w:rsid w:val="3C7C5F7D"/>
    <w:rsid w:val="3C9506A5"/>
    <w:rsid w:val="3C9C7C85"/>
    <w:rsid w:val="3C9E3DCB"/>
    <w:rsid w:val="3CA31014"/>
    <w:rsid w:val="3CB123E6"/>
    <w:rsid w:val="3CDB6174"/>
    <w:rsid w:val="3D050477"/>
    <w:rsid w:val="3D14341C"/>
    <w:rsid w:val="3D3D4FC4"/>
    <w:rsid w:val="3D404852"/>
    <w:rsid w:val="3D477BF1"/>
    <w:rsid w:val="3D4A76E1"/>
    <w:rsid w:val="3D5D5666"/>
    <w:rsid w:val="3D611ECB"/>
    <w:rsid w:val="3DB668C6"/>
    <w:rsid w:val="3DEB4A20"/>
    <w:rsid w:val="3DF062BF"/>
    <w:rsid w:val="3E0618F6"/>
    <w:rsid w:val="3E0869AC"/>
    <w:rsid w:val="3E246184"/>
    <w:rsid w:val="3E2C6DE7"/>
    <w:rsid w:val="3E3068D7"/>
    <w:rsid w:val="3E32264F"/>
    <w:rsid w:val="3E3E1A04"/>
    <w:rsid w:val="3E53454B"/>
    <w:rsid w:val="3E6F204E"/>
    <w:rsid w:val="3E815973"/>
    <w:rsid w:val="3E88151A"/>
    <w:rsid w:val="3E894239"/>
    <w:rsid w:val="3E8D3D29"/>
    <w:rsid w:val="3E9450B8"/>
    <w:rsid w:val="3EC62D97"/>
    <w:rsid w:val="3F0D6C18"/>
    <w:rsid w:val="3F1735F3"/>
    <w:rsid w:val="3F364D39"/>
    <w:rsid w:val="3F4F7231"/>
    <w:rsid w:val="3F505A98"/>
    <w:rsid w:val="3F6207BA"/>
    <w:rsid w:val="3F7B1DD4"/>
    <w:rsid w:val="3F810615"/>
    <w:rsid w:val="3F843560"/>
    <w:rsid w:val="3F8C5D8F"/>
    <w:rsid w:val="3F8E7D59"/>
    <w:rsid w:val="3F984C13"/>
    <w:rsid w:val="3FA72BC9"/>
    <w:rsid w:val="3FBD063E"/>
    <w:rsid w:val="3FC90D91"/>
    <w:rsid w:val="3FCF3ECE"/>
    <w:rsid w:val="3FD919BA"/>
    <w:rsid w:val="3FDC2B4A"/>
    <w:rsid w:val="3FE756BB"/>
    <w:rsid w:val="3FFD010D"/>
    <w:rsid w:val="400A40D9"/>
    <w:rsid w:val="401A783F"/>
    <w:rsid w:val="401F452F"/>
    <w:rsid w:val="40330901"/>
    <w:rsid w:val="40515724"/>
    <w:rsid w:val="405F16F6"/>
    <w:rsid w:val="408B38B3"/>
    <w:rsid w:val="40B27A77"/>
    <w:rsid w:val="40D338F0"/>
    <w:rsid w:val="40D40AAB"/>
    <w:rsid w:val="40D77011"/>
    <w:rsid w:val="40E90FBF"/>
    <w:rsid w:val="40F40090"/>
    <w:rsid w:val="40FB76BC"/>
    <w:rsid w:val="41036525"/>
    <w:rsid w:val="41072D28"/>
    <w:rsid w:val="41173D7E"/>
    <w:rsid w:val="411E335F"/>
    <w:rsid w:val="412344D1"/>
    <w:rsid w:val="4125450E"/>
    <w:rsid w:val="412973EA"/>
    <w:rsid w:val="417F4A52"/>
    <w:rsid w:val="41AA69A0"/>
    <w:rsid w:val="41AC44C7"/>
    <w:rsid w:val="41B45A71"/>
    <w:rsid w:val="41CE08E1"/>
    <w:rsid w:val="41F71B81"/>
    <w:rsid w:val="42010DBE"/>
    <w:rsid w:val="42044303"/>
    <w:rsid w:val="42075BA1"/>
    <w:rsid w:val="42424E2B"/>
    <w:rsid w:val="426B25D4"/>
    <w:rsid w:val="4278084D"/>
    <w:rsid w:val="428611BC"/>
    <w:rsid w:val="42927B60"/>
    <w:rsid w:val="42BD2703"/>
    <w:rsid w:val="42C27D1A"/>
    <w:rsid w:val="42E04834"/>
    <w:rsid w:val="430E3980"/>
    <w:rsid w:val="43140A2D"/>
    <w:rsid w:val="43301127"/>
    <w:rsid w:val="43364990"/>
    <w:rsid w:val="434150E2"/>
    <w:rsid w:val="4355293C"/>
    <w:rsid w:val="4359067E"/>
    <w:rsid w:val="436117D4"/>
    <w:rsid w:val="437049F2"/>
    <w:rsid w:val="43842246"/>
    <w:rsid w:val="43A7763B"/>
    <w:rsid w:val="43B76861"/>
    <w:rsid w:val="43B92ECB"/>
    <w:rsid w:val="43BE0166"/>
    <w:rsid w:val="43DD305D"/>
    <w:rsid w:val="440E3217"/>
    <w:rsid w:val="440F0504"/>
    <w:rsid w:val="4421185F"/>
    <w:rsid w:val="4437557C"/>
    <w:rsid w:val="444C2BC0"/>
    <w:rsid w:val="444F71A2"/>
    <w:rsid w:val="445361E5"/>
    <w:rsid w:val="447C0AC8"/>
    <w:rsid w:val="4482717F"/>
    <w:rsid w:val="44A21CDC"/>
    <w:rsid w:val="44D05FB9"/>
    <w:rsid w:val="44D75CFE"/>
    <w:rsid w:val="44E5721A"/>
    <w:rsid w:val="44F22B38"/>
    <w:rsid w:val="44F248E6"/>
    <w:rsid w:val="45091C30"/>
    <w:rsid w:val="45244CBC"/>
    <w:rsid w:val="452B1E36"/>
    <w:rsid w:val="452B6B92"/>
    <w:rsid w:val="45350C77"/>
    <w:rsid w:val="453C0257"/>
    <w:rsid w:val="453C7EA3"/>
    <w:rsid w:val="454B3FF6"/>
    <w:rsid w:val="45682DFA"/>
    <w:rsid w:val="456C5AB9"/>
    <w:rsid w:val="4577128F"/>
    <w:rsid w:val="457C68A6"/>
    <w:rsid w:val="45952817"/>
    <w:rsid w:val="45A863B8"/>
    <w:rsid w:val="45AE3E4B"/>
    <w:rsid w:val="45B063D0"/>
    <w:rsid w:val="45BB6D3C"/>
    <w:rsid w:val="45F91CA4"/>
    <w:rsid w:val="46011342"/>
    <w:rsid w:val="46017508"/>
    <w:rsid w:val="460A2104"/>
    <w:rsid w:val="460F14C8"/>
    <w:rsid w:val="46130FB8"/>
    <w:rsid w:val="46132D66"/>
    <w:rsid w:val="46342CDD"/>
    <w:rsid w:val="463B22BD"/>
    <w:rsid w:val="46431B1A"/>
    <w:rsid w:val="464E1FF0"/>
    <w:rsid w:val="466366B9"/>
    <w:rsid w:val="46955E71"/>
    <w:rsid w:val="469C7200"/>
    <w:rsid w:val="46C10A14"/>
    <w:rsid w:val="46D67F86"/>
    <w:rsid w:val="46F448C2"/>
    <w:rsid w:val="47060D7D"/>
    <w:rsid w:val="473F67A2"/>
    <w:rsid w:val="474536E0"/>
    <w:rsid w:val="47463365"/>
    <w:rsid w:val="47596E9F"/>
    <w:rsid w:val="476B55F6"/>
    <w:rsid w:val="47777325"/>
    <w:rsid w:val="477E4B57"/>
    <w:rsid w:val="47863A0C"/>
    <w:rsid w:val="47925F0D"/>
    <w:rsid w:val="47A876DF"/>
    <w:rsid w:val="47AA76FA"/>
    <w:rsid w:val="47B370C9"/>
    <w:rsid w:val="47D4052E"/>
    <w:rsid w:val="48001EFA"/>
    <w:rsid w:val="48027536"/>
    <w:rsid w:val="48042FA6"/>
    <w:rsid w:val="481C57BF"/>
    <w:rsid w:val="48240342"/>
    <w:rsid w:val="48343468"/>
    <w:rsid w:val="485578E8"/>
    <w:rsid w:val="48680CE3"/>
    <w:rsid w:val="486A0C38"/>
    <w:rsid w:val="487516C9"/>
    <w:rsid w:val="4891671A"/>
    <w:rsid w:val="48A147B6"/>
    <w:rsid w:val="48A73C3A"/>
    <w:rsid w:val="48A856E3"/>
    <w:rsid w:val="48D367DD"/>
    <w:rsid w:val="48E82D4D"/>
    <w:rsid w:val="48F007F6"/>
    <w:rsid w:val="48F14EB5"/>
    <w:rsid w:val="490966A2"/>
    <w:rsid w:val="491D5CAA"/>
    <w:rsid w:val="49537DE0"/>
    <w:rsid w:val="495518E8"/>
    <w:rsid w:val="49584F34"/>
    <w:rsid w:val="4977360C"/>
    <w:rsid w:val="498703ED"/>
    <w:rsid w:val="49C425C9"/>
    <w:rsid w:val="49C72B69"/>
    <w:rsid w:val="49E62540"/>
    <w:rsid w:val="4A070E34"/>
    <w:rsid w:val="4A0E6954"/>
    <w:rsid w:val="4A1A47F4"/>
    <w:rsid w:val="4A275032"/>
    <w:rsid w:val="4A275F90"/>
    <w:rsid w:val="4A280DAA"/>
    <w:rsid w:val="4A29760D"/>
    <w:rsid w:val="4A2D4613"/>
    <w:rsid w:val="4A392FB7"/>
    <w:rsid w:val="4A5248DB"/>
    <w:rsid w:val="4A64191B"/>
    <w:rsid w:val="4A722025"/>
    <w:rsid w:val="4A745F18"/>
    <w:rsid w:val="4A8B3EC0"/>
    <w:rsid w:val="4AAC4A05"/>
    <w:rsid w:val="4AB112AD"/>
    <w:rsid w:val="4AB918F6"/>
    <w:rsid w:val="4AD14F9E"/>
    <w:rsid w:val="4AD1500F"/>
    <w:rsid w:val="4AD93E52"/>
    <w:rsid w:val="4AEB42B2"/>
    <w:rsid w:val="4AF403AA"/>
    <w:rsid w:val="4AFD616C"/>
    <w:rsid w:val="4B0B04B0"/>
    <w:rsid w:val="4B1C39B5"/>
    <w:rsid w:val="4B3E2640"/>
    <w:rsid w:val="4B447AD4"/>
    <w:rsid w:val="4B7050AD"/>
    <w:rsid w:val="4B717B63"/>
    <w:rsid w:val="4B857781"/>
    <w:rsid w:val="4B8B7843"/>
    <w:rsid w:val="4BA30828"/>
    <w:rsid w:val="4BA93D64"/>
    <w:rsid w:val="4BBE0554"/>
    <w:rsid w:val="4BBF20A9"/>
    <w:rsid w:val="4BCB40E3"/>
    <w:rsid w:val="4BD20FCE"/>
    <w:rsid w:val="4BD74836"/>
    <w:rsid w:val="4BED5E07"/>
    <w:rsid w:val="4BF70A34"/>
    <w:rsid w:val="4BFD1393"/>
    <w:rsid w:val="4C1056A3"/>
    <w:rsid w:val="4C150E22"/>
    <w:rsid w:val="4C194E4E"/>
    <w:rsid w:val="4C1C26CD"/>
    <w:rsid w:val="4C1E7B16"/>
    <w:rsid w:val="4C2555A1"/>
    <w:rsid w:val="4C2C2DD4"/>
    <w:rsid w:val="4C3F1BAE"/>
    <w:rsid w:val="4C5C4D3B"/>
    <w:rsid w:val="4C5D5CA7"/>
    <w:rsid w:val="4C76404F"/>
    <w:rsid w:val="4C8147A2"/>
    <w:rsid w:val="4CB26A62"/>
    <w:rsid w:val="4CCA7AE1"/>
    <w:rsid w:val="4CDA2830"/>
    <w:rsid w:val="4CE216E4"/>
    <w:rsid w:val="4CEE0366"/>
    <w:rsid w:val="4CF569B5"/>
    <w:rsid w:val="4CFB4947"/>
    <w:rsid w:val="4D04165B"/>
    <w:rsid w:val="4D11448E"/>
    <w:rsid w:val="4D267823"/>
    <w:rsid w:val="4D275D07"/>
    <w:rsid w:val="4D3A507C"/>
    <w:rsid w:val="4D5325E2"/>
    <w:rsid w:val="4D6848C0"/>
    <w:rsid w:val="4D8602C2"/>
    <w:rsid w:val="4D9E5143"/>
    <w:rsid w:val="4D9F75D5"/>
    <w:rsid w:val="4DAE03C1"/>
    <w:rsid w:val="4DC97603"/>
    <w:rsid w:val="4DE163BF"/>
    <w:rsid w:val="4DF72F6D"/>
    <w:rsid w:val="4DFE10C7"/>
    <w:rsid w:val="4E086F29"/>
    <w:rsid w:val="4E140B6A"/>
    <w:rsid w:val="4E156F34"/>
    <w:rsid w:val="4E1B739A"/>
    <w:rsid w:val="4E233D62"/>
    <w:rsid w:val="4E2875CB"/>
    <w:rsid w:val="4E407F3C"/>
    <w:rsid w:val="4E41243B"/>
    <w:rsid w:val="4E676345"/>
    <w:rsid w:val="4E6C17FA"/>
    <w:rsid w:val="4E8B5D8F"/>
    <w:rsid w:val="4E943545"/>
    <w:rsid w:val="4EB86BA1"/>
    <w:rsid w:val="4ECC43FA"/>
    <w:rsid w:val="4EE94FAC"/>
    <w:rsid w:val="4F0B3CA6"/>
    <w:rsid w:val="4F107345"/>
    <w:rsid w:val="4F1847B3"/>
    <w:rsid w:val="4F2314B3"/>
    <w:rsid w:val="4F3B50DC"/>
    <w:rsid w:val="4F5D5052"/>
    <w:rsid w:val="4F691C49"/>
    <w:rsid w:val="4F813436"/>
    <w:rsid w:val="4FB619EF"/>
    <w:rsid w:val="4FBD1F95"/>
    <w:rsid w:val="4FC861DA"/>
    <w:rsid w:val="4FF130BF"/>
    <w:rsid w:val="4FFB544B"/>
    <w:rsid w:val="500A342C"/>
    <w:rsid w:val="500D6A78"/>
    <w:rsid w:val="500F69BB"/>
    <w:rsid w:val="50406E4E"/>
    <w:rsid w:val="50416722"/>
    <w:rsid w:val="505B77CA"/>
    <w:rsid w:val="50970A38"/>
    <w:rsid w:val="509B22D6"/>
    <w:rsid w:val="50A126B7"/>
    <w:rsid w:val="50A82C45"/>
    <w:rsid w:val="50AE094F"/>
    <w:rsid w:val="50DB294E"/>
    <w:rsid w:val="50DC3D6E"/>
    <w:rsid w:val="510936E3"/>
    <w:rsid w:val="510A2FB8"/>
    <w:rsid w:val="51145BE4"/>
    <w:rsid w:val="511856D5"/>
    <w:rsid w:val="51321C80"/>
    <w:rsid w:val="515661FD"/>
    <w:rsid w:val="516A3A56"/>
    <w:rsid w:val="517255BD"/>
    <w:rsid w:val="517B5C63"/>
    <w:rsid w:val="518C4D4D"/>
    <w:rsid w:val="51937451"/>
    <w:rsid w:val="51A46F68"/>
    <w:rsid w:val="51A96C75"/>
    <w:rsid w:val="51B13335"/>
    <w:rsid w:val="51D75590"/>
    <w:rsid w:val="521340EE"/>
    <w:rsid w:val="521D3CB5"/>
    <w:rsid w:val="523302EC"/>
    <w:rsid w:val="52426781"/>
    <w:rsid w:val="52454FAD"/>
    <w:rsid w:val="524B15B3"/>
    <w:rsid w:val="528374C6"/>
    <w:rsid w:val="528B1ED6"/>
    <w:rsid w:val="529C2335"/>
    <w:rsid w:val="52A70D2C"/>
    <w:rsid w:val="52BE405A"/>
    <w:rsid w:val="52E361B6"/>
    <w:rsid w:val="531210C9"/>
    <w:rsid w:val="532742F5"/>
    <w:rsid w:val="53607807"/>
    <w:rsid w:val="538434F5"/>
    <w:rsid w:val="538A03E0"/>
    <w:rsid w:val="539835FD"/>
    <w:rsid w:val="53A2397B"/>
    <w:rsid w:val="53B92A73"/>
    <w:rsid w:val="53BB67EB"/>
    <w:rsid w:val="53BF5748"/>
    <w:rsid w:val="53C10329"/>
    <w:rsid w:val="53C71634"/>
    <w:rsid w:val="53D224B3"/>
    <w:rsid w:val="53EB1FF8"/>
    <w:rsid w:val="53EC2E48"/>
    <w:rsid w:val="53F45760"/>
    <w:rsid w:val="5406215C"/>
    <w:rsid w:val="546B6463"/>
    <w:rsid w:val="546E73A6"/>
    <w:rsid w:val="547C41CC"/>
    <w:rsid w:val="5488491F"/>
    <w:rsid w:val="54A379AB"/>
    <w:rsid w:val="54B27BEE"/>
    <w:rsid w:val="54BD0C40"/>
    <w:rsid w:val="54D659D2"/>
    <w:rsid w:val="54F75F49"/>
    <w:rsid w:val="54FB3FAE"/>
    <w:rsid w:val="54FC355F"/>
    <w:rsid w:val="552705DC"/>
    <w:rsid w:val="55284354"/>
    <w:rsid w:val="552C5BF2"/>
    <w:rsid w:val="55432F3C"/>
    <w:rsid w:val="554A42CB"/>
    <w:rsid w:val="5560589C"/>
    <w:rsid w:val="556C4241"/>
    <w:rsid w:val="5579695E"/>
    <w:rsid w:val="558C043F"/>
    <w:rsid w:val="559807C9"/>
    <w:rsid w:val="559A3FB2"/>
    <w:rsid w:val="55A133E3"/>
    <w:rsid w:val="55B87486"/>
    <w:rsid w:val="55C404FA"/>
    <w:rsid w:val="55C45E2B"/>
    <w:rsid w:val="55CC345F"/>
    <w:rsid w:val="55EE2EA8"/>
    <w:rsid w:val="55F04E72"/>
    <w:rsid w:val="56203207"/>
    <w:rsid w:val="562A2C28"/>
    <w:rsid w:val="562C2ED7"/>
    <w:rsid w:val="564D4072"/>
    <w:rsid w:val="56610227"/>
    <w:rsid w:val="566E223B"/>
    <w:rsid w:val="567B54EE"/>
    <w:rsid w:val="567C4958"/>
    <w:rsid w:val="56846C29"/>
    <w:rsid w:val="5689497F"/>
    <w:rsid w:val="56917593"/>
    <w:rsid w:val="56A703F5"/>
    <w:rsid w:val="56C97471"/>
    <w:rsid w:val="56D64EB7"/>
    <w:rsid w:val="56E314E0"/>
    <w:rsid w:val="57282705"/>
    <w:rsid w:val="573479FC"/>
    <w:rsid w:val="574C75A3"/>
    <w:rsid w:val="574D2F08"/>
    <w:rsid w:val="576A6DAC"/>
    <w:rsid w:val="5774562F"/>
    <w:rsid w:val="57754BF2"/>
    <w:rsid w:val="579B39BB"/>
    <w:rsid w:val="57BD6FD6"/>
    <w:rsid w:val="57CA16F3"/>
    <w:rsid w:val="57CA3880"/>
    <w:rsid w:val="57E417E0"/>
    <w:rsid w:val="57EE53E1"/>
    <w:rsid w:val="57F32A52"/>
    <w:rsid w:val="57FE50EE"/>
    <w:rsid w:val="580411DF"/>
    <w:rsid w:val="58073B8C"/>
    <w:rsid w:val="580E7831"/>
    <w:rsid w:val="58256929"/>
    <w:rsid w:val="583F3E8F"/>
    <w:rsid w:val="58A40196"/>
    <w:rsid w:val="58BF0B2C"/>
    <w:rsid w:val="58D67320"/>
    <w:rsid w:val="58F534B4"/>
    <w:rsid w:val="593432C8"/>
    <w:rsid w:val="593E026C"/>
    <w:rsid w:val="593E5EF4"/>
    <w:rsid w:val="593F3A1A"/>
    <w:rsid w:val="594828CF"/>
    <w:rsid w:val="594D6137"/>
    <w:rsid w:val="5989503C"/>
    <w:rsid w:val="59977C6E"/>
    <w:rsid w:val="599B50F5"/>
    <w:rsid w:val="59A25D4A"/>
    <w:rsid w:val="59AA17DC"/>
    <w:rsid w:val="59B14918"/>
    <w:rsid w:val="59B15C2B"/>
    <w:rsid w:val="59B25F2D"/>
    <w:rsid w:val="59D86349"/>
    <w:rsid w:val="59DD0C04"/>
    <w:rsid w:val="59E00D5A"/>
    <w:rsid w:val="59EC76FE"/>
    <w:rsid w:val="59F37092"/>
    <w:rsid w:val="5A034978"/>
    <w:rsid w:val="5A040EEC"/>
    <w:rsid w:val="5A16280E"/>
    <w:rsid w:val="5A1B5A10"/>
    <w:rsid w:val="5A1D0200"/>
    <w:rsid w:val="5A250E62"/>
    <w:rsid w:val="5A266807"/>
    <w:rsid w:val="5A2C21F1"/>
    <w:rsid w:val="5A48327B"/>
    <w:rsid w:val="5A6977D7"/>
    <w:rsid w:val="5A6E45B7"/>
    <w:rsid w:val="5A963B0E"/>
    <w:rsid w:val="5AA955EF"/>
    <w:rsid w:val="5ACC2E57"/>
    <w:rsid w:val="5AEB3E5A"/>
    <w:rsid w:val="5B044F1C"/>
    <w:rsid w:val="5B070568"/>
    <w:rsid w:val="5B1C2265"/>
    <w:rsid w:val="5B2E3D47"/>
    <w:rsid w:val="5B33135D"/>
    <w:rsid w:val="5B435A44"/>
    <w:rsid w:val="5B4672E2"/>
    <w:rsid w:val="5B4A6DD2"/>
    <w:rsid w:val="5B572513"/>
    <w:rsid w:val="5B5B46DE"/>
    <w:rsid w:val="5B773CF2"/>
    <w:rsid w:val="5B841DD7"/>
    <w:rsid w:val="5B953DC6"/>
    <w:rsid w:val="5B9B5880"/>
    <w:rsid w:val="5BB7600F"/>
    <w:rsid w:val="5BCD355F"/>
    <w:rsid w:val="5BF037E6"/>
    <w:rsid w:val="5BFD3E45"/>
    <w:rsid w:val="5C0F2714"/>
    <w:rsid w:val="5C2A09B2"/>
    <w:rsid w:val="5C3A263A"/>
    <w:rsid w:val="5C531CB7"/>
    <w:rsid w:val="5C814A76"/>
    <w:rsid w:val="5C91451D"/>
    <w:rsid w:val="5CAE513F"/>
    <w:rsid w:val="5CAF25EE"/>
    <w:rsid w:val="5CAF7F16"/>
    <w:rsid w:val="5CBE74EA"/>
    <w:rsid w:val="5CC56713"/>
    <w:rsid w:val="5CC71DD8"/>
    <w:rsid w:val="5CCE3A33"/>
    <w:rsid w:val="5CD66444"/>
    <w:rsid w:val="5CF82EF2"/>
    <w:rsid w:val="5CF9414D"/>
    <w:rsid w:val="5CF9552F"/>
    <w:rsid w:val="5D0631CD"/>
    <w:rsid w:val="5D070A87"/>
    <w:rsid w:val="5D0B433F"/>
    <w:rsid w:val="5D17501F"/>
    <w:rsid w:val="5D213B63"/>
    <w:rsid w:val="5D2E44D2"/>
    <w:rsid w:val="5D3C6BEF"/>
    <w:rsid w:val="5D431D2B"/>
    <w:rsid w:val="5D4569AE"/>
    <w:rsid w:val="5D5E0913"/>
    <w:rsid w:val="5D6F2B20"/>
    <w:rsid w:val="5D7C6FEB"/>
    <w:rsid w:val="5D883BE2"/>
    <w:rsid w:val="5D9B5E1F"/>
    <w:rsid w:val="5DA36C6E"/>
    <w:rsid w:val="5DAF116F"/>
    <w:rsid w:val="5DB426F2"/>
    <w:rsid w:val="5DF11787"/>
    <w:rsid w:val="5E0771FD"/>
    <w:rsid w:val="5E2733FB"/>
    <w:rsid w:val="5E59732C"/>
    <w:rsid w:val="5E647215"/>
    <w:rsid w:val="5E6F6B70"/>
    <w:rsid w:val="5E7128C8"/>
    <w:rsid w:val="5E785A05"/>
    <w:rsid w:val="5E7E5BC7"/>
    <w:rsid w:val="5EA467FA"/>
    <w:rsid w:val="5EAC5CC5"/>
    <w:rsid w:val="5EBB3B43"/>
    <w:rsid w:val="5EC24ED2"/>
    <w:rsid w:val="5ECF669A"/>
    <w:rsid w:val="5EF64B7B"/>
    <w:rsid w:val="5F131BD1"/>
    <w:rsid w:val="5F133331"/>
    <w:rsid w:val="5F1C68EB"/>
    <w:rsid w:val="5F223BC2"/>
    <w:rsid w:val="5F304531"/>
    <w:rsid w:val="5F3A658F"/>
    <w:rsid w:val="5F4B6DF9"/>
    <w:rsid w:val="5F5244A8"/>
    <w:rsid w:val="5F5E109E"/>
    <w:rsid w:val="5F675CE8"/>
    <w:rsid w:val="5F6D7533"/>
    <w:rsid w:val="5F904FD0"/>
    <w:rsid w:val="5F9E101E"/>
    <w:rsid w:val="5FD80582"/>
    <w:rsid w:val="5FE377F5"/>
    <w:rsid w:val="60150DC2"/>
    <w:rsid w:val="60326087"/>
    <w:rsid w:val="603E7754"/>
    <w:rsid w:val="604D407A"/>
    <w:rsid w:val="605E0C2A"/>
    <w:rsid w:val="6061582C"/>
    <w:rsid w:val="60787F3E"/>
    <w:rsid w:val="609113EE"/>
    <w:rsid w:val="60940AF0"/>
    <w:rsid w:val="609D64AA"/>
    <w:rsid w:val="60A27B32"/>
    <w:rsid w:val="60BE5D83"/>
    <w:rsid w:val="60DD3A26"/>
    <w:rsid w:val="60E51508"/>
    <w:rsid w:val="60E6759D"/>
    <w:rsid w:val="60F82E2D"/>
    <w:rsid w:val="60FC0223"/>
    <w:rsid w:val="614A3DAA"/>
    <w:rsid w:val="6155027F"/>
    <w:rsid w:val="616821E1"/>
    <w:rsid w:val="61730B8F"/>
    <w:rsid w:val="618463A2"/>
    <w:rsid w:val="618741B1"/>
    <w:rsid w:val="61B2747F"/>
    <w:rsid w:val="61B90451"/>
    <w:rsid w:val="61DE0274"/>
    <w:rsid w:val="61E73B15"/>
    <w:rsid w:val="61EA259B"/>
    <w:rsid w:val="61EB473F"/>
    <w:rsid w:val="622540F5"/>
    <w:rsid w:val="6235456E"/>
    <w:rsid w:val="623B7475"/>
    <w:rsid w:val="62405FC3"/>
    <w:rsid w:val="62482F7C"/>
    <w:rsid w:val="62677DAD"/>
    <w:rsid w:val="6281113E"/>
    <w:rsid w:val="62854B94"/>
    <w:rsid w:val="628A0E0C"/>
    <w:rsid w:val="62935219"/>
    <w:rsid w:val="62CD6AEC"/>
    <w:rsid w:val="62D81569"/>
    <w:rsid w:val="62D94595"/>
    <w:rsid w:val="63103C43"/>
    <w:rsid w:val="631E6C0A"/>
    <w:rsid w:val="633B34A5"/>
    <w:rsid w:val="6347009B"/>
    <w:rsid w:val="63566066"/>
    <w:rsid w:val="63901A42"/>
    <w:rsid w:val="63972DD1"/>
    <w:rsid w:val="63C45248"/>
    <w:rsid w:val="63C60FC0"/>
    <w:rsid w:val="63CB65D6"/>
    <w:rsid w:val="63D41366"/>
    <w:rsid w:val="640E2967"/>
    <w:rsid w:val="64153CF6"/>
    <w:rsid w:val="6419594B"/>
    <w:rsid w:val="64264155"/>
    <w:rsid w:val="644C769A"/>
    <w:rsid w:val="64520AA6"/>
    <w:rsid w:val="64664551"/>
    <w:rsid w:val="647153D0"/>
    <w:rsid w:val="64805613"/>
    <w:rsid w:val="6486074F"/>
    <w:rsid w:val="64BB2AEF"/>
    <w:rsid w:val="64CB26DD"/>
    <w:rsid w:val="650171EE"/>
    <w:rsid w:val="65055B18"/>
    <w:rsid w:val="65433804"/>
    <w:rsid w:val="65556AA0"/>
    <w:rsid w:val="65684D07"/>
    <w:rsid w:val="657D2B9C"/>
    <w:rsid w:val="6593581A"/>
    <w:rsid w:val="65956E9C"/>
    <w:rsid w:val="65A215B9"/>
    <w:rsid w:val="65BD63F3"/>
    <w:rsid w:val="65D406EA"/>
    <w:rsid w:val="65F20792"/>
    <w:rsid w:val="66542B2C"/>
    <w:rsid w:val="665723A3"/>
    <w:rsid w:val="667B400E"/>
    <w:rsid w:val="66911D59"/>
    <w:rsid w:val="66B261DF"/>
    <w:rsid w:val="66E005EB"/>
    <w:rsid w:val="66E53E53"/>
    <w:rsid w:val="66E55C01"/>
    <w:rsid w:val="66EA7812"/>
    <w:rsid w:val="6704527C"/>
    <w:rsid w:val="6710264E"/>
    <w:rsid w:val="673F1F3F"/>
    <w:rsid w:val="673F79B4"/>
    <w:rsid w:val="67442824"/>
    <w:rsid w:val="674A1F08"/>
    <w:rsid w:val="67643F87"/>
    <w:rsid w:val="67795693"/>
    <w:rsid w:val="677A0A3F"/>
    <w:rsid w:val="67987117"/>
    <w:rsid w:val="67A23AF2"/>
    <w:rsid w:val="67A43BE0"/>
    <w:rsid w:val="67AB6E4B"/>
    <w:rsid w:val="67B37F71"/>
    <w:rsid w:val="67CE6C86"/>
    <w:rsid w:val="67D31319"/>
    <w:rsid w:val="67D72D6F"/>
    <w:rsid w:val="67DC5114"/>
    <w:rsid w:val="67DC6D5A"/>
    <w:rsid w:val="67E206D5"/>
    <w:rsid w:val="683E4D48"/>
    <w:rsid w:val="685A261F"/>
    <w:rsid w:val="6865349E"/>
    <w:rsid w:val="68655F18"/>
    <w:rsid w:val="68701E42"/>
    <w:rsid w:val="68AD6BF3"/>
    <w:rsid w:val="68B00491"/>
    <w:rsid w:val="68C14BF3"/>
    <w:rsid w:val="68FA309F"/>
    <w:rsid w:val="68FB170C"/>
    <w:rsid w:val="68FE0507"/>
    <w:rsid w:val="69034A64"/>
    <w:rsid w:val="690F3409"/>
    <w:rsid w:val="69272501"/>
    <w:rsid w:val="692C5D69"/>
    <w:rsid w:val="692E7D33"/>
    <w:rsid w:val="692F7608"/>
    <w:rsid w:val="69401815"/>
    <w:rsid w:val="694806C9"/>
    <w:rsid w:val="694A487B"/>
    <w:rsid w:val="694D6631"/>
    <w:rsid w:val="695025CA"/>
    <w:rsid w:val="6958090C"/>
    <w:rsid w:val="695928D6"/>
    <w:rsid w:val="69765236"/>
    <w:rsid w:val="698E07D2"/>
    <w:rsid w:val="69AB0D0D"/>
    <w:rsid w:val="69B27B43"/>
    <w:rsid w:val="69BE0005"/>
    <w:rsid w:val="69DF2DDC"/>
    <w:rsid w:val="69EA352F"/>
    <w:rsid w:val="69EB2192"/>
    <w:rsid w:val="6A3C0286"/>
    <w:rsid w:val="6A570136"/>
    <w:rsid w:val="6A695DCD"/>
    <w:rsid w:val="6A731776"/>
    <w:rsid w:val="6A753740"/>
    <w:rsid w:val="6A7A6FA8"/>
    <w:rsid w:val="6A7E2C0A"/>
    <w:rsid w:val="6A802F8E"/>
    <w:rsid w:val="6A8B4D12"/>
    <w:rsid w:val="6AAD4C88"/>
    <w:rsid w:val="6AB73D58"/>
    <w:rsid w:val="6ABA55F7"/>
    <w:rsid w:val="6AC10733"/>
    <w:rsid w:val="6ACD7255"/>
    <w:rsid w:val="6AD2649C"/>
    <w:rsid w:val="6AE17565"/>
    <w:rsid w:val="6AFE3735"/>
    <w:rsid w:val="6B2111D2"/>
    <w:rsid w:val="6B361E7E"/>
    <w:rsid w:val="6B3C7DBA"/>
    <w:rsid w:val="6B3D4EC2"/>
    <w:rsid w:val="6B43383E"/>
    <w:rsid w:val="6B5477F9"/>
    <w:rsid w:val="6B6F63E1"/>
    <w:rsid w:val="6B8071BE"/>
    <w:rsid w:val="6BAA605B"/>
    <w:rsid w:val="6BB16221"/>
    <w:rsid w:val="6BE40B7D"/>
    <w:rsid w:val="6BE45953"/>
    <w:rsid w:val="6BE94F3A"/>
    <w:rsid w:val="6BF40694"/>
    <w:rsid w:val="6C007EA2"/>
    <w:rsid w:val="6C061F17"/>
    <w:rsid w:val="6C0E5BFA"/>
    <w:rsid w:val="6C150D37"/>
    <w:rsid w:val="6C1F57AD"/>
    <w:rsid w:val="6C2F1E55"/>
    <w:rsid w:val="6C376EFF"/>
    <w:rsid w:val="6C661592"/>
    <w:rsid w:val="6C741E4F"/>
    <w:rsid w:val="6C787517"/>
    <w:rsid w:val="6C8833F5"/>
    <w:rsid w:val="6C914D27"/>
    <w:rsid w:val="6C931E58"/>
    <w:rsid w:val="6CAA6CFE"/>
    <w:rsid w:val="6CC369E5"/>
    <w:rsid w:val="6CD7419C"/>
    <w:rsid w:val="6CDC7AA6"/>
    <w:rsid w:val="6D013FEB"/>
    <w:rsid w:val="6D1930EC"/>
    <w:rsid w:val="6D2F407A"/>
    <w:rsid w:val="6D371181"/>
    <w:rsid w:val="6D877A12"/>
    <w:rsid w:val="6DA71186"/>
    <w:rsid w:val="6DB30918"/>
    <w:rsid w:val="6DB620A5"/>
    <w:rsid w:val="6DC42A14"/>
    <w:rsid w:val="6DCF4F15"/>
    <w:rsid w:val="6DD036A3"/>
    <w:rsid w:val="6DE81D0F"/>
    <w:rsid w:val="6DE85FD7"/>
    <w:rsid w:val="6DF76B0A"/>
    <w:rsid w:val="6E054DB3"/>
    <w:rsid w:val="6E0D5EB7"/>
    <w:rsid w:val="6E1A0994"/>
    <w:rsid w:val="6E7004A6"/>
    <w:rsid w:val="6E9E14B7"/>
    <w:rsid w:val="6EA54226"/>
    <w:rsid w:val="6EBD3E7A"/>
    <w:rsid w:val="6EBD700A"/>
    <w:rsid w:val="6EC72090"/>
    <w:rsid w:val="6ED53771"/>
    <w:rsid w:val="6EFD2502"/>
    <w:rsid w:val="6F062BB9"/>
    <w:rsid w:val="6F082DD5"/>
    <w:rsid w:val="6F1352D6"/>
    <w:rsid w:val="6F5E1724"/>
    <w:rsid w:val="6F6618A9"/>
    <w:rsid w:val="6F71097A"/>
    <w:rsid w:val="6F743FC6"/>
    <w:rsid w:val="6F783707"/>
    <w:rsid w:val="6F7D7049"/>
    <w:rsid w:val="6F963F3C"/>
    <w:rsid w:val="6FE1043B"/>
    <w:rsid w:val="6FF670D1"/>
    <w:rsid w:val="700B760E"/>
    <w:rsid w:val="700D7F77"/>
    <w:rsid w:val="703B4AE4"/>
    <w:rsid w:val="705160B5"/>
    <w:rsid w:val="706E310B"/>
    <w:rsid w:val="70794B97"/>
    <w:rsid w:val="70860455"/>
    <w:rsid w:val="70860D62"/>
    <w:rsid w:val="70891C83"/>
    <w:rsid w:val="708C17E3"/>
    <w:rsid w:val="70981F36"/>
    <w:rsid w:val="70CD6084"/>
    <w:rsid w:val="70D016D0"/>
    <w:rsid w:val="70F35BF8"/>
    <w:rsid w:val="71160F53"/>
    <w:rsid w:val="711A0B9D"/>
    <w:rsid w:val="713C4FB8"/>
    <w:rsid w:val="71491244"/>
    <w:rsid w:val="714B51FB"/>
    <w:rsid w:val="71582A07"/>
    <w:rsid w:val="717943B6"/>
    <w:rsid w:val="71916F49"/>
    <w:rsid w:val="71A33B87"/>
    <w:rsid w:val="71AB63BC"/>
    <w:rsid w:val="71AE4713"/>
    <w:rsid w:val="71B27028"/>
    <w:rsid w:val="71C57590"/>
    <w:rsid w:val="71D25565"/>
    <w:rsid w:val="71D945B4"/>
    <w:rsid w:val="71F11C1F"/>
    <w:rsid w:val="723314F1"/>
    <w:rsid w:val="724A62A9"/>
    <w:rsid w:val="72646574"/>
    <w:rsid w:val="727F33AE"/>
    <w:rsid w:val="72802C82"/>
    <w:rsid w:val="72A8433C"/>
    <w:rsid w:val="72AA7CFF"/>
    <w:rsid w:val="72BD1CA1"/>
    <w:rsid w:val="72C07522"/>
    <w:rsid w:val="72D468CD"/>
    <w:rsid w:val="73156124"/>
    <w:rsid w:val="731A30D6"/>
    <w:rsid w:val="7320374B"/>
    <w:rsid w:val="73426189"/>
    <w:rsid w:val="734C0DB6"/>
    <w:rsid w:val="73584999"/>
    <w:rsid w:val="735A3B0C"/>
    <w:rsid w:val="7361796E"/>
    <w:rsid w:val="737427E7"/>
    <w:rsid w:val="737C78ED"/>
    <w:rsid w:val="739369E5"/>
    <w:rsid w:val="739B4217"/>
    <w:rsid w:val="73AD5CF9"/>
    <w:rsid w:val="73D94D40"/>
    <w:rsid w:val="740D2C3B"/>
    <w:rsid w:val="740F6A0B"/>
    <w:rsid w:val="742E508B"/>
    <w:rsid w:val="744877CF"/>
    <w:rsid w:val="74692D8A"/>
    <w:rsid w:val="74716D26"/>
    <w:rsid w:val="74933140"/>
    <w:rsid w:val="74AB66DC"/>
    <w:rsid w:val="74B81FE2"/>
    <w:rsid w:val="74B86703"/>
    <w:rsid w:val="74BD1F6B"/>
    <w:rsid w:val="74CE23CA"/>
    <w:rsid w:val="74E813D5"/>
    <w:rsid w:val="74FF4332"/>
    <w:rsid w:val="750E0AAE"/>
    <w:rsid w:val="751C1388"/>
    <w:rsid w:val="75581C94"/>
    <w:rsid w:val="755F3023"/>
    <w:rsid w:val="75874327"/>
    <w:rsid w:val="75995FB8"/>
    <w:rsid w:val="75A1188D"/>
    <w:rsid w:val="75B50E95"/>
    <w:rsid w:val="75CA0DE4"/>
    <w:rsid w:val="75CD4430"/>
    <w:rsid w:val="75D25EEA"/>
    <w:rsid w:val="75ED275C"/>
    <w:rsid w:val="75F75951"/>
    <w:rsid w:val="75FC4D15"/>
    <w:rsid w:val="75FE0A8D"/>
    <w:rsid w:val="76097029"/>
    <w:rsid w:val="76133C04"/>
    <w:rsid w:val="76292962"/>
    <w:rsid w:val="763165BA"/>
    <w:rsid w:val="764A4CEF"/>
    <w:rsid w:val="766C1E9B"/>
    <w:rsid w:val="76880357"/>
    <w:rsid w:val="769D2054"/>
    <w:rsid w:val="76AA4771"/>
    <w:rsid w:val="76CC0B8C"/>
    <w:rsid w:val="76E13170"/>
    <w:rsid w:val="76E311A3"/>
    <w:rsid w:val="76F52206"/>
    <w:rsid w:val="77120CFE"/>
    <w:rsid w:val="772938E8"/>
    <w:rsid w:val="7734344E"/>
    <w:rsid w:val="774424D0"/>
    <w:rsid w:val="77813724"/>
    <w:rsid w:val="77972F48"/>
    <w:rsid w:val="77980A6E"/>
    <w:rsid w:val="7798554B"/>
    <w:rsid w:val="77A2369A"/>
    <w:rsid w:val="77B561D9"/>
    <w:rsid w:val="77CB0E43"/>
    <w:rsid w:val="77E141C3"/>
    <w:rsid w:val="77F008AA"/>
    <w:rsid w:val="78054355"/>
    <w:rsid w:val="781C344D"/>
    <w:rsid w:val="78202F3D"/>
    <w:rsid w:val="782347DB"/>
    <w:rsid w:val="78300CA6"/>
    <w:rsid w:val="783267CC"/>
    <w:rsid w:val="783951EC"/>
    <w:rsid w:val="783C3AEF"/>
    <w:rsid w:val="783E1615"/>
    <w:rsid w:val="78484242"/>
    <w:rsid w:val="78485FF0"/>
    <w:rsid w:val="786646C8"/>
    <w:rsid w:val="786C4C30"/>
    <w:rsid w:val="7874661E"/>
    <w:rsid w:val="7880578A"/>
    <w:rsid w:val="78827754"/>
    <w:rsid w:val="78B91B03"/>
    <w:rsid w:val="78BE2756"/>
    <w:rsid w:val="78C42320"/>
    <w:rsid w:val="78D12489"/>
    <w:rsid w:val="78EA354B"/>
    <w:rsid w:val="78FB5E6F"/>
    <w:rsid w:val="79711576"/>
    <w:rsid w:val="7973634F"/>
    <w:rsid w:val="797F0066"/>
    <w:rsid w:val="79862855"/>
    <w:rsid w:val="79AB7B9C"/>
    <w:rsid w:val="79C36276"/>
    <w:rsid w:val="79D33BD7"/>
    <w:rsid w:val="79E56BF4"/>
    <w:rsid w:val="79E65AC0"/>
    <w:rsid w:val="7A0712A8"/>
    <w:rsid w:val="7A1A5F3C"/>
    <w:rsid w:val="7A293BFF"/>
    <w:rsid w:val="7A2E3F8E"/>
    <w:rsid w:val="7A340F22"/>
    <w:rsid w:val="7A440A39"/>
    <w:rsid w:val="7A486B67"/>
    <w:rsid w:val="7A5C5D83"/>
    <w:rsid w:val="7A63380E"/>
    <w:rsid w:val="7A7C01D3"/>
    <w:rsid w:val="7A7E002C"/>
    <w:rsid w:val="7A8734B8"/>
    <w:rsid w:val="7A8A6D94"/>
    <w:rsid w:val="7A911ED0"/>
    <w:rsid w:val="7AB64546"/>
    <w:rsid w:val="7AC04563"/>
    <w:rsid w:val="7ACB4729"/>
    <w:rsid w:val="7AE220D3"/>
    <w:rsid w:val="7AE70BAE"/>
    <w:rsid w:val="7AEA7832"/>
    <w:rsid w:val="7AEC455F"/>
    <w:rsid w:val="7AF3231D"/>
    <w:rsid w:val="7B05466C"/>
    <w:rsid w:val="7B0703E4"/>
    <w:rsid w:val="7B197943"/>
    <w:rsid w:val="7B4D1357"/>
    <w:rsid w:val="7B590514"/>
    <w:rsid w:val="7B641393"/>
    <w:rsid w:val="7B6E2F9B"/>
    <w:rsid w:val="7B89704B"/>
    <w:rsid w:val="7B98702C"/>
    <w:rsid w:val="7BB24B8C"/>
    <w:rsid w:val="7BB345F3"/>
    <w:rsid w:val="7BC71922"/>
    <w:rsid w:val="7BC77B74"/>
    <w:rsid w:val="7BD04C7A"/>
    <w:rsid w:val="7BD57CCF"/>
    <w:rsid w:val="7C022E76"/>
    <w:rsid w:val="7C055D6D"/>
    <w:rsid w:val="7C213B75"/>
    <w:rsid w:val="7C305719"/>
    <w:rsid w:val="7C3163FF"/>
    <w:rsid w:val="7C473CA7"/>
    <w:rsid w:val="7C896BD7"/>
    <w:rsid w:val="7C8B6DF3"/>
    <w:rsid w:val="7C8D6749"/>
    <w:rsid w:val="7CA61385"/>
    <w:rsid w:val="7CB718F6"/>
    <w:rsid w:val="7CCC0C02"/>
    <w:rsid w:val="7CE24C65"/>
    <w:rsid w:val="7CE64C01"/>
    <w:rsid w:val="7CF95B0B"/>
    <w:rsid w:val="7CFB7AD5"/>
    <w:rsid w:val="7D07647A"/>
    <w:rsid w:val="7D0E5A5A"/>
    <w:rsid w:val="7D123C1F"/>
    <w:rsid w:val="7D1467DB"/>
    <w:rsid w:val="7D2C7C8E"/>
    <w:rsid w:val="7D625DA6"/>
    <w:rsid w:val="7D871368"/>
    <w:rsid w:val="7D8B70AB"/>
    <w:rsid w:val="7D931348"/>
    <w:rsid w:val="7DC12ACC"/>
    <w:rsid w:val="7DD32800"/>
    <w:rsid w:val="7DF14781"/>
    <w:rsid w:val="7DFA2E1C"/>
    <w:rsid w:val="7E0D3978"/>
    <w:rsid w:val="7E1C5F55"/>
    <w:rsid w:val="7E3A287F"/>
    <w:rsid w:val="7E3F7E95"/>
    <w:rsid w:val="7E6873EC"/>
    <w:rsid w:val="7E9E4BBC"/>
    <w:rsid w:val="7EB10D93"/>
    <w:rsid w:val="7EB459DD"/>
    <w:rsid w:val="7ECD724F"/>
    <w:rsid w:val="7EE22D5E"/>
    <w:rsid w:val="7EF02C27"/>
    <w:rsid w:val="7EF91AB2"/>
    <w:rsid w:val="7EFB3E85"/>
    <w:rsid w:val="7F016EF9"/>
    <w:rsid w:val="7F030EC3"/>
    <w:rsid w:val="7F0E20E8"/>
    <w:rsid w:val="7F177E9D"/>
    <w:rsid w:val="7F2729DE"/>
    <w:rsid w:val="7F390D88"/>
    <w:rsid w:val="7F6A2CF0"/>
    <w:rsid w:val="7F841BB1"/>
    <w:rsid w:val="7F8C2C66"/>
    <w:rsid w:val="7FAC155A"/>
    <w:rsid w:val="7FCF1996"/>
    <w:rsid w:val="7FD17D13"/>
    <w:rsid w:val="7FD7406F"/>
    <w:rsid w:val="7FDF106F"/>
    <w:rsid w:val="7FF10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autoRedefine/>
    <w:qFormat/>
    <w:uiPriority w:val="0"/>
    <w:pPr>
      <w:keepNext/>
      <w:keepLines/>
      <w:spacing w:before="340" w:after="330" w:line="578" w:lineRule="auto"/>
      <w:jc w:val="center"/>
      <w:outlineLvl w:val="0"/>
    </w:pPr>
    <w:rPr>
      <w:b/>
      <w:bCs/>
      <w:kern w:val="44"/>
      <w:sz w:val="32"/>
      <w:szCs w:val="44"/>
    </w:rPr>
  </w:style>
  <w:style w:type="paragraph" w:styleId="3">
    <w:name w:val="heading 2"/>
    <w:basedOn w:val="1"/>
    <w:next w:val="1"/>
    <w:autoRedefine/>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4">
    <w:name w:val="heading 3"/>
    <w:basedOn w:val="1"/>
    <w:next w:val="1"/>
    <w:autoRedefine/>
    <w:qFormat/>
    <w:uiPriority w:val="0"/>
    <w:pPr>
      <w:keepNext/>
      <w:keepLines/>
      <w:spacing w:before="260" w:after="260" w:line="416" w:lineRule="atLeast"/>
      <w:textAlignment w:val="baseline"/>
      <w:outlineLvl w:val="2"/>
    </w:pPr>
    <w:rPr>
      <w:b/>
      <w:bCs/>
      <w:color w:val="000000"/>
      <w:sz w:val="32"/>
      <w:szCs w:val="32"/>
      <w:u w:color="000000"/>
    </w:rPr>
  </w:style>
  <w:style w:type="paragraph" w:styleId="5">
    <w:name w:val="heading 4"/>
    <w:basedOn w:val="1"/>
    <w:next w:val="1"/>
    <w:link w:val="57"/>
    <w:autoRedefine/>
    <w:qFormat/>
    <w:uiPriority w:val="0"/>
    <w:pPr>
      <w:keepNext/>
      <w:keepLines/>
      <w:widowControl/>
      <w:spacing w:before="280" w:after="290" w:line="376" w:lineRule="atLeast"/>
      <w:textAlignment w:val="baseline"/>
      <w:outlineLvl w:val="3"/>
    </w:pPr>
    <w:rPr>
      <w:rFonts w:ascii="Arial" w:hAnsi="Arial" w:eastAsia="黑体"/>
      <w:b/>
      <w:bCs/>
      <w:color w:val="000000"/>
      <w:kern w:val="0"/>
      <w:sz w:val="28"/>
      <w:szCs w:val="28"/>
      <w:u w:color="000000"/>
    </w:rPr>
  </w:style>
  <w:style w:type="paragraph" w:styleId="6">
    <w:name w:val="heading 5"/>
    <w:basedOn w:val="1"/>
    <w:next w:val="1"/>
    <w:link w:val="58"/>
    <w:autoRedefine/>
    <w:qFormat/>
    <w:uiPriority w:val="0"/>
    <w:pPr>
      <w:keepNext/>
      <w:keepLines/>
      <w:spacing w:before="280" w:after="290" w:line="376" w:lineRule="auto"/>
      <w:outlineLvl w:val="4"/>
    </w:pPr>
    <w:rPr>
      <w:b/>
      <w:bCs/>
      <w:sz w:val="28"/>
      <w:szCs w:val="28"/>
    </w:rPr>
  </w:style>
  <w:style w:type="paragraph" w:styleId="7">
    <w:name w:val="heading 6"/>
    <w:basedOn w:val="1"/>
    <w:next w:val="1"/>
    <w:link w:val="59"/>
    <w:autoRedefine/>
    <w:qFormat/>
    <w:uiPriority w:val="0"/>
    <w:pPr>
      <w:keepNext/>
      <w:keepLines/>
      <w:spacing w:before="240" w:after="64" w:line="320" w:lineRule="auto"/>
      <w:outlineLvl w:val="5"/>
    </w:pPr>
    <w:rPr>
      <w:rFonts w:ascii="Cambria" w:hAnsi="Cambria"/>
      <w:b/>
      <w:bCs/>
      <w:sz w:val="24"/>
    </w:rPr>
  </w:style>
  <w:style w:type="paragraph" w:styleId="8">
    <w:name w:val="heading 7"/>
    <w:basedOn w:val="1"/>
    <w:next w:val="1"/>
    <w:link w:val="60"/>
    <w:autoRedefine/>
    <w:qFormat/>
    <w:uiPriority w:val="0"/>
    <w:pPr>
      <w:keepNext/>
      <w:keepLines/>
      <w:spacing w:before="240" w:after="64" w:line="320" w:lineRule="auto"/>
      <w:outlineLvl w:val="6"/>
    </w:pPr>
    <w:rPr>
      <w:b/>
      <w:bCs/>
      <w:sz w:val="24"/>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9">
    <w:name w:val="toc 7"/>
    <w:basedOn w:val="1"/>
    <w:next w:val="1"/>
    <w:autoRedefine/>
    <w:qFormat/>
    <w:uiPriority w:val="39"/>
    <w:pPr>
      <w:ind w:left="1260"/>
      <w:jc w:val="left"/>
    </w:pPr>
    <w:rPr>
      <w:sz w:val="18"/>
      <w:szCs w:val="18"/>
    </w:rPr>
  </w:style>
  <w:style w:type="paragraph" w:styleId="10">
    <w:name w:val="List Number 2"/>
    <w:basedOn w:val="1"/>
    <w:autoRedefine/>
    <w:qFormat/>
    <w:uiPriority w:val="0"/>
    <w:pPr>
      <w:numPr>
        <w:ilvl w:val="0"/>
        <w:numId w:val="2"/>
      </w:numPr>
      <w:tabs>
        <w:tab w:val="left" w:pos="567"/>
        <w:tab w:val="clear" w:pos="425"/>
      </w:tabs>
      <w:adjustRightInd w:val="0"/>
      <w:spacing w:line="300" w:lineRule="auto"/>
      <w:textAlignment w:val="baseline"/>
    </w:pPr>
    <w:rPr>
      <w:kern w:val="0"/>
      <w:sz w:val="28"/>
      <w:szCs w:val="20"/>
    </w:rPr>
  </w:style>
  <w:style w:type="paragraph" w:styleId="11">
    <w:name w:val="Normal Indent"/>
    <w:basedOn w:val="1"/>
    <w:autoRedefine/>
    <w:qFormat/>
    <w:uiPriority w:val="0"/>
    <w:pPr>
      <w:adjustRightInd w:val="0"/>
      <w:spacing w:line="360" w:lineRule="atLeast"/>
      <w:ind w:firstLine="482"/>
      <w:textAlignment w:val="baseline"/>
    </w:pPr>
    <w:rPr>
      <w:kern w:val="0"/>
      <w:sz w:val="24"/>
      <w:szCs w:val="20"/>
    </w:rPr>
  </w:style>
  <w:style w:type="paragraph" w:styleId="12">
    <w:name w:val="Document Map"/>
    <w:basedOn w:val="1"/>
    <w:next w:val="1"/>
    <w:autoRedefine/>
    <w:qFormat/>
    <w:uiPriority w:val="0"/>
    <w:pPr>
      <w:widowControl/>
      <w:shd w:val="clear" w:color="000000" w:fill="000080"/>
      <w:spacing w:line="357" w:lineRule="atLeast"/>
    </w:pPr>
    <w:rPr>
      <w:color w:val="000000"/>
    </w:rPr>
  </w:style>
  <w:style w:type="paragraph" w:styleId="13">
    <w:name w:val="annotation text"/>
    <w:basedOn w:val="1"/>
    <w:link w:val="61"/>
    <w:autoRedefine/>
    <w:qFormat/>
    <w:uiPriority w:val="0"/>
    <w:pPr>
      <w:jc w:val="left"/>
    </w:pPr>
  </w:style>
  <w:style w:type="paragraph" w:styleId="14">
    <w:name w:val="Body Text"/>
    <w:basedOn w:val="1"/>
    <w:autoRedefine/>
    <w:qFormat/>
    <w:uiPriority w:val="0"/>
    <w:pPr>
      <w:spacing w:after="120"/>
    </w:pPr>
  </w:style>
  <w:style w:type="paragraph" w:styleId="15">
    <w:name w:val="Body Text Indent"/>
    <w:basedOn w:val="1"/>
    <w:next w:val="16"/>
    <w:link w:val="54"/>
    <w:autoRedefine/>
    <w:qFormat/>
    <w:uiPriority w:val="0"/>
    <w:pPr>
      <w:spacing w:after="120"/>
      <w:ind w:left="200" w:leftChars="200"/>
    </w:pPr>
  </w:style>
  <w:style w:type="paragraph" w:styleId="16">
    <w:name w:val="envelope return"/>
    <w:basedOn w:val="1"/>
    <w:autoRedefine/>
    <w:qFormat/>
    <w:uiPriority w:val="0"/>
    <w:pPr>
      <w:snapToGrid w:val="0"/>
    </w:pPr>
    <w:rPr>
      <w:rFonts w:ascii="Arial" w:hAnsi="Arial"/>
    </w:rPr>
  </w:style>
  <w:style w:type="paragraph" w:styleId="17">
    <w:name w:val="toc 3"/>
    <w:basedOn w:val="1"/>
    <w:next w:val="1"/>
    <w:autoRedefine/>
    <w:qFormat/>
    <w:uiPriority w:val="0"/>
    <w:pPr>
      <w:tabs>
        <w:tab w:val="right" w:leader="dot" w:pos="9288"/>
      </w:tabs>
      <w:ind w:left="400" w:leftChars="400"/>
    </w:pPr>
    <w:rPr>
      <w:rFonts w:ascii="宋体"/>
    </w:rPr>
  </w:style>
  <w:style w:type="paragraph" w:styleId="18">
    <w:name w:val="Plain Text"/>
    <w:basedOn w:val="1"/>
    <w:link w:val="62"/>
    <w:autoRedefine/>
    <w:qFormat/>
    <w:uiPriority w:val="0"/>
    <w:rPr>
      <w:rFonts w:ascii="宋体"/>
      <w:color w:val="000000"/>
      <w:szCs w:val="20"/>
      <w:u w:color="000000"/>
    </w:rPr>
  </w:style>
  <w:style w:type="paragraph" w:styleId="19">
    <w:name w:val="Date"/>
    <w:basedOn w:val="1"/>
    <w:next w:val="1"/>
    <w:link w:val="63"/>
    <w:autoRedefine/>
    <w:qFormat/>
    <w:uiPriority w:val="0"/>
    <w:rPr>
      <w:rFonts w:ascii="Arial" w:hAnsi="Arial" w:eastAsia="仿宋_GB2312"/>
      <w:color w:val="000000"/>
      <w:sz w:val="32"/>
      <w:szCs w:val="20"/>
      <w:u w:color="000000"/>
    </w:rPr>
  </w:style>
  <w:style w:type="paragraph" w:styleId="20">
    <w:name w:val="Body Text Indent 2"/>
    <w:basedOn w:val="1"/>
    <w:link w:val="64"/>
    <w:autoRedefine/>
    <w:qFormat/>
    <w:uiPriority w:val="0"/>
    <w:pPr>
      <w:spacing w:after="120" w:line="480" w:lineRule="auto"/>
      <w:ind w:left="420" w:leftChars="200"/>
    </w:pPr>
  </w:style>
  <w:style w:type="paragraph" w:styleId="21">
    <w:name w:val="Balloon Text"/>
    <w:basedOn w:val="1"/>
    <w:link w:val="65"/>
    <w:autoRedefine/>
    <w:qFormat/>
    <w:uiPriority w:val="0"/>
    <w:rPr>
      <w:sz w:val="18"/>
      <w:szCs w:val="18"/>
    </w:rPr>
  </w:style>
  <w:style w:type="paragraph" w:styleId="22">
    <w:name w:val="footer"/>
    <w:basedOn w:val="1"/>
    <w:link w:val="66"/>
    <w:autoRedefine/>
    <w:qFormat/>
    <w:uiPriority w:val="0"/>
    <w:pPr>
      <w:tabs>
        <w:tab w:val="center" w:pos="4153"/>
        <w:tab w:val="right" w:pos="8306"/>
      </w:tabs>
      <w:snapToGrid w:val="0"/>
      <w:jc w:val="left"/>
    </w:pPr>
    <w:rPr>
      <w:sz w:val="18"/>
      <w:szCs w:val="18"/>
    </w:rPr>
  </w:style>
  <w:style w:type="paragraph" w:styleId="23">
    <w:name w:val="header"/>
    <w:basedOn w:val="1"/>
    <w:link w:val="67"/>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style>
  <w:style w:type="paragraph" w:styleId="25">
    <w:name w:val="Subtitle"/>
    <w:basedOn w:val="1"/>
    <w:next w:val="1"/>
    <w:autoRedefine/>
    <w:qFormat/>
    <w:uiPriority w:val="0"/>
    <w:pPr>
      <w:numPr>
        <w:ilvl w:val="0"/>
        <w:numId w:val="3"/>
      </w:numPr>
      <w:spacing w:line="360" w:lineRule="auto"/>
      <w:jc w:val="left"/>
      <w:outlineLvl w:val="1"/>
    </w:pPr>
    <w:rPr>
      <w:rFonts w:ascii="Calibri Light" w:hAnsi="Calibri Light"/>
      <w:bCs/>
      <w:kern w:val="28"/>
      <w:szCs w:val="32"/>
    </w:rPr>
  </w:style>
  <w:style w:type="paragraph" w:styleId="26">
    <w:name w:val="List"/>
    <w:basedOn w:val="1"/>
    <w:autoRedefine/>
    <w:qFormat/>
    <w:uiPriority w:val="0"/>
    <w:pPr>
      <w:ind w:left="420" w:hanging="420"/>
    </w:pPr>
    <w:rPr>
      <w:rFonts w:ascii="Arial" w:hAnsi="Arial" w:eastAsia="楷体_GB2312"/>
      <w:sz w:val="28"/>
    </w:rPr>
  </w:style>
  <w:style w:type="paragraph" w:styleId="27">
    <w:name w:val="toc 6"/>
    <w:basedOn w:val="1"/>
    <w:next w:val="1"/>
    <w:autoRedefine/>
    <w:qFormat/>
    <w:uiPriority w:val="0"/>
    <w:pPr>
      <w:autoSpaceDE w:val="0"/>
      <w:autoSpaceDN w:val="0"/>
      <w:ind w:left="1700"/>
      <w:jc w:val="left"/>
      <w:textAlignment w:val="baseline"/>
    </w:pPr>
    <w:rPr>
      <w:kern w:val="0"/>
      <w:sz w:val="18"/>
      <w:szCs w:val="18"/>
    </w:rPr>
  </w:style>
  <w:style w:type="paragraph" w:styleId="28">
    <w:name w:val="toc 2"/>
    <w:basedOn w:val="1"/>
    <w:next w:val="1"/>
    <w:autoRedefine/>
    <w:qFormat/>
    <w:uiPriority w:val="0"/>
    <w:pPr>
      <w:ind w:left="200" w:leftChars="200"/>
    </w:p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Arial" w:hAnsi="Arial"/>
    </w:rPr>
  </w:style>
  <w:style w:type="paragraph" w:styleId="30">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31">
    <w:name w:val="Title"/>
    <w:basedOn w:val="1"/>
    <w:next w:val="1"/>
    <w:autoRedefine/>
    <w:qFormat/>
    <w:uiPriority w:val="0"/>
    <w:pPr>
      <w:numPr>
        <w:ilvl w:val="0"/>
        <w:numId w:val="4"/>
      </w:numPr>
      <w:spacing w:line="360" w:lineRule="auto"/>
      <w:jc w:val="left"/>
      <w:outlineLvl w:val="0"/>
    </w:pPr>
    <w:rPr>
      <w:rFonts w:ascii="Cambria" w:hAnsi="Cambria"/>
      <w:b/>
      <w:bCs/>
      <w:sz w:val="28"/>
      <w:szCs w:val="32"/>
    </w:rPr>
  </w:style>
  <w:style w:type="paragraph" w:styleId="32">
    <w:name w:val="annotation subject"/>
    <w:basedOn w:val="13"/>
    <w:next w:val="13"/>
    <w:link w:val="68"/>
    <w:autoRedefine/>
    <w:qFormat/>
    <w:uiPriority w:val="0"/>
    <w:rPr>
      <w:b/>
      <w:bCs/>
    </w:rPr>
  </w:style>
  <w:style w:type="paragraph" w:styleId="33">
    <w:name w:val="Body Text First Indent"/>
    <w:basedOn w:val="14"/>
    <w:autoRedefine/>
    <w:qFormat/>
    <w:uiPriority w:val="0"/>
    <w:pPr>
      <w:ind w:firstLine="420" w:firstLineChars="100"/>
    </w:pPr>
  </w:style>
  <w:style w:type="paragraph" w:styleId="34">
    <w:name w:val="Body Text First Indent 2"/>
    <w:basedOn w:val="15"/>
    <w:next w:val="1"/>
    <w:link w:val="55"/>
    <w:autoRedefine/>
    <w:qFormat/>
    <w:uiPriority w:val="0"/>
    <w:pPr>
      <w:ind w:left="420" w:firstLine="420" w:firstLineChars="200"/>
    </w:pPr>
    <w:rPr>
      <w:kern w:val="0"/>
      <w:sz w:val="20"/>
      <w:szCs w:val="20"/>
    </w:rPr>
  </w:style>
  <w:style w:type="table" w:styleId="36">
    <w:name w:val="Table Grid"/>
    <w:basedOn w:val="3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basedOn w:val="37"/>
    <w:autoRedefine/>
    <w:qFormat/>
    <w:uiPriority w:val="0"/>
    <w:rPr>
      <w:rFonts w:ascii="Times New Roman" w:hAnsi="Times New Roman" w:eastAsia="宋体" w:cs="Times New Roman"/>
      <w:b/>
    </w:rPr>
  </w:style>
  <w:style w:type="character" w:styleId="39">
    <w:name w:val="page number"/>
    <w:autoRedefine/>
    <w:qFormat/>
    <w:uiPriority w:val="0"/>
    <w:rPr>
      <w:rFonts w:ascii="Times New Roman" w:hAnsi="Times New Roman" w:eastAsia="宋体" w:cs="Times New Roman"/>
    </w:rPr>
  </w:style>
  <w:style w:type="character" w:styleId="40">
    <w:name w:val="FollowedHyperlink"/>
    <w:autoRedefine/>
    <w:qFormat/>
    <w:uiPriority w:val="0"/>
    <w:rPr>
      <w:rFonts w:ascii="Times New Roman" w:hAnsi="Times New Roman" w:eastAsia="宋体" w:cs="Times New Roman"/>
      <w:color w:val="333333"/>
      <w:u w:val="none"/>
    </w:rPr>
  </w:style>
  <w:style w:type="character" w:styleId="41">
    <w:name w:val="Emphasis"/>
    <w:autoRedefine/>
    <w:qFormat/>
    <w:uiPriority w:val="0"/>
    <w:rPr>
      <w:rFonts w:ascii="Times New Roman" w:hAnsi="Times New Roman" w:eastAsia="宋体" w:cs="Times New Roman"/>
      <w:i/>
      <w:iCs/>
    </w:rPr>
  </w:style>
  <w:style w:type="character" w:styleId="42">
    <w:name w:val="HTML Definition"/>
    <w:autoRedefine/>
    <w:qFormat/>
    <w:uiPriority w:val="0"/>
    <w:rPr>
      <w:rFonts w:ascii="Times New Roman" w:hAnsi="Times New Roman" w:eastAsia="宋体" w:cs="Times New Roman"/>
    </w:rPr>
  </w:style>
  <w:style w:type="character" w:styleId="43">
    <w:name w:val="HTML Typewriter"/>
    <w:autoRedefine/>
    <w:qFormat/>
    <w:uiPriority w:val="0"/>
    <w:rPr>
      <w:rFonts w:hint="default" w:ascii="monospace" w:hAnsi="monospace" w:eastAsia="monospace" w:cs="monospace"/>
      <w:sz w:val="20"/>
    </w:rPr>
  </w:style>
  <w:style w:type="character" w:styleId="44">
    <w:name w:val="HTML Acronym"/>
    <w:autoRedefine/>
    <w:qFormat/>
    <w:uiPriority w:val="0"/>
    <w:rPr>
      <w:rFonts w:ascii="Times New Roman" w:hAnsi="Times New Roman" w:eastAsia="宋体" w:cs="Times New Roman"/>
    </w:rPr>
  </w:style>
  <w:style w:type="character" w:styleId="45">
    <w:name w:val="HTML Variable"/>
    <w:autoRedefine/>
    <w:qFormat/>
    <w:uiPriority w:val="0"/>
    <w:rPr>
      <w:rFonts w:ascii="Times New Roman" w:hAnsi="Times New Roman" w:eastAsia="宋体" w:cs="Times New Roman"/>
    </w:rPr>
  </w:style>
  <w:style w:type="character" w:styleId="46">
    <w:name w:val="Hyperlink"/>
    <w:autoRedefine/>
    <w:qFormat/>
    <w:uiPriority w:val="0"/>
    <w:rPr>
      <w:rFonts w:ascii="Times New Roman" w:hAnsi="Times New Roman" w:eastAsia="宋体" w:cs="Times New Roman"/>
      <w:color w:val="333333"/>
      <w:u w:val="none"/>
    </w:rPr>
  </w:style>
  <w:style w:type="character" w:styleId="47">
    <w:name w:val="HTML Code"/>
    <w:autoRedefine/>
    <w:qFormat/>
    <w:uiPriority w:val="0"/>
    <w:rPr>
      <w:rFonts w:hint="default" w:ascii="monospace" w:hAnsi="monospace" w:eastAsia="monospace" w:cs="monospace"/>
      <w:sz w:val="20"/>
    </w:rPr>
  </w:style>
  <w:style w:type="character" w:styleId="48">
    <w:name w:val="annotation reference"/>
    <w:autoRedefine/>
    <w:qFormat/>
    <w:uiPriority w:val="0"/>
    <w:rPr>
      <w:rFonts w:ascii="Times New Roman" w:hAnsi="Times New Roman" w:eastAsia="宋体" w:cs="Times New Roman"/>
      <w:sz w:val="21"/>
      <w:szCs w:val="21"/>
    </w:rPr>
  </w:style>
  <w:style w:type="character" w:styleId="49">
    <w:name w:val="HTML Cite"/>
    <w:autoRedefine/>
    <w:qFormat/>
    <w:uiPriority w:val="0"/>
    <w:rPr>
      <w:rFonts w:ascii="Times New Roman" w:hAnsi="Times New Roman" w:eastAsia="宋体" w:cs="Times New Roman"/>
    </w:rPr>
  </w:style>
  <w:style w:type="character" w:styleId="50">
    <w:name w:val="HTML Keyboard"/>
    <w:autoRedefine/>
    <w:qFormat/>
    <w:uiPriority w:val="0"/>
    <w:rPr>
      <w:rFonts w:hint="default" w:ascii="monospace" w:hAnsi="monospace" w:eastAsia="monospace" w:cs="monospace"/>
      <w:sz w:val="20"/>
    </w:rPr>
  </w:style>
  <w:style w:type="character" w:styleId="51">
    <w:name w:val="HTML Sample"/>
    <w:autoRedefine/>
    <w:qFormat/>
    <w:uiPriority w:val="0"/>
    <w:rPr>
      <w:rFonts w:ascii="monospace" w:hAnsi="monospace" w:eastAsia="monospace" w:cs="monospace"/>
    </w:rPr>
  </w:style>
  <w:style w:type="paragraph" w:customStyle="1" w:styleId="52">
    <w:name w:val="正文1"/>
    <w:basedOn w:val="1"/>
    <w:next w:val="1"/>
    <w:autoRedefine/>
    <w:qFormat/>
    <w:uiPriority w:val="0"/>
    <w:pPr>
      <w:widowControl w:val="0"/>
      <w:spacing w:before="120" w:line="360" w:lineRule="auto"/>
      <w:ind w:left="420" w:firstLine="527"/>
      <w:jc w:val="both"/>
    </w:pPr>
    <w:rPr>
      <w:rFonts w:ascii="宋体" w:hAnsi="宋体"/>
      <w:kern w:val="2"/>
    </w:rPr>
  </w:style>
  <w:style w:type="paragraph" w:customStyle="1" w:styleId="53">
    <w:name w:val="l正文"/>
    <w:autoRedefine/>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54">
    <w:name w:val="正文文本缩进 Char"/>
    <w:link w:val="15"/>
    <w:autoRedefine/>
    <w:qFormat/>
    <w:uiPriority w:val="0"/>
    <w:rPr>
      <w:rFonts w:ascii="Times New Roman" w:hAnsi="Times New Roman" w:eastAsia="宋体" w:cs="Times New Roman"/>
      <w:kern w:val="2"/>
      <w:sz w:val="21"/>
      <w:szCs w:val="24"/>
    </w:rPr>
  </w:style>
  <w:style w:type="character" w:customStyle="1" w:styleId="55">
    <w:name w:val="正文首行缩进 2 Char"/>
    <w:link w:val="34"/>
    <w:autoRedefine/>
    <w:qFormat/>
    <w:uiPriority w:val="0"/>
    <w:rPr>
      <w:rFonts w:ascii="Times New Roman" w:hAnsi="Times New Roman" w:eastAsia="宋体" w:cs="Times New Roman"/>
    </w:rPr>
  </w:style>
  <w:style w:type="character" w:customStyle="1" w:styleId="56">
    <w:name w:val="标题 1 Char"/>
    <w:link w:val="2"/>
    <w:autoRedefine/>
    <w:qFormat/>
    <w:uiPriority w:val="0"/>
    <w:rPr>
      <w:rFonts w:ascii="Times New Roman" w:hAnsi="Times New Roman" w:eastAsia="宋体" w:cs="Times New Roman"/>
      <w:b/>
      <w:bCs/>
      <w:kern w:val="44"/>
      <w:sz w:val="32"/>
      <w:szCs w:val="44"/>
    </w:rPr>
  </w:style>
  <w:style w:type="character" w:customStyle="1" w:styleId="57">
    <w:name w:val="标题 4 Char"/>
    <w:link w:val="5"/>
    <w:autoRedefine/>
    <w:qFormat/>
    <w:uiPriority w:val="0"/>
    <w:rPr>
      <w:rFonts w:ascii="Arial" w:hAnsi="Arial" w:eastAsia="黑体" w:cs="Times New Roman"/>
      <w:b/>
      <w:bCs/>
      <w:color w:val="000000"/>
      <w:sz w:val="28"/>
      <w:szCs w:val="28"/>
      <w:u w:val="none" w:color="000000"/>
      <w:lang w:val="en-US" w:eastAsia="zh-CN" w:bidi="ar-SA"/>
    </w:rPr>
  </w:style>
  <w:style w:type="character" w:customStyle="1" w:styleId="58">
    <w:name w:val="标题 5 Char"/>
    <w:link w:val="6"/>
    <w:autoRedefine/>
    <w:qFormat/>
    <w:uiPriority w:val="0"/>
    <w:rPr>
      <w:rFonts w:ascii="Times New Roman" w:hAnsi="Times New Roman" w:eastAsia="宋体" w:cs="Times New Roman"/>
      <w:b/>
      <w:bCs/>
      <w:kern w:val="2"/>
      <w:sz w:val="28"/>
      <w:szCs w:val="28"/>
    </w:rPr>
  </w:style>
  <w:style w:type="character" w:customStyle="1" w:styleId="59">
    <w:name w:val="标题 6 Char"/>
    <w:link w:val="7"/>
    <w:autoRedefine/>
    <w:qFormat/>
    <w:uiPriority w:val="0"/>
    <w:rPr>
      <w:rFonts w:ascii="Cambria" w:hAnsi="Cambria" w:eastAsia="宋体" w:cs="Times New Roman"/>
      <w:b/>
      <w:bCs/>
      <w:kern w:val="2"/>
      <w:sz w:val="24"/>
      <w:szCs w:val="24"/>
    </w:rPr>
  </w:style>
  <w:style w:type="character" w:customStyle="1" w:styleId="60">
    <w:name w:val="标题 7 Char"/>
    <w:link w:val="8"/>
    <w:autoRedefine/>
    <w:qFormat/>
    <w:uiPriority w:val="0"/>
    <w:rPr>
      <w:rFonts w:ascii="Times New Roman" w:hAnsi="Times New Roman" w:eastAsia="宋体" w:cs="Times New Roman"/>
      <w:b/>
      <w:bCs/>
      <w:kern w:val="2"/>
      <w:sz w:val="24"/>
      <w:szCs w:val="24"/>
    </w:rPr>
  </w:style>
  <w:style w:type="character" w:customStyle="1" w:styleId="61">
    <w:name w:val="批注文字 Char"/>
    <w:link w:val="13"/>
    <w:autoRedefine/>
    <w:qFormat/>
    <w:uiPriority w:val="0"/>
    <w:rPr>
      <w:rFonts w:ascii="Times New Roman" w:hAnsi="Times New Roman" w:eastAsia="宋体" w:cs="Times New Roman"/>
      <w:kern w:val="2"/>
      <w:sz w:val="21"/>
      <w:szCs w:val="24"/>
    </w:rPr>
  </w:style>
  <w:style w:type="character" w:customStyle="1" w:styleId="62">
    <w:name w:val="纯文本 Char"/>
    <w:link w:val="18"/>
    <w:autoRedefine/>
    <w:qFormat/>
    <w:uiPriority w:val="0"/>
    <w:rPr>
      <w:rFonts w:ascii="宋体" w:hAnsi="Times New Roman" w:eastAsia="宋体" w:cs="Times New Roman"/>
      <w:color w:val="000000"/>
      <w:kern w:val="2"/>
      <w:sz w:val="21"/>
      <w:u w:val="none" w:color="000000"/>
      <w:lang w:val="en-US" w:eastAsia="zh-CN" w:bidi="ar-SA"/>
    </w:rPr>
  </w:style>
  <w:style w:type="character" w:customStyle="1" w:styleId="63">
    <w:name w:val="日期 Char"/>
    <w:link w:val="19"/>
    <w:autoRedefine/>
    <w:qFormat/>
    <w:uiPriority w:val="0"/>
    <w:rPr>
      <w:rFonts w:ascii="Arial" w:hAnsi="Arial" w:eastAsia="仿宋_GB2312" w:cs="Times New Roman"/>
      <w:color w:val="000000"/>
      <w:kern w:val="2"/>
      <w:sz w:val="32"/>
      <w:u w:val="none" w:color="000000"/>
    </w:rPr>
  </w:style>
  <w:style w:type="character" w:customStyle="1" w:styleId="64">
    <w:name w:val="正文文本缩进 2 Char"/>
    <w:link w:val="20"/>
    <w:autoRedefine/>
    <w:qFormat/>
    <w:uiPriority w:val="0"/>
    <w:rPr>
      <w:rFonts w:ascii="Times New Roman" w:hAnsi="Times New Roman" w:eastAsia="宋体" w:cs="Times New Roman"/>
      <w:kern w:val="2"/>
      <w:sz w:val="21"/>
      <w:szCs w:val="24"/>
    </w:rPr>
  </w:style>
  <w:style w:type="character" w:customStyle="1" w:styleId="65">
    <w:name w:val="批注框文本 Char"/>
    <w:link w:val="21"/>
    <w:autoRedefine/>
    <w:qFormat/>
    <w:uiPriority w:val="0"/>
    <w:rPr>
      <w:rFonts w:ascii="Times New Roman" w:hAnsi="Times New Roman" w:eastAsia="宋体" w:cs="Times New Roman"/>
      <w:kern w:val="2"/>
      <w:sz w:val="18"/>
      <w:szCs w:val="18"/>
    </w:rPr>
  </w:style>
  <w:style w:type="character" w:customStyle="1" w:styleId="66">
    <w:name w:val="页脚 Char"/>
    <w:link w:val="22"/>
    <w:autoRedefine/>
    <w:qFormat/>
    <w:uiPriority w:val="0"/>
    <w:rPr>
      <w:rFonts w:ascii="Times New Roman" w:hAnsi="Times New Roman" w:eastAsia="宋体" w:cs="Times New Roman"/>
      <w:kern w:val="2"/>
      <w:sz w:val="18"/>
      <w:szCs w:val="18"/>
    </w:rPr>
  </w:style>
  <w:style w:type="character" w:customStyle="1" w:styleId="67">
    <w:name w:val="页眉 Char"/>
    <w:link w:val="23"/>
    <w:autoRedefine/>
    <w:qFormat/>
    <w:uiPriority w:val="0"/>
    <w:rPr>
      <w:rFonts w:ascii="Times New Roman" w:hAnsi="Times New Roman" w:eastAsia="宋体" w:cs="Times New Roman"/>
      <w:kern w:val="2"/>
      <w:sz w:val="18"/>
      <w:szCs w:val="18"/>
    </w:rPr>
  </w:style>
  <w:style w:type="character" w:customStyle="1" w:styleId="68">
    <w:name w:val="批注主题 Char"/>
    <w:link w:val="32"/>
    <w:autoRedefine/>
    <w:qFormat/>
    <w:uiPriority w:val="0"/>
    <w:rPr>
      <w:rFonts w:ascii="Times New Roman" w:hAnsi="Times New Roman" w:eastAsia="宋体" w:cs="Times New Roman"/>
      <w:b/>
      <w:bCs/>
      <w:kern w:val="2"/>
      <w:sz w:val="21"/>
      <w:szCs w:val="24"/>
    </w:rPr>
  </w:style>
  <w:style w:type="character" w:customStyle="1" w:styleId="69">
    <w:name w:val="图表 Char Char"/>
    <w:link w:val="70"/>
    <w:autoRedefine/>
    <w:qFormat/>
    <w:uiPriority w:val="0"/>
    <w:rPr>
      <w:rFonts w:ascii="Times New Roman" w:hAnsi="Times New Roman" w:eastAsia="宋体" w:cs="Times New Roman"/>
      <w:kern w:val="2"/>
      <w:sz w:val="21"/>
      <w:szCs w:val="21"/>
    </w:rPr>
  </w:style>
  <w:style w:type="paragraph" w:customStyle="1" w:styleId="70">
    <w:name w:val="图表"/>
    <w:basedOn w:val="1"/>
    <w:next w:val="1"/>
    <w:link w:val="69"/>
    <w:autoRedefine/>
    <w:qFormat/>
    <w:uiPriority w:val="0"/>
    <w:pPr>
      <w:jc w:val="center"/>
    </w:pPr>
    <w:rPr>
      <w:szCs w:val="21"/>
    </w:rPr>
  </w:style>
  <w:style w:type="character" w:customStyle="1" w:styleId="71">
    <w:name w:val="【正文】 Char Char"/>
    <w:link w:val="72"/>
    <w:autoRedefine/>
    <w:qFormat/>
    <w:uiPriority w:val="0"/>
    <w:rPr>
      <w:rFonts w:ascii="Times New Roman" w:hAnsi="Times New Roman" w:eastAsia="宋体" w:cs="DokChampa"/>
      <w:kern w:val="2"/>
      <w:sz w:val="24"/>
      <w:szCs w:val="22"/>
    </w:rPr>
  </w:style>
  <w:style w:type="paragraph" w:customStyle="1" w:styleId="72">
    <w:name w:val="【正文】"/>
    <w:basedOn w:val="1"/>
    <w:link w:val="71"/>
    <w:autoRedefine/>
    <w:qFormat/>
    <w:uiPriority w:val="0"/>
    <w:pPr>
      <w:spacing w:line="360" w:lineRule="auto"/>
      <w:ind w:firstLine="480" w:firstLineChars="200"/>
    </w:pPr>
    <w:rPr>
      <w:sz w:val="24"/>
      <w:szCs w:val="22"/>
    </w:rPr>
  </w:style>
  <w:style w:type="character" w:customStyle="1" w:styleId="73">
    <w:name w:val="selected"/>
    <w:autoRedefine/>
    <w:qFormat/>
    <w:uiPriority w:val="0"/>
    <w:rPr>
      <w:rFonts w:ascii="Times New Roman" w:hAnsi="Times New Roman" w:eastAsia="宋体" w:cs="Times New Roman"/>
      <w:shd w:val="clear" w:color="auto" w:fill="B00006"/>
    </w:rPr>
  </w:style>
  <w:style w:type="character" w:customStyle="1" w:styleId="74">
    <w:name w:val="font21"/>
    <w:basedOn w:val="37"/>
    <w:autoRedefine/>
    <w:qFormat/>
    <w:uiPriority w:val="0"/>
    <w:rPr>
      <w:rFonts w:hint="eastAsia" w:ascii="宋体" w:hAnsi="宋体" w:eastAsia="宋体" w:cs="宋体"/>
      <w:color w:val="000000"/>
      <w:sz w:val="18"/>
      <w:szCs w:val="18"/>
      <w:u w:val="none"/>
    </w:rPr>
  </w:style>
  <w:style w:type="character" w:customStyle="1" w:styleId="75">
    <w:name w:val="bds_nopic"/>
    <w:autoRedefine/>
    <w:qFormat/>
    <w:uiPriority w:val="0"/>
    <w:rPr>
      <w:rFonts w:ascii="Times New Roman" w:hAnsi="Times New Roman" w:eastAsia="宋体" w:cs="Times New Roman"/>
    </w:rPr>
  </w:style>
  <w:style w:type="character" w:customStyle="1" w:styleId="76">
    <w:name w:val="NormalCharacter"/>
    <w:autoRedefine/>
    <w:qFormat/>
    <w:uiPriority w:val="0"/>
    <w:rPr>
      <w:rFonts w:ascii="Times New Roman" w:hAnsi="Times New Roman" w:eastAsia="宋体" w:cs="Times New Roman"/>
      <w:kern w:val="2"/>
      <w:sz w:val="21"/>
      <w:szCs w:val="24"/>
      <w:lang w:val="en-US" w:eastAsia="zh-CN" w:bidi="ar-SA"/>
    </w:rPr>
  </w:style>
  <w:style w:type="character" w:customStyle="1" w:styleId="77">
    <w:name w:val="gpa"/>
    <w:autoRedefine/>
    <w:qFormat/>
    <w:uiPriority w:val="0"/>
    <w:rPr>
      <w:rFonts w:ascii="Arial" w:hAnsi="Arial" w:eastAsia="宋体" w:cs="Arial"/>
      <w:sz w:val="15"/>
      <w:szCs w:val="15"/>
    </w:rPr>
  </w:style>
  <w:style w:type="character" w:customStyle="1" w:styleId="78">
    <w:name w:val="正文首行缩进 2 Char1"/>
    <w:autoRedefine/>
    <w:qFormat/>
    <w:uiPriority w:val="0"/>
    <w:rPr>
      <w:rFonts w:ascii="Times New Roman" w:hAnsi="Times New Roman" w:eastAsia="宋体" w:cs="Times New Roman"/>
    </w:rPr>
  </w:style>
  <w:style w:type="character" w:customStyle="1" w:styleId="79">
    <w:name w:val="列出段落 Char"/>
    <w:link w:val="80"/>
    <w:autoRedefine/>
    <w:qFormat/>
    <w:uiPriority w:val="0"/>
    <w:rPr>
      <w:rFonts w:ascii="Calibri" w:hAnsi="Calibri" w:eastAsia="宋体" w:cs="Times New Roman"/>
      <w:kern w:val="2"/>
      <w:sz w:val="21"/>
      <w:szCs w:val="22"/>
      <w:lang w:val="en-US" w:eastAsia="zh-CN" w:bidi="ar-SA"/>
    </w:rPr>
  </w:style>
  <w:style w:type="paragraph" w:customStyle="1" w:styleId="80">
    <w:name w:val="List Paragraph1"/>
    <w:basedOn w:val="1"/>
    <w:link w:val="79"/>
    <w:autoRedefine/>
    <w:qFormat/>
    <w:uiPriority w:val="0"/>
    <w:pPr>
      <w:spacing w:line="312" w:lineRule="auto"/>
      <w:ind w:firstLine="420" w:firstLineChars="200"/>
    </w:pPr>
    <w:rPr>
      <w:rFonts w:ascii="Calibri" w:hAnsi="Calibri"/>
      <w:szCs w:val="22"/>
    </w:rPr>
  </w:style>
  <w:style w:type="character" w:customStyle="1" w:styleId="81">
    <w:name w:val="bds_nopic2"/>
    <w:autoRedefine/>
    <w:qFormat/>
    <w:uiPriority w:val="0"/>
    <w:rPr>
      <w:rFonts w:ascii="Times New Roman" w:hAnsi="Times New Roman" w:eastAsia="宋体" w:cs="Times New Roman"/>
    </w:rPr>
  </w:style>
  <w:style w:type="character" w:customStyle="1" w:styleId="82">
    <w:name w:val="font61"/>
    <w:autoRedefine/>
    <w:qFormat/>
    <w:uiPriority w:val="0"/>
    <w:rPr>
      <w:rFonts w:hint="default" w:ascii="MS Sans Serif" w:hAnsi="MS Sans Serif" w:eastAsia="MS Sans Serif" w:cs="MS Sans Serif"/>
      <w:color w:val="000000"/>
      <w:sz w:val="18"/>
      <w:szCs w:val="18"/>
      <w:u w:val="none"/>
    </w:rPr>
  </w:style>
  <w:style w:type="character" w:customStyle="1" w:styleId="83">
    <w:name w:val="bds_more1"/>
    <w:autoRedefine/>
    <w:qFormat/>
    <w:uiPriority w:val="0"/>
    <w:rPr>
      <w:rFonts w:ascii="Times New Roman" w:hAnsi="Times New Roman" w:eastAsia="宋体" w:cs="Times New Roman"/>
    </w:rPr>
  </w:style>
  <w:style w:type="character" w:customStyle="1" w:styleId="84">
    <w:name w:val="font71"/>
    <w:autoRedefine/>
    <w:qFormat/>
    <w:uiPriority w:val="0"/>
    <w:rPr>
      <w:rFonts w:hint="default" w:ascii="MS Sans Serif" w:hAnsi="MS Sans Serif" w:eastAsia="MS Sans Serif" w:cs="MS Sans Serif"/>
      <w:color w:val="000000"/>
      <w:sz w:val="18"/>
      <w:szCs w:val="18"/>
      <w:u w:val="none"/>
    </w:rPr>
  </w:style>
  <w:style w:type="character" w:customStyle="1" w:styleId="85">
    <w:name w:val="first-child"/>
    <w:autoRedefine/>
    <w:qFormat/>
    <w:uiPriority w:val="0"/>
    <w:rPr>
      <w:rFonts w:ascii="Times New Roman" w:hAnsi="Times New Roman" w:eastAsia="宋体" w:cs="Times New Roman"/>
    </w:rPr>
  </w:style>
  <w:style w:type="character" w:customStyle="1" w:styleId="86">
    <w:name w:val="bds_nopic1"/>
    <w:autoRedefine/>
    <w:qFormat/>
    <w:uiPriority w:val="0"/>
    <w:rPr>
      <w:rFonts w:ascii="Times New Roman" w:hAnsi="Times New Roman" w:eastAsia="宋体" w:cs="Times New Roman"/>
    </w:rPr>
  </w:style>
  <w:style w:type="character" w:customStyle="1" w:styleId="87">
    <w:name w:val="layui-this"/>
    <w:autoRedefine/>
    <w:qFormat/>
    <w:uiPriority w:val="0"/>
    <w:rPr>
      <w:rFonts w:ascii="Times New Roman" w:hAnsi="Times New Roman" w:eastAsia="宋体" w:cs="Times New Roman"/>
      <w:bdr w:val="single" w:color="EEEEEE" w:sz="6" w:space="0"/>
      <w:shd w:val="clear" w:color="auto" w:fill="FFFFFF"/>
    </w:rPr>
  </w:style>
  <w:style w:type="character" w:customStyle="1" w:styleId="88">
    <w:name w:val="font81"/>
    <w:autoRedefine/>
    <w:qFormat/>
    <w:uiPriority w:val="0"/>
    <w:rPr>
      <w:rFonts w:ascii="Arial Unicode MS" w:hAnsi="Arial Unicode MS" w:eastAsia="Arial Unicode MS" w:cs="Arial Unicode MS"/>
      <w:color w:val="000000"/>
      <w:sz w:val="18"/>
      <w:szCs w:val="18"/>
      <w:u w:val="none"/>
    </w:rPr>
  </w:style>
  <w:style w:type="character" w:customStyle="1" w:styleId="89">
    <w:name w:val="apple-converted-space"/>
    <w:autoRedefine/>
    <w:qFormat/>
    <w:uiPriority w:val="0"/>
    <w:rPr>
      <w:rFonts w:ascii="Times New Roman" w:hAnsi="Times New Roman" w:eastAsia="宋体" w:cs="Times New Roman"/>
    </w:rPr>
  </w:style>
  <w:style w:type="character" w:customStyle="1" w:styleId="90">
    <w:name w:val="displayarti"/>
    <w:autoRedefine/>
    <w:qFormat/>
    <w:uiPriority w:val="0"/>
    <w:rPr>
      <w:rFonts w:ascii="Times New Roman" w:hAnsi="Times New Roman" w:eastAsia="宋体" w:cs="Times New Roman"/>
      <w:color w:val="FFFFFF"/>
      <w:shd w:val="clear" w:color="auto" w:fill="A00000"/>
    </w:rPr>
  </w:style>
  <w:style w:type="character" w:customStyle="1" w:styleId="91">
    <w:name w:val="font131"/>
    <w:autoRedefine/>
    <w:qFormat/>
    <w:uiPriority w:val="0"/>
    <w:rPr>
      <w:rFonts w:hint="eastAsia" w:ascii="宋体" w:hAnsi="宋体" w:eastAsia="宋体" w:cs="宋体"/>
      <w:b/>
      <w:bCs/>
      <w:color w:val="000000"/>
      <w:sz w:val="20"/>
      <w:szCs w:val="20"/>
      <w:u w:val="none"/>
    </w:rPr>
  </w:style>
  <w:style w:type="character" w:customStyle="1" w:styleId="92">
    <w:name w:val="bds_more2"/>
    <w:autoRedefine/>
    <w:qFormat/>
    <w:uiPriority w:val="0"/>
    <w:rPr>
      <w:rFonts w:ascii="Times New Roman" w:hAnsi="Times New Roman" w:eastAsia="宋体" w:cs="Times New Roman"/>
    </w:rPr>
  </w:style>
  <w:style w:type="character" w:customStyle="1" w:styleId="93">
    <w:name w:val="bds_more"/>
    <w:autoRedefine/>
    <w:qFormat/>
    <w:uiPriority w:val="0"/>
    <w:rPr>
      <w:rFonts w:hint="eastAsia" w:ascii="宋体" w:hAnsi="宋体" w:eastAsia="宋体" w:cs="宋体"/>
    </w:rPr>
  </w:style>
  <w:style w:type="paragraph" w:customStyle="1" w:styleId="94">
    <w:name w:val="Char Char Char Char"/>
    <w:basedOn w:val="1"/>
    <w:autoRedefine/>
    <w:qFormat/>
    <w:uiPriority w:val="0"/>
    <w:rPr>
      <w:rFonts w:ascii="Tahoma" w:hAnsi="Tahoma"/>
      <w:sz w:val="24"/>
      <w:szCs w:val="20"/>
    </w:rPr>
  </w:style>
  <w:style w:type="paragraph" w:customStyle="1" w:styleId="95">
    <w:name w:val="标题4"/>
    <w:basedOn w:val="1"/>
    <w:autoRedefine/>
    <w:qFormat/>
    <w:uiPriority w:val="0"/>
    <w:pPr>
      <w:numPr>
        <w:ilvl w:val="0"/>
        <w:numId w:val="5"/>
      </w:numPr>
      <w:spacing w:line="360" w:lineRule="auto"/>
      <w:ind w:left="720" w:leftChars="300"/>
      <w:jc w:val="left"/>
    </w:pPr>
    <w:rPr>
      <w:rFonts w:ascii="宋体" w:hAnsi="宋体"/>
      <w:sz w:val="18"/>
      <w:szCs w:val="18"/>
    </w:rPr>
  </w:style>
  <w:style w:type="paragraph" w:customStyle="1" w:styleId="96">
    <w:name w:val="Table Paragraph"/>
    <w:basedOn w:val="1"/>
    <w:autoRedefine/>
    <w:qFormat/>
    <w:uiPriority w:val="0"/>
    <w:rPr>
      <w:rFonts w:ascii="宋体" w:hAnsi="宋体" w:cs="宋体"/>
      <w:lang w:val="zh-CN" w:bidi="zh-CN"/>
    </w:rPr>
  </w:style>
  <w:style w:type="paragraph" w:customStyle="1" w:styleId="97">
    <w:name w:val="p0"/>
    <w:basedOn w:val="1"/>
    <w:autoRedefine/>
    <w:qFormat/>
    <w:uiPriority w:val="0"/>
    <w:pPr>
      <w:widowControl/>
      <w:spacing w:line="365" w:lineRule="atLeast"/>
      <w:ind w:left="1"/>
      <w:textAlignment w:val="bottom"/>
    </w:pPr>
    <w:rPr>
      <w:rFonts w:ascii="Calibri" w:hAnsi="Calibri"/>
      <w:kern w:val="0"/>
      <w:sz w:val="20"/>
      <w:szCs w:val="22"/>
    </w:rPr>
  </w:style>
  <w:style w:type="paragraph" w:customStyle="1" w:styleId="98">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99">
    <w:name w:val="正文缩进1"/>
    <w:basedOn w:val="1"/>
    <w:next w:val="12"/>
    <w:autoRedefine/>
    <w:qFormat/>
    <w:uiPriority w:val="0"/>
    <w:pPr>
      <w:spacing w:line="360" w:lineRule="atLeast"/>
      <w:ind w:firstLine="482"/>
    </w:pPr>
    <w:rPr>
      <w:sz w:val="24"/>
    </w:rPr>
  </w:style>
  <w:style w:type="paragraph" w:customStyle="1" w:styleId="100">
    <w:name w:val="Char Char Char Char Char Char Char1 Char"/>
    <w:basedOn w:val="1"/>
    <w:autoRedefine/>
    <w:qFormat/>
    <w:uiPriority w:val="0"/>
    <w:rPr>
      <w:rFonts w:ascii="Tahoma" w:hAnsi="Tahoma"/>
      <w:sz w:val="24"/>
      <w:szCs w:val="20"/>
    </w:rPr>
  </w:style>
  <w:style w:type="paragraph" w:customStyle="1" w:styleId="101">
    <w:name w:val="Char"/>
    <w:basedOn w:val="1"/>
    <w:autoRedefine/>
    <w:qFormat/>
    <w:uiPriority w:val="0"/>
  </w:style>
  <w:style w:type="paragraph" w:customStyle="1" w:styleId="102">
    <w:name w:val="（无样式）"/>
    <w:basedOn w:val="1"/>
    <w:autoRedefine/>
    <w:qFormat/>
    <w:uiPriority w:val="0"/>
    <w:pPr>
      <w:widowControl/>
      <w:numPr>
        <w:ilvl w:val="0"/>
        <w:numId w:val="6"/>
      </w:numPr>
      <w:spacing w:line="360" w:lineRule="auto"/>
      <w:ind w:firstLine="0"/>
    </w:pPr>
    <w:rPr>
      <w:sz w:val="24"/>
      <w:szCs w:val="20"/>
    </w:rPr>
  </w:style>
  <w:style w:type="paragraph" w:customStyle="1" w:styleId="103">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104">
    <w:name w:val="节标题"/>
    <w:basedOn w:val="1"/>
    <w:next w:val="1"/>
    <w:autoRedefine/>
    <w:qFormat/>
    <w:uiPriority w:val="0"/>
    <w:pPr>
      <w:widowControl/>
      <w:spacing w:line="289" w:lineRule="atLeast"/>
      <w:jc w:val="center"/>
      <w:textAlignment w:val="baseline"/>
    </w:pPr>
    <w:rPr>
      <w:color w:val="000000"/>
      <w:kern w:val="0"/>
      <w:sz w:val="28"/>
      <w:szCs w:val="20"/>
      <w:u w:color="000000"/>
    </w:rPr>
  </w:style>
  <w:style w:type="paragraph" w:customStyle="1" w:styleId="105">
    <w:name w:val="_Style 102"/>
    <w:autoRedefine/>
    <w:qFormat/>
    <w:uiPriority w:val="0"/>
    <w:rPr>
      <w:rFonts w:ascii="Times New Roman" w:hAnsi="Times New Roman" w:eastAsia="宋体" w:cs="Times New Roman"/>
      <w:kern w:val="2"/>
      <w:sz w:val="21"/>
      <w:szCs w:val="24"/>
      <w:lang w:val="en-US" w:eastAsia="zh-CN" w:bidi="ar-SA"/>
    </w:rPr>
  </w:style>
  <w:style w:type="paragraph" w:customStyle="1" w:styleId="106">
    <w:name w:val="Char1"/>
    <w:basedOn w:val="1"/>
    <w:next w:val="1"/>
    <w:autoRedefine/>
    <w:qFormat/>
    <w:uiPriority w:val="0"/>
    <w:pPr>
      <w:widowControl/>
      <w:spacing w:line="360" w:lineRule="auto"/>
      <w:jc w:val="left"/>
    </w:pPr>
    <w:rPr>
      <w:kern w:val="0"/>
      <w:szCs w:val="20"/>
      <w:lang w:eastAsia="en-US"/>
    </w:rPr>
  </w:style>
  <w:style w:type="paragraph" w:customStyle="1" w:styleId="107">
    <w:name w:val="_Style 2"/>
    <w:basedOn w:val="1"/>
    <w:autoRedefine/>
    <w:qFormat/>
    <w:uiPriority w:val="0"/>
  </w:style>
  <w:style w:type="paragraph" w:customStyle="1" w:styleId="108">
    <w:name w:val="列出段落2"/>
    <w:basedOn w:val="1"/>
    <w:autoRedefine/>
    <w:qFormat/>
    <w:uiPriority w:val="0"/>
    <w:pPr>
      <w:ind w:firstLine="420" w:firstLineChars="200"/>
    </w:pPr>
    <w:rPr>
      <w:rFonts w:ascii="Calibri" w:hAnsi="Calibri"/>
      <w:szCs w:val="22"/>
    </w:rPr>
  </w:style>
  <w:style w:type="paragraph" w:customStyle="1" w:styleId="109">
    <w:name w:val="*正文"/>
    <w:basedOn w:val="1"/>
    <w:autoRedefine/>
    <w:qFormat/>
    <w:uiPriority w:val="0"/>
    <w:pPr>
      <w:widowControl/>
      <w:snapToGrid w:val="0"/>
      <w:ind w:firstLine="560"/>
      <w:jc w:val="left"/>
    </w:pPr>
    <w:rPr>
      <w:rFonts w:ascii="仿宋_GB2312"/>
      <w:color w:val="191919"/>
      <w:sz w:val="28"/>
      <w:szCs w:val="28"/>
    </w:rPr>
  </w:style>
  <w:style w:type="paragraph" w:customStyle="1" w:styleId="110">
    <w:name w:val="列出段落1"/>
    <w:basedOn w:val="1"/>
    <w:autoRedefine/>
    <w:qFormat/>
    <w:uiPriority w:val="0"/>
    <w:pPr>
      <w:ind w:firstLine="420" w:firstLineChars="200"/>
    </w:pPr>
  </w:style>
  <w:style w:type="paragraph" w:customStyle="1" w:styleId="111">
    <w:name w:val="HtmlNormal"/>
    <w:basedOn w:val="1"/>
    <w:autoRedefine/>
    <w:qFormat/>
    <w:uiPriority w:val="0"/>
    <w:pPr>
      <w:widowControl/>
      <w:spacing w:before="100" w:beforeAutospacing="1" w:after="100" w:afterAutospacing="1"/>
      <w:jc w:val="left"/>
    </w:pPr>
    <w:rPr>
      <w:rFonts w:ascii="宋体" w:hAnsi="宋体"/>
      <w:kern w:val="0"/>
      <w:sz w:val="24"/>
    </w:rPr>
  </w:style>
  <w:style w:type="paragraph" w:styleId="112">
    <w:name w:val="List Paragraph"/>
    <w:basedOn w:val="1"/>
    <w:autoRedefine/>
    <w:qFormat/>
    <w:uiPriority w:val="0"/>
    <w:pPr>
      <w:spacing w:line="360" w:lineRule="auto"/>
      <w:ind w:firstLine="420" w:firstLineChars="200"/>
    </w:pPr>
    <w:rPr>
      <w:rFonts w:ascii="宋体" w:hAnsi="宋体" w:cs="宋体"/>
      <w:sz w:val="24"/>
    </w:rPr>
  </w:style>
  <w:style w:type="paragraph" w:customStyle="1" w:styleId="113">
    <w:name w:val="列出段落11"/>
    <w:basedOn w:val="1"/>
    <w:autoRedefine/>
    <w:qFormat/>
    <w:uiPriority w:val="0"/>
    <w:pPr>
      <w:spacing w:after="120" w:line="360" w:lineRule="auto"/>
      <w:ind w:firstLine="420" w:firstLineChars="200"/>
    </w:pPr>
    <w:rPr>
      <w:rFonts w:ascii="Calibri" w:hAnsi="Calibri"/>
      <w:szCs w:val="22"/>
    </w:rPr>
  </w:style>
  <w:style w:type="paragraph" w:customStyle="1" w:styleId="114">
    <w:name w:val="_Style 4"/>
    <w:basedOn w:val="1"/>
    <w:autoRedefine/>
    <w:qFormat/>
    <w:uiPriority w:val="0"/>
    <w:pPr>
      <w:adjustRightInd w:val="0"/>
      <w:ind w:firstLine="420" w:firstLineChars="200"/>
      <w:jc w:val="left"/>
      <w:textAlignment w:val="baseline"/>
    </w:pPr>
    <w:rPr>
      <w:kern w:val="0"/>
      <w:szCs w:val="20"/>
    </w:rPr>
  </w:style>
  <w:style w:type="paragraph" w:customStyle="1" w:styleId="115">
    <w:name w:val="List Paragraph2"/>
    <w:basedOn w:val="1"/>
    <w:autoRedefine/>
    <w:qFormat/>
    <w:uiPriority w:val="0"/>
    <w:pPr>
      <w:spacing w:line="360" w:lineRule="auto"/>
      <w:ind w:firstLine="420"/>
    </w:pPr>
    <w:rPr>
      <w:color w:val="000000"/>
      <w:sz w:val="24"/>
      <w:szCs w:val="21"/>
    </w:rPr>
  </w:style>
  <w:style w:type="paragraph" w:customStyle="1" w:styleId="116">
    <w:name w:val="正文文字 8"/>
    <w:basedOn w:val="1"/>
    <w:next w:val="1"/>
    <w:autoRedefine/>
    <w:qFormat/>
    <w:uiPriority w:val="0"/>
    <w:pPr>
      <w:ind w:left="240"/>
    </w:pPr>
    <w:rPr>
      <w:sz w:val="16"/>
    </w:rPr>
  </w:style>
  <w:style w:type="paragraph" w:customStyle="1" w:styleId="117">
    <w:name w:val="样式1"/>
    <w:basedOn w:val="1"/>
    <w:autoRedefine/>
    <w:qFormat/>
    <w:uiPriority w:val="0"/>
    <w:pPr>
      <w:spacing w:line="360" w:lineRule="auto"/>
      <w:jc w:val="center"/>
    </w:pPr>
    <w:rPr>
      <w:b/>
      <w:sz w:val="30"/>
      <w:szCs w:val="30"/>
    </w:rPr>
  </w:style>
  <w:style w:type="paragraph" w:customStyle="1" w:styleId="118">
    <w:name w:val="列表2"/>
    <w:basedOn w:val="1"/>
    <w:next w:val="1"/>
    <w:autoRedefine/>
    <w:qFormat/>
    <w:uiPriority w:val="0"/>
    <w:pPr>
      <w:numPr>
        <w:ilvl w:val="0"/>
        <w:numId w:val="7"/>
      </w:numPr>
      <w:spacing w:line="200" w:lineRule="atLeast"/>
    </w:pPr>
    <w:rPr>
      <w:rFonts w:eastAsia="仿宋"/>
      <w:sz w:val="28"/>
    </w:rPr>
  </w:style>
  <w:style w:type="paragraph" w:customStyle="1" w:styleId="119">
    <w:name w:val="标题3-副本"/>
    <w:basedOn w:val="25"/>
    <w:autoRedefine/>
    <w:qFormat/>
    <w:uiPriority w:val="0"/>
    <w:pPr>
      <w:numPr>
        <w:ilvl w:val="0"/>
        <w:numId w:val="0"/>
      </w:numPr>
      <w:ind w:left="840"/>
    </w:pPr>
    <w:rPr>
      <w:rFonts w:ascii="Times New Roman" w:hAnsi="Times New Roman"/>
    </w:rPr>
  </w:style>
  <w:style w:type="paragraph" w:customStyle="1" w:styleId="120">
    <w:name w:val="_Style 117"/>
    <w:basedOn w:val="1"/>
    <w:next w:val="1"/>
    <w:autoRedefine/>
    <w:qFormat/>
    <w:uiPriority w:val="0"/>
    <w:pPr>
      <w:pBdr>
        <w:bottom w:val="single" w:color="auto" w:sz="6" w:space="1"/>
      </w:pBdr>
      <w:jc w:val="center"/>
    </w:pPr>
    <w:rPr>
      <w:rFonts w:ascii="Arial"/>
      <w:vanish/>
      <w:sz w:val="16"/>
    </w:rPr>
  </w:style>
  <w:style w:type="paragraph" w:customStyle="1" w:styleId="121">
    <w:name w:val="_Style 118"/>
    <w:basedOn w:val="1"/>
    <w:next w:val="1"/>
    <w:autoRedefine/>
    <w:qFormat/>
    <w:uiPriority w:val="0"/>
    <w:pPr>
      <w:pBdr>
        <w:top w:val="single" w:color="auto" w:sz="6" w:space="1"/>
      </w:pBdr>
      <w:jc w:val="center"/>
    </w:pPr>
    <w:rPr>
      <w:rFonts w:ascii="Arial"/>
      <w:vanish/>
      <w:sz w:val="16"/>
    </w:rPr>
  </w:style>
  <w:style w:type="paragraph" w:customStyle="1" w:styleId="122">
    <w:name w:val="无间隔1"/>
    <w:basedOn w:val="1"/>
    <w:autoRedefine/>
    <w:qFormat/>
    <w:uiPriority w:val="0"/>
    <w:pPr>
      <w:widowControl/>
      <w:adjustRightInd w:val="0"/>
      <w:snapToGrid w:val="0"/>
      <w:jc w:val="left"/>
    </w:pPr>
    <w:rPr>
      <w:rFonts w:ascii="Tahoma" w:hAnsi="Tahoma" w:eastAsia="微软雅黑"/>
      <w:kern w:val="0"/>
      <w:sz w:val="24"/>
      <w:szCs w:val="22"/>
    </w:rPr>
  </w:style>
  <w:style w:type="paragraph" w:customStyle="1" w:styleId="123">
    <w:name w:val="text-tag1"/>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24">
    <w:name w:val="font11"/>
    <w:autoRedefine/>
    <w:qFormat/>
    <w:uiPriority w:val="0"/>
    <w:rPr>
      <w:rFonts w:hint="eastAsia" w:ascii="宋体" w:hAnsi="宋体" w:eastAsia="宋体" w:cs="宋体"/>
      <w:color w:val="000000"/>
      <w:sz w:val="16"/>
      <w:szCs w:val="16"/>
      <w:u w:val="none"/>
    </w:rPr>
  </w:style>
  <w:style w:type="character" w:customStyle="1" w:styleId="125">
    <w:name w:val="font31"/>
    <w:basedOn w:val="37"/>
    <w:autoRedefine/>
    <w:qFormat/>
    <w:uiPriority w:val="0"/>
    <w:rPr>
      <w:rFonts w:ascii="宋体" w:hAnsi="宋体" w:eastAsia="宋体" w:cs="宋体"/>
      <w:color w:val="000000"/>
      <w:sz w:val="16"/>
      <w:szCs w:val="16"/>
      <w:u w:val="none"/>
    </w:rPr>
  </w:style>
  <w:style w:type="character" w:customStyle="1" w:styleId="126">
    <w:name w:val="font41"/>
    <w:basedOn w:val="37"/>
    <w:autoRedefine/>
    <w:qFormat/>
    <w:uiPriority w:val="0"/>
    <w:rPr>
      <w:rFonts w:hint="eastAsia" w:ascii="宋体" w:hAnsi="宋体" w:eastAsia="宋体" w:cs="宋体"/>
      <w:color w:val="000000"/>
      <w:sz w:val="21"/>
      <w:szCs w:val="21"/>
      <w:u w:val="none"/>
    </w:rPr>
  </w:style>
  <w:style w:type="character" w:customStyle="1" w:styleId="127">
    <w:name w:val="hover"/>
    <w:basedOn w:val="37"/>
    <w:autoRedefine/>
    <w:qFormat/>
    <w:uiPriority w:val="0"/>
  </w:style>
  <w:style w:type="character" w:customStyle="1" w:styleId="128">
    <w:name w:val="hover1"/>
    <w:basedOn w:val="37"/>
    <w:autoRedefine/>
    <w:qFormat/>
    <w:uiPriority w:val="0"/>
    <w:rPr>
      <w:color w:val="2590EB"/>
    </w:rPr>
  </w:style>
  <w:style w:type="character" w:customStyle="1" w:styleId="129">
    <w:name w:val="hover2"/>
    <w:basedOn w:val="37"/>
    <w:autoRedefine/>
    <w:qFormat/>
    <w:uiPriority w:val="0"/>
    <w:rPr>
      <w:color w:val="2590EB"/>
    </w:rPr>
  </w:style>
  <w:style w:type="character" w:customStyle="1" w:styleId="130">
    <w:name w:val="hover3"/>
    <w:basedOn w:val="37"/>
    <w:autoRedefine/>
    <w:qFormat/>
    <w:uiPriority w:val="0"/>
    <w:rPr>
      <w:color w:val="2590EB"/>
      <w:shd w:val="clear" w:color="auto" w:fill="E9F4FD"/>
    </w:rPr>
  </w:style>
  <w:style w:type="table" w:customStyle="1" w:styleId="131">
    <w:name w:val="Table Normal"/>
    <w:autoRedefine/>
    <w:semiHidden/>
    <w:unhideWhenUsed/>
    <w:qFormat/>
    <w:uiPriority w:val="0"/>
    <w:tblPr>
      <w:tblCellMar>
        <w:top w:w="0" w:type="dxa"/>
        <w:left w:w="0" w:type="dxa"/>
        <w:bottom w:w="0" w:type="dxa"/>
        <w:right w:w="0" w:type="dxa"/>
      </w:tblCellMar>
    </w:tblPr>
  </w:style>
  <w:style w:type="paragraph" w:customStyle="1" w:styleId="132">
    <w:name w:val="Table Text"/>
    <w:basedOn w:val="1"/>
    <w:autoRedefine/>
    <w:semiHidden/>
    <w:qFormat/>
    <w:uiPriority w:val="0"/>
    <w:rPr>
      <w:rFonts w:ascii="宋体" w:hAnsi="宋体" w:eastAsia="宋体" w:cs="宋体"/>
      <w:sz w:val="20"/>
      <w:szCs w:val="20"/>
      <w:lang w:val="en-US" w:eastAsia="en-US" w:bidi="ar-SA"/>
    </w:rPr>
  </w:style>
  <w:style w:type="character" w:customStyle="1" w:styleId="133">
    <w:name w:val="fontstyle01"/>
    <w:basedOn w:val="37"/>
    <w:autoRedefine/>
    <w:qFormat/>
    <w:uiPriority w:val="0"/>
    <w:rPr>
      <w:rFonts w:ascii="宋体" w:hAnsi="宋体" w:eastAsia="宋体" w:cs="宋体"/>
      <w:color w:val="000000"/>
      <w:sz w:val="32"/>
      <w:szCs w:val="32"/>
    </w:rPr>
  </w:style>
  <w:style w:type="character" w:customStyle="1" w:styleId="134">
    <w:name w:val="fontstyle21"/>
    <w:basedOn w:val="37"/>
    <w:autoRedefine/>
    <w:qFormat/>
    <w:uiPriority w:val="0"/>
    <w:rPr>
      <w:rFonts w:ascii="TimesNewRomanPSMT" w:hAnsi="TimesNewRomanPSMT" w:eastAsia="TimesNewRomanPSMT" w:cs="TimesNewRomanPSMT"/>
      <w:color w:val="000000"/>
      <w:sz w:val="18"/>
      <w:szCs w:val="18"/>
    </w:rPr>
  </w:style>
  <w:style w:type="character" w:customStyle="1" w:styleId="135">
    <w:name w:val="font01"/>
    <w:basedOn w:val="37"/>
    <w:autoRedefine/>
    <w:qFormat/>
    <w:uiPriority w:val="0"/>
    <w:rPr>
      <w:rFonts w:hint="eastAsia" w:ascii="宋体" w:hAnsi="宋体" w:eastAsia="宋体" w:cs="宋体"/>
      <w:color w:val="FF0000"/>
      <w:sz w:val="20"/>
      <w:szCs w:val="20"/>
      <w:u w:val="none"/>
    </w:rPr>
  </w:style>
  <w:style w:type="character" w:customStyle="1" w:styleId="136">
    <w:name w:val="hover4"/>
    <w:basedOn w:val="37"/>
    <w:qFormat/>
    <w:uiPriority w:val="0"/>
    <w:rPr>
      <w:color w:val="2590EB"/>
      <w:shd w:val="clear" w:fill="E9F4FD"/>
    </w:rPr>
  </w:style>
  <w:style w:type="character" w:customStyle="1" w:styleId="137">
    <w:name w:val="mini-outputtext1"/>
    <w:basedOn w:val="37"/>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78</Pages>
  <Words>44076</Words>
  <Characters>46862</Characters>
  <Lines>334</Lines>
  <Paragraphs>94</Paragraphs>
  <TotalTime>14</TotalTime>
  <ScaleCrop>false</ScaleCrop>
  <LinksUpToDate>false</LinksUpToDate>
  <CharactersWithSpaces>49634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2025-08-21T01:45:00Z</dcterms:created>
  <dc:creator>陈倩倩</dc:creator>
  <cp:lastModifiedBy>代理</cp:lastModifiedBy>
  <cp:lastPrinted>2025-10-17T01:27:00Z</cp:lastPrinted>
  <dcterms:modified xsi:type="dcterms:W3CDTF">2026-02-26T08:22:20Z</dcterms:modified>
  <dc:title>滁州市人力资源和社会保障信息中心信息网络设备采购及安装项目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985A672267084E00B0FC3DF625B44918_13</vt:lpwstr>
  </property>
  <property fmtid="{D5CDD505-2E9C-101B-9397-08002B2CF9AE}" pid="4" name="KSOTemplateDocerSaveRecord">
    <vt:lpwstr>eyJoZGlkIjoiOTc5MDNjMmIyODczM2YwMGZkZTNjYWY1NjIxZTY5YjciLCJ1c2VySWQiOiI1MDM3MjkwOTMifQ==</vt:lpwstr>
  </property>
</Properties>
</file>