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073E5">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6EAD5954">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71F4790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72"/>
          <w:szCs w:val="72"/>
          <w:highlight w:val="none"/>
          <w:u w:color="000000"/>
          <w:lang w:val="en-US" w:eastAsia="zh-CN" w:bidi="ar"/>
        </w:rPr>
      </w:pPr>
      <w:r>
        <w:rPr>
          <w:rFonts w:hint="eastAsia" w:ascii="新宋体" w:hAnsi="新宋体" w:eastAsia="新宋体" w:cs="新宋体"/>
          <w:b/>
          <w:bCs w:val="0"/>
          <w:color w:val="000000"/>
          <w:kern w:val="0"/>
          <w:sz w:val="56"/>
          <w:szCs w:val="56"/>
          <w:highlight w:val="none"/>
          <w:u w:color="000000"/>
          <w:lang w:val="en-US" w:eastAsia="zh-CN" w:bidi="ar"/>
        </w:rPr>
        <w:t>滁州至南京城际铁路（滁州段）一期工程轨道润滑物资采购项目</w:t>
      </w:r>
    </w:p>
    <w:p w14:paraId="109EFE1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32C1060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color="000000"/>
          <w:lang w:val="en-US" w:eastAsia="zh-CN" w:bidi="ar"/>
        </w:rPr>
        <w:t>招 标 文 件</w:t>
      </w:r>
    </w:p>
    <w:p w14:paraId="29522CC1">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51918E52">
      <w:pPr>
        <w:pStyle w:val="22"/>
        <w:widowControl/>
        <w:rPr>
          <w:highlight w:val="none"/>
          <w:lang w:val="en-US"/>
        </w:rPr>
      </w:pPr>
      <w:r>
        <w:rPr>
          <w:highlight w:val="none"/>
          <w:lang w:val="en-US"/>
        </w:rPr>
        <w:t xml:space="preserve"> </w:t>
      </w:r>
    </w:p>
    <w:p w14:paraId="57376B25">
      <w:pPr>
        <w:pStyle w:val="22"/>
        <w:widowControl/>
        <w:rPr>
          <w:highlight w:val="none"/>
          <w:lang w:val="en-US"/>
        </w:rPr>
      </w:pPr>
      <w:r>
        <w:rPr>
          <w:highlight w:val="none"/>
          <w:lang w:val="en-US"/>
        </w:rPr>
        <w:t xml:space="preserve"> </w:t>
      </w:r>
    </w:p>
    <w:p w14:paraId="2D68B4E6">
      <w:pPr>
        <w:pStyle w:val="22"/>
        <w:widowControl/>
        <w:rPr>
          <w:highlight w:val="none"/>
          <w:lang w:val="en-US"/>
        </w:rPr>
      </w:pPr>
      <w:r>
        <w:rPr>
          <w:highlight w:val="none"/>
          <w:lang w:val="en-US"/>
        </w:rPr>
        <w:t xml:space="preserve"> </w:t>
      </w:r>
    </w:p>
    <w:p w14:paraId="07440FD5">
      <w:pPr>
        <w:pStyle w:val="22"/>
        <w:widowControl/>
        <w:rPr>
          <w:highlight w:val="none"/>
          <w:lang w:val="en-US"/>
        </w:rPr>
      </w:pPr>
      <w:r>
        <w:rPr>
          <w:highlight w:val="none"/>
          <w:lang w:val="en-US"/>
        </w:rPr>
        <w:t xml:space="preserve"> </w:t>
      </w:r>
    </w:p>
    <w:p w14:paraId="4F8FD025">
      <w:pPr>
        <w:pStyle w:val="22"/>
        <w:widowControl/>
        <w:rPr>
          <w:rFonts w:eastAsia="宋体"/>
          <w:highlight w:val="none"/>
          <w:lang w:val="en-US"/>
        </w:rPr>
      </w:pPr>
      <w:r>
        <w:rPr>
          <w:highlight w:val="none"/>
          <w:lang w:val="en-US"/>
        </w:rPr>
        <w:t xml:space="preserve"> </w:t>
      </w:r>
    </w:p>
    <w:p w14:paraId="3C36B3D1">
      <w:pPr>
        <w:adjustRightInd w:val="0"/>
        <w:snapToGrid w:val="0"/>
        <w:ind w:firstLine="302" w:firstLineChars="94"/>
        <w:rPr>
          <w:rFonts w:hint="default" w:ascii="宋体" w:hAnsi="宋体" w:eastAsiaTheme="minorEastAsia"/>
          <w:b/>
          <w:sz w:val="32"/>
          <w:highlight w:val="none"/>
          <w:u w:val="thick"/>
          <w:lang w:val="en-US" w:eastAsia="zh-CN"/>
        </w:rPr>
      </w:pPr>
      <w:r>
        <w:rPr>
          <w:rFonts w:hint="eastAsia" w:ascii="宋体" w:hAnsi="宋体"/>
          <w:b/>
          <w:sz w:val="32"/>
          <w:highlight w:val="none"/>
          <w:lang w:val="en-US" w:eastAsia="zh-CN"/>
        </w:rPr>
        <w:t>招标</w:t>
      </w:r>
      <w:r>
        <w:rPr>
          <w:rFonts w:hint="eastAsia" w:ascii="宋体" w:hAnsi="宋体"/>
          <w:b/>
          <w:sz w:val="32"/>
          <w:highlight w:val="none"/>
        </w:rPr>
        <w:t>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皖通城际铁路有限责任公司</w:t>
      </w:r>
      <w:r>
        <w:rPr>
          <w:rFonts w:hint="eastAsia" w:ascii="宋体" w:hAnsi="宋体"/>
          <w:b/>
          <w:sz w:val="32"/>
          <w:highlight w:val="none"/>
          <w:u w:val="thick"/>
          <w:lang w:val="en-US" w:eastAsia="zh-CN"/>
        </w:rPr>
        <w:t xml:space="preserve">          </w:t>
      </w:r>
    </w:p>
    <w:p w14:paraId="171637C7">
      <w:pPr>
        <w:adjustRightInd w:val="0"/>
        <w:snapToGrid w:val="0"/>
        <w:ind w:firstLine="302" w:firstLineChars="94"/>
        <w:rPr>
          <w:rFonts w:hint="eastAsia" w:ascii="宋体" w:hAnsi="宋体"/>
          <w:b/>
          <w:sz w:val="32"/>
          <w:highlight w:val="none"/>
          <w:u w:val="thick"/>
        </w:rPr>
      </w:pPr>
    </w:p>
    <w:p w14:paraId="3F6D2032">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rPr>
        <w:t>代理机构:</w:t>
      </w:r>
      <w:r>
        <w:rPr>
          <w:rFonts w:hint="eastAsia" w:ascii="宋体" w:hAnsi="宋体"/>
          <w:b/>
          <w:spacing w:val="20"/>
          <w:sz w:val="32"/>
          <w:highlight w:val="none"/>
          <w:u w:val="thick"/>
        </w:rPr>
        <w:t xml:space="preserve"> </w:t>
      </w:r>
      <w:r>
        <w:rPr>
          <w:rFonts w:hint="eastAsia" w:ascii="宋体" w:hAnsi="宋体"/>
          <w:b/>
          <w:spacing w:val="20"/>
          <w:sz w:val="32"/>
          <w:highlight w:val="none"/>
          <w:u w:val="thick"/>
          <w:lang w:val="en-US" w:eastAsia="zh-CN"/>
        </w:rPr>
        <w:t xml:space="preserve"> </w:t>
      </w:r>
      <w:r>
        <w:rPr>
          <w:rFonts w:hint="eastAsia" w:ascii="宋体" w:hAnsi="宋体"/>
          <w:b/>
          <w:sz w:val="32"/>
          <w:highlight w:val="none"/>
          <w:u w:val="thick"/>
        </w:rPr>
        <w:t xml:space="preserve">滁州市城投工程咨询管理有限公司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p>
    <w:p w14:paraId="412497A7">
      <w:pPr>
        <w:adjustRightInd w:val="0"/>
        <w:snapToGrid w:val="0"/>
        <w:rPr>
          <w:rFonts w:hint="eastAsia" w:ascii="宋体" w:hAnsi="宋体"/>
          <w:spacing w:val="20"/>
          <w:sz w:val="32"/>
          <w:highlight w:val="none"/>
          <w:u w:val="single"/>
        </w:rPr>
      </w:pPr>
    </w:p>
    <w:p w14:paraId="3DB22A49">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发布日期: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202</w:t>
      </w:r>
      <w:r>
        <w:rPr>
          <w:rFonts w:hint="eastAsia" w:ascii="宋体" w:hAnsi="宋体"/>
          <w:b/>
          <w:sz w:val="32"/>
          <w:highlight w:val="none"/>
          <w:u w:val="thick"/>
          <w:lang w:val="en-US" w:eastAsia="zh-CN"/>
        </w:rPr>
        <w:t>4</w:t>
      </w:r>
      <w:r>
        <w:rPr>
          <w:rFonts w:hint="eastAsia" w:ascii="宋体" w:hAnsi="宋体"/>
          <w:b/>
          <w:sz w:val="32"/>
          <w:highlight w:val="none"/>
          <w:u w:val="thick"/>
        </w:rPr>
        <w:t>年</w:t>
      </w:r>
      <w:r>
        <w:rPr>
          <w:rFonts w:hint="eastAsia" w:ascii="宋体" w:hAnsi="宋体"/>
          <w:b/>
          <w:sz w:val="32"/>
          <w:highlight w:val="none"/>
          <w:u w:val="thick"/>
          <w:lang w:val="en-US" w:eastAsia="zh-CN"/>
        </w:rPr>
        <w:t>10</w:t>
      </w:r>
      <w:r>
        <w:rPr>
          <w:rFonts w:hint="eastAsia" w:ascii="宋体" w:hAnsi="宋体"/>
          <w:b/>
          <w:sz w:val="32"/>
          <w:highlight w:val="none"/>
          <w:u w:val="thick"/>
        </w:rPr>
        <w:t xml:space="preserve">月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p>
    <w:p w14:paraId="6C40120A">
      <w:pPr>
        <w:pStyle w:val="7"/>
        <w:widowControl/>
        <w:spacing w:before="0" w:beforeAutospacing="0" w:after="120" w:afterAutospacing="0"/>
        <w:ind w:leftChars="200" w:right="0"/>
        <w:rPr>
          <w:rFonts w:hint="eastAsia" w:eastAsia="宋体"/>
          <w:highlight w:val="none"/>
          <w:lang w:val="en-US" w:eastAsia="zh-CN"/>
        </w:rPr>
      </w:pPr>
      <w:r>
        <w:rPr>
          <w:highlight w:val="none"/>
          <w:lang w:val="en-US"/>
        </w:rPr>
        <w:t xml:space="preserve"> </w:t>
      </w:r>
      <w:r>
        <w:rPr>
          <w:rFonts w:hint="eastAsia"/>
          <w:highlight w:val="none"/>
          <w:lang w:val="en-US" w:eastAsia="zh-CN"/>
        </w:rPr>
        <w:t xml:space="preserve"> </w:t>
      </w:r>
    </w:p>
    <w:p w14:paraId="14C1E0A6">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 </w:t>
      </w:r>
    </w:p>
    <w:p w14:paraId="5A5D9B8C">
      <w:pPr>
        <w:jc w:val="center"/>
        <w:rPr>
          <w:rFonts w:hint="eastAsia" w:ascii="宋体" w:hAnsi="宋体" w:eastAsia="宋体" w:cs="宋体"/>
          <w:b/>
          <w:bCs w:val="0"/>
          <w:color w:val="000000"/>
          <w:kern w:val="0"/>
          <w:sz w:val="36"/>
          <w:szCs w:val="36"/>
          <w:highlight w:val="none"/>
          <w:u w:color="000000"/>
          <w:lang w:val="en-US" w:eastAsia="zh-CN" w:bidi="ar"/>
        </w:rPr>
      </w:pPr>
    </w:p>
    <w:p w14:paraId="7853F652">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0B9BD0F6">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bookmarkStart w:id="0" w:name="_Toc29214"/>
      <w:bookmarkEnd w:id="0"/>
      <w:bookmarkStart w:id="1" w:name="_Toc23741_WPSOffice_Level1"/>
      <w:bookmarkEnd w:id="1"/>
      <w:r>
        <w:rPr>
          <w:rFonts w:hint="eastAsia" w:ascii="宋体" w:hAnsi="宋体" w:eastAsia="宋体" w:cs="宋体"/>
          <w:color w:val="000000"/>
          <w:kern w:val="0"/>
          <w:sz w:val="24"/>
          <w:szCs w:val="24"/>
          <w:highlight w:val="none"/>
          <w:u w:color="000000"/>
          <w:lang w:val="en-US" w:eastAsia="zh-CN" w:bidi="ar"/>
        </w:rPr>
        <w:t>第一章  招标公告</w:t>
      </w:r>
      <w:bookmarkStart w:id="2" w:name="OLE_LINK4"/>
      <w:r>
        <w:rPr>
          <w:rFonts w:hint="eastAsia" w:ascii="宋体" w:hAnsi="宋体" w:eastAsia="宋体" w:cs="宋体"/>
          <w:color w:val="000000"/>
          <w:kern w:val="0"/>
          <w:sz w:val="24"/>
          <w:szCs w:val="24"/>
          <w:highlight w:val="none"/>
          <w:u w:color="000000"/>
          <w:lang w:val="en-US" w:eastAsia="zh-CN" w:bidi="ar"/>
        </w:rPr>
        <w:t xml:space="preserve"> …………………………………………………………………</w:t>
      </w:r>
      <w:bookmarkEnd w:id="2"/>
      <w:r>
        <w:rPr>
          <w:rFonts w:hint="eastAsia" w:ascii="宋体" w:hAnsi="宋体" w:eastAsia="宋体" w:cs="宋体"/>
          <w:color w:val="000000"/>
          <w:kern w:val="0"/>
          <w:sz w:val="24"/>
          <w:szCs w:val="24"/>
          <w:highlight w:val="none"/>
          <w:u w:color="000000"/>
          <w:lang w:val="en-US" w:eastAsia="zh-CN" w:bidi="ar"/>
        </w:rPr>
        <w:t>1</w:t>
      </w:r>
    </w:p>
    <w:p w14:paraId="72C61B21">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 ………………………………………………………………3</w:t>
      </w:r>
    </w:p>
    <w:p w14:paraId="1B3BDA62">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第三章  资格审查办法  …………………………………………………………13</w:t>
      </w:r>
    </w:p>
    <w:p w14:paraId="66B1B6DC">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第四章  评标办法…………………………………………………………………14</w:t>
      </w:r>
    </w:p>
    <w:p w14:paraId="63819FDA">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第五章  用户需求书………………………………………………………………19</w:t>
      </w:r>
    </w:p>
    <w:p w14:paraId="08C770D4">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第六章  合同条款及格式…………………………………………………………25</w:t>
      </w:r>
    </w:p>
    <w:p w14:paraId="586981A5">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第七章  投标文件格式……………………………………………………………31</w:t>
      </w:r>
    </w:p>
    <w:p w14:paraId="7A46D517">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第八章  招标人、招标代理机构对本招标文件的确认…………………………43</w:t>
      </w:r>
    </w:p>
    <w:p w14:paraId="5CF4F96D">
      <w:pPr>
        <w:rPr>
          <w:rFonts w:hint="eastAsia" w:ascii="宋体" w:hAnsi="宋体" w:eastAsia="宋体" w:cs="宋体"/>
          <w:sz w:val="24"/>
          <w:szCs w:val="24"/>
          <w:highlight w:val="none"/>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646F3C3B">
      <w:pPr>
        <w:pStyle w:val="22"/>
        <w:keepNext w:val="0"/>
        <w:keepLines w:val="0"/>
        <w:pageBreakBefore w:val="0"/>
        <w:widowControl/>
        <w:kinsoku/>
        <w:overflowPunct/>
        <w:topLinePunct w:val="0"/>
        <w:autoSpaceDN/>
        <w:bidi w:val="0"/>
        <w:adjustRightInd/>
        <w:snapToGrid/>
        <w:spacing w:beforeAutospacing="0" w:afterAutospacing="0" w:line="500" w:lineRule="exact"/>
        <w:jc w:val="center"/>
        <w:textAlignment w:val="auto"/>
        <w:rPr>
          <w:rFonts w:hint="eastAsia" w:ascii="宋体" w:hAnsi="宋体" w:eastAsia="宋体" w:cs="宋体"/>
          <w:b/>
          <w:bCs/>
          <w:highlight w:val="none"/>
          <w:lang w:val="en-US"/>
        </w:rPr>
      </w:pPr>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highlight w:val="none"/>
          <w:lang w:eastAsia="zh-CN"/>
        </w:rPr>
        <w:t>招标公告</w:t>
      </w:r>
    </w:p>
    <w:p w14:paraId="3B2E91E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92" w:name="_GoBack"/>
      <w:bookmarkStart w:id="5" w:name="_Toc58430305"/>
      <w:bookmarkEnd w:id="5"/>
      <w:bookmarkStart w:id="6" w:name="_Toc35393621"/>
      <w:bookmarkEnd w:id="6"/>
      <w:bookmarkStart w:id="7" w:name="_Toc28359079"/>
      <w:bookmarkEnd w:id="7"/>
      <w:bookmarkStart w:id="8" w:name="_Toc28359002"/>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6AB3443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滁州至南京城际铁路（滁州段）一期工程轨道润滑物资采购项目的潜在投标人应在滁州市城投工程咨询管理有限公司网站（https://www.czctgczx.com/）获取招标文件，并于2024年10月29日10时00分（北京时间）前递交投标文件。</w:t>
      </w:r>
    </w:p>
    <w:p w14:paraId="5E2DEC2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16827C1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479" w:leftChars="228" w:right="0" w:firstLine="0" w:firstLineChars="0"/>
        <w:jc w:val="left"/>
        <w:textAlignment w:val="auto"/>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项目名称：滁州至南京城际铁路（滁州段）一期工程轨道润滑物资采购项目预算金额：253200元</w:t>
      </w:r>
    </w:p>
    <w:p w14:paraId="7A99E60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最高限价：253200元，</w:t>
      </w:r>
      <w:r>
        <w:rPr>
          <w:rFonts w:hint="eastAsia" w:ascii="宋体" w:hAnsi="宋体" w:eastAsia="宋体" w:cs="宋体"/>
          <w:color w:val="000000"/>
          <w:kern w:val="0"/>
          <w:sz w:val="24"/>
          <w:szCs w:val="24"/>
          <w:highlight w:val="none"/>
          <w:u w:color="000000"/>
          <w:lang w:val="en-US" w:eastAsia="zh-CN" w:bidi="ar"/>
        </w:rPr>
        <w:t>投标报价不得超过最高限价，否则按无效投标处理</w:t>
      </w:r>
    </w:p>
    <w:p w14:paraId="43667BA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用户需求书：详见《用户需求书》</w:t>
      </w:r>
    </w:p>
    <w:p w14:paraId="26B3F0E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合同履行期限：自签订合同之日起30天内完成供货安装，实际进场时间以招标人通知并完成进场开工报审手续为准。</w:t>
      </w:r>
    </w:p>
    <w:p w14:paraId="361B92E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本项目不接受联合体投标</w:t>
      </w:r>
    </w:p>
    <w:p w14:paraId="27AB9EDE">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投标人的资格要求</w:t>
      </w:r>
    </w:p>
    <w:p w14:paraId="0B8DD6E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1、在中华人民共和国境内注册的具有独立承担民事责任能力的法人或其他组织。</w:t>
      </w:r>
    </w:p>
    <w:p w14:paraId="7A8ABA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21C60BA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2024年10月22日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2024年10月29日</w:t>
      </w:r>
    </w:p>
    <w:p w14:paraId="15E322FF">
      <w:pPr>
        <w:keepNext w:val="0"/>
        <w:keepLines w:val="0"/>
        <w:pageBreakBefore w:val="0"/>
        <w:widowControl w:val="0"/>
        <w:kinsoku/>
        <w:wordWrap w:val="0"/>
        <w:overflowPunct/>
        <w:topLinePunct w:val="0"/>
        <w:autoSpaceDE/>
        <w:autoSpaceDN/>
        <w:bidi w:val="0"/>
        <w:adjustRightInd/>
        <w:snapToGrid/>
        <w:spacing w:line="500" w:lineRule="exact"/>
        <w:ind w:firstLine="539"/>
        <w:textAlignment w:val="auto"/>
        <w:rPr>
          <w:rFonts w:ascii="宋体" w:hAnsi="宋体" w:cs="宋体"/>
          <w:color w:val="auto"/>
          <w:sz w:val="24"/>
          <w:szCs w:val="24"/>
          <w:highlight w:val="none"/>
        </w:rPr>
      </w:pPr>
      <w:r>
        <w:rPr>
          <w:rFonts w:hint="eastAsia" w:ascii="宋体" w:hAnsi="宋体" w:eastAsia="宋体" w:cs="宋体"/>
          <w:color w:val="000000"/>
          <w:kern w:val="0"/>
          <w:sz w:val="24"/>
          <w:szCs w:val="24"/>
          <w:highlight w:val="none"/>
          <w:u w:color="000000"/>
          <w:lang w:val="en-US" w:eastAsia="zh-CN" w:bidi="ar"/>
        </w:rPr>
        <w:t>地点：</w:t>
      </w:r>
      <w:r>
        <w:rPr>
          <w:rFonts w:hint="eastAsia" w:ascii="宋体" w:hAnsi="宋体" w:cs="宋体"/>
          <w:color w:val="auto"/>
          <w:sz w:val="24"/>
          <w:szCs w:val="24"/>
          <w:highlight w:val="none"/>
          <w:lang w:eastAsia="zh-CN"/>
        </w:rPr>
        <w:t>滁州市城投工程咨询管理有限公司网站（https://www.czctgczx.com/）</w:t>
      </w:r>
    </w:p>
    <w:p w14:paraId="629962B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14:paraId="66C102F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68D6364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bookmarkStart w:id="10" w:name="_Toc28359082"/>
      <w:bookmarkEnd w:id="10"/>
      <w:bookmarkStart w:id="11" w:name="_Toc58430308"/>
      <w:bookmarkEnd w:id="11"/>
      <w:bookmarkStart w:id="12" w:name="_Toc28359005"/>
      <w:bookmarkEnd w:id="12"/>
      <w:bookmarkStart w:id="13" w:name="_Toc35393793"/>
      <w:bookmarkEnd w:id="13"/>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4212533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时间：</w:t>
      </w:r>
      <w:r>
        <w:rPr>
          <w:rFonts w:hint="eastAsia" w:ascii="宋体" w:hAnsi="宋体" w:eastAsia="宋体" w:cs="宋体"/>
          <w:bCs/>
          <w:color w:val="000000"/>
          <w:kern w:val="0"/>
          <w:sz w:val="24"/>
          <w:szCs w:val="24"/>
          <w:highlight w:val="none"/>
          <w:u w:val="single" w:color="000000"/>
          <w:lang w:val="en-US" w:eastAsia="zh-CN" w:bidi="ar"/>
        </w:rPr>
        <w:t>2024年10月29日10时00分</w:t>
      </w:r>
      <w:r>
        <w:rPr>
          <w:rFonts w:hint="eastAsia" w:ascii="宋体" w:hAnsi="宋体" w:eastAsia="宋体" w:cs="宋体"/>
          <w:bCs/>
          <w:color w:val="000000"/>
          <w:kern w:val="0"/>
          <w:sz w:val="24"/>
          <w:szCs w:val="24"/>
          <w:highlight w:val="none"/>
          <w:u w:color="000000"/>
          <w:lang w:val="en-US" w:eastAsia="zh-CN" w:bidi="ar"/>
        </w:rPr>
        <w:t>（北京时间）</w:t>
      </w:r>
    </w:p>
    <w:p w14:paraId="33E22BF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地点：皖通城际铁路有限责任公司会议室 (安徽省滁州市南谯区徽州路701号10楼)</w:t>
      </w:r>
    </w:p>
    <w:p w14:paraId="285FFFB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投标文件递交方式：投标人须在投标文件截止时间前将投标文件以电子邮件的方式一次性发送至滁州市城投工程咨询管理有限公司邮箱（czsctzx@163.com），投标文件格式限定为PDF格式，将文件命名为“投标单位名称（联系人及联系电话）+项目名称”，在提交投标文件截止时间后送达的投标文件将被拒绝，投标文件送达时间以滁州市城投工程咨询管理有限公司邮箱显示的邮件送达时间为准，投标文件无法打开的，按无效投标处理。</w:t>
      </w:r>
    </w:p>
    <w:p w14:paraId="40528F2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18F86F2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1.本项目不要求投标人提交投标保证金。</w:t>
      </w:r>
    </w:p>
    <w:p w14:paraId="40E92A6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1DCD659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1.招标人信息</w:t>
      </w:r>
    </w:p>
    <w:p w14:paraId="21D5681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名称：皖通城际铁路有限责任公司   </w:t>
      </w:r>
    </w:p>
    <w:p w14:paraId="5D0427C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地址：安徽省滁州市南谯区徽州路701号10楼</w:t>
      </w:r>
    </w:p>
    <w:p w14:paraId="15B8AB7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000000"/>
          <w:kern w:val="0"/>
          <w:sz w:val="24"/>
          <w:szCs w:val="24"/>
          <w:highlight w:val="none"/>
          <w:u w:color="000000"/>
          <w:lang w:val="en-US" w:eastAsia="zh-CN" w:bidi="ar"/>
        </w:rPr>
        <w:t>18182598725</w:t>
      </w:r>
    </w:p>
    <w:p w14:paraId="13D79C7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5"/>
      <w:r>
        <w:rPr>
          <w:rFonts w:hint="eastAsia" w:ascii="宋体" w:hAnsi="宋体" w:eastAsia="宋体" w:cs="宋体"/>
          <w:bCs/>
          <w:color w:val="000000"/>
          <w:kern w:val="0"/>
          <w:sz w:val="24"/>
          <w:szCs w:val="24"/>
          <w:highlight w:val="none"/>
          <w:u w:color="000000"/>
          <w:lang w:val="en-US" w:eastAsia="zh-CN" w:bidi="ar"/>
        </w:rPr>
        <w:t>代理机构信息</w:t>
      </w:r>
    </w:p>
    <w:p w14:paraId="4B9C1D8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2DCFA29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5BE3A9A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45BD5C3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479F976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项目联系人：王亮、周蓓蕾    </w:t>
      </w:r>
    </w:p>
    <w:p w14:paraId="39D7D95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电      话：18182598725、0550-3519519、18005505728</w:t>
      </w:r>
    </w:p>
    <w:bookmarkEnd w:id="92"/>
    <w:p w14:paraId="42A7612E">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color w:val="auto"/>
          <w:sz w:val="28"/>
          <w:szCs w:val="28"/>
          <w:highlight w:val="none"/>
          <w:lang w:val="en-US"/>
        </w:rPr>
      </w:pP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
          <w:bCs/>
          <w:color w:val="auto"/>
          <w:kern w:val="0"/>
          <w:sz w:val="28"/>
          <w:szCs w:val="28"/>
          <w:highlight w:val="none"/>
          <w:u w:color="000000"/>
          <w:lang w:val="en-US" w:eastAsia="zh-CN" w:bidi="ar"/>
        </w:rPr>
        <w:t>第二章 投标人须知</w:t>
      </w:r>
    </w:p>
    <w:p w14:paraId="05F96262">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440" w:lineRule="exact"/>
        <w:ind w:left="0" w:right="0"/>
        <w:jc w:val="center"/>
        <w:textAlignment w:val="auto"/>
        <w:outlineLvl w:val="1"/>
        <w:rPr>
          <w:rFonts w:hint="eastAsia" w:ascii="宋体" w:hAnsi="宋体" w:eastAsia="宋体" w:cs="宋体"/>
          <w:b/>
          <w:bCs w:val="0"/>
          <w:sz w:val="24"/>
          <w:szCs w:val="24"/>
          <w:highlight w:val="none"/>
          <w:lang w:val="en-US"/>
        </w:rPr>
      </w:pPr>
      <w:bookmarkStart w:id="16" w:name="_Toc9559"/>
      <w:bookmarkEnd w:id="16"/>
      <w:bookmarkStart w:id="17" w:name="_Toc28003_WPSOffice_Level2"/>
      <w:r>
        <w:rPr>
          <w:rFonts w:hint="eastAsia" w:ascii="宋体" w:hAnsi="宋体" w:eastAsia="宋体" w:cs="宋体"/>
          <w:b/>
          <w:bCs w:val="0"/>
          <w:color w:val="000000"/>
          <w:kern w:val="0"/>
          <w:sz w:val="24"/>
          <w:szCs w:val="24"/>
          <w:highlight w:val="none"/>
          <w:u w:color="000000"/>
          <w:lang w:val="en-US" w:eastAsia="zh-CN" w:bidi="ar"/>
        </w:rPr>
        <w:t xml:space="preserve">    一、投标人须知前附表</w:t>
      </w:r>
      <w:bookmarkEnd w:id="17"/>
    </w:p>
    <w:tbl>
      <w:tblPr>
        <w:tblStyle w:val="26"/>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153083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225B8063">
            <w:pPr>
              <w:pStyle w:val="16"/>
              <w:keepNext w:val="0"/>
              <w:keepLines w:val="0"/>
              <w:pageBreakBefore w:val="0"/>
              <w:widowControl/>
              <w:kinsoku/>
              <w:wordWrap/>
              <w:overflowPunct/>
              <w:topLinePunct w:val="0"/>
              <w:autoSpaceDN/>
              <w:bidi w:val="0"/>
              <w:adjustRightInd/>
              <w:snapToGrid/>
              <w:spacing w:line="320" w:lineRule="exact"/>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0B6E7426">
            <w:pPr>
              <w:pStyle w:val="16"/>
              <w:keepNext w:val="0"/>
              <w:keepLines w:val="0"/>
              <w:pageBreakBefore w:val="0"/>
              <w:widowControl/>
              <w:kinsoku/>
              <w:wordWrap/>
              <w:overflowPunct/>
              <w:topLinePunct w:val="0"/>
              <w:autoSpaceDN/>
              <w:bidi w:val="0"/>
              <w:adjustRightInd/>
              <w:snapToGrid/>
              <w:spacing w:line="320" w:lineRule="exact"/>
              <w:jc w:val="center"/>
              <w:textAlignment w:val="auto"/>
              <w:rPr>
                <w:rFonts w:cs="Times New Roman"/>
                <w:b/>
                <w:bCs w:val="0"/>
                <w:highlight w:val="none"/>
                <w:lang w:val="en-US"/>
              </w:rPr>
            </w:pPr>
            <w:r>
              <w:rPr>
                <w:rFonts w:cs="Times New Roman"/>
                <w:b/>
                <w:bCs w:val="0"/>
                <w:highlight w:val="none"/>
              </w:rPr>
              <w:t>内容</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34F56991">
            <w:pPr>
              <w:pStyle w:val="16"/>
              <w:keepNext w:val="0"/>
              <w:keepLines w:val="0"/>
              <w:pageBreakBefore w:val="0"/>
              <w:widowControl/>
              <w:kinsoku/>
              <w:wordWrap/>
              <w:overflowPunct/>
              <w:topLinePunct w:val="0"/>
              <w:autoSpaceDN/>
              <w:bidi w:val="0"/>
              <w:adjustRightInd/>
              <w:snapToGrid/>
              <w:spacing w:line="320" w:lineRule="exact"/>
              <w:jc w:val="center"/>
              <w:textAlignment w:val="auto"/>
              <w:rPr>
                <w:rFonts w:cs="Times New Roman"/>
                <w:b/>
                <w:bCs w:val="0"/>
                <w:highlight w:val="none"/>
                <w:lang w:val="en-US"/>
              </w:rPr>
            </w:pPr>
            <w:r>
              <w:rPr>
                <w:rFonts w:cs="Times New Roman"/>
                <w:b/>
                <w:bCs w:val="0"/>
                <w:highlight w:val="none"/>
              </w:rPr>
              <w:t>说明与要求</w:t>
            </w:r>
          </w:p>
        </w:tc>
      </w:tr>
      <w:tr w14:paraId="3C1D71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6ACA84">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C6DC07E">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0336CD2">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hint="default" w:cs="Times New Roman"/>
                <w:bCs/>
                <w:highlight w:val="none"/>
                <w:lang w:val="en-US" w:eastAsia="zh-CN"/>
              </w:rPr>
            </w:pPr>
            <w:r>
              <w:rPr>
                <w:rFonts w:hint="eastAsia" w:cs="Times New Roman"/>
                <w:bCs/>
                <w:highlight w:val="none"/>
                <w:lang w:eastAsia="zh-CN"/>
              </w:rPr>
              <w:t>滁州至南京城际铁路（滁州段）一期工程轨道润滑物资采购项目</w:t>
            </w:r>
          </w:p>
        </w:tc>
      </w:tr>
      <w:tr w14:paraId="4D60E2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C7186E6">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C710AC5">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84AD441">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hint="eastAsia" w:cs="Times New Roman"/>
                <w:bCs/>
                <w:highlight w:val="none"/>
                <w:lang w:val="en-US" w:eastAsia="zh-CN"/>
              </w:rPr>
            </w:pPr>
            <w:r>
              <w:rPr>
                <w:rFonts w:hint="eastAsia" w:ascii="ˎ̥" w:hAnsi="ˎ̥"/>
                <w:bCs/>
                <w:highlight w:val="none"/>
              </w:rPr>
              <w:t>详见第一章“招标公告”</w:t>
            </w:r>
          </w:p>
        </w:tc>
      </w:tr>
      <w:tr w14:paraId="0758C1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623061">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C657D86">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8D95126">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cs="Times New Roman"/>
                <w:bCs/>
                <w:highlight w:val="none"/>
                <w:lang w:val="en-US"/>
              </w:rPr>
            </w:pPr>
            <w:r>
              <w:rPr>
                <w:rFonts w:hint="eastAsia" w:cs="Times New Roman"/>
                <w:bCs/>
                <w:highlight w:val="none"/>
                <w:lang w:eastAsia="zh-CN"/>
              </w:rPr>
              <w:t>招标人</w:t>
            </w:r>
            <w:r>
              <w:rPr>
                <w:rFonts w:cs="Times New Roman"/>
                <w:bCs/>
                <w:highlight w:val="none"/>
              </w:rPr>
              <w:t>指定地点</w:t>
            </w:r>
          </w:p>
        </w:tc>
      </w:tr>
      <w:tr w14:paraId="1F3FE9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FD7CBB">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513B53C">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hint="eastAsia" w:cs="Times New Roman"/>
                <w:highlight w:val="none"/>
                <w:lang w:val="en-US" w:eastAsia="zh-CN"/>
              </w:rPr>
              <w:t>招标人</w:t>
            </w:r>
            <w:r>
              <w:rPr>
                <w:rFonts w:cs="Times New Roman"/>
                <w:highlight w:val="none"/>
              </w:rPr>
              <w:t>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FB8BCED">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cs="宋体"/>
                <w:highlight w:val="none"/>
                <w:lang w:val="en-US"/>
              </w:rPr>
            </w:pPr>
            <w:r>
              <w:rPr>
                <w:rFonts w:hint="eastAsia" w:cs="宋体"/>
                <w:highlight w:val="none"/>
                <w:lang w:val="en-US" w:eastAsia="zh-CN"/>
              </w:rPr>
              <w:t>王亮 18182598725</w:t>
            </w:r>
          </w:p>
        </w:tc>
      </w:tr>
      <w:tr w14:paraId="31D600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F7DF451">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E9AF446">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0BF78B6">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cs="宋体"/>
                <w:highlight w:val="none"/>
                <w:lang w:val="en-US"/>
              </w:rPr>
            </w:pPr>
            <w:r>
              <w:rPr>
                <w:rFonts w:cs="宋体"/>
                <w:highlight w:val="none"/>
              </w:rPr>
              <w:t xml:space="preserve">周蓓蕾 </w:t>
            </w:r>
            <w:r>
              <w:rPr>
                <w:rFonts w:hint="eastAsia" w:cs="宋体"/>
                <w:highlight w:val="none"/>
                <w:lang w:val="en-US" w:eastAsia="zh-CN"/>
              </w:rPr>
              <w:t xml:space="preserve"> </w:t>
            </w:r>
            <w:r>
              <w:rPr>
                <w:rFonts w:cs="宋体"/>
                <w:highlight w:val="none"/>
                <w:lang w:val="en-US"/>
              </w:rPr>
              <w:t>0550-3519519</w:t>
            </w:r>
            <w:r>
              <w:rPr>
                <w:rFonts w:hint="eastAsia" w:cs="宋体"/>
                <w:highlight w:val="none"/>
                <w:lang w:val="en-US" w:eastAsia="zh-CN"/>
              </w:rPr>
              <w:t>、</w:t>
            </w:r>
            <w:r>
              <w:rPr>
                <w:rFonts w:cs="宋体"/>
                <w:highlight w:val="none"/>
                <w:lang w:val="en-US"/>
              </w:rPr>
              <w:t>18005505728</w:t>
            </w:r>
          </w:p>
        </w:tc>
      </w:tr>
      <w:tr w14:paraId="4ECEB7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218FC22">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538EFC">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2906027">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cs="Times New Roman"/>
                <w:highlight w:val="none"/>
                <w:lang w:val="en-US"/>
              </w:rPr>
            </w:pPr>
            <w:r>
              <w:rPr>
                <w:rFonts w:hint="eastAsia" w:cs="Times New Roman"/>
                <w:highlight w:val="none"/>
                <w:lang w:val="en-US" w:eastAsia="zh-CN"/>
              </w:rPr>
              <w:t>自筹</w:t>
            </w:r>
            <w:r>
              <w:rPr>
                <w:rFonts w:cs="Times New Roman"/>
                <w:highlight w:val="none"/>
              </w:rPr>
              <w:t>资金</w:t>
            </w:r>
          </w:p>
        </w:tc>
      </w:tr>
      <w:tr w14:paraId="13EB60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F8F984B">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A669F7">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96F6186">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253</w:t>
            </w:r>
            <w:r>
              <w:rPr>
                <w:rFonts w:hint="eastAsia" w:cs="宋体"/>
                <w:bCs/>
                <w:color w:val="000000"/>
                <w:szCs w:val="21"/>
                <w:highlight w:val="none"/>
                <w:lang w:val="en-US" w:eastAsia="zh-CN"/>
              </w:rPr>
              <w:t>2</w:t>
            </w:r>
            <w:r>
              <w:rPr>
                <w:rFonts w:hint="eastAsia" w:ascii="宋体" w:hAnsi="宋体" w:eastAsia="宋体" w:cs="宋体"/>
                <w:bCs/>
                <w:color w:val="000000"/>
                <w:szCs w:val="21"/>
                <w:highlight w:val="none"/>
                <w:lang w:val="en-US" w:eastAsia="zh-CN"/>
              </w:rPr>
              <w:t>00元</w:t>
            </w:r>
          </w:p>
        </w:tc>
      </w:tr>
      <w:tr w14:paraId="758304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7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7246A93">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BA68C3A">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6D5CA48">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253</w:t>
            </w:r>
            <w:r>
              <w:rPr>
                <w:rFonts w:hint="eastAsia" w:cs="宋体"/>
                <w:bCs/>
                <w:color w:val="000000"/>
                <w:szCs w:val="21"/>
                <w:highlight w:val="none"/>
                <w:lang w:val="en-US" w:eastAsia="zh-CN"/>
              </w:rPr>
              <w:t>2</w:t>
            </w:r>
            <w:r>
              <w:rPr>
                <w:rFonts w:hint="eastAsia" w:ascii="宋体" w:hAnsi="宋体" w:eastAsia="宋体" w:cs="宋体"/>
                <w:bCs/>
                <w:color w:val="000000"/>
                <w:szCs w:val="21"/>
                <w:highlight w:val="none"/>
                <w:lang w:val="en-US" w:eastAsia="zh-CN"/>
              </w:rPr>
              <w:t>00元，投标报价不得超过最高限价，否则按无效投标处理</w:t>
            </w:r>
          </w:p>
        </w:tc>
      </w:tr>
      <w:tr w14:paraId="74FB4D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724D9D">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053AD52">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F8138B7">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eastAsia="zh-CN"/>
              </w:rPr>
              <w:t>用户需求书</w:t>
            </w:r>
            <w:r>
              <w:rPr>
                <w:rFonts w:hint="eastAsia" w:hAnsi="宋体" w:cs="宋体"/>
                <w:bCs/>
                <w:color w:val="000000"/>
                <w:szCs w:val="21"/>
                <w:highlight w:val="none"/>
              </w:rPr>
              <w:t>》</w:t>
            </w:r>
          </w:p>
        </w:tc>
      </w:tr>
      <w:tr w14:paraId="119E7A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9CD8AE0">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FB705C1">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cs="Times New Roman"/>
                <w:highlight w:val="none"/>
              </w:rPr>
              <w:t>标</w:t>
            </w:r>
            <w:r>
              <w:rPr>
                <w:rFonts w:hint="eastAsia" w:cs="Times New Roman"/>
                <w:highlight w:val="none"/>
                <w:lang w:val="en-US" w:eastAsia="zh-CN"/>
              </w:rPr>
              <w:t>段</w:t>
            </w:r>
            <w:r>
              <w:rPr>
                <w:rFonts w:cs="Times New Roman"/>
                <w:highlight w:val="none"/>
              </w:rPr>
              <w:t>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7E762D8">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00DFC4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966C28B">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4E4A0B1">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3F1B9D4">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719FA6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2DC089">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62F862D">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D9577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6E9695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98484AA">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31646A">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F5AE643">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16BA28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58941D9">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CCBF70E">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AC3D464">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cs="Times New Roman"/>
                <w:highlight w:val="none"/>
                <w:lang w:val="en-US"/>
              </w:rPr>
            </w:pPr>
            <w:r>
              <w:rPr>
                <w:rFonts w:cs="Times New Roman"/>
                <w:highlight w:val="none"/>
              </w:rPr>
              <w:t>不召开</w:t>
            </w:r>
          </w:p>
        </w:tc>
      </w:tr>
      <w:tr w14:paraId="2E0528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041C1AE">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A141D87">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AEF860D">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hint="eastAsia" w:ascii="宋体" w:hAnsi="宋体" w:eastAsia="宋体" w:cs="宋体"/>
                <w:b w:val="0"/>
                <w:bCs w:val="0"/>
                <w:highlight w:val="none"/>
                <w:lang w:val="en-US"/>
              </w:rPr>
            </w:pPr>
            <w:r>
              <w:rPr>
                <w:rFonts w:hint="eastAsia" w:ascii="宋体" w:hAnsi="宋体" w:eastAsia="宋体" w:cs="宋体"/>
                <w:b w:val="0"/>
                <w:bCs w:val="0"/>
                <w:highlight w:val="none"/>
              </w:rPr>
              <w:t>如投标人对招标文件有疑问，请于</w:t>
            </w:r>
            <w:r>
              <w:rPr>
                <w:rFonts w:hint="eastAsia" w:ascii="宋体" w:hAnsi="宋体" w:eastAsia="宋体" w:cs="宋体"/>
                <w:b w:val="0"/>
                <w:bCs w:val="0"/>
                <w:highlight w:val="none"/>
                <w:lang w:val="en-US"/>
              </w:rPr>
              <w:t>202</w:t>
            </w:r>
            <w:r>
              <w:rPr>
                <w:rFonts w:hint="eastAsia" w:ascii="宋体" w:hAnsi="宋体" w:eastAsia="宋体" w:cs="宋体"/>
                <w:b w:val="0"/>
                <w:bCs w:val="0"/>
                <w:highlight w:val="none"/>
                <w:lang w:val="en-US" w:eastAsia="zh-CN"/>
              </w:rPr>
              <w:t>4</w:t>
            </w:r>
            <w:r>
              <w:rPr>
                <w:rFonts w:hint="eastAsia" w:ascii="宋体" w:hAnsi="宋体" w:eastAsia="宋体" w:cs="宋体"/>
                <w:b w:val="0"/>
                <w:bCs w:val="0"/>
                <w:highlight w:val="none"/>
              </w:rPr>
              <w:t>年</w:t>
            </w:r>
            <w:r>
              <w:rPr>
                <w:rFonts w:hint="eastAsia" w:ascii="宋体" w:hAnsi="宋体" w:eastAsia="宋体" w:cs="宋体"/>
                <w:b w:val="0"/>
                <w:bCs w:val="0"/>
                <w:highlight w:val="none"/>
                <w:lang w:val="en-US" w:eastAsia="zh-CN"/>
              </w:rPr>
              <w:t>10</w:t>
            </w:r>
            <w:r>
              <w:rPr>
                <w:rFonts w:hint="eastAsia" w:ascii="宋体" w:hAnsi="宋体" w:eastAsia="宋体" w:cs="宋体"/>
                <w:b w:val="0"/>
                <w:bCs w:val="0"/>
                <w:highlight w:val="none"/>
              </w:rPr>
              <w:t>月</w:t>
            </w:r>
            <w:r>
              <w:rPr>
                <w:rFonts w:hint="eastAsia" w:ascii="宋体" w:hAnsi="宋体" w:eastAsia="宋体" w:cs="宋体"/>
                <w:b w:val="0"/>
                <w:bCs w:val="0"/>
                <w:highlight w:val="none"/>
                <w:lang w:val="en-US" w:eastAsia="zh-CN"/>
              </w:rPr>
              <w:t>24</w:t>
            </w:r>
            <w:r>
              <w:rPr>
                <w:rFonts w:hint="eastAsia" w:ascii="宋体" w:hAnsi="宋体" w:eastAsia="宋体" w:cs="宋体"/>
                <w:b w:val="0"/>
                <w:bCs w:val="0"/>
                <w:highlight w:val="none"/>
              </w:rPr>
              <w:t>日</w:t>
            </w:r>
            <w:r>
              <w:rPr>
                <w:rFonts w:hint="eastAsia" w:ascii="宋体" w:hAnsi="宋体" w:eastAsia="宋体" w:cs="宋体"/>
                <w:b w:val="0"/>
                <w:bCs w:val="0"/>
                <w:highlight w:val="none"/>
                <w:lang w:val="en-US"/>
              </w:rPr>
              <w:t>1</w:t>
            </w:r>
            <w:r>
              <w:rPr>
                <w:rFonts w:hint="eastAsia" w:ascii="宋体" w:hAnsi="宋体" w:eastAsia="宋体" w:cs="宋体"/>
                <w:b w:val="0"/>
                <w:bCs w:val="0"/>
                <w:highlight w:val="none"/>
                <w:lang w:val="en-US" w:eastAsia="zh-CN"/>
              </w:rPr>
              <w:t>2</w:t>
            </w:r>
            <w:r>
              <w:rPr>
                <w:rFonts w:hint="eastAsia" w:ascii="宋体" w:hAnsi="宋体" w:eastAsia="宋体" w:cs="宋体"/>
                <w:b w:val="0"/>
                <w:bCs w:val="0"/>
                <w:highlight w:val="none"/>
              </w:rPr>
              <w:t>时前将疑问内容以书面的形式加盖投标单位公章，发送至滁州市城投工程咨询管理有限公司邮箱（</w:t>
            </w:r>
            <w:r>
              <w:rPr>
                <w:rFonts w:hint="eastAsia" w:ascii="宋体" w:hAnsi="宋体" w:eastAsia="宋体" w:cs="宋体"/>
                <w:b w:val="0"/>
                <w:bCs w:val="0"/>
                <w:highlight w:val="none"/>
                <w:lang w:val="en-US"/>
              </w:rPr>
              <w:t>czsctzx@163.com</w:t>
            </w:r>
            <w:r>
              <w:rPr>
                <w:rFonts w:hint="eastAsia" w:ascii="宋体" w:hAnsi="宋体" w:eastAsia="宋体" w:cs="宋体"/>
                <w:b w:val="0"/>
                <w:bCs w:val="0"/>
                <w:highlight w:val="none"/>
              </w:rPr>
              <w:t>）。</w:t>
            </w:r>
          </w:p>
        </w:tc>
      </w:tr>
      <w:tr w14:paraId="5FD70A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E34FCF5">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34A7C20">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hint="eastAsia" w:cs="Times New Roman"/>
                <w:highlight w:val="none"/>
                <w:lang w:eastAsia="zh-CN"/>
              </w:rPr>
              <w:t>招标人</w:t>
            </w:r>
            <w:r>
              <w:rPr>
                <w:rFonts w:cs="Times New Roman"/>
                <w:highlight w:val="none"/>
              </w:rPr>
              <w:t>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D2D57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val="0"/>
                <w:bCs w:val="0"/>
                <w:color w:val="auto"/>
                <w:kern w:val="2"/>
                <w:highlight w:val="none"/>
                <w:lang w:val="en-US"/>
              </w:rPr>
            </w:pPr>
            <w:r>
              <w:rPr>
                <w:rFonts w:hint="eastAsia" w:ascii="宋体" w:hAnsi="宋体" w:eastAsia="宋体" w:cs="宋体"/>
                <w:b w:val="0"/>
                <w:bCs w:val="0"/>
                <w:color w:val="auto"/>
                <w:kern w:val="2"/>
                <w:sz w:val="21"/>
                <w:szCs w:val="21"/>
                <w:highlight w:val="none"/>
                <w:u w:color="000000"/>
                <w:lang w:val="en-US" w:eastAsia="zh-CN" w:bidi="ar"/>
              </w:rPr>
              <w:t>招标人将在</w:t>
            </w:r>
            <w:r>
              <w:rPr>
                <w:rFonts w:hint="eastAsia" w:ascii="宋体" w:hAnsi="宋体" w:eastAsia="宋体" w:cs="宋体"/>
                <w:b w:val="0"/>
                <w:bCs w:val="0"/>
                <w:color w:val="auto"/>
                <w:kern w:val="2"/>
                <w:sz w:val="21"/>
                <w:szCs w:val="21"/>
                <w:highlight w:val="none"/>
                <w:u w:color="auto"/>
                <w:lang w:val="en-US" w:eastAsia="zh-CN" w:bidi="ar"/>
              </w:rPr>
              <w:t>2024年</w:t>
            </w:r>
            <w:r>
              <w:rPr>
                <w:rFonts w:hint="eastAsia" w:ascii="宋体" w:hAnsi="宋体" w:eastAsia="宋体" w:cs="宋体"/>
                <w:b w:val="0"/>
                <w:bCs w:val="0"/>
                <w:highlight w:val="none"/>
                <w:lang w:val="en-US" w:eastAsia="zh-CN"/>
              </w:rPr>
              <w:t>10</w:t>
            </w:r>
            <w:r>
              <w:rPr>
                <w:rFonts w:hint="eastAsia" w:ascii="宋体" w:hAnsi="宋体" w:eastAsia="宋体" w:cs="宋体"/>
                <w:b w:val="0"/>
                <w:bCs w:val="0"/>
                <w:highlight w:val="none"/>
              </w:rPr>
              <w:t>月</w:t>
            </w:r>
            <w:r>
              <w:rPr>
                <w:rFonts w:hint="eastAsia" w:ascii="宋体" w:hAnsi="宋体" w:eastAsia="宋体" w:cs="宋体"/>
                <w:b w:val="0"/>
                <w:bCs w:val="0"/>
                <w:highlight w:val="none"/>
                <w:lang w:val="en-US" w:eastAsia="zh-CN"/>
              </w:rPr>
              <w:t>24</w:t>
            </w:r>
            <w:r>
              <w:rPr>
                <w:rFonts w:hint="eastAsia" w:ascii="宋体" w:hAnsi="宋体" w:eastAsia="宋体" w:cs="宋体"/>
                <w:b w:val="0"/>
                <w:bCs w:val="0"/>
                <w:highlight w:val="none"/>
              </w:rPr>
              <w:t>日</w:t>
            </w:r>
            <w:r>
              <w:rPr>
                <w:rFonts w:hint="eastAsia" w:ascii="宋体" w:hAnsi="宋体" w:eastAsia="宋体" w:cs="宋体"/>
                <w:b w:val="0"/>
                <w:bCs w:val="0"/>
                <w:color w:val="auto"/>
                <w:kern w:val="2"/>
                <w:sz w:val="21"/>
                <w:szCs w:val="21"/>
                <w:highlight w:val="none"/>
                <w:u w:color="auto"/>
                <w:lang w:val="en-US" w:eastAsia="zh-CN" w:bidi="ar"/>
              </w:rPr>
              <w:t>17时后</w:t>
            </w:r>
            <w:r>
              <w:rPr>
                <w:rFonts w:hint="eastAsia" w:ascii="宋体" w:hAnsi="宋体" w:eastAsia="宋体" w:cs="宋体"/>
                <w:b w:val="0"/>
                <w:bCs w:val="0"/>
                <w:color w:val="auto"/>
                <w:kern w:val="2"/>
                <w:sz w:val="21"/>
                <w:szCs w:val="21"/>
                <w:highlight w:val="none"/>
                <w:u w:color="000000"/>
                <w:lang w:val="en-US" w:eastAsia="zh-CN" w:bidi="ar"/>
              </w:rPr>
              <w:t>以澄清公告形式在</w:t>
            </w:r>
            <w:r>
              <w:rPr>
                <w:rFonts w:hint="eastAsia" w:ascii="宋体" w:hAnsi="宋体" w:eastAsia="宋体" w:cs="宋体"/>
                <w:color w:val="auto"/>
                <w:szCs w:val="21"/>
                <w:highlight w:val="none"/>
                <w:lang w:eastAsia="zh-CN"/>
              </w:rPr>
              <w:t>滁州市城投工程咨询管理有限公司网站（https://www.czctgczx.com/）</w:t>
            </w:r>
            <w:r>
              <w:rPr>
                <w:rFonts w:hint="eastAsia" w:ascii="宋体" w:hAnsi="宋体" w:eastAsia="宋体" w:cs="宋体"/>
                <w:color w:val="auto"/>
                <w:szCs w:val="21"/>
                <w:highlight w:val="none"/>
              </w:rPr>
              <w:t>发布。</w:t>
            </w:r>
          </w:p>
        </w:tc>
      </w:tr>
      <w:tr w14:paraId="4BCDBC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1A65FE1">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771A60">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A47F5E3">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cs="Times New Roman"/>
                <w:color w:val="auto"/>
                <w:highlight w:val="none"/>
                <w:lang w:val="en-US"/>
              </w:rPr>
            </w:pPr>
            <w:r>
              <w:rPr>
                <w:rFonts w:cs="Times New Roman"/>
                <w:color w:val="auto"/>
                <w:highlight w:val="none"/>
              </w:rPr>
              <w:t>本次招标</w:t>
            </w:r>
            <w:r>
              <w:rPr>
                <w:rFonts w:cs="Times New Roman"/>
                <w:color w:val="auto"/>
                <w:highlight w:val="none"/>
                <w:u w:val="single"/>
              </w:rPr>
              <w:t>不接受</w:t>
            </w:r>
            <w:r>
              <w:rPr>
                <w:rFonts w:cs="Times New Roman"/>
                <w:color w:val="auto"/>
                <w:highlight w:val="none"/>
              </w:rPr>
              <w:t>联合体投标</w:t>
            </w:r>
          </w:p>
        </w:tc>
      </w:tr>
      <w:tr w14:paraId="202AB4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1CF5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8E15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招标代理费及专家评审费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7E9E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代理服务费金额：招标代理费3000元，不含专家评审费（专家评审费用以实际支付为准）。</w:t>
            </w:r>
          </w:p>
          <w:p w14:paraId="29223F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代理服务费及专家评审费支付主体：中标单位，中标单位在获取中标通知书时一次性支付给代理机构。</w:t>
            </w:r>
          </w:p>
        </w:tc>
      </w:tr>
      <w:tr w14:paraId="3A8621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CDB001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85ED1F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6619C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431A4B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A371131">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4FD29E2">
            <w:pPr>
              <w:pStyle w:val="16"/>
              <w:keepNext w:val="0"/>
              <w:keepLines w:val="0"/>
              <w:pageBreakBefore w:val="0"/>
              <w:widowControl/>
              <w:kinsoku/>
              <w:wordWrap/>
              <w:overflowPunct/>
              <w:topLinePunct w:val="0"/>
              <w:autoSpaceDE w:val="0"/>
              <w:autoSpaceDN/>
              <w:bidi w:val="0"/>
              <w:adjustRightInd/>
              <w:snapToGrid/>
              <w:spacing w:line="32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720FA8">
            <w:pPr>
              <w:pStyle w:val="16"/>
              <w:keepNext w:val="0"/>
              <w:keepLines w:val="0"/>
              <w:pageBreakBefore w:val="0"/>
              <w:widowControl/>
              <w:kinsoku/>
              <w:wordWrap/>
              <w:overflowPunct/>
              <w:topLinePunct w:val="0"/>
              <w:autoSpaceDE w:val="0"/>
              <w:autoSpaceDN/>
              <w:bidi w:val="0"/>
              <w:adjustRightInd/>
              <w:snapToGrid/>
              <w:spacing w:line="32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6</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49DB14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8B3B5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DEF71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229A00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2F6BAE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2BE60DC">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2958A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kern w:val="2"/>
                <w:highlight w:val="none"/>
                <w:lang w:val="en-US"/>
              </w:rPr>
            </w:pPr>
            <w:r>
              <w:rPr>
                <w:rFonts w:hint="eastAsia" w:ascii="宋体" w:hAnsi="宋体" w:cs="宋体"/>
                <w:szCs w:val="21"/>
                <w:highlight w:val="none"/>
              </w:rPr>
              <w:t>签字或盖章要求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3ECF9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eastAsiaTheme="minorEastAsia"/>
                <w:kern w:val="2"/>
                <w:highlight w:val="none"/>
                <w:lang w:val="en-US" w:eastAsia="zh-CN"/>
              </w:rPr>
            </w:pPr>
            <w:r>
              <w:rPr>
                <w:rFonts w:hint="eastAsia" w:ascii="宋体" w:hAnsi="宋体" w:cs="宋体"/>
                <w:szCs w:val="21"/>
                <w:highlight w:val="none"/>
              </w:rPr>
              <w:t>投标文件须按格式文件要求签字或盖章</w:t>
            </w:r>
            <w:r>
              <w:rPr>
                <w:rFonts w:hint="eastAsia" w:ascii="宋体" w:hAnsi="宋体" w:cs="宋体"/>
                <w:szCs w:val="21"/>
                <w:highlight w:val="none"/>
                <w:lang w:eastAsia="zh-CN"/>
              </w:rPr>
              <w:t>。</w:t>
            </w:r>
            <w:r>
              <w:rPr>
                <w:rFonts w:hint="eastAsia" w:ascii="宋体" w:hAnsi="宋体" w:cs="宋体"/>
                <w:szCs w:val="21"/>
                <w:highlight w:val="none"/>
              </w:rPr>
              <w:t>否则经评委会一致认定后，按照无效投标处理。</w:t>
            </w:r>
          </w:p>
        </w:tc>
      </w:tr>
      <w:tr w14:paraId="5ED903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18DD0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F9972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color w:val="auto"/>
                <w:sz w:val="21"/>
                <w:szCs w:val="21"/>
                <w:highlight w:val="none"/>
              </w:rPr>
            </w:pPr>
            <w:r>
              <w:rPr>
                <w:rFonts w:hint="eastAsia" w:ascii="宋体" w:hAnsi="宋体" w:cs="宋体"/>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2F2A5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szCs w:val="21"/>
                <w:highlight w:val="none"/>
                <w:lang w:eastAsia="zh-CN"/>
              </w:rPr>
            </w:pPr>
            <w:r>
              <w:rPr>
                <w:rFonts w:hint="eastAsia" w:ascii="宋体" w:hAnsi="宋体" w:cs="宋体"/>
                <w:szCs w:val="21"/>
                <w:highlight w:val="none"/>
              </w:rPr>
              <w:t>投标人中标后须递交与网上电子投标文件完全一致的纸质版投标文件，并按要求加盖公章；份数：正本1份，副本</w:t>
            </w:r>
            <w:r>
              <w:rPr>
                <w:rFonts w:hint="eastAsia" w:ascii="宋体" w:hAnsi="宋体" w:cs="宋体"/>
                <w:szCs w:val="21"/>
                <w:highlight w:val="none"/>
                <w:lang w:val="en-US" w:eastAsia="zh-CN"/>
              </w:rPr>
              <w:t>1</w:t>
            </w:r>
            <w:r>
              <w:rPr>
                <w:rFonts w:hint="eastAsia" w:ascii="宋体" w:hAnsi="宋体" w:cs="宋体"/>
                <w:szCs w:val="21"/>
                <w:highlight w:val="none"/>
              </w:rPr>
              <w:t>份；中标单位领取中标通知书时，一并递交给招标代理机构</w:t>
            </w:r>
            <w:r>
              <w:rPr>
                <w:rFonts w:hint="eastAsia" w:ascii="宋体" w:hAnsi="宋体" w:cs="宋体"/>
                <w:szCs w:val="21"/>
                <w:highlight w:val="none"/>
                <w:lang w:eastAsia="zh-CN"/>
              </w:rPr>
              <w:t>。</w:t>
            </w:r>
          </w:p>
        </w:tc>
      </w:tr>
      <w:tr w14:paraId="4F7E57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34C0C8">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C12AA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cs="Times New Roman" w:eastAsiaTheme="minorEastAsia"/>
                <w:highlight w:val="none"/>
                <w:lang w:val="en-US" w:eastAsia="zh-CN"/>
              </w:rPr>
            </w:pPr>
            <w:r>
              <w:rPr>
                <w:rFonts w:hint="eastAsia" w:ascii="宋体"/>
                <w:color w:val="auto"/>
                <w:sz w:val="21"/>
                <w:szCs w:val="21"/>
                <w:highlight w:val="none"/>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87BFB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szCs w:val="21"/>
                <w:highlight w:val="none"/>
              </w:rPr>
            </w:pPr>
            <w:r>
              <w:rPr>
                <w:rFonts w:hint="eastAsia" w:ascii="宋体" w:hAnsi="宋体" w:cs="宋体"/>
                <w:szCs w:val="21"/>
                <w:highlight w:val="none"/>
              </w:rPr>
              <w:t>时  间：202</w:t>
            </w:r>
            <w:r>
              <w:rPr>
                <w:rFonts w:hint="eastAsia" w:ascii="宋体" w:hAnsi="宋体" w:cs="宋体"/>
                <w:szCs w:val="21"/>
                <w:highlight w:val="none"/>
                <w:lang w:val="en-US" w:eastAsia="zh-CN"/>
              </w:rPr>
              <w:t>4</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日</w:t>
            </w:r>
            <w:r>
              <w:rPr>
                <w:rFonts w:hint="eastAsia" w:ascii="宋体" w:hAnsi="宋体" w:cs="宋体"/>
                <w:szCs w:val="21"/>
                <w:highlight w:val="none"/>
                <w:lang w:val="en-US" w:eastAsia="zh-CN"/>
              </w:rPr>
              <w:t>10</w:t>
            </w:r>
            <w:r>
              <w:rPr>
                <w:rFonts w:hint="eastAsia" w:ascii="宋体" w:hAnsi="宋体" w:cs="宋体"/>
                <w:szCs w:val="21"/>
                <w:highlight w:val="none"/>
              </w:rPr>
              <w:t xml:space="preserve">时00分     </w:t>
            </w:r>
          </w:p>
          <w:p w14:paraId="6443EA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szCs w:val="21"/>
                <w:highlight w:val="none"/>
                <w:lang w:val="en-US"/>
              </w:rPr>
            </w:pPr>
            <w:r>
              <w:rPr>
                <w:rFonts w:hint="eastAsia" w:ascii="宋体" w:hAnsi="宋体"/>
                <w:color w:val="auto"/>
                <w:szCs w:val="21"/>
                <w:highlight w:val="none"/>
              </w:rPr>
              <w:t xml:space="preserve">地  </w:t>
            </w:r>
            <w:r>
              <w:rPr>
                <w:rFonts w:hint="eastAsia" w:ascii="宋体" w:hAnsi="宋体"/>
                <w:color w:val="auto"/>
                <w:szCs w:val="21"/>
                <w:highlight w:val="none"/>
                <w:lang w:eastAsia="zh-CN"/>
              </w:rPr>
              <w:t>点：</w:t>
            </w:r>
            <w:r>
              <w:rPr>
                <w:rFonts w:hint="eastAsia" w:ascii="宋体" w:hAnsi="宋体" w:eastAsia="宋体" w:cs="宋体"/>
                <w:b w:val="0"/>
                <w:bCs w:val="0"/>
                <w:color w:val="auto"/>
                <w:sz w:val="21"/>
                <w:szCs w:val="21"/>
                <w:highlight w:val="none"/>
                <w:lang w:val="en-US" w:eastAsia="zh-CN"/>
              </w:rPr>
              <w:t>皖通城际铁路有限责任公司会议室 (安徽省滁州市南谯区徽州路701号10楼)</w:t>
            </w:r>
          </w:p>
        </w:tc>
      </w:tr>
      <w:tr w14:paraId="5CB150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704D246">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8091E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cs="Times New Roman"/>
                <w:highlight w:val="none"/>
                <w:lang w:val="en-US"/>
              </w:rPr>
            </w:pPr>
            <w:r>
              <w:rPr>
                <w:rFonts w:hint="eastAsia" w:ascii="宋体"/>
                <w:color w:val="auto"/>
                <w:sz w:val="21"/>
                <w:szCs w:val="21"/>
                <w:highlight w:val="none"/>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B9130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s="Times New Roman"/>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62E75E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F0397A4">
            <w:pPr>
              <w:pStyle w:val="16"/>
              <w:keepNext w:val="0"/>
              <w:keepLines w:val="0"/>
              <w:pageBreakBefore w:val="0"/>
              <w:widowControl/>
              <w:kinsoku/>
              <w:wordWrap/>
              <w:overflowPunct/>
              <w:topLinePunct w:val="0"/>
              <w:autoSpaceDE w:val="0"/>
              <w:autoSpaceDN/>
              <w:bidi w:val="0"/>
              <w:adjustRightInd/>
              <w:snapToGrid/>
              <w:spacing w:line="32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01553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cs="Times New Roman"/>
                <w:highlight w:val="none"/>
                <w:lang w:val="en-US"/>
              </w:rPr>
            </w:pPr>
            <w:r>
              <w:rPr>
                <w:rFonts w:hint="eastAsia" w:ascii="宋体" w:hAnsi="宋体" w:cs="宋体"/>
                <w:szCs w:val="21"/>
                <w:highlight w:val="none"/>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DE04E9B">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s="Times New Roman"/>
                <w:spacing w:val="-4"/>
                <w:highlight w:val="none"/>
                <w:lang w:val="en-US"/>
              </w:rPr>
            </w:pPr>
            <w:r>
              <w:rPr>
                <w:rFonts w:hint="eastAsia" w:hAnsi="宋体" w:cs="宋体"/>
                <w:sz w:val="21"/>
                <w:szCs w:val="21"/>
                <w:highlight w:val="none"/>
              </w:rPr>
              <w:fldChar w:fldCharType="begin"/>
            </w:r>
            <w:r>
              <w:rPr>
                <w:rFonts w:hint="eastAsia" w:hAnsi="宋体" w:cs="宋体"/>
                <w:sz w:val="21"/>
                <w:szCs w:val="21"/>
                <w:highlight w:val="none"/>
              </w:rPr>
              <w:instrText xml:space="preserve"> eq \o\ac(□,√)</w:instrText>
            </w:r>
            <w:r>
              <w:rPr>
                <w:rFonts w:hint="eastAsia" w:hAnsi="宋体" w:cs="宋体"/>
                <w:sz w:val="21"/>
                <w:szCs w:val="21"/>
                <w:highlight w:val="none"/>
              </w:rPr>
              <w:fldChar w:fldCharType="end"/>
            </w:r>
            <w:r>
              <w:rPr>
                <w:rFonts w:hint="eastAsia" w:hAnsi="宋体" w:cs="宋体"/>
                <w:sz w:val="21"/>
                <w:highlight w:val="none"/>
              </w:rPr>
              <w:t>否；</w:t>
            </w:r>
            <w:r>
              <w:rPr>
                <w:rFonts w:hint="eastAsia" w:hAnsi="宋体" w:cs="宋体"/>
                <w:szCs w:val="32"/>
                <w:highlight w:val="none"/>
              </w:rPr>
              <w:t>□</w:t>
            </w:r>
            <w:r>
              <w:rPr>
                <w:rFonts w:hint="eastAsia" w:hAnsi="宋体" w:cs="宋体"/>
                <w:sz w:val="21"/>
                <w:highlight w:val="none"/>
              </w:rPr>
              <w:t>是</w:t>
            </w:r>
          </w:p>
        </w:tc>
      </w:tr>
      <w:tr w14:paraId="655139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F293C6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B03DB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kern w:val="2"/>
                <w:highlight w:val="none"/>
                <w:lang w:val="en-US"/>
              </w:rPr>
            </w:pPr>
            <w:r>
              <w:rPr>
                <w:rFonts w:hint="eastAsia" w:ascii="宋体" w:hAnsi="宋体" w:cs="宋体"/>
                <w:szCs w:val="21"/>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46597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kern w:val="2"/>
                <w:highlight w:val="none"/>
                <w:lang w:val="en-US"/>
              </w:rPr>
            </w:pPr>
            <w:r>
              <w:rPr>
                <w:rFonts w:hint="eastAsia" w:ascii="宋体" w:hAnsi="宋体" w:cs="宋体"/>
                <w:szCs w:val="21"/>
                <w:highlight w:val="none"/>
              </w:rPr>
              <w:t>评标委员会构成：</w:t>
            </w:r>
            <w:r>
              <w:rPr>
                <w:rFonts w:hint="eastAsia" w:ascii="宋体" w:hAnsi="宋体" w:cs="宋体"/>
                <w:szCs w:val="21"/>
                <w:highlight w:val="none"/>
                <w:u w:val="single"/>
              </w:rPr>
              <w:t>由</w:t>
            </w:r>
            <w:r>
              <w:rPr>
                <w:rFonts w:hint="eastAsia" w:ascii="宋体" w:hAnsi="宋体" w:cs="宋体"/>
                <w:szCs w:val="21"/>
                <w:highlight w:val="none"/>
                <w:u w:val="single"/>
                <w:lang w:val="en-US" w:eastAsia="zh-CN"/>
              </w:rPr>
              <w:t>招标人</w:t>
            </w:r>
            <w:r>
              <w:rPr>
                <w:rFonts w:hint="eastAsia" w:ascii="宋体" w:hAnsi="宋体" w:cs="宋体"/>
                <w:szCs w:val="21"/>
                <w:highlight w:val="none"/>
                <w:u w:val="single"/>
              </w:rPr>
              <w:t>依法组建。</w:t>
            </w:r>
          </w:p>
        </w:tc>
      </w:tr>
      <w:tr w14:paraId="30095A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47A68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5553E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kern w:val="2"/>
                <w:highlight w:val="none"/>
                <w:lang w:val="en-US"/>
              </w:rPr>
            </w:pPr>
            <w:r>
              <w:rPr>
                <w:rFonts w:hint="eastAsia" w:ascii="宋体" w:hAnsi="宋体" w:cs="宋体"/>
                <w:szCs w:val="21"/>
                <w:highlight w:val="none"/>
              </w:rPr>
              <w:t>是否授权评标委员会推荐中标候选人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ED03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58A569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772A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7E7CE4">
            <w:pPr>
              <w:pStyle w:val="16"/>
              <w:keepNext w:val="0"/>
              <w:keepLines w:val="0"/>
              <w:pageBreakBefore w:val="0"/>
              <w:widowControl/>
              <w:kinsoku/>
              <w:wordWrap/>
              <w:overflowPunct/>
              <w:topLinePunct w:val="0"/>
              <w:autoSpaceDE w:val="0"/>
              <w:autoSpaceDN/>
              <w:bidi w:val="0"/>
              <w:adjustRightInd/>
              <w:snapToGrid/>
              <w:spacing w:line="32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2E5846B7">
            <w:pPr>
              <w:pStyle w:val="16"/>
              <w:keepNext w:val="0"/>
              <w:keepLines w:val="0"/>
              <w:pageBreakBefore w:val="0"/>
              <w:widowControl/>
              <w:kinsoku/>
              <w:wordWrap w:val="0"/>
              <w:overflowPunct/>
              <w:topLinePunct w:val="0"/>
              <w:autoSpaceDE w:val="0"/>
              <w:autoSpaceDN/>
              <w:bidi w:val="0"/>
              <w:adjustRightInd/>
              <w:snapToGrid/>
              <w:spacing w:line="320" w:lineRule="exact"/>
              <w:ind w:left="0" w:leftChars="0" w:right="0" w:rightChars="0"/>
              <w:textAlignment w:val="auto"/>
              <w:rPr>
                <w:rFonts w:hint="eastAsia" w:ascii="宋体" w:hAnsi="宋体" w:cs="宋体"/>
                <w:szCs w:val="21"/>
                <w:highlight w:val="none"/>
              </w:rPr>
            </w:pPr>
            <w:r>
              <w:rPr>
                <w:rFonts w:hint="eastAsia" w:cs="宋体"/>
                <w:szCs w:val="21"/>
                <w:highlight w:val="none"/>
                <w:lang w:eastAsia="zh-CN"/>
              </w:rPr>
              <w:t>滁州市城投工程咨询管理有限公司网站（https://www.czctgczx.com/）</w:t>
            </w:r>
          </w:p>
        </w:tc>
      </w:tr>
      <w:tr w14:paraId="56CCCF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819ACF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6DAED8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77EF0B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both"/>
              <w:textAlignment w:val="auto"/>
              <w:rPr>
                <w:rFonts w:hint="eastAsia" w:ascii="宋体" w:hAnsi="宋体" w:cs="宋体"/>
                <w:szCs w:val="21"/>
                <w:highlight w:val="none"/>
              </w:rPr>
            </w:pPr>
            <w:r>
              <w:rPr>
                <w:rFonts w:hint="eastAsia" w:ascii="宋体" w:cs="宋体"/>
                <w:color w:val="auto"/>
                <w:szCs w:val="21"/>
                <w:highlight w:val="none"/>
              </w:rPr>
              <w:t>中标通知书须加盖</w:t>
            </w:r>
            <w:r>
              <w:rPr>
                <w:rFonts w:hint="eastAsia" w:ascii="宋体" w:cs="宋体"/>
                <w:color w:val="auto"/>
                <w:szCs w:val="21"/>
                <w:highlight w:val="none"/>
                <w:lang w:eastAsia="zh-CN"/>
              </w:rPr>
              <w:t>招标人</w:t>
            </w:r>
            <w:r>
              <w:rPr>
                <w:rFonts w:hint="eastAsia" w:ascii="宋体" w:cs="宋体"/>
                <w:color w:val="auto"/>
                <w:szCs w:val="21"/>
                <w:highlight w:val="none"/>
              </w:rPr>
              <w:t>、招标代理公司公章后方可发出</w:t>
            </w:r>
            <w:r>
              <w:rPr>
                <w:rFonts w:hint="eastAsia" w:ascii="宋体" w:cs="宋体"/>
                <w:color w:val="auto"/>
                <w:szCs w:val="21"/>
                <w:highlight w:val="none"/>
                <w:lang w:eastAsia="zh-CN"/>
              </w:rPr>
              <w:t>。</w:t>
            </w:r>
          </w:p>
        </w:tc>
      </w:tr>
      <w:tr w14:paraId="0468F1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40C7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C25E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cs="宋体"/>
                <w:szCs w:val="21"/>
                <w:highlight w:val="none"/>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B32F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kern w:val="2"/>
                <w:sz w:val="21"/>
                <w:szCs w:val="21"/>
                <w:highlight w:val="none"/>
                <w:u w:color="000000"/>
                <w:lang w:val="en-US" w:eastAsia="zh-CN" w:bidi="ar"/>
              </w:rPr>
            </w:pPr>
            <w:r>
              <w:rPr>
                <w:rFonts w:hint="eastAsia" w:cs="宋体"/>
                <w:szCs w:val="21"/>
                <w:highlight w:val="none"/>
              </w:rPr>
              <w:t>本项目不要求提供履约担保</w:t>
            </w:r>
          </w:p>
        </w:tc>
      </w:tr>
      <w:tr w14:paraId="7FBE28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5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9577B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61A26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default" w:ascii="宋体" w:hAnsi="宋体" w:eastAsia="宋体" w:cs="宋体"/>
                <w:color w:val="000000"/>
                <w:kern w:val="2"/>
                <w:sz w:val="21"/>
                <w:szCs w:val="21"/>
                <w:highlight w:val="none"/>
                <w:u w:color="000000"/>
                <w:lang w:val="en-US" w:eastAsia="zh-CN" w:bidi="ar"/>
              </w:rPr>
            </w:pPr>
            <w:r>
              <w:rPr>
                <w:rFonts w:hint="eastAsia" w:cs="宋体"/>
                <w:szCs w:val="21"/>
                <w:highlight w:val="none"/>
                <w:lang w:val="en-US" w:eastAsia="zh-CN"/>
              </w:rPr>
              <w:t>安装调试完成通过验收，并按要求移交备品备件后，一次性付清合同价款。</w:t>
            </w:r>
          </w:p>
        </w:tc>
      </w:tr>
      <w:tr w14:paraId="459BD6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CD2FFA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BB88E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14:paraId="0F04F6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14:paraId="793603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20B4352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7A2190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highlight w:val="none"/>
                <w:lang w:val="en-US"/>
              </w:rPr>
            </w:pPr>
            <w:r>
              <w:rPr>
                <w:rFonts w:hint="eastAsia"/>
                <w:highlight w:val="none"/>
                <w:lang w:val="en-US" w:eastAsia="zh-CN"/>
              </w:rPr>
              <w:t>1、本招标文件前后条款若有不一致之处，在澄清答疑时又未作出明确规定时，各投标人的投标文件只要满足其中任一条款，均视为对本招标文件的响应。</w:t>
            </w:r>
          </w:p>
          <w:p w14:paraId="55D7376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highlight w:val="none"/>
                <w:lang w:val="en-US" w:eastAsia="zh-CN"/>
              </w:rPr>
            </w:pPr>
            <w:r>
              <w:rPr>
                <w:rFonts w:hint="eastAsia"/>
                <w:highlight w:val="none"/>
                <w:lang w:val="en-US" w:eastAsia="zh-CN"/>
              </w:rPr>
              <w:t>2、本项目严禁非法转包，一经发现，招标人依法处理。</w:t>
            </w:r>
          </w:p>
          <w:p w14:paraId="5A0BD9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highlight w:val="none"/>
                <w:lang w:val="en-US" w:eastAsia="zh-CN"/>
              </w:rPr>
            </w:pPr>
            <w:r>
              <w:rPr>
                <w:rFonts w:hint="eastAsia"/>
                <w:highlight w:val="none"/>
                <w:lang w:val="en-US" w:eastAsia="zh-CN"/>
              </w:rPr>
              <w:t>3、评标委员会只依靠投标人递交的投标文件及其按照招标文件要求提供的所有证明材料进行评审，而不依靠任何外来的证明材料。</w:t>
            </w:r>
          </w:p>
          <w:p w14:paraId="3770CEC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default"/>
                <w:highlight w:val="none"/>
                <w:lang w:val="en-US"/>
              </w:rPr>
            </w:pPr>
            <w:r>
              <w:rPr>
                <w:rFonts w:hint="eastAsia"/>
                <w:highlight w:val="none"/>
                <w:lang w:val="en-US" w:eastAsia="zh-CN"/>
              </w:rPr>
              <w:fldChar w:fldCharType="begin"/>
            </w:r>
            <w:r>
              <w:rPr>
                <w:rFonts w:hint="eastAsia"/>
                <w:highlight w:val="none"/>
                <w:lang w:val="en-US" w:eastAsia="zh-CN"/>
              </w:rPr>
              <w:instrText xml:space="preserve"> HYPERLINK "mailto:4、投标人须在投标文件截止时间前将投标文件以电子邮件的方式一次性发送至滁州市城投工程咨询管理有限公司邮箱（czsctzx@163.com），投标文件格式限定为PDF格式，将文件命名为\“投标单位名称（联系人及联系电话）+项目名称\”，在提交投标文件截止时间后送达的投标文件将被拒绝，投标文件送达时间以滁州市城投工程咨询管理有限公司邮箱显示的邮件送达时间为准，投标文件无法打开的，按无效投标处理。" </w:instrText>
            </w:r>
            <w:r>
              <w:rPr>
                <w:rFonts w:hint="eastAsia"/>
                <w:highlight w:val="none"/>
                <w:lang w:val="en-US" w:eastAsia="zh-CN"/>
              </w:rPr>
              <w:fldChar w:fldCharType="separate"/>
            </w:r>
            <w:r>
              <w:rPr>
                <w:rFonts w:hint="eastAsia"/>
                <w:highlight w:val="none"/>
                <w:lang w:val="en-US" w:eastAsia="zh-CN"/>
              </w:rPr>
              <w:t>4、投标人须在投标文件截止时间前将投标文件以电子邮件的方式一次性发送至滁州市城投工程咨询管理有限公司邮箱（czsctzx@163.com），投标文件格式限定为PDF格式，将文件命名为“投标单位名称（联系人及联系电话）+项目名称”，在提交投标文件截止时间后送达的投标文件将被拒绝，投标文件送达时间以滁州市城投工程咨询管理有限公司邮箱显示的邮件送达时间为准，投标文件无法打开的，按无效投标处理。</w:t>
            </w:r>
            <w:r>
              <w:rPr>
                <w:rFonts w:hint="eastAsia"/>
                <w:highlight w:val="none"/>
                <w:lang w:val="en-US" w:eastAsia="zh-CN"/>
              </w:rPr>
              <w:fldChar w:fldCharType="end"/>
            </w:r>
          </w:p>
        </w:tc>
      </w:tr>
    </w:tbl>
    <w:p w14:paraId="2F6FF8B7">
      <w:pPr>
        <w:rPr>
          <w:rFonts w:hint="eastAsia" w:ascii="宋体" w:hAnsi="宋体" w:eastAsia="宋体" w:cs="宋体"/>
          <w:b/>
          <w:bCs w:val="0"/>
          <w:color w:val="000000"/>
          <w:kern w:val="0"/>
          <w:sz w:val="28"/>
          <w:szCs w:val="28"/>
          <w:highlight w:val="none"/>
          <w:u w:color="000000"/>
          <w:lang w:val="en-US" w:eastAsia="zh-CN" w:bidi="ar"/>
        </w:rPr>
      </w:pPr>
      <w:bookmarkStart w:id="18" w:name="_Toc122"/>
      <w:bookmarkEnd w:id="18"/>
      <w:r>
        <w:rPr>
          <w:rFonts w:hint="eastAsia" w:ascii="宋体" w:hAnsi="宋体" w:eastAsia="宋体" w:cs="宋体"/>
          <w:b/>
          <w:bCs w:val="0"/>
          <w:color w:val="000000"/>
          <w:kern w:val="0"/>
          <w:sz w:val="28"/>
          <w:szCs w:val="28"/>
          <w:highlight w:val="none"/>
          <w:u w:color="000000"/>
          <w:lang w:val="en-US" w:eastAsia="zh-CN" w:bidi="ar"/>
        </w:rPr>
        <w:br w:type="page"/>
      </w:r>
    </w:p>
    <w:p w14:paraId="3C1246EA">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2421E4E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19" w:name="_Toc26859"/>
      <w:bookmarkEnd w:id="19"/>
      <w:bookmarkStart w:id="20"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0"/>
    </w:p>
    <w:p w14:paraId="69200ED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1532154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6251F45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11CEA45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51FA6EC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服务地点：见投标人须知前附表。</w:t>
      </w:r>
    </w:p>
    <w:p w14:paraId="77B02FF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 见投标人须知前附表。</w:t>
      </w:r>
    </w:p>
    <w:p w14:paraId="7EBCF715">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46F7C3D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334C705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476EAEF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34A97FBB">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2.招标范围：</w:t>
      </w:r>
    </w:p>
    <w:p w14:paraId="10AD77E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4D05F24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用户需求书</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3DEC07B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3.标包划分：</w:t>
      </w:r>
    </w:p>
    <w:p w14:paraId="33FE3DB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600D2D9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14:paraId="1272FC0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5001E63F">
      <w:pPr>
        <w:keepNext w:val="0"/>
        <w:keepLines w:val="0"/>
        <w:widowControl/>
        <w:suppressLineNumbers w:val="0"/>
        <w:tabs>
          <w:tab w:val="left" w:pos="5725"/>
        </w:tabs>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r>
        <w:rPr>
          <w:rFonts w:hint="eastAsia" w:ascii="宋体" w:hAnsi="宋体" w:eastAsia="宋体" w:cs="宋体"/>
          <w:b/>
          <w:bCs w:val="0"/>
          <w:color w:val="000000"/>
          <w:kern w:val="0"/>
          <w:sz w:val="21"/>
          <w:szCs w:val="21"/>
          <w:highlight w:val="none"/>
          <w:u w:color="000000"/>
          <w:lang w:val="en-US" w:eastAsia="zh-CN" w:bidi="ar"/>
        </w:rPr>
        <w:tab/>
      </w:r>
    </w:p>
    <w:p w14:paraId="7883EE2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  </w:t>
      </w:r>
    </w:p>
    <w:p w14:paraId="48662294">
      <w:pPr>
        <w:keepNext w:val="0"/>
        <w:keepLines w:val="0"/>
        <w:widowControl/>
        <w:suppressLineNumbers w:val="0"/>
        <w:tabs>
          <w:tab w:val="left" w:pos="6235"/>
        </w:tabs>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6.评标办法：</w:t>
      </w:r>
      <w:r>
        <w:rPr>
          <w:rFonts w:hint="eastAsia" w:ascii="黑体" w:hAnsi="宋体" w:eastAsia="黑体" w:cs="宋体"/>
          <w:b/>
          <w:bCs w:val="0"/>
          <w:color w:val="000000"/>
          <w:kern w:val="0"/>
          <w:sz w:val="21"/>
          <w:szCs w:val="21"/>
          <w:highlight w:val="none"/>
          <w:u w:color="000000"/>
          <w:lang w:val="en-US" w:eastAsia="zh-CN" w:bidi="ar"/>
        </w:rPr>
        <w:tab/>
      </w:r>
    </w:p>
    <w:p w14:paraId="110BBD55">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val="en-US" w:eastAsia="zh-CN"/>
        </w:rPr>
        <w:t>综合评估法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（详见第三章评标办法）</w:t>
      </w:r>
    </w:p>
    <w:p w14:paraId="741A842B">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7.投标人资格：</w:t>
      </w:r>
    </w:p>
    <w:p w14:paraId="7ECBE9D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206715A2">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8. 投标费用</w:t>
      </w:r>
    </w:p>
    <w:p w14:paraId="1F1950D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6F180822">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9.</w:t>
      </w:r>
      <w:bookmarkStart w:id="21" w:name="_Toc296602429"/>
      <w:bookmarkEnd w:id="21"/>
      <w:bookmarkStart w:id="22" w:name="_Toc247527563"/>
      <w:bookmarkEnd w:id="22"/>
      <w:bookmarkStart w:id="23" w:name="_Toc152045539"/>
      <w:bookmarkEnd w:id="23"/>
      <w:bookmarkStart w:id="24" w:name="_Toc144974507"/>
      <w:bookmarkEnd w:id="24"/>
      <w:bookmarkStart w:id="25" w:name="_Toc247513962"/>
      <w:bookmarkEnd w:id="25"/>
      <w:bookmarkStart w:id="26" w:name="_Toc152042315"/>
      <w:bookmarkEnd w:id="26"/>
      <w:bookmarkStart w:id="27"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7"/>
    </w:p>
    <w:p w14:paraId="3973B40A">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143B09C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1822ED6E">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04890B5C">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77AD2691">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5A04950D">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49FA08E0">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11. 联合投标</w:t>
      </w:r>
    </w:p>
    <w:p w14:paraId="5FC21C0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0DE29A3B">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color w:val="000000"/>
          <w:kern w:val="0"/>
          <w:sz w:val="21"/>
          <w:szCs w:val="21"/>
          <w:highlight w:val="none"/>
          <w:u w:color="000000"/>
          <w:lang w:val="en-US" w:eastAsia="zh-CN" w:bidi="ar"/>
        </w:rPr>
      </w:pPr>
      <w:r>
        <w:rPr>
          <w:rFonts w:hint="eastAsia" w:ascii="黑体" w:hAnsi="宋体" w:eastAsia="黑体" w:cs="宋体"/>
          <w:b/>
          <w:bCs/>
          <w:color w:val="000000"/>
          <w:kern w:val="0"/>
          <w:sz w:val="21"/>
          <w:szCs w:val="21"/>
          <w:highlight w:val="none"/>
          <w:u w:color="000000"/>
          <w:lang w:val="en-US" w:eastAsia="zh-CN" w:bidi="ar"/>
        </w:rPr>
        <w:t>12.招标代理费和专家评审劳务费</w:t>
      </w:r>
    </w:p>
    <w:p w14:paraId="0D40D6A1">
      <w:pPr>
        <w:spacing w:line="360" w:lineRule="auto"/>
        <w:ind w:firstLine="420" w:firstLineChars="200"/>
        <w:rPr>
          <w:rFonts w:hint="eastAsia" w:ascii="宋体"/>
          <w:szCs w:val="21"/>
          <w:highlight w:val="none"/>
          <w:lang w:eastAsia="zh-CN"/>
        </w:rPr>
      </w:pPr>
      <w:r>
        <w:rPr>
          <w:rFonts w:hint="eastAsia" w:ascii="宋体"/>
          <w:szCs w:val="21"/>
          <w:highlight w:val="none"/>
        </w:rPr>
        <w:t xml:space="preserve">12.1 </w:t>
      </w:r>
      <w:r>
        <w:rPr>
          <w:rFonts w:hint="eastAsia" w:ascii="宋体"/>
          <w:szCs w:val="21"/>
          <w:highlight w:val="none"/>
          <w:lang w:eastAsia="zh-CN"/>
        </w:rPr>
        <w:t>招标代理费：见</w:t>
      </w:r>
      <w:r>
        <w:rPr>
          <w:rFonts w:hint="eastAsia" w:ascii="宋体"/>
          <w:szCs w:val="21"/>
          <w:highlight w:val="none"/>
        </w:rPr>
        <w:t>投标人须知前附表</w:t>
      </w:r>
      <w:r>
        <w:rPr>
          <w:rFonts w:hint="eastAsia" w:ascii="宋体"/>
          <w:szCs w:val="21"/>
          <w:highlight w:val="none"/>
          <w:lang w:eastAsia="zh-CN"/>
        </w:rPr>
        <w:t>。</w:t>
      </w:r>
    </w:p>
    <w:p w14:paraId="4E82D56B">
      <w:pPr>
        <w:spacing w:line="360" w:lineRule="auto"/>
        <w:ind w:firstLine="420" w:firstLineChars="200"/>
        <w:rPr>
          <w:rFonts w:hint="eastAsia" w:ascii="宋体"/>
          <w:szCs w:val="21"/>
          <w:highlight w:val="none"/>
          <w:lang w:eastAsia="zh-CN"/>
        </w:rPr>
      </w:pPr>
      <w:r>
        <w:rPr>
          <w:rFonts w:hint="eastAsia" w:ascii="宋体"/>
          <w:szCs w:val="21"/>
          <w:highlight w:val="none"/>
        </w:rPr>
        <w:t>12.</w:t>
      </w:r>
      <w:r>
        <w:rPr>
          <w:rFonts w:hint="eastAsia" w:ascii="宋体"/>
          <w:szCs w:val="21"/>
          <w:highlight w:val="none"/>
          <w:lang w:val="en-US" w:eastAsia="zh-CN"/>
        </w:rPr>
        <w:t>2</w:t>
      </w:r>
      <w:r>
        <w:rPr>
          <w:rFonts w:hint="eastAsia" w:ascii="宋体"/>
          <w:szCs w:val="21"/>
          <w:highlight w:val="none"/>
        </w:rPr>
        <w:t xml:space="preserve"> </w:t>
      </w:r>
      <w:r>
        <w:rPr>
          <w:rFonts w:hint="eastAsia" w:ascii="宋体"/>
          <w:szCs w:val="21"/>
          <w:highlight w:val="none"/>
          <w:lang w:eastAsia="zh-CN"/>
        </w:rPr>
        <w:t>专家评审劳务费：见</w:t>
      </w:r>
      <w:r>
        <w:rPr>
          <w:rFonts w:hint="eastAsia" w:ascii="宋体"/>
          <w:szCs w:val="21"/>
          <w:highlight w:val="none"/>
        </w:rPr>
        <w:t>投标人须知前附表</w:t>
      </w:r>
      <w:r>
        <w:rPr>
          <w:rFonts w:hint="eastAsia" w:ascii="宋体"/>
          <w:szCs w:val="21"/>
          <w:highlight w:val="none"/>
          <w:lang w:eastAsia="zh-CN"/>
        </w:rPr>
        <w:t>。</w:t>
      </w:r>
    </w:p>
    <w:p w14:paraId="18DDCA02">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13.投标人应注意的事项</w:t>
      </w:r>
    </w:p>
    <w:p w14:paraId="7E9BE58E">
      <w:pPr>
        <w:spacing w:line="360" w:lineRule="auto"/>
        <w:ind w:firstLine="420" w:firstLineChars="200"/>
        <w:rPr>
          <w:rFonts w:hint="eastAsia" w:ascii="宋体"/>
          <w:szCs w:val="21"/>
          <w:highlight w:val="none"/>
        </w:rPr>
      </w:pPr>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5626C8A2">
      <w:pPr>
        <w:spacing w:line="360" w:lineRule="auto"/>
        <w:ind w:firstLine="420" w:firstLineChars="200"/>
        <w:rPr>
          <w:rFonts w:hint="eastAsia" w:ascii="宋体"/>
          <w:szCs w:val="21"/>
          <w:highlight w:val="none"/>
        </w:rPr>
      </w:pPr>
      <w:r>
        <w:rPr>
          <w:rFonts w:hint="eastAsia" w:ascii="宋体"/>
          <w:szCs w:val="21"/>
          <w:highlight w:val="none"/>
        </w:rPr>
        <w:t>13.2投标人对采购内容中规定的相关要求必须满足。</w:t>
      </w:r>
    </w:p>
    <w:p w14:paraId="5CE6A550">
      <w:pPr>
        <w:spacing w:line="360" w:lineRule="auto"/>
        <w:ind w:firstLine="420" w:firstLineChars="200"/>
        <w:rPr>
          <w:rFonts w:hint="eastAsia" w:ascii="宋体"/>
          <w:szCs w:val="21"/>
          <w:highlight w:val="none"/>
        </w:rPr>
      </w:pPr>
      <w:r>
        <w:rPr>
          <w:rFonts w:hint="eastAsia" w:ascii="宋体"/>
          <w:szCs w:val="21"/>
          <w:highlight w:val="none"/>
        </w:rPr>
        <w:t>13.3推荐品牌有助于投标人选择所投产品，仅供参考，并无限制性，可以选择性能不低于推荐品牌的产品，但所投产品的技术参数，要最大限度满足招标文件提供的详细参数。</w:t>
      </w:r>
    </w:p>
    <w:p w14:paraId="15EAB712">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0D8FE8E3">
      <w:pPr>
        <w:spacing w:line="400" w:lineRule="exact"/>
        <w:ind w:firstLine="417" w:firstLineChars="199"/>
        <w:jc w:val="left"/>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5</w:t>
      </w:r>
      <w:r>
        <w:rPr>
          <w:rFonts w:hint="eastAsia" w:ascii="宋体"/>
          <w:szCs w:val="21"/>
          <w:highlight w:val="none"/>
        </w:rPr>
        <w:t>投标人被视为充分熟悉本招标项目所在地的与履行合同有关的各种情况，包括但不限于：</w:t>
      </w:r>
    </w:p>
    <w:p w14:paraId="3A75A04F">
      <w:pPr>
        <w:spacing w:line="400" w:lineRule="exact"/>
        <w:ind w:firstLine="315" w:firstLineChars="15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2F27CAFA">
      <w:pPr>
        <w:spacing w:line="400" w:lineRule="exact"/>
        <w:ind w:firstLine="315" w:firstLineChars="150"/>
        <w:rPr>
          <w:rFonts w:hint="eastAsia" w:ascii="宋体"/>
          <w:szCs w:val="21"/>
          <w:highlight w:val="none"/>
        </w:rPr>
      </w:pPr>
      <w:r>
        <w:rPr>
          <w:rFonts w:hint="eastAsia" w:ascii="宋体"/>
          <w:szCs w:val="21"/>
          <w:highlight w:val="none"/>
        </w:rPr>
        <w:t>（2）安徽省及滁州市等有关管理部门的相关规定；</w:t>
      </w:r>
    </w:p>
    <w:p w14:paraId="48D23D54">
      <w:pPr>
        <w:spacing w:line="400" w:lineRule="exact"/>
        <w:ind w:firstLine="315" w:firstLineChars="150"/>
        <w:rPr>
          <w:rFonts w:hint="eastAsia" w:ascii="宋体"/>
          <w:szCs w:val="21"/>
          <w:highlight w:val="none"/>
        </w:rPr>
      </w:pPr>
      <w:r>
        <w:rPr>
          <w:rFonts w:hint="eastAsia" w:ascii="宋体"/>
          <w:szCs w:val="21"/>
          <w:highlight w:val="none"/>
        </w:rPr>
        <w:t>（3）</w:t>
      </w:r>
      <w:r>
        <w:rPr>
          <w:rFonts w:hint="eastAsia" w:ascii="宋体"/>
          <w:szCs w:val="21"/>
          <w:highlight w:val="none"/>
          <w:lang w:eastAsia="zh-CN"/>
        </w:rPr>
        <w:t>招标人</w:t>
      </w:r>
      <w:r>
        <w:rPr>
          <w:rFonts w:hint="eastAsia" w:ascii="宋体"/>
          <w:szCs w:val="21"/>
          <w:highlight w:val="none"/>
        </w:rPr>
        <w:t>的相关场地情况、基础建设、电力供应情况及相关设计标准。</w:t>
      </w:r>
    </w:p>
    <w:p w14:paraId="40AB52C6">
      <w:pPr>
        <w:spacing w:line="400" w:lineRule="exact"/>
        <w:ind w:firstLine="315" w:firstLineChars="150"/>
        <w:rPr>
          <w:rFonts w:hint="eastAsia" w:ascii="宋体"/>
          <w:szCs w:val="21"/>
          <w:highlight w:val="none"/>
        </w:rPr>
      </w:pPr>
      <w:r>
        <w:rPr>
          <w:rFonts w:hint="eastAsia" w:ascii="宋体"/>
          <w:szCs w:val="21"/>
          <w:highlight w:val="none"/>
        </w:rPr>
        <w:t>本招标文件不再对上述情况进行描述。</w:t>
      </w:r>
    </w:p>
    <w:p w14:paraId="4E30D1A8">
      <w:pPr>
        <w:spacing w:line="400" w:lineRule="exact"/>
        <w:ind w:firstLine="417" w:firstLineChars="199"/>
        <w:jc w:val="left"/>
        <w:rPr>
          <w:rFonts w:hint="default" w:eastAsia="楷体_GB2312"/>
          <w:highlight w:val="none"/>
          <w:lang w:val="en-US" w:eastAsia="zh-CN"/>
        </w:rPr>
      </w:pPr>
      <w:r>
        <w:rPr>
          <w:rFonts w:hint="eastAsia" w:ascii="宋体"/>
          <w:szCs w:val="21"/>
          <w:highlight w:val="none"/>
          <w:lang w:val="en-US" w:eastAsia="zh-CN"/>
        </w:rPr>
        <w:t>13.6</w:t>
      </w:r>
      <w:r>
        <w:rPr>
          <w:rFonts w:hint="eastAsia" w:ascii="宋体"/>
          <w:szCs w:val="21"/>
          <w:highlight w:val="none"/>
        </w:rPr>
        <w:t>中标候选人无正当理由放弃中标候选人资格的，其将被记不良信息记录。</w:t>
      </w:r>
    </w:p>
    <w:p w14:paraId="39A32DCD">
      <w:pPr>
        <w:spacing w:line="440" w:lineRule="exact"/>
        <w:ind w:firstLine="527" w:firstLineChars="250"/>
        <w:rPr>
          <w:rFonts w:ascii="宋体"/>
          <w:bCs/>
          <w:szCs w:val="21"/>
          <w:highlight w:val="none"/>
        </w:rPr>
      </w:pPr>
      <w:bookmarkStart w:id="28" w:name="_Toc24655"/>
      <w:bookmarkEnd w:id="28"/>
      <w:bookmarkStart w:id="29" w:name="_Toc10668_WPSOffice_Level3"/>
      <w:bookmarkEnd w:id="29"/>
      <w:r>
        <w:rPr>
          <w:rFonts w:hint="eastAsia" w:ascii="宋体"/>
          <w:b/>
          <w:szCs w:val="21"/>
          <w:highlight w:val="none"/>
        </w:rPr>
        <w:t>14.保密</w:t>
      </w:r>
    </w:p>
    <w:p w14:paraId="120E4504">
      <w:pPr>
        <w:spacing w:line="440" w:lineRule="exact"/>
        <w:ind w:firstLine="525" w:firstLineChars="250"/>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293C7E82">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4C85C346">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15. 招标文件的编制依据</w:t>
      </w:r>
    </w:p>
    <w:p w14:paraId="5DE37905">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参照《中华人民共和国招标投标法》、《中华人民共和国招标投标法实施条例》和《中华人民共和国民法典》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14827EA1">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16. 招标文件的组成</w:t>
      </w:r>
    </w:p>
    <w:p w14:paraId="2F90341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08B8D38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3949F7E3">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投标人须知</w:t>
      </w:r>
    </w:p>
    <w:p w14:paraId="1998672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default"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第三章  资格审查办法</w:t>
      </w:r>
    </w:p>
    <w:p w14:paraId="55D4C23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第四章  评标办法</w:t>
      </w:r>
    </w:p>
    <w:p w14:paraId="413275E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第五章  </w:t>
      </w:r>
      <w:r>
        <w:rPr>
          <w:rFonts w:hint="eastAsia" w:ascii="宋体" w:eastAsia="宋体" w:cs="宋体"/>
          <w:color w:val="auto"/>
          <w:szCs w:val="21"/>
          <w:highlight w:val="none"/>
          <w:lang w:eastAsia="zh-CN"/>
        </w:rPr>
        <w:t>用户需求书</w:t>
      </w:r>
    </w:p>
    <w:p w14:paraId="620D3E8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合同条款及格式</w:t>
      </w:r>
    </w:p>
    <w:p w14:paraId="6340AB9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投标文件格式</w:t>
      </w:r>
    </w:p>
    <w:p w14:paraId="273A37C5">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第八章  招标人、招标代理机构对本文件的确认</w:t>
      </w:r>
    </w:p>
    <w:p w14:paraId="38150CE0">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0E1144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6596E5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58C45026">
      <w:pPr>
        <w:spacing w:line="440" w:lineRule="exact"/>
        <w:ind w:firstLine="422" w:firstLineChars="200"/>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 xml:space="preserve">17. </w:t>
      </w:r>
      <w:r>
        <w:rPr>
          <w:rFonts w:hint="eastAsia" w:ascii="宋体" w:hAnsi="Times New Roman" w:eastAsia="宋体" w:cs="Times New Roman"/>
          <w:b/>
          <w:bCs/>
          <w:color w:val="auto"/>
          <w:szCs w:val="21"/>
          <w:highlight w:val="none"/>
        </w:rPr>
        <w:t>招标文件的异议</w:t>
      </w:r>
      <w:r>
        <w:rPr>
          <w:rFonts w:hint="eastAsia" w:ascii="宋体" w:hAnsi="Times New Roman" w:eastAsia="宋体" w:cs="Times New Roman"/>
          <w:b/>
          <w:bCs/>
          <w:color w:val="auto"/>
          <w:szCs w:val="21"/>
          <w:highlight w:val="none"/>
          <w:lang w:eastAsia="zh-CN"/>
        </w:rPr>
        <w:t>、</w:t>
      </w:r>
      <w:r>
        <w:rPr>
          <w:rFonts w:hint="eastAsia" w:ascii="宋体" w:hAnsi="Times New Roman" w:eastAsia="宋体" w:cs="Times New Roman"/>
          <w:b/>
          <w:bCs/>
          <w:color w:val="auto"/>
          <w:szCs w:val="21"/>
          <w:highlight w:val="none"/>
          <w:lang w:val="en-US" w:eastAsia="zh-CN"/>
        </w:rPr>
        <w:t>澄清</w:t>
      </w:r>
    </w:p>
    <w:p w14:paraId="32804C7C">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44AE25F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6FB1A367">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18. 招标文件的发出</w:t>
      </w:r>
    </w:p>
    <w:p w14:paraId="01B87A6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滁州市城投工程咨询管理有限公司网站（https://www.czctgczx.com/）</w:t>
      </w:r>
      <w:r>
        <w:rPr>
          <w:rFonts w:hint="eastAsia" w:ascii="宋体" w:hAnsi="宋体" w:eastAsia="宋体" w:cs="宋体"/>
          <w:bCs/>
          <w:color w:val="000000"/>
          <w:kern w:val="0"/>
          <w:sz w:val="21"/>
          <w:szCs w:val="21"/>
          <w:highlight w:val="none"/>
          <w:u w:color="000000"/>
          <w:lang w:val="en-US" w:eastAsia="zh-CN" w:bidi="ar"/>
        </w:rPr>
        <w:t>发出。</w:t>
      </w:r>
    </w:p>
    <w:p w14:paraId="71512F96">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0" w:name="_Toc1549_WPSOffice_Level3"/>
      <w:bookmarkEnd w:id="30"/>
      <w:r>
        <w:rPr>
          <w:rFonts w:hint="eastAsia" w:ascii="宋体" w:hAnsi="宋体" w:eastAsia="宋体" w:cs="宋体"/>
          <w:b/>
          <w:bCs w:val="0"/>
          <w:color w:val="000000"/>
          <w:kern w:val="0"/>
          <w:sz w:val="24"/>
          <w:szCs w:val="24"/>
          <w:highlight w:val="none"/>
          <w:u w:color="000000"/>
          <w:lang w:val="en-US" w:eastAsia="zh-CN" w:bidi="ar"/>
        </w:rPr>
        <w:t>（三）投标文件的编制</w:t>
      </w:r>
    </w:p>
    <w:p w14:paraId="6F6B7452">
      <w:pPr>
        <w:keepNext w:val="0"/>
        <w:keepLines w:val="0"/>
        <w:widowControl/>
        <w:suppressLineNumbers w:val="0"/>
        <w:spacing w:before="0" w:beforeAutospacing="0" w:after="0" w:afterAutospacing="0" w:line="312" w:lineRule="auto"/>
        <w:ind w:left="0" w:right="0" w:firstLine="527" w:firstLineChars="250"/>
        <w:jc w:val="both"/>
        <w:rPr>
          <w:rFonts w:hint="eastAsia" w:ascii="宋体" w:hAnsi="Calibri" w:eastAsia="宋体" w:cs="宋体"/>
          <w:highlight w:val="none"/>
          <w:lang w:val="en-US"/>
        </w:rPr>
      </w:pPr>
      <w:r>
        <w:rPr>
          <w:rFonts w:hint="eastAsia" w:ascii="黑体" w:hAnsi="宋体" w:eastAsia="黑体" w:cs="宋体"/>
          <w:b/>
          <w:bCs w:val="0"/>
          <w:color w:val="000000"/>
          <w:kern w:val="0"/>
          <w:sz w:val="21"/>
          <w:szCs w:val="21"/>
          <w:highlight w:val="none"/>
          <w:u w:color="000000"/>
          <w:lang w:val="en-US" w:eastAsia="zh-CN" w:bidi="ar"/>
        </w:rPr>
        <w:t>19. 投标的语言及度量衡单位</w:t>
      </w:r>
    </w:p>
    <w:p w14:paraId="50858E15">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19.1投标人的投标文件、以及投标人与招标人就投标的所有往来函电，均须使用简体中文。</w:t>
      </w:r>
    </w:p>
    <w:p w14:paraId="3D0DCE62">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19.2除招标文件中另有规定外，投标文件所使用的度量衡均须采用法定计量单位。</w:t>
      </w:r>
    </w:p>
    <w:p w14:paraId="405679ED">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20. 投标文件的组成</w:t>
      </w:r>
    </w:p>
    <w:p w14:paraId="4BF51BB3">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20.1投标文件</w:t>
      </w:r>
      <w:r>
        <w:rPr>
          <w:rFonts w:hint="default" w:ascii="宋体" w:hAnsi="宋体" w:eastAsia="宋体" w:cs="宋体"/>
          <w:color w:val="000000"/>
          <w:kern w:val="0"/>
          <w:sz w:val="21"/>
          <w:szCs w:val="21"/>
          <w:highlight w:val="none"/>
          <w:u w:color="000000"/>
          <w:lang w:val="en-US" w:eastAsia="zh-CN" w:bidi="ar"/>
        </w:rPr>
        <w:t>须</w:t>
      </w:r>
      <w:r>
        <w:rPr>
          <w:rFonts w:hint="eastAsia" w:ascii="宋体" w:hAnsi="宋体" w:eastAsia="宋体" w:cs="宋体"/>
          <w:color w:val="000000"/>
          <w:kern w:val="0"/>
          <w:sz w:val="21"/>
          <w:szCs w:val="21"/>
          <w:highlight w:val="none"/>
          <w:u w:color="000000"/>
          <w:lang w:val="en-US" w:eastAsia="zh-CN" w:bidi="ar"/>
        </w:rPr>
        <w:t>签字盖章完毕后扫描成一个连续性的整体PDF格式文件。</w:t>
      </w:r>
    </w:p>
    <w:p w14:paraId="48467FE6">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20.2投标文件的编制</w:t>
      </w:r>
    </w:p>
    <w:p w14:paraId="69BA8DA6">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（1）投标文件应按第六章“投标文件格式文本”进行编写，如有必要，可以增加附页，作为投标文件的组成部分。</w:t>
      </w:r>
    </w:p>
    <w:p w14:paraId="3A3FE2B2">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21.投标报价</w:t>
      </w:r>
    </w:p>
    <w:p w14:paraId="26C4567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21.1投标报价文件中的报价全部采用人民币表示。投标人的报价应含有服务、利润、税金、政策性文件规定及合同包含的所有风险、责任、义务等，即为完成招标文件要求的服务（货物）内容所包含的一切应有费用，中标价格今后将不作任何调整，招标人后期不再追加费用，投标供应商自行考虑投标风险。</w:t>
      </w:r>
    </w:p>
    <w:p w14:paraId="0405859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21.2投标人只允许有一个方案、一个报价。</w:t>
      </w:r>
    </w:p>
    <w:p w14:paraId="604156C2">
      <w:pPr>
        <w:spacing w:line="440" w:lineRule="exact"/>
        <w:ind w:firstLine="420" w:firstLineChars="200"/>
        <w:rPr>
          <w:rFonts w:ascii="宋体" w:hAnsi="宋体" w:cs="宋体"/>
          <w:kern w:val="1"/>
          <w:szCs w:val="21"/>
          <w:highlight w:val="none"/>
        </w:rPr>
      </w:pPr>
      <w:r>
        <w:rPr>
          <w:rFonts w:hint="eastAsia" w:ascii="宋体" w:hAnsi="宋体" w:eastAsia="宋体" w:cs="宋体"/>
          <w:color w:val="000000"/>
          <w:kern w:val="0"/>
          <w:sz w:val="21"/>
          <w:szCs w:val="21"/>
          <w:highlight w:val="none"/>
          <w:u w:color="000000"/>
          <w:lang w:val="en-US" w:eastAsia="zh-CN" w:bidi="ar"/>
        </w:rPr>
        <w:t>21.3</w:t>
      </w:r>
      <w:r>
        <w:rPr>
          <w:rFonts w:hint="eastAsia" w:ascii="宋体"/>
          <w:color w:val="000000"/>
          <w:szCs w:val="21"/>
          <w:highlight w:val="none"/>
        </w:rPr>
        <w:t>投标人应按</w:t>
      </w:r>
      <w:r>
        <w:rPr>
          <w:rFonts w:hint="eastAsia" w:ascii="宋体"/>
          <w:szCs w:val="21"/>
          <w:highlight w:val="none"/>
        </w:rPr>
        <w:t>“</w:t>
      </w:r>
      <w:r>
        <w:rPr>
          <w:rFonts w:hint="eastAsia" w:ascii="宋体"/>
          <w:szCs w:val="21"/>
          <w:highlight w:val="none"/>
          <w:lang w:eastAsia="zh-CN"/>
        </w:rPr>
        <w:t>第</w:t>
      </w:r>
      <w:r>
        <w:rPr>
          <w:rFonts w:hint="eastAsia" w:ascii="宋体"/>
          <w:szCs w:val="21"/>
          <w:highlight w:val="none"/>
          <w:lang w:val="en-US" w:eastAsia="zh-CN"/>
        </w:rPr>
        <w:t>五</w:t>
      </w:r>
      <w:r>
        <w:rPr>
          <w:rFonts w:hint="eastAsia" w:ascii="宋体"/>
          <w:szCs w:val="21"/>
          <w:highlight w:val="none"/>
          <w:lang w:eastAsia="zh-CN"/>
        </w:rPr>
        <w:t>章用户需求书</w:t>
      </w:r>
      <w:r>
        <w:rPr>
          <w:rFonts w:hint="eastAsia" w:ascii="宋体"/>
          <w:szCs w:val="21"/>
          <w:highlight w:val="none"/>
        </w:rPr>
        <w:t>”所列服务内容进行报价，</w:t>
      </w:r>
      <w:r>
        <w:rPr>
          <w:rFonts w:hint="eastAsia" w:ascii="宋体"/>
          <w:bCs/>
          <w:szCs w:val="21"/>
          <w:highlight w:val="none"/>
          <w:lang w:val="zh-CN"/>
        </w:rPr>
        <w:t>投标报价为完成本次招标项目的全费用价格，其组成包括</w:t>
      </w:r>
      <w:r>
        <w:rPr>
          <w:rFonts w:hint="eastAsia" w:ascii="宋体"/>
          <w:bCs/>
          <w:szCs w:val="21"/>
          <w:highlight w:val="none"/>
          <w:lang w:val="en-US" w:eastAsia="zh-CN"/>
        </w:rPr>
        <w:t>验收产生相关费用及</w:t>
      </w:r>
      <w:r>
        <w:rPr>
          <w:rFonts w:hint="eastAsia" w:ascii="宋体" w:hAnsi="宋体"/>
          <w:color w:val="000000"/>
          <w:szCs w:val="21"/>
          <w:highlight w:val="none"/>
        </w:rPr>
        <w:t>国家对中标单位征收的各种税费等所有一切费用，</w:t>
      </w:r>
      <w:r>
        <w:rPr>
          <w:rFonts w:hint="eastAsia" w:ascii="宋体" w:hAnsi="宋体"/>
          <w:color w:val="000000"/>
          <w:szCs w:val="21"/>
          <w:highlight w:val="none"/>
          <w:lang w:val="en-US" w:eastAsia="zh-CN"/>
        </w:rPr>
        <w:t>投标报价</w:t>
      </w:r>
      <w:r>
        <w:rPr>
          <w:rFonts w:hint="eastAsia" w:ascii="宋体" w:hAnsi="宋体"/>
          <w:color w:val="000000"/>
          <w:szCs w:val="21"/>
          <w:highlight w:val="none"/>
        </w:rPr>
        <w:t>今后将不作任何调整。。</w:t>
      </w:r>
    </w:p>
    <w:p w14:paraId="02D90D0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21.4</w:t>
      </w:r>
      <w:r>
        <w:rPr>
          <w:rFonts w:hint="eastAsia" w:ascii="宋体"/>
          <w:color w:val="000000"/>
          <w:szCs w:val="21"/>
          <w:highlight w:val="none"/>
        </w:rPr>
        <w:t>投标报价的价格是完成项目全部内容交付验收的价格，其总价即为履行合同的固定总价</w:t>
      </w:r>
      <w:r>
        <w:rPr>
          <w:rFonts w:hint="eastAsia" w:ascii="宋体" w:hAnsi="宋体" w:eastAsia="宋体" w:cs="宋体"/>
          <w:color w:val="000000"/>
          <w:kern w:val="0"/>
          <w:sz w:val="21"/>
          <w:szCs w:val="21"/>
          <w:highlight w:val="none"/>
          <w:u w:color="000000"/>
          <w:lang w:val="en-US" w:eastAsia="zh-CN" w:bidi="ar"/>
        </w:rPr>
        <w:t>。</w:t>
      </w:r>
    </w:p>
    <w:p w14:paraId="7462AD93">
      <w:pPr>
        <w:keepNext w:val="0"/>
        <w:keepLines w:val="0"/>
        <w:widowControl/>
        <w:suppressLineNumbers w:val="0"/>
        <w:spacing w:before="0" w:beforeAutospacing="0" w:after="0" w:afterAutospacing="0" w:line="440" w:lineRule="exact"/>
        <w:ind w:left="0" w:right="0" w:firstLine="420" w:firstLineChars="200"/>
        <w:jc w:val="both"/>
        <w:rPr>
          <w:rFonts w:ascii="宋体" w:hAnsi="宋体" w:cs="宋体"/>
          <w:kern w:val="1"/>
          <w:szCs w:val="21"/>
          <w:highlight w:val="none"/>
        </w:rPr>
      </w:pPr>
      <w:r>
        <w:rPr>
          <w:rFonts w:hint="eastAsia" w:ascii="宋体" w:hAnsi="宋体" w:eastAsia="宋体" w:cs="宋体"/>
          <w:bCs/>
          <w:color w:val="000000"/>
          <w:kern w:val="0"/>
          <w:sz w:val="21"/>
          <w:szCs w:val="21"/>
          <w:highlight w:val="none"/>
          <w:u w:color="000000"/>
          <w:lang w:val="en-US" w:eastAsia="zh-CN" w:bidi="ar"/>
        </w:rPr>
        <w:t>21.5</w:t>
      </w:r>
      <w:r>
        <w:rPr>
          <w:rFonts w:ascii="宋体" w:hAnsi="宋体" w:cs="宋体"/>
          <w:kern w:val="1"/>
          <w:szCs w:val="21"/>
          <w:highlight w:val="none"/>
        </w:rPr>
        <w:t>投标报价应由法定代表人或被授权人签署。</w:t>
      </w:r>
    </w:p>
    <w:p w14:paraId="320F0EE5">
      <w:pPr>
        <w:spacing w:line="420" w:lineRule="exact"/>
        <w:ind w:firstLine="420"/>
        <w:rPr>
          <w:rFonts w:ascii="宋体" w:hAnsi="宋体" w:cs="宋体"/>
          <w:kern w:val="1"/>
          <w:szCs w:val="21"/>
          <w:highlight w:val="none"/>
        </w:rPr>
      </w:pPr>
      <w:r>
        <w:rPr>
          <w:rFonts w:hint="eastAsia" w:ascii="宋体" w:hAnsi="宋体" w:eastAsia="宋体" w:cs="宋体"/>
          <w:color w:val="000000"/>
          <w:kern w:val="0"/>
          <w:sz w:val="21"/>
          <w:szCs w:val="21"/>
          <w:highlight w:val="none"/>
          <w:u w:color="000000"/>
          <w:lang w:val="en-US" w:eastAsia="zh-CN" w:bidi="ar"/>
        </w:rPr>
        <w:t>21.6</w:t>
      </w:r>
      <w:r>
        <w:rPr>
          <w:rFonts w:ascii="宋体" w:hAnsi="宋体" w:cs="宋体"/>
          <w:kern w:val="1"/>
          <w:szCs w:val="21"/>
          <w:highlight w:val="none"/>
        </w:rPr>
        <w:t>投标人的报价不得高于本次招标最高限价，</w:t>
      </w:r>
      <w:r>
        <w:rPr>
          <w:rFonts w:ascii="宋体" w:hAnsi="宋体" w:cs="宋体"/>
          <w:b/>
          <w:bCs/>
          <w:kern w:val="1"/>
          <w:szCs w:val="21"/>
          <w:highlight w:val="none"/>
        </w:rPr>
        <w:t>否则将作为无效投标处理</w:t>
      </w:r>
      <w:r>
        <w:rPr>
          <w:rFonts w:ascii="宋体" w:hAnsi="宋体" w:cs="宋体"/>
          <w:kern w:val="1"/>
          <w:szCs w:val="21"/>
          <w:highlight w:val="none"/>
        </w:rPr>
        <w:t>。</w:t>
      </w:r>
    </w:p>
    <w:p w14:paraId="23AF8A6B">
      <w:pPr>
        <w:keepNext w:val="0"/>
        <w:keepLines w:val="0"/>
        <w:widowControl/>
        <w:suppressLineNumbers w:val="0"/>
        <w:spacing w:before="0" w:beforeAutospacing="0" w:after="0" w:afterAutospacing="0" w:line="440" w:lineRule="exact"/>
        <w:ind w:left="0" w:right="0" w:firstLine="420" w:firstLineChars="200"/>
        <w:jc w:val="both"/>
        <w:rPr>
          <w:rFonts w:ascii="宋体" w:hAnsi="宋体" w:cs="宋体"/>
          <w:kern w:val="1"/>
          <w:szCs w:val="21"/>
          <w:highlight w:val="none"/>
        </w:rPr>
      </w:pPr>
      <w:r>
        <w:rPr>
          <w:rFonts w:hint="eastAsia" w:ascii="宋体" w:hAnsi="宋体" w:cs="宋体"/>
          <w:kern w:val="1"/>
          <w:szCs w:val="21"/>
          <w:highlight w:val="none"/>
          <w:lang w:val="en-US" w:eastAsia="zh-CN"/>
        </w:rPr>
        <w:t>21.7</w:t>
      </w:r>
      <w:r>
        <w:rPr>
          <w:rFonts w:ascii="宋体" w:hAnsi="宋体" w:cs="宋体"/>
          <w:kern w:val="1"/>
          <w:szCs w:val="21"/>
          <w:highlight w:val="none"/>
        </w:rPr>
        <w:t>总投标价中不得包含招标文件要求以外的内容，否则，在评标时不予核减，但在授予合同时，</w:t>
      </w:r>
      <w:r>
        <w:rPr>
          <w:rFonts w:hint="eastAsia" w:ascii="宋体" w:hAnsi="宋体" w:cs="宋体"/>
          <w:kern w:val="1"/>
          <w:szCs w:val="21"/>
          <w:highlight w:val="none"/>
          <w:lang w:eastAsia="zh-CN"/>
        </w:rPr>
        <w:t>招标人</w:t>
      </w:r>
      <w:r>
        <w:rPr>
          <w:rFonts w:ascii="宋体" w:hAnsi="宋体" w:cs="宋体"/>
          <w:kern w:val="1"/>
          <w:szCs w:val="21"/>
          <w:highlight w:val="none"/>
        </w:rPr>
        <w:t>有权将这部分价格从其中标价格中扣除。</w:t>
      </w:r>
    </w:p>
    <w:p w14:paraId="07B4CA42">
      <w:pPr>
        <w:keepNext w:val="0"/>
        <w:keepLines w:val="0"/>
        <w:widowControl/>
        <w:suppressLineNumbers w:val="0"/>
        <w:spacing w:before="0" w:beforeAutospacing="0" w:after="0" w:afterAutospacing="0" w:line="440" w:lineRule="exact"/>
        <w:ind w:left="0" w:right="0" w:firstLine="420" w:firstLineChars="200"/>
        <w:jc w:val="both"/>
        <w:rPr>
          <w:rFonts w:hint="default" w:eastAsia="楷体_GB2312"/>
          <w:highlight w:val="none"/>
          <w:lang w:val="en-US" w:eastAsia="zh-CN"/>
        </w:rPr>
      </w:pPr>
      <w:r>
        <w:rPr>
          <w:rFonts w:hint="eastAsia" w:ascii="宋体" w:hAnsi="宋体" w:cs="宋体"/>
          <w:kern w:val="1"/>
          <w:szCs w:val="21"/>
          <w:highlight w:val="none"/>
          <w:lang w:val="en-US" w:eastAsia="zh-CN"/>
        </w:rPr>
        <w:t>21.8</w:t>
      </w:r>
      <w:r>
        <w:rPr>
          <w:rFonts w:ascii="宋体" w:hAnsi="宋体" w:cs="宋体"/>
          <w:kern w:val="1"/>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3BBF1FA">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22.投标有效期</w:t>
      </w:r>
    </w:p>
    <w:p w14:paraId="3766375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22.1 </w:t>
      </w:r>
      <w:r>
        <w:rPr>
          <w:rFonts w:hint="eastAsia" w:ascii="宋体"/>
          <w:color w:val="000000"/>
          <w:szCs w:val="21"/>
          <w:highlight w:val="none"/>
          <w:lang w:eastAsia="zh-CN"/>
        </w:rPr>
        <w:t>投标有效期见</w:t>
      </w:r>
      <w:r>
        <w:rPr>
          <w:rFonts w:hint="eastAsia" w:ascii="宋体"/>
          <w:color w:val="000000"/>
          <w:szCs w:val="21"/>
          <w:highlight w:val="none"/>
        </w:rPr>
        <w:t>投标人须知前附表</w:t>
      </w:r>
      <w:r>
        <w:rPr>
          <w:rFonts w:hint="eastAsia" w:ascii="宋体" w:hAnsi="宋体" w:eastAsia="宋体" w:cs="宋体"/>
          <w:color w:val="000000"/>
          <w:kern w:val="0"/>
          <w:sz w:val="21"/>
          <w:szCs w:val="21"/>
          <w:highlight w:val="none"/>
          <w:u w:color="000000"/>
          <w:lang w:val="en-US" w:eastAsia="zh-CN" w:bidi="ar"/>
        </w:rPr>
        <w:t>。</w:t>
      </w:r>
    </w:p>
    <w:p w14:paraId="0731D88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22.2在投标有效期内，投标人撤销或修改其投标文件的，应承担招标文件和法律规定的责任。</w:t>
      </w:r>
    </w:p>
    <w:p w14:paraId="4F2632B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22.3出现特殊情况需要延长投标有效期的，招标人以书面形式通知所有投标人延长投标有效期。投标人同意延长的，不得要求或被允许修改或撤销其投标文件；投标人拒绝延长的，其投标失效。</w:t>
      </w:r>
    </w:p>
    <w:p w14:paraId="04D7C87D">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23.投标保证金</w:t>
      </w:r>
    </w:p>
    <w:p w14:paraId="0FC6FC9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23.1本项目不要求投标人提交投标保证金。</w:t>
      </w:r>
    </w:p>
    <w:p w14:paraId="1A43D19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1" w:name="_Toc6570_WPSOffice_Level3"/>
      <w:bookmarkEnd w:id="31"/>
      <w:bookmarkStart w:id="32" w:name="_Toc26398"/>
      <w:r>
        <w:rPr>
          <w:rFonts w:hint="eastAsia" w:ascii="宋体" w:hAnsi="宋体" w:eastAsia="宋体" w:cs="宋体"/>
          <w:b/>
          <w:bCs w:val="0"/>
          <w:color w:val="000000"/>
          <w:kern w:val="0"/>
          <w:sz w:val="24"/>
          <w:szCs w:val="24"/>
          <w:highlight w:val="none"/>
          <w:u w:color="000000"/>
          <w:lang w:val="en-US" w:eastAsia="zh-CN" w:bidi="ar"/>
        </w:rPr>
        <w:t>（四）</w:t>
      </w:r>
      <w:bookmarkEnd w:id="32"/>
      <w:r>
        <w:rPr>
          <w:rFonts w:hint="eastAsia" w:ascii="宋体"/>
          <w:b/>
          <w:color w:val="auto"/>
          <w:sz w:val="24"/>
          <w:szCs w:val="24"/>
          <w:highlight w:val="none"/>
        </w:rPr>
        <w:t>投标文件的递交</w:t>
      </w:r>
    </w:p>
    <w:p w14:paraId="6682616C">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val="0"/>
          <w:highlight w:val="none"/>
          <w:lang w:val="en-US"/>
        </w:rPr>
      </w:pPr>
      <w:bookmarkStart w:id="33" w:name="_Toc30407_WPSOffice_Level3"/>
      <w:bookmarkEnd w:id="33"/>
      <w:r>
        <w:rPr>
          <w:rFonts w:hint="eastAsia" w:ascii="宋体" w:hAnsi="宋体" w:eastAsia="宋体" w:cs="宋体"/>
          <w:b/>
          <w:bCs w:val="0"/>
          <w:color w:val="000000"/>
          <w:kern w:val="0"/>
          <w:sz w:val="21"/>
          <w:szCs w:val="21"/>
          <w:highlight w:val="none"/>
          <w:u w:color="000000"/>
          <w:lang w:val="en-US" w:eastAsia="zh-CN" w:bidi="ar"/>
        </w:rPr>
        <w:t>24.投标文件的份数和签署</w:t>
      </w:r>
    </w:p>
    <w:p w14:paraId="3B87C67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24.1投标文件份数：一份电子文件。投标人中标后须递交与网上电子投标文件完全一致的纸质版投标文件，并按要求加盖公章；份数：正本1份，副本2份；中标单位领取中标通知书时，一并递交给招标代理机构。</w:t>
      </w:r>
    </w:p>
    <w:p w14:paraId="4DEC2B5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24.2按格式文件要求签字或盖章，否则经评委会一致认定且经过招标人同意后, 按照无效投标处理。</w:t>
      </w:r>
    </w:p>
    <w:p w14:paraId="40840318">
      <w:pPr>
        <w:keepNext w:val="0"/>
        <w:keepLines w:val="0"/>
        <w:widowControl/>
        <w:suppressLineNumbers w:val="0"/>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25.投标文件的提交</w:t>
      </w:r>
    </w:p>
    <w:p w14:paraId="34228ED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 投标人须在投标文件截止时间前将投标文件以电子邮件的方式一次性发送至滁州市城投工程咨询管理有限公司邮箱（czsctzx@163.com），投标文件格式限定为PDF格式，将文件命名为“投标单位名称（联系人及联系电话）+项目名称”，在提交投标文件截止时间后送达的投标文件将被拒绝，投标文件送达时间以滁州市城投工程咨询管理有限公司邮箱显示的邮件送达时间为准，投标文件无法打开的，按无效投标处理。</w:t>
      </w:r>
    </w:p>
    <w:p w14:paraId="7C16768F">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bookmarkStart w:id="34" w:name="_Toc490"/>
      <w:bookmarkEnd w:id="34"/>
      <w:r>
        <w:rPr>
          <w:rFonts w:hint="eastAsia" w:ascii="宋体" w:hAnsi="宋体" w:eastAsia="宋体" w:cs="宋体"/>
          <w:b/>
          <w:bCs w:val="0"/>
          <w:color w:val="000000"/>
          <w:kern w:val="0"/>
          <w:sz w:val="21"/>
          <w:szCs w:val="21"/>
          <w:highlight w:val="none"/>
          <w:u w:color="000000"/>
          <w:lang w:val="en-US" w:eastAsia="zh-CN" w:bidi="ar"/>
        </w:rPr>
        <w:t>26.投标文件的</w:t>
      </w:r>
      <w:r>
        <w:rPr>
          <w:rFonts w:hint="eastAsia" w:ascii="宋体"/>
          <w:b/>
          <w:szCs w:val="21"/>
          <w:highlight w:val="none"/>
        </w:rPr>
        <w:t>修改与撤回</w:t>
      </w:r>
    </w:p>
    <w:p w14:paraId="1B98514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26.1在第一章“招标公告”规定的投标截止时间前，投标人可以自行从网上撤回已递交的投标文件，并可修改后重新发送，开标时以投标截止时间前投标人最后送达的投标文件为准。</w:t>
      </w:r>
    </w:p>
    <w:p w14:paraId="1544B42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04C56DA8">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27.</w:t>
      </w:r>
      <w:r>
        <w:rPr>
          <w:rFonts w:hint="eastAsia" w:ascii="黑体" w:hAnsi="宋体" w:eastAsia="黑体" w:cs="宋体"/>
          <w:b/>
          <w:bCs w:val="0"/>
          <w:color w:val="000000"/>
          <w:kern w:val="0"/>
          <w:sz w:val="21"/>
          <w:szCs w:val="21"/>
          <w:highlight w:val="none"/>
          <w:u w:color="000000"/>
          <w:lang w:val="en-US" w:eastAsia="zh-CN" w:bidi="ar"/>
        </w:rPr>
        <w:t>开标</w:t>
      </w:r>
    </w:p>
    <w:p w14:paraId="10E1961B">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27.1 开标的时间和地点</w:t>
      </w:r>
    </w:p>
    <w:p w14:paraId="04F1B186">
      <w:pPr>
        <w:keepNext w:val="0"/>
        <w:keepLines w:val="0"/>
        <w:pageBreakBefore w:val="0"/>
        <w:widowControl/>
        <w:kinsoku/>
        <w:wordWrap/>
        <w:overflowPunct/>
        <w:topLinePunct w:val="0"/>
        <w:autoSpaceDE/>
        <w:autoSpaceDN/>
        <w:bidi w:val="0"/>
        <w:spacing w:line="440" w:lineRule="exact"/>
        <w:ind w:firstLine="420" w:firstLineChars="200"/>
        <w:jc w:val="left"/>
        <w:textAlignment w:val="baseline"/>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27.1.1招标人投标须知前附表规定的提交投标文件的截止时间和地点公开开标</w:t>
      </w:r>
      <w:r>
        <w:rPr>
          <w:rFonts w:hint="eastAsia" w:ascii="宋体" w:cs="宋体"/>
          <w:color w:val="auto"/>
          <w:szCs w:val="21"/>
          <w:highlight w:val="none"/>
        </w:rPr>
        <w:t>。</w:t>
      </w:r>
    </w:p>
    <w:p w14:paraId="312C6B4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27.2 参与开标的监督部门</w:t>
      </w:r>
    </w:p>
    <w:p w14:paraId="4FB0558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bookmarkStart w:id="35" w:name="_Toc15542_WPSOffice_Level3"/>
      <w:bookmarkEnd w:id="35"/>
      <w:r>
        <w:rPr>
          <w:rFonts w:hint="eastAsia" w:ascii="宋体" w:hAnsi="宋体" w:eastAsia="宋体" w:cs="宋体"/>
          <w:color w:val="000000"/>
          <w:kern w:val="0"/>
          <w:sz w:val="21"/>
          <w:szCs w:val="21"/>
          <w:highlight w:val="none"/>
          <w:u w:color="000000"/>
          <w:lang w:val="en-US" w:eastAsia="zh-CN" w:bidi="ar"/>
        </w:rPr>
        <w:t>27.2.1招标人可以邀请相关监督部门参加。</w:t>
      </w:r>
    </w:p>
    <w:p w14:paraId="750A923C">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27.3开标程序</w:t>
      </w:r>
    </w:p>
    <w:p w14:paraId="0C00076D">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771797A9">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3880C8C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（2）宣布招标人、代理机构主持人、监督人等有关人员姓名；</w:t>
      </w:r>
    </w:p>
    <w:p w14:paraId="74296F36">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（3）投标人在投标截止时间后，规定时间内完成投标文件解密工作；</w:t>
      </w:r>
    </w:p>
    <w:p w14:paraId="14221E3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（4）公布投标人投标报价、服务期及其他内容，并记录在案；</w:t>
      </w:r>
    </w:p>
    <w:p w14:paraId="5D96745B">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（5）开标结束。</w:t>
      </w:r>
    </w:p>
    <w:p w14:paraId="39091383">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28.开标异议</w:t>
      </w:r>
    </w:p>
    <w:p w14:paraId="58D6783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236A8CC6">
      <w:pPr>
        <w:keepNext w:val="0"/>
        <w:keepLines w:val="0"/>
        <w:widowControl/>
        <w:suppressLineNumbers w:val="0"/>
        <w:spacing w:before="0" w:beforeAutospacing="0" w:after="0" w:afterAutospacing="0" w:line="44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29.评标委员会</w:t>
      </w:r>
    </w:p>
    <w:p w14:paraId="7FC968E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29.1  评标委员会的组成</w:t>
      </w:r>
    </w:p>
    <w:p w14:paraId="1F080D5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r>
        <w:rPr>
          <w:rFonts w:hint="eastAsia" w:ascii="宋体" w:hAnsi="宋体" w:eastAsia="宋体" w:cs="宋体"/>
          <w:color w:val="000000"/>
          <w:kern w:val="0"/>
          <w:sz w:val="21"/>
          <w:szCs w:val="21"/>
          <w:highlight w:val="none"/>
          <w:u w:color="000000"/>
          <w:lang w:val="en-US" w:eastAsia="zh-CN" w:bidi="ar"/>
        </w:rPr>
        <w:t>。</w:t>
      </w:r>
    </w:p>
    <w:p w14:paraId="0AF0232E">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cs="宋体"/>
          <w:color w:val="auto"/>
          <w:szCs w:val="21"/>
          <w:highlight w:val="none"/>
          <w:lang w:val="en-US" w:eastAsia="zh-CN"/>
        </w:rPr>
        <w:t xml:space="preserve">29.2  </w:t>
      </w:r>
      <w:r>
        <w:rPr>
          <w:rFonts w:hint="eastAsia" w:ascii="宋体" w:hAnsi="宋体" w:cs="宋体"/>
          <w:color w:val="auto"/>
          <w:szCs w:val="21"/>
          <w:highlight w:val="none"/>
        </w:rPr>
        <w:t>评标委员会成员有下列情形之一的，应当回避：</w:t>
      </w:r>
    </w:p>
    <w:p w14:paraId="1D2FA59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1C70D27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2B620299">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527BAE5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1E893CF8">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687E05C5">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000000"/>
          <w:kern w:val="0"/>
          <w:sz w:val="21"/>
          <w:szCs w:val="21"/>
          <w:highlight w:val="none"/>
          <w:u w:color="000000"/>
          <w:lang w:val="en-US" w:eastAsia="zh-CN" w:bidi="ar"/>
        </w:rPr>
        <w:t xml:space="preserve">29.3 </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0C9DE1E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29.4招标人授权评标委员会对投标人资格进行审查。</w:t>
      </w:r>
    </w:p>
    <w:p w14:paraId="00AC2FBB">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30. 评标</w:t>
      </w:r>
    </w:p>
    <w:p w14:paraId="005DC95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.1评标委员会按照第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章“评标办法”规定的方法、评审因素、标准和程序对投标文件进行评审。第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章“评标办法”没有规定的方法、评审因素和标准，不作为评标依据。</w:t>
      </w:r>
    </w:p>
    <w:p w14:paraId="04CE3A6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42F79562">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30.3评标原则：</w:t>
      </w:r>
    </w:p>
    <w:p w14:paraId="224B4CA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36" w:name="_Toc5272_WPSOffice_Level3"/>
      <w:bookmarkEnd w:id="36"/>
      <w:r>
        <w:rPr>
          <w:rFonts w:hint="eastAsia" w:ascii="宋体" w:hAnsi="宋体" w:eastAsia="宋体" w:cs="宋体"/>
          <w:color w:val="000000"/>
          <w:kern w:val="0"/>
          <w:sz w:val="21"/>
          <w:szCs w:val="21"/>
          <w:highlight w:val="none"/>
          <w:u w:color="000000"/>
          <w:lang w:val="en-US" w:eastAsia="zh-CN" w:bidi="ar"/>
        </w:rPr>
        <w:t>30.3.1遵循公平、公正、科学和择优的原则。</w:t>
      </w:r>
    </w:p>
    <w:p w14:paraId="46227212">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30.4报价合理性的判断</w:t>
      </w:r>
    </w:p>
    <w:p w14:paraId="70A19EE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4DDDA3B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0</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715F4C17">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19CA3149">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346CE82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30.6</w:t>
      </w:r>
      <w:r>
        <w:rPr>
          <w:rFonts w:hint="eastAsia" w:ascii="宋体" w:hAnsi="Times New Roman" w:eastAsia="宋体" w:cs="Times New Roman"/>
          <w:color w:val="auto"/>
          <w:szCs w:val="21"/>
          <w:highlight w:val="none"/>
        </w:rPr>
        <w:t>评标报告的签署</w:t>
      </w:r>
    </w:p>
    <w:p w14:paraId="7F6A9E22">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30.6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4876391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30.7</w:t>
      </w:r>
      <w:r>
        <w:rPr>
          <w:rFonts w:hint="eastAsia" w:ascii="宋体" w:hAnsi="Times New Roman" w:eastAsia="宋体" w:cs="Times New Roman"/>
          <w:color w:val="auto"/>
          <w:szCs w:val="21"/>
          <w:highlight w:val="none"/>
        </w:rPr>
        <w:t>评标过程的保密</w:t>
      </w:r>
    </w:p>
    <w:p w14:paraId="5107519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30.7.1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300E61A7">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Calibri" w:eastAsia="宋体" w:cs="宋体"/>
          <w:b/>
          <w:bCs/>
          <w:highlight w:val="none"/>
          <w:lang w:val="en-US"/>
        </w:rPr>
      </w:pPr>
      <w:r>
        <w:rPr>
          <w:rFonts w:hint="eastAsia" w:ascii="宋体" w:hAnsi="宋体" w:eastAsia="宋体" w:cs="宋体"/>
          <w:b/>
          <w:bCs/>
          <w:color w:val="000000"/>
          <w:kern w:val="0"/>
          <w:sz w:val="21"/>
          <w:szCs w:val="21"/>
          <w:highlight w:val="none"/>
          <w:u w:color="000000"/>
          <w:lang w:val="en-US" w:eastAsia="zh-CN" w:bidi="ar"/>
        </w:rPr>
        <w:t>31.</w:t>
      </w:r>
      <w:r>
        <w:rPr>
          <w:rFonts w:hint="eastAsia" w:ascii="宋体" w:hAnsi="宋体" w:eastAsia="宋体" w:cs="宋体"/>
          <w:b/>
          <w:bCs w:val="0"/>
          <w:color w:val="000000"/>
          <w:kern w:val="0"/>
          <w:sz w:val="21"/>
          <w:szCs w:val="21"/>
          <w:highlight w:val="none"/>
          <w:u w:color="000000"/>
          <w:lang w:val="en-US" w:eastAsia="zh-CN" w:bidi="ar"/>
        </w:rPr>
        <w:t>开评审异常情况处理</w:t>
      </w:r>
    </w:p>
    <w:p w14:paraId="5CF2062B">
      <w:pPr>
        <w:keepNext w:val="0"/>
        <w:keepLines w:val="0"/>
        <w:widowControl/>
        <w:suppressLineNumbers w:val="0"/>
        <w:spacing w:before="0" w:beforeAutospacing="0" w:after="0" w:afterAutospacing="0" w:line="420" w:lineRule="exact"/>
        <w:ind w:left="0" w:right="-313" w:rightChars="-149" w:firstLine="420" w:firstLineChars="200"/>
        <w:jc w:val="both"/>
        <w:rPr>
          <w:rFonts w:hint="eastAsia" w:ascii="宋体" w:hAnsi="宋体" w:eastAsia="宋体" w:cs="宋体"/>
          <w:color w:val="000000"/>
          <w:kern w:val="0"/>
          <w:sz w:val="21"/>
          <w:szCs w:val="21"/>
          <w:highlight w:val="none"/>
          <w:u w:color="000000"/>
          <w:lang w:val="en-US" w:eastAsia="zh-CN" w:bidi="ar"/>
        </w:rPr>
      </w:pPr>
      <w:bookmarkStart w:id="37" w:name="_Toc8453_WPSOffice_Level3"/>
      <w:r>
        <w:rPr>
          <w:rFonts w:hint="eastAsia" w:ascii="宋体" w:hAnsi="宋体" w:eastAsia="宋体" w:cs="宋体"/>
          <w:color w:val="000000"/>
          <w:kern w:val="0"/>
          <w:sz w:val="21"/>
          <w:szCs w:val="21"/>
          <w:highlight w:val="none"/>
          <w:u w:color="000000"/>
          <w:lang w:val="en-US" w:eastAsia="zh-CN" w:bidi="ar"/>
        </w:rPr>
        <w:t>31.1若有效投标人不足三家，则采用竞争性谈判方式确定中标候选人，若有效投标人只有一家则项目流标。</w:t>
      </w:r>
    </w:p>
    <w:p w14:paraId="1E452D52">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 xml:space="preserve">32.重新招标 </w:t>
      </w:r>
    </w:p>
    <w:p w14:paraId="121BF4C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32.1有下列情形之一的，招标人将重新招标：</w:t>
      </w:r>
    </w:p>
    <w:p w14:paraId="0A4E5C1D">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(1)经评标委员会评审后否决所有投标的；</w:t>
      </w:r>
    </w:p>
    <w:p w14:paraId="29E02C1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000000"/>
          <w:kern w:val="0"/>
          <w:sz w:val="21"/>
          <w:szCs w:val="21"/>
          <w:highlight w:val="none"/>
          <w:u w:color="000000"/>
          <w:lang w:val="en-US" w:eastAsia="zh-CN" w:bidi="ar"/>
        </w:rPr>
        <w:t>；</w:t>
      </w:r>
    </w:p>
    <w:p w14:paraId="643F463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w:t>
      </w:r>
      <w:r>
        <w:rPr>
          <w:rFonts w:hint="eastAsia" w:ascii="宋体" w:hAnsi="Times New Roman" w:eastAsia="宋体" w:cs="Times New Roman"/>
          <w:color w:val="auto"/>
          <w:spacing w:val="0"/>
          <w:sz w:val="21"/>
          <w:szCs w:val="21"/>
          <w:highlight w:val="none"/>
          <w:lang w:val="en-US" w:eastAsia="zh-CN"/>
        </w:rPr>
        <w:t>法律、法规规定的其他情形</w:t>
      </w:r>
      <w:r>
        <w:rPr>
          <w:rFonts w:hint="eastAsia" w:ascii="宋体" w:hAnsi="宋体" w:eastAsia="宋体" w:cs="宋体"/>
          <w:color w:val="000000"/>
          <w:kern w:val="0"/>
          <w:sz w:val="21"/>
          <w:szCs w:val="21"/>
          <w:highlight w:val="none"/>
          <w:u w:color="000000"/>
          <w:lang w:val="en-US" w:eastAsia="zh-CN" w:bidi="ar"/>
        </w:rPr>
        <w:t>。</w:t>
      </w:r>
    </w:p>
    <w:p w14:paraId="205B91A6">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（六）合同的授予</w:t>
      </w:r>
      <w:bookmarkEnd w:id="37"/>
    </w:p>
    <w:p w14:paraId="01E42E97">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33.中标公示</w:t>
      </w:r>
    </w:p>
    <w:p w14:paraId="10D9CED5">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33.1</w:t>
      </w:r>
      <w:r>
        <w:rPr>
          <w:rFonts w:hint="eastAsia" w:ascii="宋体" w:hAnsi="Times New Roman" w:eastAsia="宋体" w:cs="Times New Roman"/>
          <w:color w:val="auto"/>
          <w:spacing w:val="0"/>
          <w:sz w:val="21"/>
          <w:szCs w:val="21"/>
          <w:highlight w:val="none"/>
        </w:rPr>
        <w:t>招标人在收到评标报告之日起3日内，按照投标人须知前附表规定的公示媒介和期限依法公示。公示期不得少于3日。</w:t>
      </w:r>
    </w:p>
    <w:p w14:paraId="78394D26">
      <w:pPr>
        <w:keepNext w:val="0"/>
        <w:keepLines w:val="0"/>
        <w:widowControl w:val="0"/>
        <w:numPr>
          <w:ilvl w:val="0"/>
          <w:numId w:val="0"/>
        </w:numPr>
        <w:suppressLineNumbers w:val="0"/>
        <w:autoSpaceDE w:val="0"/>
        <w:autoSpaceDN/>
        <w:spacing w:before="0" w:beforeAutospacing="0" w:after="0" w:afterAutospacing="0" w:line="400" w:lineRule="exact"/>
        <w:ind w:leftChars="247"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34.评标结果异议</w:t>
      </w:r>
    </w:p>
    <w:p w14:paraId="57209066">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34.1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14:paraId="2772047B">
      <w:pPr>
        <w:keepNext w:val="0"/>
        <w:keepLines w:val="0"/>
        <w:pageBreakBefore w:val="0"/>
        <w:widowControl w:val="0"/>
        <w:numPr>
          <w:ilvl w:val="0"/>
          <w:numId w:val="2"/>
        </w:numPr>
        <w:kinsoku/>
        <w:overflowPunct/>
        <w:topLinePunct w:val="0"/>
        <w:autoSpaceDE/>
        <w:autoSpaceDN/>
        <w:bidi w:val="0"/>
        <w:spacing w:line="420" w:lineRule="exact"/>
        <w:ind w:firstLine="521" w:firstLineChars="247"/>
        <w:jc w:val="left"/>
        <w:textAlignment w:val="auto"/>
        <w:rPr>
          <w:rFonts w:hint="default" w:ascii="宋体" w:hAnsi="Times New Roman" w:eastAsia="宋体" w:cs="Times New Roman"/>
          <w:b/>
          <w:color w:val="auto"/>
          <w:spacing w:val="0"/>
          <w:sz w:val="21"/>
          <w:szCs w:val="21"/>
          <w:highlight w:val="none"/>
          <w:lang w:val="en-US" w:eastAsia="zh-CN"/>
        </w:rPr>
      </w:pPr>
      <w:r>
        <w:rPr>
          <w:rFonts w:hint="eastAsia" w:ascii="宋体" w:hAnsi="Times New Roman" w:eastAsia="宋体" w:cs="Times New Roman"/>
          <w:b/>
          <w:color w:val="auto"/>
          <w:spacing w:val="0"/>
          <w:sz w:val="21"/>
          <w:szCs w:val="21"/>
          <w:highlight w:val="none"/>
        </w:rPr>
        <w:t>定标</w:t>
      </w:r>
    </w:p>
    <w:p w14:paraId="41B38FF2">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35.1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3782BF3F">
      <w:pPr>
        <w:keepNext w:val="0"/>
        <w:keepLines w:val="0"/>
        <w:pageBreakBefore w:val="0"/>
        <w:widowControl w:val="0"/>
        <w:numPr>
          <w:ilvl w:val="0"/>
          <w:numId w:val="2"/>
        </w:numPr>
        <w:kinsoku/>
        <w:overflowPunct/>
        <w:topLinePunct w:val="0"/>
        <w:autoSpaceDE/>
        <w:autoSpaceDN/>
        <w:bidi w:val="0"/>
        <w:spacing w:line="420" w:lineRule="exact"/>
        <w:ind w:firstLine="521" w:firstLineChars="247"/>
        <w:jc w:val="left"/>
        <w:textAlignment w:val="auto"/>
        <w:rPr>
          <w:rFonts w:hint="eastAsia" w:ascii="宋体" w:hAnsi="Times New Roman" w:eastAsia="宋体" w:cs="Times New Roman"/>
          <w:b/>
          <w:color w:val="auto"/>
          <w:spacing w:val="0"/>
          <w:sz w:val="21"/>
          <w:szCs w:val="21"/>
          <w:highlight w:val="none"/>
          <w:lang w:val="en-US" w:eastAsia="zh-CN"/>
        </w:rPr>
      </w:pPr>
      <w:r>
        <w:rPr>
          <w:rFonts w:hint="eastAsia" w:ascii="宋体" w:hAnsi="Times New Roman" w:eastAsia="宋体" w:cs="Times New Roman"/>
          <w:b/>
          <w:color w:val="auto"/>
          <w:spacing w:val="0"/>
          <w:sz w:val="21"/>
          <w:szCs w:val="21"/>
          <w:highlight w:val="none"/>
          <w:lang w:val="en-US" w:eastAsia="zh-CN"/>
        </w:rPr>
        <w:t>中标通知</w:t>
      </w:r>
    </w:p>
    <w:p w14:paraId="2E9875A0">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highlight w:val="none"/>
        </w:rPr>
      </w:pPr>
      <w:r>
        <w:rPr>
          <w:rFonts w:hint="eastAsia" w:ascii="宋体" w:hAnsi="Times New Roman" w:eastAsia="宋体" w:cs="Times New Roman"/>
          <w:color w:val="auto"/>
          <w:spacing w:val="0"/>
          <w:sz w:val="21"/>
          <w:szCs w:val="21"/>
          <w:highlight w:val="none"/>
          <w:lang w:val="en-US" w:eastAsia="zh-CN"/>
        </w:rPr>
        <w:t>36.1在本招标文件规定的投标有效期内，招标人向中标人发出中标通知书，同时将中标结果通知未中标的投标人。</w:t>
      </w:r>
    </w:p>
    <w:p w14:paraId="7FF255E5">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Times New Roman" w:eastAsia="宋体" w:cs="Times New Roman"/>
          <w:b/>
          <w:color w:val="auto"/>
          <w:spacing w:val="0"/>
          <w:sz w:val="21"/>
          <w:szCs w:val="21"/>
          <w:highlight w:val="none"/>
          <w:lang w:val="en-US" w:eastAsia="zh-CN"/>
        </w:rPr>
      </w:pPr>
      <w:r>
        <w:rPr>
          <w:rFonts w:hint="eastAsia" w:ascii="宋体" w:hAnsi="宋体" w:eastAsia="宋体" w:cs="宋体"/>
          <w:color w:val="000000"/>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bookmarkStart w:id="38" w:name="_Toc7247"/>
      <w:bookmarkEnd w:id="38"/>
      <w:r>
        <w:rPr>
          <w:rFonts w:hint="eastAsia" w:ascii="宋体" w:hAnsi="Times New Roman" w:eastAsia="宋体" w:cs="Times New Roman"/>
          <w:b/>
          <w:color w:val="auto"/>
          <w:spacing w:val="0"/>
          <w:sz w:val="21"/>
          <w:szCs w:val="21"/>
          <w:highlight w:val="none"/>
          <w:lang w:val="en-US" w:eastAsia="zh-CN"/>
        </w:rPr>
        <w:t xml:space="preserve"> 37.</w:t>
      </w:r>
      <w:bookmarkStart w:id="39" w:name="_Toc217446068"/>
      <w:r>
        <w:rPr>
          <w:rFonts w:hint="eastAsia" w:ascii="宋体" w:hAnsi="Times New Roman" w:eastAsia="宋体" w:cs="Times New Roman"/>
          <w:b/>
          <w:color w:val="auto"/>
          <w:spacing w:val="0"/>
          <w:sz w:val="21"/>
          <w:szCs w:val="21"/>
          <w:highlight w:val="none"/>
          <w:lang w:val="en-US" w:eastAsia="zh-CN"/>
        </w:rPr>
        <w:t>履约保证金</w:t>
      </w:r>
      <w:bookmarkEnd w:id="39"/>
    </w:p>
    <w:p w14:paraId="1117770B">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bookmarkStart w:id="40" w:name="_Toc316_WPSOffice_Level3"/>
      <w:bookmarkEnd w:id="40"/>
      <w:bookmarkStart w:id="41" w:name="_Toc23484"/>
      <w:r>
        <w:rPr>
          <w:rFonts w:hint="eastAsia" w:ascii="宋体" w:hAnsi="Times New Roman" w:eastAsia="宋体" w:cs="Times New Roman"/>
          <w:color w:val="auto"/>
          <w:spacing w:val="0"/>
          <w:sz w:val="21"/>
          <w:szCs w:val="21"/>
          <w:highlight w:val="none"/>
          <w:lang w:val="en-US" w:eastAsia="zh-CN"/>
        </w:rPr>
        <w:t>37.1</w:t>
      </w:r>
      <w:bookmarkEnd w:id="41"/>
      <w:r>
        <w:rPr>
          <w:rFonts w:hint="eastAsia" w:ascii="宋体" w:hAnsi="Times New Roman" w:eastAsia="宋体" w:cs="Times New Roman"/>
          <w:color w:val="auto"/>
          <w:spacing w:val="0"/>
          <w:sz w:val="21"/>
          <w:szCs w:val="21"/>
          <w:highlight w:val="none"/>
          <w:lang w:val="en-US" w:eastAsia="zh-CN"/>
        </w:rPr>
        <w:t>本项目不要求提交履约保证金。</w:t>
      </w:r>
    </w:p>
    <w:p w14:paraId="68CBFAF9">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3E9D65AA">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38.对招标人的纪律要求 </w:t>
      </w:r>
    </w:p>
    <w:p w14:paraId="01196BC4">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38.1招标人不得泄漏招标投标活动中应当保密的情况和资料，不得与投标人串通损害国家利益，社会公共利益或者他人合法权益。 </w:t>
      </w:r>
    </w:p>
    <w:p w14:paraId="4568B30D">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39.对投标人的纪律要求 </w:t>
      </w:r>
    </w:p>
    <w:p w14:paraId="29E3CF93">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39.1投标人不得相互串通投标或者与招标人串通投标，不得向招标人或者评标委员会成员行贿谋取中标，不得以他人名义投标或者以其他方式弄虚作假骗取中标；投标人不得以任何方式干扰、影响评标工作。</w:t>
      </w:r>
    </w:p>
    <w:p w14:paraId="68EB420B">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40.对评标委员会成员的纪律要求 </w:t>
      </w:r>
    </w:p>
    <w:p w14:paraId="2A588367">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40.1评标委员会成员不得收受他人的财物或者其他好处，不得向他人透漏对投标文件的评审和比较、中标候选人的推荐情况以及评标有关的其他情况。</w:t>
      </w:r>
    </w:p>
    <w:p w14:paraId="26C3F3B6">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40.2在评标活动中，评标委员会成员不得擅离职守，影响评标程序正常进行，不得使用第三章“评标办法”没有规定的评审因素和标准进行评标。 </w:t>
      </w:r>
    </w:p>
    <w:p w14:paraId="365B00C4">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41.对与评标活动有关的工作人员的纪律要求 </w:t>
      </w:r>
    </w:p>
    <w:p w14:paraId="1268A64C">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color w:val="000000"/>
          <w:kern w:val="10"/>
          <w:sz w:val="21"/>
          <w:szCs w:val="21"/>
          <w:highlight w:val="none"/>
          <w:u w:color="000000"/>
          <w:lang w:val="en-US" w:eastAsia="zh-CN" w:bidi="ar"/>
        </w:rPr>
        <w:t>41.1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D6BD061">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2739E199">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42. 投诉</w:t>
      </w:r>
    </w:p>
    <w:p w14:paraId="35FD886C">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Times New Roman" w:eastAsia="宋体" w:cs="Times New Roman"/>
          <w:kern w:val="10"/>
          <w:szCs w:val="21"/>
          <w:highlight w:val="none"/>
          <w:lang w:val="en-US" w:eastAsia="zh-CN"/>
        </w:rPr>
        <w:t>42.1</w:t>
      </w:r>
      <w:r>
        <w:rPr>
          <w:rFonts w:hint="eastAsia" w:ascii="宋体" w:hAnsi="宋体" w:cs="宋体"/>
          <w:color w:val="000000"/>
          <w:szCs w:val="21"/>
          <w:highlight w:val="none"/>
        </w:rPr>
        <w:t>投标人或者其他利害关系人认为招标投标活动违反法律、法规和规章规定的，有权向相关行政监督部门投诉。投诉应当有明确的请求和必要的证明材料。</w:t>
      </w:r>
    </w:p>
    <w:p w14:paraId="0A60766D">
      <w:pPr>
        <w:adjustRightInd w:val="0"/>
        <w:snapToGrid w:val="0"/>
        <w:spacing w:line="420" w:lineRule="exact"/>
        <w:ind w:firstLine="315" w:firstLineChars="150"/>
        <w:rPr>
          <w:rFonts w:hint="eastAsia" w:ascii="宋体" w:hAnsi="Times New Roman" w:eastAsia="宋体" w:cs="Times New Roman"/>
          <w:kern w:val="10"/>
          <w:szCs w:val="21"/>
          <w:highlight w:val="none"/>
        </w:rPr>
      </w:pPr>
      <w:r>
        <w:rPr>
          <w:rFonts w:hint="eastAsia" w:ascii="宋体" w:hAnsi="Times New Roman" w:eastAsia="宋体" w:cs="Times New Roman"/>
          <w:kern w:val="10"/>
          <w:szCs w:val="21"/>
          <w:highlight w:val="none"/>
          <w:lang w:val="en-US" w:eastAsia="zh-CN"/>
        </w:rPr>
        <w:t>42.2</w:t>
      </w:r>
      <w:r>
        <w:rPr>
          <w:rFonts w:hint="eastAsia" w:ascii="宋体" w:hAnsi="宋体" w:cs="宋体"/>
          <w:color w:val="000000"/>
          <w:szCs w:val="21"/>
          <w:highlight w:val="none"/>
        </w:rPr>
        <w:t>投标人和其他利害关系人对招标文件、开标和评标结果事项投诉的，应当按照投标人须知的规定先向招标人提出异议。</w:t>
      </w:r>
      <w:r>
        <w:rPr>
          <w:rFonts w:hint="eastAsia" w:ascii="宋体" w:hAnsi="Times New Roman" w:eastAsia="宋体" w:cs="Times New Roman"/>
          <w:kern w:val="10"/>
          <w:szCs w:val="21"/>
          <w:highlight w:val="none"/>
        </w:rPr>
        <w:t>异议答复期间不计算在第</w:t>
      </w:r>
      <w:r>
        <w:rPr>
          <w:rFonts w:hint="eastAsia" w:ascii="宋体" w:hAnsi="Times New Roman" w:eastAsia="宋体" w:cs="Times New Roman"/>
          <w:kern w:val="10"/>
          <w:szCs w:val="21"/>
          <w:highlight w:val="none"/>
          <w:lang w:val="en-US" w:eastAsia="zh-CN"/>
        </w:rPr>
        <w:t>34.1</w:t>
      </w:r>
      <w:r>
        <w:rPr>
          <w:rFonts w:hint="eastAsia" w:ascii="宋体" w:hAnsi="Times New Roman" w:eastAsia="宋体" w:cs="Times New Roman"/>
          <w:kern w:val="10"/>
          <w:szCs w:val="21"/>
          <w:highlight w:val="none"/>
        </w:rPr>
        <w:t>项规定的期限内。</w:t>
      </w:r>
    </w:p>
    <w:p w14:paraId="142F723A">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sz w:val="30"/>
          <w:szCs w:val="30"/>
          <w:highlight w:val="none"/>
          <w:lang w:val="en-US"/>
        </w:rPr>
      </w:pPr>
      <w:r>
        <w:rPr>
          <w:rFonts w:hint="eastAsia" w:ascii="黑体" w:hAnsi="宋体" w:eastAsia="黑体" w:cs="黑体"/>
          <w:color w:val="000000"/>
          <w:kern w:val="0"/>
          <w:sz w:val="30"/>
          <w:szCs w:val="30"/>
          <w:highlight w:val="none"/>
          <w:u w:color="000000"/>
          <w:lang w:val="en-US" w:eastAsia="zh-CN" w:bidi="ar"/>
        </w:rPr>
        <w:t xml:space="preserve"> </w:t>
      </w:r>
    </w:p>
    <w:p w14:paraId="0B8E7AC4">
      <w:pPr>
        <w:rPr>
          <w:rFonts w:hint="eastAsia" w:ascii="宋体"/>
          <w:b/>
          <w:color w:val="auto"/>
          <w:sz w:val="32"/>
          <w:szCs w:val="32"/>
          <w:highlight w:val="none"/>
        </w:rPr>
      </w:pPr>
      <w:bookmarkStart w:id="42" w:name="_Toc14651"/>
      <w:bookmarkEnd w:id="42"/>
      <w:r>
        <w:rPr>
          <w:rFonts w:hint="eastAsia" w:ascii="宋体"/>
          <w:b/>
          <w:color w:val="auto"/>
          <w:sz w:val="32"/>
          <w:szCs w:val="32"/>
          <w:highlight w:val="none"/>
        </w:rPr>
        <w:br w:type="page"/>
      </w:r>
    </w:p>
    <w:p w14:paraId="6E62CBA6">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11B6E3AC">
      <w:pPr>
        <w:spacing w:before="156" w:beforeLines="50" w:after="156" w:afterLines="50" w:line="440" w:lineRule="exact"/>
        <w:jc w:val="center"/>
        <w:outlineLvl w:val="1"/>
        <w:rPr>
          <w:rFonts w:hint="eastAsia" w:ascii="宋体" w:hAnsi="Times New Roman" w:eastAsia="宋体" w:cs="Times New Roman"/>
          <w:b/>
          <w:color w:val="000000"/>
          <w:sz w:val="28"/>
          <w:szCs w:val="28"/>
          <w:highlight w:val="none"/>
        </w:rPr>
      </w:pPr>
      <w:r>
        <w:rPr>
          <w:rFonts w:hint="eastAsia" w:ascii="宋体" w:hAnsi="Times New Roman" w:eastAsia="宋体" w:cs="Times New Roman"/>
          <w:b/>
          <w:color w:val="000000"/>
          <w:sz w:val="28"/>
          <w:szCs w:val="28"/>
          <w:highlight w:val="none"/>
          <w:lang w:eastAsia="zh-CN"/>
        </w:rPr>
        <w:t>（</w:t>
      </w:r>
      <w:r>
        <w:rPr>
          <w:rFonts w:hint="eastAsia" w:ascii="宋体" w:hAnsi="Times New Roman" w:eastAsia="宋体" w:cs="Times New Roman"/>
          <w:b/>
          <w:color w:val="000000"/>
          <w:sz w:val="28"/>
          <w:szCs w:val="28"/>
          <w:highlight w:val="none"/>
          <w:lang w:val="en-US" w:eastAsia="zh-CN"/>
        </w:rPr>
        <w:t>一）</w:t>
      </w:r>
      <w:r>
        <w:rPr>
          <w:rFonts w:hint="eastAsia" w:ascii="宋体" w:hAnsi="Times New Roman" w:eastAsia="宋体" w:cs="Times New Roman"/>
          <w:b/>
          <w:color w:val="000000"/>
          <w:sz w:val="28"/>
          <w:szCs w:val="28"/>
          <w:highlight w:val="none"/>
        </w:rPr>
        <w:t>资格审查办法前附表</w:t>
      </w:r>
    </w:p>
    <w:p w14:paraId="21A1F2C1">
      <w:pPr>
        <w:adjustRightInd w:val="0"/>
        <w:snapToGrid w:val="0"/>
        <w:spacing w:line="560" w:lineRule="exact"/>
        <w:jc w:val="left"/>
        <w:rPr>
          <w:rFonts w:hint="eastAsia"/>
          <w:color w:val="auto"/>
          <w:szCs w:val="21"/>
          <w:highlight w:val="none"/>
        </w:rPr>
      </w:pPr>
      <w:r>
        <w:rPr>
          <w:rFonts w:hint="eastAsia"/>
          <w:color w:val="000000"/>
          <w:highlight w:val="none"/>
          <w:lang w:val="en-US" w:eastAsia="zh-CN"/>
        </w:rPr>
        <w:t>1.</w:t>
      </w:r>
      <w:r>
        <w:rPr>
          <w:rFonts w:hint="eastAsia"/>
          <w:color w:val="000000"/>
          <w:highlight w:val="none"/>
        </w:rPr>
        <w:t>资信证明文件评审</w:t>
      </w:r>
      <w:r>
        <w:rPr>
          <w:rFonts w:hint="eastAsia" w:ascii="宋体"/>
          <w:b/>
          <w:color w:val="auto"/>
          <w:szCs w:val="21"/>
          <w:highlight w:val="none"/>
        </w:rPr>
        <w:t>:</w:t>
      </w:r>
    </w:p>
    <w:tbl>
      <w:tblPr>
        <w:tblStyle w:val="2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982"/>
        <w:gridCol w:w="2955"/>
      </w:tblGrid>
      <w:tr w14:paraId="7674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0ED38C1D">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黑体" w:eastAsia="黑体" w:cs="黑体"/>
                <w:b/>
                <w:bCs/>
                <w:color w:val="000000"/>
                <w:szCs w:val="21"/>
                <w:highlight w:val="none"/>
              </w:rPr>
              <w:t>序号</w:t>
            </w:r>
          </w:p>
        </w:tc>
        <w:tc>
          <w:tcPr>
            <w:tcW w:w="5217" w:type="dxa"/>
            <w:gridSpan w:val="2"/>
            <w:noWrap w:val="0"/>
            <w:vAlign w:val="center"/>
          </w:tcPr>
          <w:p w14:paraId="02213DD0">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评审因素</w:t>
            </w:r>
          </w:p>
        </w:tc>
        <w:tc>
          <w:tcPr>
            <w:tcW w:w="2955" w:type="dxa"/>
            <w:noWrap w:val="0"/>
            <w:vAlign w:val="center"/>
          </w:tcPr>
          <w:p w14:paraId="24C5EE5C">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评审标准</w:t>
            </w:r>
          </w:p>
        </w:tc>
      </w:tr>
      <w:tr w14:paraId="242F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4142D00E">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1</w:t>
            </w:r>
          </w:p>
        </w:tc>
        <w:tc>
          <w:tcPr>
            <w:tcW w:w="1235" w:type="dxa"/>
            <w:noWrap w:val="0"/>
            <w:vAlign w:val="center"/>
          </w:tcPr>
          <w:p w14:paraId="2CC03E10">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color w:val="000000"/>
                <w:szCs w:val="21"/>
                <w:highlight w:val="none"/>
              </w:rPr>
              <w:t>重要要求</w:t>
            </w:r>
          </w:p>
        </w:tc>
        <w:tc>
          <w:tcPr>
            <w:tcW w:w="3982" w:type="dxa"/>
            <w:noWrap w:val="0"/>
            <w:vAlign w:val="center"/>
          </w:tcPr>
          <w:p w14:paraId="74F25172">
            <w:pPr>
              <w:keepNext w:val="0"/>
              <w:keepLines w:val="0"/>
              <w:suppressLineNumbers w:val="0"/>
              <w:spacing w:before="0" w:beforeAutospacing="0" w:after="0" w:afterAutospacing="0" w:line="320" w:lineRule="exact"/>
              <w:ind w:left="0" w:leftChars="0" w:right="0" w:rightChars="0"/>
              <w:jc w:val="left"/>
              <w:rPr>
                <w:rFonts w:hint="eastAsia" w:ascii="宋体" w:hAnsi="宋体"/>
                <w:color w:val="000000"/>
                <w:szCs w:val="21"/>
                <w:highlight w:val="none"/>
              </w:rPr>
            </w:pPr>
            <w:r>
              <w:rPr>
                <w:rFonts w:hint="eastAsia" w:asciiTheme="majorEastAsia" w:hAnsiTheme="majorEastAsia" w:eastAsiaTheme="majorEastAsia" w:cstheme="majorEastAsia"/>
                <w:color w:val="000000"/>
                <w:szCs w:val="21"/>
                <w:highlight w:val="none"/>
              </w:rPr>
              <w:t>（1）法定代表人身份证明和本人有效身份证(或法定代表人授权委托书和委托代理人有效身份证)</w:t>
            </w:r>
          </w:p>
        </w:tc>
        <w:tc>
          <w:tcPr>
            <w:tcW w:w="2955" w:type="dxa"/>
            <w:noWrap w:val="0"/>
            <w:vAlign w:val="center"/>
          </w:tcPr>
          <w:p w14:paraId="24E97106">
            <w:pPr>
              <w:keepNext w:val="0"/>
              <w:keepLines w:val="0"/>
              <w:suppressLineNumbers w:val="0"/>
              <w:spacing w:before="0" w:beforeAutospacing="0" w:after="0" w:afterAutospacing="0" w:line="320" w:lineRule="exact"/>
              <w:ind w:left="0" w:leftChars="0" w:right="0" w:rightChars="0"/>
              <w:jc w:val="left"/>
              <w:rPr>
                <w:rFonts w:hint="eastAsia" w:ascii="宋体" w:hAnsi="宋体"/>
                <w:color w:val="000000"/>
                <w:szCs w:val="21"/>
                <w:highlight w:val="none"/>
              </w:rPr>
            </w:pPr>
            <w:r>
              <w:rPr>
                <w:rFonts w:hint="eastAsia" w:asciiTheme="majorEastAsia" w:hAnsiTheme="majorEastAsia" w:eastAsiaTheme="majorEastAsia" w:cstheme="majorEastAsia"/>
                <w:color w:val="000000"/>
                <w:szCs w:val="21"/>
                <w:highlight w:val="none"/>
              </w:rPr>
              <w:t>现场查验</w:t>
            </w:r>
            <w:r>
              <w:rPr>
                <w:rFonts w:hint="eastAsia" w:asciiTheme="majorEastAsia" w:hAnsiTheme="majorEastAsia" w:eastAsiaTheme="majorEastAsia" w:cstheme="majorEastAsia"/>
                <w:color w:val="000000"/>
                <w:szCs w:val="21"/>
                <w:highlight w:val="none"/>
                <w:lang w:eastAsia="zh-CN"/>
              </w:rPr>
              <w:t>（</w:t>
            </w:r>
            <w:r>
              <w:rPr>
                <w:rFonts w:hint="eastAsia" w:asciiTheme="majorEastAsia" w:hAnsiTheme="majorEastAsia" w:eastAsiaTheme="majorEastAsia" w:cstheme="majorEastAsia"/>
                <w:color w:val="000000"/>
                <w:szCs w:val="21"/>
                <w:highlight w:val="none"/>
                <w:lang w:val="en-US" w:eastAsia="zh-CN"/>
              </w:rPr>
              <w:t>手持或密封于投标文件中均视为携带</w:t>
            </w:r>
            <w:r>
              <w:rPr>
                <w:rFonts w:hint="eastAsia" w:asciiTheme="majorEastAsia" w:hAnsiTheme="majorEastAsia" w:eastAsiaTheme="majorEastAsia" w:cstheme="majorEastAsia"/>
                <w:color w:val="000000"/>
                <w:szCs w:val="21"/>
                <w:highlight w:val="none"/>
                <w:lang w:eastAsia="zh-CN"/>
              </w:rPr>
              <w:t>）</w:t>
            </w:r>
            <w:r>
              <w:rPr>
                <w:rFonts w:hint="eastAsia" w:asciiTheme="majorEastAsia" w:hAnsiTheme="majorEastAsia" w:eastAsiaTheme="majorEastAsia" w:cstheme="majorEastAsia"/>
                <w:color w:val="000000"/>
                <w:szCs w:val="21"/>
                <w:highlight w:val="none"/>
              </w:rPr>
              <w:t>。</w:t>
            </w:r>
          </w:p>
        </w:tc>
      </w:tr>
      <w:tr w14:paraId="07E7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5FE6DF98">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2</w:t>
            </w:r>
          </w:p>
        </w:tc>
        <w:tc>
          <w:tcPr>
            <w:tcW w:w="1235" w:type="dxa"/>
            <w:vMerge w:val="restart"/>
            <w:noWrap w:val="0"/>
            <w:vAlign w:val="center"/>
          </w:tcPr>
          <w:p w14:paraId="64317996">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ascii="宋体" w:hAnsi="宋体"/>
                <w:color w:val="000000"/>
                <w:szCs w:val="21"/>
                <w:highlight w:val="none"/>
              </w:rPr>
              <w:t>投标人应符合的基本资格条件</w:t>
            </w:r>
          </w:p>
        </w:tc>
        <w:tc>
          <w:tcPr>
            <w:tcW w:w="3982" w:type="dxa"/>
            <w:noWrap w:val="0"/>
            <w:vAlign w:val="center"/>
          </w:tcPr>
          <w:p w14:paraId="74E758FF">
            <w:pPr>
              <w:keepNext w:val="0"/>
              <w:keepLines w:val="0"/>
              <w:suppressLineNumbers w:val="0"/>
              <w:spacing w:before="0" w:beforeAutospacing="0" w:after="0" w:afterAutospacing="0" w:line="320" w:lineRule="exact"/>
              <w:ind w:left="0" w:right="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rPr>
              <w:t>）具有独立承担民事责任的能力</w:t>
            </w:r>
          </w:p>
        </w:tc>
        <w:tc>
          <w:tcPr>
            <w:tcW w:w="2955" w:type="dxa"/>
            <w:noWrap w:val="0"/>
            <w:vAlign w:val="center"/>
          </w:tcPr>
          <w:p w14:paraId="62C8C87C">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ascii="宋体"/>
                <w:b/>
                <w:color w:val="000000"/>
                <w:szCs w:val="21"/>
                <w:highlight w:val="none"/>
              </w:rPr>
              <w:t>评审核验标书中的下列证书、证明材料：</w:t>
            </w:r>
          </w:p>
          <w:p w14:paraId="6E652FF8">
            <w:pPr>
              <w:keepNext w:val="0"/>
              <w:keepLines w:val="0"/>
              <w:suppressLineNumbers w:val="0"/>
              <w:spacing w:before="0" w:beforeAutospacing="0" w:after="0" w:afterAutospacing="0" w:line="320" w:lineRule="exact"/>
              <w:ind w:left="0" w:right="0"/>
              <w:rPr>
                <w:rFonts w:hint="eastAsia" w:ascii="宋体" w:eastAsiaTheme="minorEastAsia"/>
                <w:color w:val="000000"/>
                <w:szCs w:val="21"/>
                <w:highlight w:val="none"/>
                <w:lang w:val="en-US" w:eastAsia="zh-CN"/>
              </w:rPr>
            </w:pPr>
            <w:r>
              <w:rPr>
                <w:rFonts w:hint="eastAsia" w:ascii="宋体"/>
                <w:color w:val="000000"/>
                <w:szCs w:val="21"/>
                <w:highlight w:val="none"/>
              </w:rPr>
              <w:t>投标人有效的营业执照、税务登记证、组织机构码证（或“三证合一证书”）</w:t>
            </w:r>
          </w:p>
        </w:tc>
      </w:tr>
      <w:tr w14:paraId="3882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348FE43F">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5E1F9707">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982" w:type="dxa"/>
            <w:noWrap w:val="0"/>
            <w:vAlign w:val="center"/>
          </w:tcPr>
          <w:p w14:paraId="749C11B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3</w:t>
            </w:r>
            <w:r>
              <w:rPr>
                <w:rFonts w:hint="eastAsia" w:ascii="宋体" w:hAnsi="宋体" w:eastAsia="宋体" w:cs="Times New Roman"/>
                <w:color w:val="000000"/>
                <w:szCs w:val="21"/>
                <w:highlight w:val="none"/>
              </w:rPr>
              <w:t>）诚信投标承诺书</w:t>
            </w:r>
          </w:p>
        </w:tc>
        <w:tc>
          <w:tcPr>
            <w:tcW w:w="2955" w:type="dxa"/>
            <w:noWrap w:val="0"/>
            <w:vAlign w:val="center"/>
          </w:tcPr>
          <w:p w14:paraId="5819498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b/>
                <w:color w:val="000000"/>
                <w:szCs w:val="21"/>
                <w:highlight w:val="none"/>
              </w:rPr>
            </w:pPr>
            <w:r>
              <w:rPr>
                <w:rFonts w:hint="eastAsia"/>
                <w:color w:val="000000"/>
                <w:highlight w:val="none"/>
              </w:rPr>
              <w:t>格式见附件，检验电子标书</w:t>
            </w:r>
          </w:p>
        </w:tc>
      </w:tr>
      <w:tr w14:paraId="131E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21EA3A5C">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6F12724F">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982" w:type="dxa"/>
            <w:noWrap w:val="0"/>
            <w:vAlign w:val="center"/>
          </w:tcPr>
          <w:p w14:paraId="33A1BAE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4</w:t>
            </w: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服务承诺书</w:t>
            </w:r>
          </w:p>
        </w:tc>
        <w:tc>
          <w:tcPr>
            <w:tcW w:w="2955" w:type="dxa"/>
            <w:noWrap w:val="0"/>
            <w:vAlign w:val="center"/>
          </w:tcPr>
          <w:p w14:paraId="3C700C1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color w:val="000000"/>
                <w:szCs w:val="21"/>
                <w:highlight w:val="none"/>
              </w:rPr>
            </w:pPr>
            <w:r>
              <w:rPr>
                <w:rFonts w:hint="eastAsia"/>
                <w:color w:val="000000"/>
                <w:highlight w:val="none"/>
              </w:rPr>
              <w:t>格式见附件，检验电子标书</w:t>
            </w:r>
          </w:p>
        </w:tc>
      </w:tr>
    </w:tbl>
    <w:p w14:paraId="31B1DE6B">
      <w:pPr>
        <w:adjustRightInd w:val="0"/>
        <w:snapToGrid w:val="0"/>
        <w:spacing w:line="560" w:lineRule="exact"/>
        <w:jc w:val="left"/>
        <w:rPr>
          <w:rFonts w:hint="eastAsia" w:ascii="Times New Roman" w:hAnsi="Times New Roman" w:eastAsia="宋体" w:cs="Times New Roman"/>
          <w:color w:val="000000"/>
          <w:highlight w:val="none"/>
        </w:rPr>
      </w:pPr>
      <w:bookmarkStart w:id="43" w:name="_Toc506107320"/>
      <w:bookmarkStart w:id="44" w:name="_Toc15058909"/>
      <w:bookmarkStart w:id="45" w:name="_Toc95223395"/>
      <w:bookmarkStart w:id="46" w:name="_Toc60061492"/>
      <w:r>
        <w:rPr>
          <w:rFonts w:hint="eastAsia" w:ascii="Times New Roman" w:hAnsi="Times New Roman" w:eastAsia="宋体" w:cs="Times New Roman"/>
          <w:color w:val="000000"/>
          <w:highlight w:val="none"/>
        </w:rPr>
        <w:t>2.审查办法</w:t>
      </w:r>
      <w:bookmarkEnd w:id="43"/>
      <w:bookmarkEnd w:id="44"/>
      <w:bookmarkEnd w:id="45"/>
      <w:bookmarkEnd w:id="46"/>
    </w:p>
    <w:p w14:paraId="4CD287D7">
      <w:pPr>
        <w:adjustRightInd w:val="0"/>
        <w:snapToGrid w:val="0"/>
        <w:spacing w:line="560" w:lineRule="exact"/>
        <w:jc w:val="left"/>
        <w:rPr>
          <w:rFonts w:hint="eastAsia" w:ascii="Times New Roman" w:hAnsi="Times New Roman" w:eastAsia="宋体" w:cs="Times New Roman"/>
          <w:color w:val="000000"/>
          <w:highlight w:val="none"/>
        </w:rPr>
      </w:pPr>
      <w:bookmarkStart w:id="47" w:name="_Toc60061493"/>
      <w:bookmarkStart w:id="48" w:name="_Toc15058910"/>
      <w:bookmarkStart w:id="49" w:name="_Toc324404868"/>
      <w:bookmarkStart w:id="50" w:name="_Toc506107321"/>
      <w:r>
        <w:rPr>
          <w:rFonts w:hint="eastAsia" w:ascii="Times New Roman" w:hAnsi="Times New Roman" w:eastAsia="宋体" w:cs="Times New Roman"/>
          <w:color w:val="000000"/>
          <w:highlight w:val="none"/>
        </w:rPr>
        <w:t>由资格审查委员会（评标委员会）按资格审查办法前附表中资格审查必要合格条件评审表要求对投标人审查资料进行核验。</w:t>
      </w:r>
    </w:p>
    <w:p w14:paraId="6C5603DF">
      <w:pPr>
        <w:adjustRightInd w:val="0"/>
        <w:snapToGrid w:val="0"/>
        <w:spacing w:line="560" w:lineRule="exact"/>
        <w:jc w:val="left"/>
        <w:rPr>
          <w:rFonts w:hint="eastAsia" w:ascii="Times New Roman" w:hAnsi="Times New Roman" w:eastAsia="宋体" w:cs="Times New Roman"/>
          <w:color w:val="000000"/>
          <w:highlight w:val="none"/>
        </w:rPr>
      </w:pPr>
      <w:bookmarkStart w:id="51" w:name="_Toc95223396"/>
      <w:r>
        <w:rPr>
          <w:rFonts w:hint="eastAsia" w:ascii="Times New Roman" w:hAnsi="Times New Roman" w:eastAsia="宋体" w:cs="Times New Roman"/>
          <w:color w:val="000000"/>
          <w:highlight w:val="none"/>
        </w:rPr>
        <w:t>3.资格审查委员会和审查标准</w:t>
      </w:r>
      <w:bookmarkEnd w:id="47"/>
      <w:bookmarkEnd w:id="48"/>
      <w:bookmarkEnd w:id="49"/>
      <w:bookmarkEnd w:id="50"/>
      <w:bookmarkEnd w:id="51"/>
    </w:p>
    <w:p w14:paraId="24B22249">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3.1资格审查由招标人依法组建的资格审查委员会（或评标委员会）负责。审查标准见资格审查办法前附表。</w:t>
      </w:r>
    </w:p>
    <w:p w14:paraId="3168B197">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 xml:space="preserve">3.2由资格审查委员会（评标委员会）按资格审查办法前附表要求对投标人的审查资料进行核验。投标申请人有下列情形之一的，其资格审查为不合格： </w:t>
      </w:r>
    </w:p>
    <w:p w14:paraId="75B4F1F4">
      <w:pPr>
        <w:adjustRightInd w:val="0"/>
        <w:snapToGrid w:val="0"/>
        <w:spacing w:line="560" w:lineRule="exact"/>
        <w:jc w:val="left"/>
        <w:rPr>
          <w:rFonts w:hint="eastAsia" w:asciiTheme="majorEastAsia" w:hAnsiTheme="majorEastAsia" w:eastAsiaTheme="majorEastAsia" w:cstheme="majorEastAsia"/>
          <w:color w:val="000000"/>
          <w:highlight w:val="none"/>
        </w:rPr>
      </w:pPr>
      <w:r>
        <w:rPr>
          <w:rFonts w:hint="eastAsia" w:asciiTheme="majorEastAsia" w:hAnsiTheme="majorEastAsia" w:eastAsiaTheme="majorEastAsia" w:cstheme="majorEastAsia"/>
          <w:color w:val="000000"/>
          <w:highlight w:val="none"/>
        </w:rPr>
        <w:t>（1）不能按要求提供证明材料或证明材料经审查不合格；</w:t>
      </w:r>
    </w:p>
    <w:p w14:paraId="2EBC3609">
      <w:pPr>
        <w:adjustRightInd w:val="0"/>
        <w:snapToGrid w:val="0"/>
        <w:spacing w:line="560" w:lineRule="exact"/>
        <w:jc w:val="left"/>
        <w:rPr>
          <w:rFonts w:hint="eastAsia" w:ascii="Times New Roman" w:hAnsi="Times New Roman" w:cs="Times New Roman" w:eastAsiaTheme="majorEastAsia"/>
          <w:color w:val="000000"/>
          <w:highlight w:val="none"/>
          <w:lang w:eastAsia="zh-CN"/>
        </w:rPr>
      </w:pPr>
      <w:r>
        <w:rPr>
          <w:rFonts w:hint="eastAsia" w:asciiTheme="majorEastAsia" w:hAnsiTheme="majorEastAsia" w:eastAsiaTheme="majorEastAsia" w:cstheme="majorEastAsia"/>
          <w:color w:val="000000"/>
          <w:highlight w:val="none"/>
        </w:rPr>
        <w:t>（2）法律、法规规定的其他情形</w:t>
      </w:r>
      <w:r>
        <w:rPr>
          <w:rFonts w:hint="eastAsia" w:asciiTheme="majorEastAsia" w:hAnsiTheme="majorEastAsia" w:eastAsiaTheme="majorEastAsia" w:cstheme="majorEastAsia"/>
          <w:color w:val="000000"/>
          <w:highlight w:val="none"/>
          <w:lang w:eastAsia="zh-CN"/>
        </w:rPr>
        <w:t>。</w:t>
      </w:r>
    </w:p>
    <w:p w14:paraId="618FC07D">
      <w:pPr>
        <w:adjustRightInd w:val="0"/>
        <w:snapToGrid w:val="0"/>
        <w:spacing w:line="560" w:lineRule="exact"/>
        <w:jc w:val="left"/>
        <w:rPr>
          <w:rFonts w:hint="eastAsia" w:ascii="Times New Roman" w:hAnsi="Times New Roman" w:eastAsia="宋体" w:cs="Times New Roman"/>
          <w:color w:val="000000"/>
          <w:highlight w:val="none"/>
        </w:rPr>
      </w:pPr>
      <w:bookmarkStart w:id="52" w:name="_Toc60061494"/>
      <w:bookmarkStart w:id="53" w:name="_Toc15058911"/>
      <w:bookmarkStart w:id="54" w:name="_Toc324404869"/>
      <w:bookmarkStart w:id="55" w:name="_Toc95223397"/>
      <w:bookmarkStart w:id="56" w:name="_Toc506107322"/>
      <w:r>
        <w:rPr>
          <w:rFonts w:hint="eastAsia" w:ascii="Times New Roman" w:hAnsi="Times New Roman" w:eastAsia="宋体" w:cs="Times New Roman"/>
          <w:color w:val="000000"/>
          <w:highlight w:val="none"/>
        </w:rPr>
        <w:t>4.审查结果</w:t>
      </w:r>
      <w:bookmarkEnd w:id="52"/>
      <w:bookmarkEnd w:id="53"/>
      <w:bookmarkEnd w:id="54"/>
      <w:bookmarkEnd w:id="55"/>
      <w:bookmarkEnd w:id="56"/>
    </w:p>
    <w:p w14:paraId="1C77B254">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只有通过资格审查的投标人才能进入下一步的评标程序。</w:t>
      </w:r>
    </w:p>
    <w:p w14:paraId="05160832">
      <w:pPr>
        <w:rPr>
          <w:rFonts w:hint="eastAsia" w:ascii="宋体" w:hAnsi="宋体" w:eastAsia="宋体" w:cs="宋体"/>
          <w:b/>
          <w:bCs/>
          <w:color w:val="000000"/>
          <w:kern w:val="0"/>
          <w:sz w:val="28"/>
          <w:szCs w:val="28"/>
          <w:highlight w:val="none"/>
          <w:u w:color="000000"/>
          <w:lang w:val="en-US" w:eastAsia="zh-CN" w:bidi="ar"/>
        </w:rPr>
      </w:pPr>
      <w:r>
        <w:rPr>
          <w:rFonts w:hint="eastAsia" w:ascii="宋体" w:hAnsi="宋体" w:eastAsia="宋体" w:cs="宋体"/>
          <w:b/>
          <w:bCs/>
          <w:color w:val="000000"/>
          <w:kern w:val="0"/>
          <w:sz w:val="28"/>
          <w:szCs w:val="28"/>
          <w:highlight w:val="none"/>
          <w:u w:color="000000"/>
          <w:lang w:val="en-US" w:eastAsia="zh-CN" w:bidi="ar"/>
        </w:rPr>
        <w:br w:type="page"/>
      </w:r>
    </w:p>
    <w:p w14:paraId="1AF7DE05">
      <w:pPr>
        <w:adjustRightInd w:val="0"/>
        <w:snapToGrid w:val="0"/>
        <w:spacing w:line="560" w:lineRule="exact"/>
        <w:jc w:val="center"/>
        <w:rPr>
          <w:rFonts w:hint="default" w:ascii="宋体" w:hAnsi="宋体" w:eastAsia="宋体" w:cs="宋体"/>
          <w:b/>
          <w:bCs/>
          <w:sz w:val="28"/>
          <w:szCs w:val="28"/>
          <w:highlight w:val="none"/>
          <w:lang w:val="en-US"/>
        </w:rPr>
      </w:pPr>
      <w:r>
        <w:rPr>
          <w:rFonts w:hint="eastAsia" w:ascii="宋体" w:hAnsi="宋体" w:eastAsia="宋体" w:cs="宋体"/>
          <w:b/>
          <w:bCs/>
          <w:color w:val="000000"/>
          <w:kern w:val="0"/>
          <w:sz w:val="28"/>
          <w:szCs w:val="28"/>
          <w:highlight w:val="none"/>
          <w:u w:color="000000"/>
          <w:lang w:val="en-US" w:eastAsia="zh-CN" w:bidi="ar"/>
        </w:rPr>
        <w:t xml:space="preserve">第四章  </w:t>
      </w:r>
      <w:r>
        <w:rPr>
          <w:rFonts w:hint="eastAsia" w:ascii="宋体" w:hAnsi="宋体" w:eastAsia="宋体" w:cs="宋体"/>
          <w:b/>
          <w:bCs w:val="0"/>
          <w:color w:val="000000"/>
          <w:kern w:val="44"/>
          <w:sz w:val="28"/>
          <w:szCs w:val="28"/>
          <w:highlight w:val="none"/>
          <w:u w:color="000000"/>
          <w:lang w:val="en-US" w:eastAsia="zh-CN" w:bidi="ar"/>
        </w:rPr>
        <w:t>评标办法</w:t>
      </w:r>
    </w:p>
    <w:p w14:paraId="5E007DF5">
      <w:pPr>
        <w:adjustRightInd w:val="0"/>
        <w:snapToGrid w:val="0"/>
        <w:spacing w:line="420" w:lineRule="exact"/>
        <w:ind w:firstLine="316" w:firstLineChars="150"/>
        <w:rPr>
          <w:rFonts w:ascii="宋体" w:hAnsi="宋体" w:cs="宋体"/>
          <w:b/>
          <w:bCs/>
          <w:color w:val="000000"/>
          <w:szCs w:val="21"/>
          <w:highlight w:val="none"/>
        </w:rPr>
      </w:pPr>
      <w:bookmarkStart w:id="57" w:name="_Toc23254"/>
      <w:bookmarkEnd w:id="57"/>
      <w:bookmarkStart w:id="58" w:name="_Toc10907_WPSOffice_Level3"/>
      <w:r>
        <w:rPr>
          <w:rFonts w:hint="eastAsia" w:ascii="宋体" w:hAnsi="宋体" w:cs="宋体"/>
          <w:b/>
          <w:bCs/>
          <w:color w:val="000000"/>
          <w:szCs w:val="21"/>
          <w:highlight w:val="none"/>
        </w:rPr>
        <w:t>1.中标候选人的确定</w:t>
      </w:r>
    </w:p>
    <w:p w14:paraId="6E0E6ACF">
      <w:pPr>
        <w:adjustRightInd w:val="0"/>
        <w:snapToGrid w:val="0"/>
        <w:spacing w:line="420" w:lineRule="exact"/>
        <w:ind w:firstLine="315" w:firstLineChars="150"/>
        <w:rPr>
          <w:rFonts w:ascii="宋体" w:hAnsi="宋体" w:cs="宋体"/>
          <w:color w:val="000000"/>
          <w:szCs w:val="21"/>
          <w:highlight w:val="none"/>
        </w:rPr>
      </w:pPr>
      <w:r>
        <w:rPr>
          <w:rFonts w:hint="eastAsia" w:ascii="宋体" w:hAnsi="宋体" w:cs="宋体"/>
          <w:color w:val="000000"/>
          <w:szCs w:val="21"/>
          <w:highlight w:val="none"/>
        </w:rPr>
        <w:t>评标委员会对投标人依次进行资信、技术、商务文件审查，对均满足要求的投标人进行各项评审因素打分，合计的总得分按照从高到低进行排序，总得分第一的投标人为第一中标候选人。如总得分相等，以投标报价低的优先，投标报价仍相等，由招标人随机抽取确定排名。</w:t>
      </w:r>
    </w:p>
    <w:p w14:paraId="631CB9AA">
      <w:pPr>
        <w:adjustRightInd w:val="0"/>
        <w:snapToGrid w:val="0"/>
        <w:spacing w:line="420" w:lineRule="exact"/>
        <w:ind w:firstLine="316" w:firstLineChars="150"/>
        <w:rPr>
          <w:rFonts w:ascii="宋体" w:hAnsi="宋体" w:cs="宋体"/>
          <w:color w:val="000000"/>
          <w:szCs w:val="21"/>
          <w:highlight w:val="none"/>
        </w:rPr>
      </w:pPr>
      <w:r>
        <w:rPr>
          <w:rFonts w:hint="eastAsia" w:ascii="宋体" w:hAnsi="宋体" w:cs="宋体"/>
          <w:b/>
          <w:bCs/>
          <w:color w:val="000000"/>
          <w:szCs w:val="21"/>
          <w:highlight w:val="none"/>
        </w:rPr>
        <w:t>2.资信标评审（</w:t>
      </w:r>
      <w:r>
        <w:rPr>
          <w:rFonts w:hint="eastAsia" w:ascii="宋体" w:hAnsi="宋体" w:cs="宋体"/>
          <w:b/>
          <w:bCs/>
          <w:color w:val="000000"/>
          <w:szCs w:val="21"/>
          <w:highlight w:val="none"/>
          <w:lang w:val="en-US" w:eastAsia="zh-CN"/>
        </w:rPr>
        <w:t>40</w:t>
      </w:r>
      <w:r>
        <w:rPr>
          <w:rFonts w:hint="eastAsia" w:ascii="宋体" w:hAnsi="宋体" w:cs="宋体"/>
          <w:b/>
          <w:bCs/>
          <w:color w:val="000000"/>
          <w:szCs w:val="21"/>
          <w:highlight w:val="none"/>
        </w:rPr>
        <w:t>分）</w:t>
      </w:r>
    </w:p>
    <w:tbl>
      <w:tblPr>
        <w:tblStyle w:val="26"/>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315"/>
        <w:gridCol w:w="739"/>
        <w:gridCol w:w="5615"/>
        <w:gridCol w:w="1607"/>
      </w:tblGrid>
      <w:tr w14:paraId="23C0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7A3559B7">
            <w:pPr>
              <w:keepNext w:val="0"/>
              <w:keepLines w:val="0"/>
              <w:suppressLineNumbers w:val="0"/>
              <w:spacing w:before="0" w:beforeAutospacing="0" w:after="0" w:afterAutospacing="0" w:line="300" w:lineRule="exact"/>
              <w:ind w:left="0" w:right="0"/>
              <w:jc w:val="center"/>
              <w:rPr>
                <w:rFonts w:hint="default" w:ascii="宋体" w:hAnsi="宋体" w:cs="宋体"/>
                <w:b/>
                <w:bCs/>
                <w:szCs w:val="21"/>
                <w:highlight w:val="none"/>
              </w:rPr>
            </w:pPr>
            <w:r>
              <w:rPr>
                <w:rFonts w:hint="eastAsia" w:ascii="宋体" w:hAnsi="宋体" w:cs="宋体"/>
                <w:b/>
                <w:bCs/>
                <w:szCs w:val="21"/>
                <w:highlight w:val="none"/>
              </w:rPr>
              <w:t>序号</w:t>
            </w:r>
          </w:p>
        </w:tc>
        <w:tc>
          <w:tcPr>
            <w:tcW w:w="1315" w:type="dxa"/>
            <w:vAlign w:val="center"/>
          </w:tcPr>
          <w:p w14:paraId="0B199D6B">
            <w:pPr>
              <w:keepNext w:val="0"/>
              <w:keepLines w:val="0"/>
              <w:suppressLineNumbers w:val="0"/>
              <w:spacing w:before="0" w:beforeAutospacing="0" w:after="0" w:afterAutospacing="0" w:line="300" w:lineRule="exact"/>
              <w:ind w:left="0" w:right="0"/>
              <w:jc w:val="center"/>
              <w:rPr>
                <w:rFonts w:hint="default" w:ascii="宋体" w:hAnsi="宋体" w:cs="宋体"/>
                <w:b/>
                <w:bCs/>
                <w:szCs w:val="21"/>
                <w:highlight w:val="none"/>
              </w:rPr>
            </w:pPr>
            <w:r>
              <w:rPr>
                <w:rFonts w:hint="eastAsia" w:ascii="宋体" w:hAnsi="宋体" w:cs="宋体"/>
                <w:b/>
                <w:bCs/>
                <w:szCs w:val="21"/>
                <w:highlight w:val="none"/>
              </w:rPr>
              <w:t>评分因素</w:t>
            </w:r>
          </w:p>
        </w:tc>
        <w:tc>
          <w:tcPr>
            <w:tcW w:w="739" w:type="dxa"/>
            <w:vAlign w:val="center"/>
          </w:tcPr>
          <w:p w14:paraId="0C2C6F78">
            <w:pPr>
              <w:keepNext w:val="0"/>
              <w:keepLines w:val="0"/>
              <w:suppressLineNumbers w:val="0"/>
              <w:spacing w:before="0" w:beforeAutospacing="0" w:after="0" w:afterAutospacing="0" w:line="300" w:lineRule="exact"/>
              <w:ind w:left="0" w:right="0"/>
              <w:jc w:val="center"/>
              <w:rPr>
                <w:rFonts w:hint="default" w:ascii="宋体" w:hAnsi="宋体" w:cs="宋体"/>
                <w:b/>
                <w:bCs/>
                <w:szCs w:val="21"/>
                <w:highlight w:val="none"/>
              </w:rPr>
            </w:pPr>
            <w:r>
              <w:rPr>
                <w:rFonts w:hint="eastAsia" w:ascii="宋体" w:hAnsi="宋体" w:cs="宋体"/>
                <w:b/>
                <w:bCs/>
                <w:szCs w:val="21"/>
                <w:highlight w:val="none"/>
              </w:rPr>
              <w:t>分值</w:t>
            </w:r>
          </w:p>
        </w:tc>
        <w:tc>
          <w:tcPr>
            <w:tcW w:w="5615" w:type="dxa"/>
            <w:vAlign w:val="center"/>
          </w:tcPr>
          <w:p w14:paraId="16A2684D">
            <w:pPr>
              <w:keepNext w:val="0"/>
              <w:keepLines w:val="0"/>
              <w:suppressLineNumbers w:val="0"/>
              <w:spacing w:before="0" w:beforeAutospacing="0" w:after="0" w:afterAutospacing="0" w:line="300" w:lineRule="exact"/>
              <w:ind w:left="0" w:right="0"/>
              <w:jc w:val="center"/>
              <w:rPr>
                <w:rFonts w:hint="default" w:ascii="宋体" w:hAnsi="宋体" w:cs="宋体"/>
                <w:b/>
                <w:bCs/>
                <w:szCs w:val="21"/>
                <w:highlight w:val="none"/>
              </w:rPr>
            </w:pPr>
            <w:r>
              <w:rPr>
                <w:rFonts w:hint="eastAsia" w:ascii="宋体" w:hAnsi="宋体" w:cs="宋体"/>
                <w:b/>
                <w:bCs/>
                <w:szCs w:val="21"/>
                <w:highlight w:val="none"/>
              </w:rPr>
              <w:t>评审细则</w:t>
            </w:r>
          </w:p>
        </w:tc>
        <w:tc>
          <w:tcPr>
            <w:tcW w:w="1607" w:type="dxa"/>
            <w:vAlign w:val="center"/>
          </w:tcPr>
          <w:p w14:paraId="5834ED2D">
            <w:pPr>
              <w:keepNext w:val="0"/>
              <w:keepLines w:val="0"/>
              <w:suppressLineNumbers w:val="0"/>
              <w:spacing w:before="0" w:beforeAutospacing="0" w:after="0" w:afterAutospacing="0" w:line="300" w:lineRule="exact"/>
              <w:ind w:left="0" w:right="0"/>
              <w:jc w:val="center"/>
              <w:rPr>
                <w:rFonts w:hint="default" w:ascii="宋体" w:hAnsi="宋体" w:cs="宋体"/>
                <w:b/>
                <w:bCs/>
                <w:szCs w:val="21"/>
                <w:highlight w:val="none"/>
              </w:rPr>
            </w:pPr>
            <w:r>
              <w:rPr>
                <w:rFonts w:hint="eastAsia" w:ascii="宋体" w:hAnsi="宋体"/>
                <w:b/>
                <w:bCs/>
                <w:szCs w:val="21"/>
                <w:highlight w:val="none"/>
              </w:rPr>
              <w:t>须提供的证明材料</w:t>
            </w:r>
          </w:p>
        </w:tc>
      </w:tr>
      <w:tr w14:paraId="6A2B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0" w:hRule="atLeast"/>
          <w:jc w:val="center"/>
        </w:trPr>
        <w:tc>
          <w:tcPr>
            <w:tcW w:w="699" w:type="dxa"/>
            <w:vAlign w:val="center"/>
          </w:tcPr>
          <w:p w14:paraId="5854AF10">
            <w:pPr>
              <w:keepNext w:val="0"/>
              <w:keepLines w:val="0"/>
              <w:suppressLineNumbers w:val="0"/>
              <w:spacing w:before="0" w:beforeAutospacing="0" w:after="0" w:afterAutospacing="0" w:line="300" w:lineRule="exact"/>
              <w:ind w:left="0" w:right="0" w:firstLine="28"/>
              <w:jc w:val="center"/>
              <w:rPr>
                <w:rFonts w:hint="default" w:ascii="宋体" w:hAnsi="宋体"/>
                <w:szCs w:val="21"/>
                <w:highlight w:val="none"/>
              </w:rPr>
            </w:pPr>
            <w:r>
              <w:rPr>
                <w:rFonts w:hint="eastAsia" w:ascii="宋体" w:hAnsi="宋体"/>
                <w:szCs w:val="21"/>
                <w:highlight w:val="none"/>
              </w:rPr>
              <w:t>1</w:t>
            </w:r>
          </w:p>
        </w:tc>
        <w:tc>
          <w:tcPr>
            <w:tcW w:w="1315" w:type="dxa"/>
            <w:vAlign w:val="center"/>
          </w:tcPr>
          <w:p w14:paraId="6DBD15CF">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cs="宋体"/>
                <w:szCs w:val="21"/>
                <w:highlight w:val="none"/>
              </w:rPr>
              <w:t>投标人业绩</w:t>
            </w:r>
          </w:p>
        </w:tc>
        <w:tc>
          <w:tcPr>
            <w:tcW w:w="739" w:type="dxa"/>
            <w:vAlign w:val="center"/>
          </w:tcPr>
          <w:p w14:paraId="120B98B1">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cs="宋体"/>
                <w:szCs w:val="21"/>
                <w:highlight w:val="none"/>
                <w:lang w:val="en-US" w:eastAsia="zh-CN"/>
              </w:rPr>
              <w:t>15</w:t>
            </w:r>
            <w:r>
              <w:rPr>
                <w:rFonts w:hint="eastAsia" w:ascii="宋体" w:hAnsi="宋体" w:cs="宋体"/>
                <w:szCs w:val="21"/>
                <w:highlight w:val="none"/>
              </w:rPr>
              <w:t>分</w:t>
            </w:r>
          </w:p>
        </w:tc>
        <w:tc>
          <w:tcPr>
            <w:tcW w:w="5615" w:type="dxa"/>
            <w:vAlign w:val="center"/>
          </w:tcPr>
          <w:p w14:paraId="2EB0E502">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eastAsia="宋体" w:cs="Times New Roman"/>
                <w:color w:val="000000"/>
                <w:szCs w:val="21"/>
                <w:highlight w:val="none"/>
                <w:lang w:val="en-US" w:eastAsia="zh-CN"/>
              </w:rPr>
              <w:t>自2019年1月1日至投标截止日（以合同签订时间为准），投标人具有不少于3条不同线路的同类产品供货业绩的</w:t>
            </w:r>
            <w:r>
              <w:rPr>
                <w:rFonts w:hint="eastAsia" w:ascii="宋体" w:hAnsi="宋体" w:cs="宋体"/>
                <w:szCs w:val="21"/>
                <w:highlight w:val="none"/>
              </w:rPr>
              <w:t>得</w:t>
            </w:r>
            <w:r>
              <w:rPr>
                <w:rFonts w:hint="eastAsia" w:ascii="宋体" w:hAnsi="宋体" w:cs="宋体"/>
                <w:szCs w:val="21"/>
                <w:highlight w:val="none"/>
                <w:lang w:val="en-US" w:eastAsia="zh-CN"/>
              </w:rPr>
              <w:t>15</w:t>
            </w:r>
            <w:r>
              <w:rPr>
                <w:rFonts w:hint="eastAsia" w:ascii="宋体" w:hAnsi="宋体" w:cs="宋体"/>
                <w:szCs w:val="21"/>
                <w:highlight w:val="none"/>
              </w:rPr>
              <w:t>分，</w:t>
            </w:r>
            <w:r>
              <w:rPr>
                <w:rFonts w:hint="eastAsia" w:ascii="宋体" w:hAnsi="宋体" w:cs="宋体"/>
                <w:kern w:val="1"/>
                <w:szCs w:val="21"/>
                <w:highlight w:val="none"/>
              </w:rPr>
              <w:t>其他的不得分，</w:t>
            </w:r>
            <w:r>
              <w:rPr>
                <w:rFonts w:hint="eastAsia" w:ascii="宋体" w:hAnsi="宋体" w:cs="宋体"/>
                <w:szCs w:val="21"/>
                <w:highlight w:val="none"/>
              </w:rPr>
              <w:t>本条满分</w:t>
            </w:r>
            <w:r>
              <w:rPr>
                <w:rFonts w:hint="eastAsia" w:ascii="宋体" w:hAnsi="宋体" w:cs="宋体"/>
                <w:szCs w:val="21"/>
                <w:highlight w:val="none"/>
                <w:lang w:val="en-US" w:eastAsia="zh-CN"/>
              </w:rPr>
              <w:t>15</w:t>
            </w:r>
            <w:r>
              <w:rPr>
                <w:rFonts w:hint="eastAsia" w:ascii="宋体" w:hAnsi="宋体" w:cs="宋体"/>
                <w:szCs w:val="21"/>
                <w:highlight w:val="none"/>
              </w:rPr>
              <w:t>分。</w:t>
            </w:r>
          </w:p>
          <w:p w14:paraId="5FA8D7E2">
            <w:pPr>
              <w:keepNext w:val="0"/>
              <w:keepLines w:val="0"/>
              <w:suppressLineNumbers w:val="0"/>
              <w:spacing w:before="0" w:beforeAutospacing="0" w:after="0" w:afterAutospacing="0" w:line="300" w:lineRule="exact"/>
              <w:ind w:left="0" w:right="0"/>
              <w:rPr>
                <w:rFonts w:hint="default"/>
                <w:highlight w:val="none"/>
              </w:rPr>
            </w:pPr>
            <w:r>
              <w:rPr>
                <w:rFonts w:hint="eastAsia" w:ascii="Times New Roman" w:hAnsi="Times New Roman"/>
                <w:szCs w:val="21"/>
                <w:highlight w:val="none"/>
              </w:rPr>
              <w:t>注</w:t>
            </w:r>
            <w:r>
              <w:rPr>
                <w:rFonts w:hint="eastAsia" w:ascii="Times New Roman" w:hAnsi="Times New Roman"/>
                <w:szCs w:val="21"/>
                <w:highlight w:val="none"/>
                <w:lang w:val="zh-CN"/>
              </w:rPr>
              <w:t>：</w:t>
            </w:r>
            <w:r>
              <w:rPr>
                <w:rFonts w:hint="eastAsia" w:ascii="Times New Roman" w:hAnsi="Times New Roman"/>
                <w:szCs w:val="21"/>
                <w:highlight w:val="none"/>
              </w:rPr>
              <w:t>投标人投标时只须提供</w:t>
            </w:r>
            <w:r>
              <w:rPr>
                <w:rFonts w:hint="eastAsia" w:ascii="Times New Roman" w:hAnsi="Times New Roman"/>
                <w:szCs w:val="21"/>
                <w:highlight w:val="none"/>
                <w:lang w:val="en-US" w:eastAsia="zh-CN"/>
              </w:rPr>
              <w:t>3</w:t>
            </w:r>
            <w:r>
              <w:rPr>
                <w:rFonts w:hint="eastAsia" w:ascii="Times New Roman" w:hAnsi="Times New Roman"/>
                <w:szCs w:val="21"/>
                <w:highlight w:val="none"/>
              </w:rPr>
              <w:t>个评审业绩，若投标人提供业绩个数超过</w:t>
            </w:r>
            <w:r>
              <w:rPr>
                <w:rFonts w:hint="eastAsia" w:ascii="Times New Roman" w:hAnsi="Times New Roman"/>
                <w:szCs w:val="21"/>
                <w:highlight w:val="none"/>
                <w:lang w:val="en-US" w:eastAsia="zh-CN"/>
              </w:rPr>
              <w:t>3</w:t>
            </w:r>
            <w:r>
              <w:rPr>
                <w:rFonts w:hint="eastAsia" w:ascii="Times New Roman" w:hAnsi="Times New Roman"/>
                <w:szCs w:val="21"/>
                <w:highlight w:val="none"/>
              </w:rPr>
              <w:t>个，则按照排列顺序从首个业绩开始评审至对应数量（</w:t>
            </w:r>
            <w:r>
              <w:rPr>
                <w:rFonts w:hint="eastAsia" w:ascii="Times New Roman" w:hAnsi="Times New Roman"/>
                <w:szCs w:val="21"/>
                <w:highlight w:val="none"/>
                <w:lang w:val="en-US" w:eastAsia="zh-CN"/>
              </w:rPr>
              <w:t>3</w:t>
            </w:r>
            <w:r>
              <w:rPr>
                <w:rFonts w:hint="eastAsia" w:ascii="Times New Roman" w:hAnsi="Times New Roman"/>
                <w:szCs w:val="21"/>
                <w:highlight w:val="none"/>
              </w:rPr>
              <w:t>个），超出部分业绩不进行评审。对应数量（</w:t>
            </w:r>
            <w:r>
              <w:rPr>
                <w:rFonts w:hint="eastAsia" w:ascii="Times New Roman" w:hAnsi="Times New Roman"/>
                <w:szCs w:val="21"/>
                <w:highlight w:val="none"/>
                <w:lang w:val="en-US" w:eastAsia="zh-CN"/>
              </w:rPr>
              <w:t>3</w:t>
            </w:r>
            <w:r>
              <w:rPr>
                <w:rFonts w:hint="eastAsia" w:ascii="Times New Roman" w:hAnsi="Times New Roman"/>
                <w:szCs w:val="21"/>
                <w:highlight w:val="none"/>
              </w:rPr>
              <w:t>个）内业绩不符合招标文件要求不得分的，不再补充评审超出部分业绩。如：提供</w:t>
            </w:r>
            <w:r>
              <w:rPr>
                <w:rFonts w:hint="eastAsia" w:ascii="Times New Roman" w:hAnsi="Times New Roman"/>
                <w:szCs w:val="21"/>
                <w:highlight w:val="none"/>
                <w:lang w:val="en-US" w:eastAsia="zh-CN"/>
              </w:rPr>
              <w:t>3</w:t>
            </w:r>
            <w:r>
              <w:rPr>
                <w:rFonts w:hint="eastAsia" w:ascii="Times New Roman" w:hAnsi="Times New Roman"/>
                <w:szCs w:val="21"/>
                <w:highlight w:val="none"/>
              </w:rPr>
              <w:t>个业绩即得满分的，按照投标文件排序评审第一、第二</w:t>
            </w:r>
            <w:r>
              <w:rPr>
                <w:rFonts w:hint="eastAsia" w:ascii="Times New Roman" w:hAnsi="Times New Roman"/>
                <w:szCs w:val="21"/>
                <w:highlight w:val="none"/>
                <w:lang w:eastAsia="zh-CN"/>
              </w:rPr>
              <w:t>、</w:t>
            </w:r>
            <w:r>
              <w:rPr>
                <w:rFonts w:hint="eastAsia" w:ascii="Times New Roman" w:hAnsi="Times New Roman"/>
                <w:szCs w:val="21"/>
                <w:highlight w:val="none"/>
                <w:lang w:val="en-US" w:eastAsia="zh-CN"/>
              </w:rPr>
              <w:t>第三</w:t>
            </w:r>
            <w:r>
              <w:rPr>
                <w:rFonts w:hint="eastAsia" w:ascii="Times New Roman" w:hAnsi="Times New Roman"/>
                <w:szCs w:val="21"/>
                <w:highlight w:val="none"/>
              </w:rPr>
              <w:t>项业绩，其余超出部分不再评审”。</w:t>
            </w:r>
          </w:p>
        </w:tc>
        <w:tc>
          <w:tcPr>
            <w:tcW w:w="1607" w:type="dxa"/>
            <w:vAlign w:val="center"/>
          </w:tcPr>
          <w:p w14:paraId="74864DCD">
            <w:pPr>
              <w:keepNext w:val="0"/>
              <w:keepLines w:val="0"/>
              <w:suppressLineNumbers w:val="0"/>
              <w:spacing w:before="0" w:beforeAutospacing="0" w:after="0" w:afterAutospacing="0" w:line="300" w:lineRule="exact"/>
              <w:ind w:left="-40" w:right="0"/>
              <w:jc w:val="center"/>
              <w:rPr>
                <w:rFonts w:hint="default" w:ascii="宋体" w:hAnsi="宋体" w:cs="仿宋_GB2312"/>
                <w:szCs w:val="21"/>
                <w:highlight w:val="none"/>
              </w:rPr>
            </w:pPr>
            <w:r>
              <w:rPr>
                <w:rFonts w:hint="eastAsia" w:ascii="宋体" w:hAnsi="宋体" w:cs="宋体"/>
                <w:szCs w:val="21"/>
                <w:highlight w:val="none"/>
              </w:rPr>
              <w:t>投标文件中须提供业绩合同扫描件，</w:t>
            </w:r>
            <w:r>
              <w:rPr>
                <w:rFonts w:hint="eastAsia" w:asciiTheme="majorEastAsia" w:hAnsiTheme="majorEastAsia" w:eastAsiaTheme="majorEastAsia" w:cstheme="majorEastAsia"/>
                <w:color w:val="000000"/>
                <w:szCs w:val="21"/>
                <w:highlight w:val="none"/>
                <w:lang w:val="en-US" w:eastAsia="zh-CN"/>
              </w:rPr>
              <w:t>合同中必须体现出甲乙双方名称、产品名称及合同金额等信息</w:t>
            </w:r>
            <w:r>
              <w:rPr>
                <w:rFonts w:hint="eastAsia" w:ascii="Times New Roman" w:hAnsi="Times New Roman"/>
                <w:szCs w:val="21"/>
                <w:highlight w:val="none"/>
              </w:rPr>
              <w:t>。</w:t>
            </w:r>
          </w:p>
        </w:tc>
      </w:tr>
      <w:tr w14:paraId="29AC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jc w:val="center"/>
        </w:trPr>
        <w:tc>
          <w:tcPr>
            <w:tcW w:w="699" w:type="dxa"/>
            <w:vAlign w:val="center"/>
          </w:tcPr>
          <w:p w14:paraId="631E5A04">
            <w:pPr>
              <w:keepNext w:val="0"/>
              <w:keepLines w:val="0"/>
              <w:suppressLineNumbers w:val="0"/>
              <w:spacing w:before="0" w:beforeAutospacing="0" w:after="0" w:afterAutospacing="0" w:line="300" w:lineRule="exact"/>
              <w:ind w:left="0" w:right="0" w:firstLine="28"/>
              <w:jc w:val="center"/>
              <w:rPr>
                <w:rFonts w:hint="default" w:ascii="宋体" w:hAnsi="宋体"/>
                <w:szCs w:val="21"/>
                <w:highlight w:val="none"/>
              </w:rPr>
            </w:pPr>
            <w:r>
              <w:rPr>
                <w:rFonts w:hint="eastAsia" w:ascii="宋体" w:hAnsi="宋体"/>
                <w:szCs w:val="21"/>
                <w:highlight w:val="none"/>
              </w:rPr>
              <w:t>2</w:t>
            </w:r>
          </w:p>
        </w:tc>
        <w:tc>
          <w:tcPr>
            <w:tcW w:w="1315" w:type="dxa"/>
            <w:vAlign w:val="center"/>
          </w:tcPr>
          <w:p w14:paraId="47BF33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szCs w:val="21"/>
                <w:highlight w:val="none"/>
                <w:lang w:val="en-US"/>
              </w:rPr>
            </w:pPr>
            <w:r>
              <w:rPr>
                <w:rFonts w:hint="eastAsia" w:ascii="宋体" w:hAnsi="宋体" w:cs="宋体"/>
                <w:szCs w:val="21"/>
                <w:highlight w:val="none"/>
                <w:lang w:val="en-US" w:eastAsia="zh-CN"/>
              </w:rPr>
              <w:t>体系认证</w:t>
            </w:r>
          </w:p>
        </w:tc>
        <w:tc>
          <w:tcPr>
            <w:tcW w:w="739" w:type="dxa"/>
            <w:vAlign w:val="center"/>
          </w:tcPr>
          <w:p w14:paraId="1B36936D">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宋体" w:hAnsi="宋体" w:cs="宋体"/>
                <w:szCs w:val="21"/>
                <w:highlight w:val="none"/>
              </w:rPr>
            </w:pPr>
            <w:r>
              <w:rPr>
                <w:rFonts w:hint="eastAsia" w:ascii="宋体" w:hAnsi="宋体" w:eastAsia="宋体" w:cs="宋体"/>
                <w:szCs w:val="21"/>
                <w:highlight w:val="none"/>
                <w:lang w:val="en-US" w:eastAsia="zh-CN"/>
              </w:rPr>
              <w:t>5分</w:t>
            </w:r>
          </w:p>
        </w:tc>
        <w:tc>
          <w:tcPr>
            <w:tcW w:w="5615" w:type="dxa"/>
            <w:vAlign w:val="center"/>
          </w:tcPr>
          <w:p w14:paraId="28B80D1D">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default" w:ascii="Times New Roman" w:hAnsi="Times New Roman" w:eastAsiaTheme="minorEastAsia"/>
                <w:szCs w:val="21"/>
                <w:highlight w:val="none"/>
                <w:lang w:val="en-US" w:eastAsia="zh-CN"/>
              </w:rPr>
            </w:pPr>
            <w:r>
              <w:rPr>
                <w:rFonts w:hint="eastAsia" w:ascii="Times New Roman" w:hAnsi="Times New Roman"/>
                <w:szCs w:val="21"/>
                <w:highlight w:val="none"/>
                <w:lang w:val="en-US" w:eastAsia="zh-CN"/>
              </w:rPr>
              <w:t>投标人具有有效的质量管理体系认证证书的得5分，其他的不得分，本条满分5分。</w:t>
            </w:r>
          </w:p>
        </w:tc>
        <w:tc>
          <w:tcPr>
            <w:tcW w:w="1607" w:type="dxa"/>
            <w:vAlign w:val="center"/>
          </w:tcPr>
          <w:p w14:paraId="13D7AAD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宋体" w:hAnsi="宋体" w:cs="宋体"/>
                <w:szCs w:val="21"/>
                <w:highlight w:val="none"/>
              </w:rPr>
            </w:pPr>
            <w:r>
              <w:rPr>
                <w:rFonts w:hint="eastAsia" w:ascii="Times New Roman" w:hAnsi="Times New Roman" w:eastAsia="宋体" w:cs="Times New Roman"/>
                <w:szCs w:val="21"/>
                <w:highlight w:val="none"/>
                <w:lang w:val="en-US" w:eastAsia="zh-CN"/>
              </w:rPr>
              <w:t>投标文件中提供有效的证书扫描件。</w:t>
            </w:r>
          </w:p>
        </w:tc>
      </w:tr>
      <w:tr w14:paraId="40E5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jc w:val="center"/>
        </w:trPr>
        <w:tc>
          <w:tcPr>
            <w:tcW w:w="699" w:type="dxa"/>
            <w:vAlign w:val="center"/>
          </w:tcPr>
          <w:p w14:paraId="079A7B87">
            <w:pPr>
              <w:keepNext w:val="0"/>
              <w:keepLines w:val="0"/>
              <w:suppressLineNumbers w:val="0"/>
              <w:spacing w:before="0" w:beforeAutospacing="0" w:after="0" w:afterAutospacing="0" w:line="300" w:lineRule="exact"/>
              <w:ind w:left="0" w:right="0" w:firstLine="28"/>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3</w:t>
            </w:r>
          </w:p>
        </w:tc>
        <w:tc>
          <w:tcPr>
            <w:tcW w:w="1315" w:type="dxa"/>
            <w:vAlign w:val="center"/>
          </w:tcPr>
          <w:p w14:paraId="38523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检测报告</w:t>
            </w:r>
          </w:p>
        </w:tc>
        <w:tc>
          <w:tcPr>
            <w:tcW w:w="739" w:type="dxa"/>
            <w:vAlign w:val="center"/>
          </w:tcPr>
          <w:p w14:paraId="73B87EEF">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10分</w:t>
            </w:r>
          </w:p>
        </w:tc>
        <w:tc>
          <w:tcPr>
            <w:tcW w:w="5615" w:type="dxa"/>
            <w:vAlign w:val="center"/>
          </w:tcPr>
          <w:p w14:paraId="029C44B2">
            <w:pPr>
              <w:keepNext w:val="0"/>
              <w:keepLines w:val="0"/>
              <w:suppressLineNumbers w:val="0"/>
              <w:spacing w:before="0" w:beforeAutospacing="0" w:after="0" w:afterAutospacing="0"/>
              <w:ind w:left="0" w:right="0"/>
              <w:rPr>
                <w:rFonts w:hint="eastAsia" w:ascii="Times New Roman" w:hAnsi="Times New Roman" w:eastAsiaTheme="minorEastAsia"/>
                <w:szCs w:val="21"/>
                <w:highlight w:val="none"/>
                <w:lang w:val="en-US" w:eastAsia="zh-CN"/>
              </w:rPr>
            </w:pPr>
            <w:r>
              <w:rPr>
                <w:rFonts w:hint="eastAsia" w:ascii="宋体" w:hAnsi="宋体" w:eastAsia="宋体" w:cs="Times New Roman"/>
                <w:color w:val="000000"/>
                <w:szCs w:val="21"/>
                <w:highlight w:val="none"/>
                <w:lang w:val="en-US" w:eastAsia="zh-CN"/>
              </w:rPr>
              <w:t>投标人所投轨道润滑装置具备近五年（自2019年1月1日至投标截止日）内CMA或CNAS标识的检测报告</w:t>
            </w:r>
            <w:r>
              <w:rPr>
                <w:rFonts w:hint="eastAsia" w:ascii="宋体" w:hAnsi="宋体" w:cs="宋体"/>
                <w:szCs w:val="21"/>
                <w:highlight w:val="none"/>
              </w:rPr>
              <w:t>得</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ascii="宋体" w:hAnsi="宋体" w:cs="宋体"/>
                <w:kern w:val="1"/>
                <w:szCs w:val="21"/>
                <w:highlight w:val="none"/>
              </w:rPr>
              <w:t>其他的不得分，</w:t>
            </w:r>
            <w:r>
              <w:rPr>
                <w:rFonts w:hint="eastAsia" w:ascii="宋体" w:hAnsi="宋体" w:cs="宋体"/>
                <w:szCs w:val="21"/>
                <w:highlight w:val="none"/>
              </w:rPr>
              <w:t>本条满分</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ascii="宋体" w:hAnsi="宋体" w:cs="宋体"/>
                <w:szCs w:val="21"/>
                <w:highlight w:val="none"/>
                <w:lang w:eastAsia="zh-CN"/>
              </w:rPr>
              <w:t>。</w:t>
            </w:r>
          </w:p>
        </w:tc>
        <w:tc>
          <w:tcPr>
            <w:tcW w:w="1607" w:type="dxa"/>
            <w:vAlign w:val="center"/>
          </w:tcPr>
          <w:p w14:paraId="197C7A5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投标文件中提供有效的检测报告扫描件。</w:t>
            </w:r>
          </w:p>
        </w:tc>
      </w:tr>
      <w:tr w14:paraId="61B2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jc w:val="center"/>
        </w:trPr>
        <w:tc>
          <w:tcPr>
            <w:tcW w:w="699" w:type="dxa"/>
            <w:vAlign w:val="center"/>
          </w:tcPr>
          <w:p w14:paraId="55575DFC">
            <w:pPr>
              <w:keepNext w:val="0"/>
              <w:keepLines w:val="0"/>
              <w:suppressLineNumbers w:val="0"/>
              <w:spacing w:before="0" w:beforeAutospacing="0" w:after="0" w:afterAutospacing="0" w:line="300" w:lineRule="exact"/>
              <w:ind w:left="0" w:right="0" w:firstLine="28"/>
              <w:jc w:val="center"/>
              <w:rPr>
                <w:rFonts w:hint="default" w:ascii="宋体" w:hAnsi="宋体"/>
                <w:szCs w:val="21"/>
                <w:highlight w:val="none"/>
                <w:lang w:val="en-US" w:eastAsia="zh-CN"/>
              </w:rPr>
            </w:pPr>
            <w:r>
              <w:rPr>
                <w:rFonts w:hint="eastAsia" w:ascii="宋体" w:hAnsi="宋体"/>
                <w:szCs w:val="21"/>
                <w:highlight w:val="none"/>
                <w:lang w:val="en-US" w:eastAsia="zh-CN"/>
              </w:rPr>
              <w:t>4</w:t>
            </w:r>
          </w:p>
        </w:tc>
        <w:tc>
          <w:tcPr>
            <w:tcW w:w="1315" w:type="dxa"/>
            <w:vAlign w:val="center"/>
          </w:tcPr>
          <w:p w14:paraId="620CD5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企业实力</w:t>
            </w:r>
          </w:p>
        </w:tc>
        <w:tc>
          <w:tcPr>
            <w:tcW w:w="739" w:type="dxa"/>
            <w:vAlign w:val="center"/>
          </w:tcPr>
          <w:p w14:paraId="680934AD">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10分</w:t>
            </w:r>
          </w:p>
        </w:tc>
        <w:tc>
          <w:tcPr>
            <w:tcW w:w="5615" w:type="dxa"/>
            <w:vAlign w:val="center"/>
          </w:tcPr>
          <w:p w14:paraId="2D440AE9">
            <w:pPr>
              <w:keepNext w:val="0"/>
              <w:keepLines w:val="0"/>
              <w:suppressLineNumbers w:val="0"/>
              <w:spacing w:before="0" w:beforeAutospacing="0" w:after="0" w:afterAutospacing="0"/>
              <w:ind w:left="0" w:right="0"/>
              <w:jc w:val="both"/>
              <w:rPr>
                <w:rFonts w:hint="eastAsia" w:ascii="宋体" w:hAnsi="宋体" w:eastAsia="宋体" w:cs="Times New Roman"/>
                <w:b/>
                <w:bCs/>
                <w:color w:val="000000"/>
                <w:szCs w:val="21"/>
                <w:highlight w:val="none"/>
                <w:lang w:val="en-US" w:eastAsia="zh-CN"/>
              </w:rPr>
            </w:pPr>
            <w:r>
              <w:rPr>
                <w:rFonts w:hint="eastAsia" w:ascii="宋体" w:hAnsi="宋体" w:eastAsia="宋体" w:cs="Times New Roman"/>
                <w:color w:val="000000"/>
                <w:szCs w:val="21"/>
                <w:highlight w:val="none"/>
                <w:lang w:val="en-US" w:eastAsia="zh-CN"/>
              </w:rPr>
              <w:t>投标人所投轨道润滑装置获取专利的得10分，其他的不得分，本条满分10分。</w:t>
            </w:r>
          </w:p>
        </w:tc>
        <w:tc>
          <w:tcPr>
            <w:tcW w:w="1607" w:type="dxa"/>
            <w:vAlign w:val="center"/>
          </w:tcPr>
          <w:p w14:paraId="6B0D201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投标文件中提供</w:t>
            </w:r>
            <w:r>
              <w:rPr>
                <w:rFonts w:hint="eastAsia"/>
                <w:snapToGrid w:val="0"/>
                <w:highlight w:val="none"/>
              </w:rPr>
              <w:t>合法有效的专利证明文件或专利授权</w:t>
            </w:r>
            <w:r>
              <w:rPr>
                <w:rFonts w:hint="eastAsia"/>
                <w:snapToGrid w:val="0"/>
                <w:highlight w:val="none"/>
                <w:lang w:val="en-US" w:eastAsia="zh-CN"/>
              </w:rPr>
              <w:t>材料</w:t>
            </w:r>
            <w:r>
              <w:rPr>
                <w:rFonts w:hint="eastAsia" w:ascii="Times New Roman" w:hAnsi="Times New Roman" w:eastAsia="宋体" w:cs="Times New Roman"/>
                <w:szCs w:val="21"/>
                <w:highlight w:val="none"/>
                <w:lang w:val="en-US" w:eastAsia="zh-CN"/>
              </w:rPr>
              <w:t>扫描件。</w:t>
            </w:r>
          </w:p>
        </w:tc>
      </w:tr>
    </w:tbl>
    <w:p w14:paraId="12644244">
      <w:pPr>
        <w:adjustRightInd w:val="0"/>
        <w:snapToGrid w:val="0"/>
        <w:spacing w:line="420" w:lineRule="exact"/>
        <w:ind w:firstLine="316" w:firstLineChars="150"/>
        <w:rPr>
          <w:rFonts w:ascii="宋体" w:hAnsi="宋体" w:cs="宋体"/>
          <w:b/>
          <w:bCs/>
          <w:color w:val="000000"/>
          <w:szCs w:val="21"/>
          <w:highlight w:val="none"/>
        </w:rPr>
      </w:pPr>
      <w:r>
        <w:rPr>
          <w:rFonts w:hint="eastAsia" w:ascii="宋体" w:hAnsi="宋体" w:cs="宋体"/>
          <w:b/>
          <w:bCs/>
          <w:color w:val="000000"/>
          <w:szCs w:val="21"/>
          <w:highlight w:val="none"/>
        </w:rPr>
        <w:t>3.技术标评审（</w:t>
      </w:r>
      <w:r>
        <w:rPr>
          <w:rFonts w:hint="eastAsia" w:ascii="宋体" w:hAnsi="宋体" w:cs="宋体"/>
          <w:b/>
          <w:bCs/>
          <w:color w:val="000000"/>
          <w:szCs w:val="21"/>
          <w:highlight w:val="none"/>
          <w:lang w:val="en-US" w:eastAsia="zh-CN"/>
        </w:rPr>
        <w:t>30</w:t>
      </w:r>
      <w:r>
        <w:rPr>
          <w:rFonts w:hint="eastAsia" w:ascii="宋体" w:hAnsi="宋体" w:cs="宋体"/>
          <w:b/>
          <w:bCs/>
          <w:color w:val="000000"/>
          <w:szCs w:val="21"/>
          <w:highlight w:val="none"/>
        </w:rPr>
        <w:t>分）</w:t>
      </w:r>
    </w:p>
    <w:tbl>
      <w:tblPr>
        <w:tblStyle w:val="26"/>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00"/>
        <w:gridCol w:w="754"/>
        <w:gridCol w:w="5607"/>
        <w:gridCol w:w="1591"/>
      </w:tblGrid>
      <w:tr w14:paraId="79AC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vAlign w:val="center"/>
          </w:tcPr>
          <w:p w14:paraId="02248206">
            <w:pPr>
              <w:keepNext w:val="0"/>
              <w:keepLines w:val="0"/>
              <w:suppressLineNumbers w:val="0"/>
              <w:adjustRightInd w:val="0"/>
              <w:snapToGrid w:val="0"/>
              <w:spacing w:before="0" w:beforeAutospacing="0" w:after="0" w:afterAutospacing="0"/>
              <w:ind w:left="0" w:right="0"/>
              <w:jc w:val="center"/>
              <w:rPr>
                <w:rFonts w:hint="default" w:ascii="宋体" w:cs="宋体"/>
                <w:b/>
                <w:bCs/>
                <w:szCs w:val="21"/>
                <w:highlight w:val="none"/>
              </w:rPr>
            </w:pPr>
            <w:r>
              <w:rPr>
                <w:rFonts w:hint="eastAsia" w:ascii="宋体" w:hAnsi="宋体" w:cs="宋体"/>
                <w:b/>
                <w:bCs/>
                <w:szCs w:val="21"/>
                <w:highlight w:val="none"/>
              </w:rPr>
              <w:t>序号</w:t>
            </w:r>
          </w:p>
        </w:tc>
        <w:tc>
          <w:tcPr>
            <w:tcW w:w="1300" w:type="dxa"/>
            <w:vAlign w:val="center"/>
          </w:tcPr>
          <w:p w14:paraId="149BF7CA">
            <w:pPr>
              <w:keepNext w:val="0"/>
              <w:keepLines w:val="0"/>
              <w:suppressLineNumbers w:val="0"/>
              <w:adjustRightInd w:val="0"/>
              <w:snapToGrid w:val="0"/>
              <w:spacing w:before="0" w:beforeAutospacing="0" w:after="0" w:afterAutospacing="0"/>
              <w:ind w:left="0" w:right="0"/>
              <w:jc w:val="center"/>
              <w:rPr>
                <w:rFonts w:hint="default" w:ascii="宋体" w:cs="宋体"/>
                <w:b/>
                <w:bCs/>
                <w:sz w:val="28"/>
                <w:highlight w:val="none"/>
              </w:rPr>
            </w:pPr>
            <w:r>
              <w:rPr>
                <w:rFonts w:hint="eastAsia" w:ascii="宋体" w:hAnsi="宋体" w:cs="宋体"/>
                <w:b/>
                <w:bCs/>
                <w:szCs w:val="21"/>
                <w:highlight w:val="none"/>
              </w:rPr>
              <w:t>评分因素</w:t>
            </w:r>
          </w:p>
        </w:tc>
        <w:tc>
          <w:tcPr>
            <w:tcW w:w="754" w:type="dxa"/>
            <w:vAlign w:val="center"/>
          </w:tcPr>
          <w:p w14:paraId="1658C8FA">
            <w:pPr>
              <w:keepNext w:val="0"/>
              <w:keepLines w:val="0"/>
              <w:suppressLineNumbers w:val="0"/>
              <w:adjustRightInd w:val="0"/>
              <w:snapToGrid w:val="0"/>
              <w:spacing w:before="0" w:beforeAutospacing="0" w:after="0" w:afterAutospacing="0"/>
              <w:ind w:left="0" w:right="0"/>
              <w:jc w:val="center"/>
              <w:rPr>
                <w:rFonts w:hint="default" w:ascii="宋体" w:hAnsi="宋体" w:cs="宋体"/>
                <w:b/>
                <w:bCs/>
                <w:szCs w:val="21"/>
                <w:highlight w:val="none"/>
              </w:rPr>
            </w:pPr>
            <w:r>
              <w:rPr>
                <w:rFonts w:hint="eastAsia" w:ascii="宋体" w:hAnsi="宋体" w:cs="宋体"/>
                <w:b/>
                <w:bCs/>
                <w:szCs w:val="21"/>
                <w:highlight w:val="none"/>
              </w:rPr>
              <w:t>分值</w:t>
            </w:r>
          </w:p>
        </w:tc>
        <w:tc>
          <w:tcPr>
            <w:tcW w:w="5607" w:type="dxa"/>
            <w:vAlign w:val="center"/>
          </w:tcPr>
          <w:p w14:paraId="081DF37D">
            <w:pPr>
              <w:keepNext w:val="0"/>
              <w:keepLines w:val="0"/>
              <w:suppressLineNumbers w:val="0"/>
              <w:adjustRightInd w:val="0"/>
              <w:snapToGrid w:val="0"/>
              <w:spacing w:before="0" w:beforeAutospacing="0" w:after="0" w:afterAutospacing="0"/>
              <w:ind w:left="0" w:right="0"/>
              <w:jc w:val="center"/>
              <w:rPr>
                <w:rFonts w:hint="default" w:ascii="宋体" w:cs="宋体"/>
                <w:b/>
                <w:bCs/>
                <w:sz w:val="28"/>
                <w:highlight w:val="none"/>
              </w:rPr>
            </w:pPr>
            <w:r>
              <w:rPr>
                <w:rFonts w:hint="eastAsia" w:ascii="宋体" w:cs="宋体"/>
                <w:b/>
                <w:bCs/>
                <w:szCs w:val="21"/>
                <w:highlight w:val="none"/>
              </w:rPr>
              <w:t>评审细则</w:t>
            </w:r>
          </w:p>
        </w:tc>
        <w:tc>
          <w:tcPr>
            <w:tcW w:w="1591" w:type="dxa"/>
            <w:vAlign w:val="center"/>
          </w:tcPr>
          <w:p w14:paraId="4DBFAE07">
            <w:pPr>
              <w:keepNext w:val="0"/>
              <w:keepLines w:val="0"/>
              <w:suppressLineNumbers w:val="0"/>
              <w:adjustRightInd w:val="0"/>
              <w:snapToGrid w:val="0"/>
              <w:spacing w:before="0" w:beforeAutospacing="0" w:after="0" w:afterAutospacing="0"/>
              <w:ind w:left="0" w:right="0"/>
              <w:jc w:val="center"/>
              <w:rPr>
                <w:rFonts w:hint="default" w:ascii="宋体" w:cs="宋体"/>
                <w:b/>
                <w:bCs/>
                <w:szCs w:val="21"/>
                <w:highlight w:val="none"/>
              </w:rPr>
            </w:pPr>
            <w:r>
              <w:rPr>
                <w:rFonts w:hint="eastAsia" w:ascii="宋体" w:cs="宋体"/>
                <w:b/>
                <w:bCs/>
                <w:szCs w:val="21"/>
                <w:highlight w:val="none"/>
              </w:rPr>
              <w:t>须提供的证明材料</w:t>
            </w:r>
          </w:p>
        </w:tc>
      </w:tr>
      <w:tr w14:paraId="7252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91" w:type="dxa"/>
            <w:vAlign w:val="center"/>
          </w:tcPr>
          <w:p w14:paraId="520BFB3D">
            <w:pPr>
              <w:keepNext w:val="0"/>
              <w:keepLines w:val="0"/>
              <w:suppressLineNumbers w:val="0"/>
              <w:spacing w:before="0" w:beforeAutospacing="0" w:after="0" w:afterAutospacing="0" w:line="440" w:lineRule="exact"/>
              <w:ind w:left="0" w:right="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1</w:t>
            </w:r>
          </w:p>
        </w:tc>
        <w:tc>
          <w:tcPr>
            <w:tcW w:w="1300" w:type="dxa"/>
            <w:vAlign w:val="center"/>
          </w:tcPr>
          <w:p w14:paraId="724A7BDD">
            <w:pPr>
              <w:keepNext w:val="0"/>
              <w:keepLines w:val="0"/>
              <w:suppressLineNumbers w:val="0"/>
              <w:adjustRightInd w:val="0"/>
              <w:snapToGrid w:val="0"/>
              <w:spacing w:before="0" w:beforeAutospacing="0" w:after="0" w:afterAutospacing="0"/>
              <w:ind w:left="0" w:right="0"/>
              <w:jc w:val="center"/>
              <w:rPr>
                <w:rFonts w:hint="default" w:cs="宋体" w:eastAsiaTheme="minorEastAsia"/>
                <w:bCs/>
                <w:szCs w:val="21"/>
                <w:highlight w:val="none"/>
                <w:lang w:val="en-US" w:eastAsia="zh-CN"/>
              </w:rPr>
            </w:pPr>
            <w:r>
              <w:rPr>
                <w:rFonts w:hint="eastAsia" w:ascii="宋体" w:hAnsi="宋体" w:cs="宋体"/>
                <w:szCs w:val="21"/>
                <w:highlight w:val="none"/>
                <w:lang w:val="en-US" w:eastAsia="zh-CN"/>
              </w:rPr>
              <w:t>项目实施方案</w:t>
            </w:r>
          </w:p>
        </w:tc>
        <w:tc>
          <w:tcPr>
            <w:tcW w:w="754" w:type="dxa"/>
            <w:vAlign w:val="center"/>
          </w:tcPr>
          <w:p w14:paraId="3095A833">
            <w:pPr>
              <w:keepNext w:val="0"/>
              <w:keepLines w:val="0"/>
              <w:suppressLineNumbers w:val="0"/>
              <w:spacing w:before="0" w:beforeAutospacing="0" w:after="0" w:afterAutospacing="0"/>
              <w:ind w:left="0" w:right="0"/>
              <w:jc w:val="center"/>
              <w:rPr>
                <w:rFonts w:hint="default" w:ascii="宋体" w:hAnsi="宋体"/>
                <w:highlight w:val="none"/>
              </w:rPr>
            </w:pPr>
            <w:r>
              <w:rPr>
                <w:rFonts w:hint="eastAsia" w:ascii="宋体" w:hAnsi="宋体" w:cs="宋体"/>
                <w:color w:val="000000"/>
                <w:szCs w:val="21"/>
                <w:highlight w:val="none"/>
                <w:lang w:val="en-US" w:eastAsia="zh-CN"/>
              </w:rPr>
              <w:t>30</w:t>
            </w:r>
            <w:r>
              <w:rPr>
                <w:rFonts w:hint="eastAsia" w:ascii="宋体" w:hAnsi="宋体" w:cs="宋体"/>
                <w:color w:val="000000"/>
                <w:szCs w:val="21"/>
                <w:highlight w:val="none"/>
              </w:rPr>
              <w:t>分</w:t>
            </w:r>
          </w:p>
        </w:tc>
        <w:tc>
          <w:tcPr>
            <w:tcW w:w="5607" w:type="dxa"/>
            <w:vAlign w:val="center"/>
          </w:tcPr>
          <w:p w14:paraId="2447A38C">
            <w:pPr>
              <w:keepNext w:val="0"/>
              <w:keepLines w:val="0"/>
              <w:suppressLineNumbers w:val="0"/>
              <w:spacing w:before="0" w:beforeAutospacing="0" w:after="0" w:afterAutospacing="0" w:line="360" w:lineRule="auto"/>
              <w:ind w:left="0" w:right="0"/>
              <w:jc w:val="both"/>
              <w:rPr>
                <w:rFonts w:hint="default"/>
                <w:highlight w:val="none"/>
              </w:rPr>
            </w:pPr>
            <w:r>
              <w:rPr>
                <w:rFonts w:hint="eastAsia" w:ascii="宋体" w:hAnsi="宋体" w:cs="宋体"/>
                <w:szCs w:val="21"/>
                <w:highlight w:val="none"/>
                <w:lang w:val="en-US" w:eastAsia="zh-CN"/>
              </w:rPr>
              <w:t>投标人根据招标文件用户需求书，对本项目总体认识，理清工作重难点编制项目实施方案。由评标委员会进行综合评审：优秀的得20分＜F≤30分，良好的得10分＜F≤20分，一般的得0分＜F≤10分，不合格或未提供的不得分。</w:t>
            </w:r>
          </w:p>
        </w:tc>
        <w:tc>
          <w:tcPr>
            <w:tcW w:w="1591" w:type="dxa"/>
            <w:vAlign w:val="center"/>
          </w:tcPr>
          <w:p w14:paraId="42AF4896">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highlight w:val="none"/>
                <w:lang w:val="zh-TW"/>
              </w:rPr>
              <w:t>技术标中须能充分有效反映出本评分项内容</w:t>
            </w:r>
          </w:p>
        </w:tc>
      </w:tr>
    </w:tbl>
    <w:p w14:paraId="61D09145">
      <w:pPr>
        <w:adjustRightInd w:val="0"/>
        <w:snapToGrid w:val="0"/>
        <w:spacing w:line="420" w:lineRule="exact"/>
        <w:ind w:firstLine="315" w:firstLineChars="150"/>
        <w:rPr>
          <w:rFonts w:ascii="宋体" w:hAnsi="宋体" w:cs="宋体"/>
          <w:color w:val="000000"/>
          <w:szCs w:val="21"/>
          <w:highlight w:val="none"/>
        </w:rPr>
      </w:pPr>
      <w:r>
        <w:rPr>
          <w:rFonts w:hint="eastAsia" w:ascii="宋体" w:hAnsi="宋体" w:cs="宋体"/>
          <w:color w:val="000000"/>
          <w:szCs w:val="21"/>
          <w:highlight w:val="none"/>
        </w:rPr>
        <w:t>注：各投标人技术标总得分为各评委评分的平均值为最终得分。取两位小数，小数点后第三位四舍五入。</w:t>
      </w:r>
    </w:p>
    <w:p w14:paraId="4F73BD40">
      <w:pPr>
        <w:adjustRightInd w:val="0"/>
        <w:snapToGrid w:val="0"/>
        <w:spacing w:line="420" w:lineRule="exact"/>
        <w:ind w:firstLine="316" w:firstLineChars="150"/>
        <w:rPr>
          <w:rFonts w:ascii="宋体" w:hAnsi="宋体" w:cs="宋体"/>
          <w:color w:val="000000"/>
          <w:szCs w:val="21"/>
          <w:highlight w:val="none"/>
        </w:rPr>
      </w:pPr>
      <w:r>
        <w:rPr>
          <w:rFonts w:hint="eastAsia" w:ascii="宋体" w:hAnsi="宋体" w:cs="宋体"/>
          <w:b/>
          <w:bCs/>
          <w:color w:val="000000"/>
          <w:szCs w:val="21"/>
          <w:highlight w:val="none"/>
        </w:rPr>
        <w:t>4.商务标评审（</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0分）</w:t>
      </w:r>
    </w:p>
    <w:tbl>
      <w:tblPr>
        <w:tblStyle w:val="26"/>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65"/>
        <w:gridCol w:w="810"/>
        <w:gridCol w:w="7181"/>
      </w:tblGrid>
      <w:tr w14:paraId="4010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0" w:type="dxa"/>
            <w:vAlign w:val="center"/>
          </w:tcPr>
          <w:p w14:paraId="500F361B">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序号</w:t>
            </w:r>
          </w:p>
        </w:tc>
        <w:tc>
          <w:tcPr>
            <w:tcW w:w="1065" w:type="dxa"/>
            <w:vAlign w:val="center"/>
          </w:tcPr>
          <w:p w14:paraId="13D26B51">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评分因素</w:t>
            </w:r>
          </w:p>
        </w:tc>
        <w:tc>
          <w:tcPr>
            <w:tcW w:w="810" w:type="dxa"/>
            <w:vAlign w:val="center"/>
          </w:tcPr>
          <w:p w14:paraId="1A2AAC04">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分值</w:t>
            </w:r>
          </w:p>
        </w:tc>
        <w:tc>
          <w:tcPr>
            <w:tcW w:w="7181" w:type="dxa"/>
            <w:vAlign w:val="center"/>
          </w:tcPr>
          <w:p w14:paraId="2955BDB6">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评审细则</w:t>
            </w:r>
          </w:p>
        </w:tc>
      </w:tr>
      <w:tr w14:paraId="7C8C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660" w:type="dxa"/>
            <w:vAlign w:val="center"/>
          </w:tcPr>
          <w:p w14:paraId="38604023">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1</w:t>
            </w:r>
          </w:p>
        </w:tc>
        <w:tc>
          <w:tcPr>
            <w:tcW w:w="1065" w:type="dxa"/>
            <w:vAlign w:val="center"/>
          </w:tcPr>
          <w:p w14:paraId="3F19DE34">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投标报价</w:t>
            </w:r>
          </w:p>
        </w:tc>
        <w:tc>
          <w:tcPr>
            <w:tcW w:w="810" w:type="dxa"/>
            <w:vAlign w:val="center"/>
          </w:tcPr>
          <w:p w14:paraId="65B2EBEF">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0分</w:t>
            </w:r>
          </w:p>
        </w:tc>
        <w:tc>
          <w:tcPr>
            <w:tcW w:w="7181" w:type="dxa"/>
            <w:vAlign w:val="center"/>
          </w:tcPr>
          <w:p w14:paraId="15FD9014">
            <w:pPr>
              <w:pStyle w:val="7"/>
              <w:spacing w:after="0"/>
              <w:ind w:left="0" w:leftChars="0" w:firstLine="0" w:firstLineChars="0"/>
              <w:jc w:val="left"/>
              <w:rPr>
                <w:rFonts w:ascii="宋体" w:hAnsi="宋体" w:cs="宋体"/>
                <w:highlight w:val="none"/>
              </w:rPr>
            </w:pPr>
            <w:r>
              <w:rPr>
                <w:rFonts w:hint="eastAsia" w:ascii="宋体" w:hAnsi="宋体" w:cs="宋体"/>
                <w:highlight w:val="none"/>
              </w:rPr>
              <w:t>1.评标基准价=所有通过商务标详细评审的有效投标人的最低报价；其得分为满分；</w:t>
            </w:r>
          </w:p>
          <w:p w14:paraId="5176EB36">
            <w:pPr>
              <w:pStyle w:val="7"/>
              <w:spacing w:after="0"/>
              <w:ind w:left="0" w:leftChars="0" w:firstLine="0" w:firstLineChars="0"/>
              <w:jc w:val="left"/>
              <w:rPr>
                <w:rFonts w:ascii="宋体" w:hAnsi="宋体" w:cs="宋体"/>
                <w:highlight w:val="none"/>
              </w:rPr>
            </w:pPr>
            <w:r>
              <w:rPr>
                <w:rFonts w:hint="eastAsia" w:ascii="宋体" w:hAnsi="宋体" w:cs="宋体"/>
                <w:highlight w:val="none"/>
              </w:rPr>
              <w:t>2.其它报价得分=评标基准价/投标报价*</w:t>
            </w:r>
            <w:r>
              <w:rPr>
                <w:rFonts w:hint="eastAsia" w:ascii="宋体" w:hAnsi="宋体" w:cs="宋体"/>
                <w:highlight w:val="none"/>
                <w:lang w:val="en-US" w:eastAsia="zh-CN"/>
              </w:rPr>
              <w:t>3</w:t>
            </w:r>
            <w:r>
              <w:rPr>
                <w:rFonts w:hint="eastAsia" w:ascii="宋体" w:hAnsi="宋体" w:cs="宋体"/>
                <w:highlight w:val="none"/>
              </w:rPr>
              <w:t>0分，小数点后保留二位小数，第三位四舍五入；</w:t>
            </w:r>
          </w:p>
          <w:p w14:paraId="37AEF036">
            <w:pPr>
              <w:pStyle w:val="7"/>
              <w:spacing w:after="0"/>
              <w:ind w:left="0" w:leftChars="0" w:firstLine="0" w:firstLineChars="0"/>
              <w:jc w:val="left"/>
              <w:rPr>
                <w:rFonts w:ascii="宋体" w:hAnsi="宋体" w:cs="宋体"/>
                <w:highlight w:val="none"/>
              </w:rPr>
            </w:pPr>
            <w:r>
              <w:rPr>
                <w:rFonts w:hint="eastAsia" w:ascii="宋体" w:hAnsi="宋体" w:cs="宋体"/>
                <w:highlight w:val="none"/>
              </w:rPr>
              <w:t>3.本项分值由评标委员会负责组织计算。</w:t>
            </w:r>
          </w:p>
        </w:tc>
      </w:tr>
    </w:tbl>
    <w:p w14:paraId="395B0EC6">
      <w:pPr>
        <w:adjustRightInd w:val="0"/>
        <w:snapToGrid w:val="0"/>
        <w:spacing w:line="420" w:lineRule="exact"/>
        <w:ind w:firstLine="315" w:firstLineChars="150"/>
        <w:rPr>
          <w:rFonts w:ascii="宋体" w:hAnsi="宋体" w:cs="宋体"/>
          <w:color w:val="000000"/>
          <w:szCs w:val="21"/>
          <w:highlight w:val="none"/>
        </w:rPr>
      </w:pPr>
      <w:r>
        <w:rPr>
          <w:rFonts w:hint="eastAsia" w:ascii="宋体" w:hAnsi="宋体" w:cs="宋体"/>
          <w:color w:val="000000"/>
          <w:szCs w:val="21"/>
          <w:highlight w:val="none"/>
        </w:rPr>
        <w:t>商务标评审表注：</w:t>
      </w:r>
    </w:p>
    <w:p w14:paraId="514B68D9">
      <w:pPr>
        <w:adjustRightInd w:val="0"/>
        <w:snapToGrid w:val="0"/>
        <w:spacing w:line="420" w:lineRule="exact"/>
        <w:ind w:firstLine="315" w:firstLineChars="150"/>
        <w:rPr>
          <w:rFonts w:ascii="宋体" w:hAnsi="宋体" w:cs="宋体"/>
          <w:color w:val="000000"/>
          <w:szCs w:val="21"/>
          <w:highlight w:val="none"/>
        </w:rPr>
      </w:pPr>
      <w:r>
        <w:rPr>
          <w:rFonts w:hint="eastAsia" w:ascii="宋体" w:hAnsi="宋体" w:cs="宋体"/>
          <w:color w:val="000000"/>
          <w:szCs w:val="21"/>
          <w:highlight w:val="none"/>
        </w:rPr>
        <w:t>1.本表所称投标报价是指按招标文件规定修正后的投标总报价（多算投标报价、多报费用不扣减）。</w:t>
      </w:r>
    </w:p>
    <w:p w14:paraId="7B4BD8F0">
      <w:pPr>
        <w:adjustRightInd w:val="0"/>
        <w:snapToGrid w:val="0"/>
        <w:spacing w:line="420" w:lineRule="exact"/>
        <w:ind w:firstLine="315" w:firstLineChars="150"/>
        <w:rPr>
          <w:rFonts w:ascii="宋体" w:hAnsi="宋体" w:cs="宋体"/>
          <w:color w:val="000000"/>
          <w:szCs w:val="21"/>
          <w:highlight w:val="none"/>
        </w:rPr>
      </w:pPr>
      <w:r>
        <w:rPr>
          <w:rFonts w:hint="eastAsia" w:ascii="宋体" w:hAnsi="宋体" w:cs="宋体"/>
          <w:color w:val="000000"/>
          <w:szCs w:val="21"/>
          <w:highlight w:val="none"/>
        </w:rPr>
        <w:t>2.评标办法中的评标基准价计算出来后，除数字计算错误外，其他情况均不再调整。</w:t>
      </w:r>
    </w:p>
    <w:p w14:paraId="3417DDFA">
      <w:pPr>
        <w:adjustRightInd w:val="0"/>
        <w:snapToGrid w:val="0"/>
        <w:spacing w:line="420" w:lineRule="exact"/>
        <w:ind w:firstLine="316" w:firstLineChars="150"/>
        <w:rPr>
          <w:rFonts w:ascii="宋体" w:hAnsi="宋体" w:cs="宋体"/>
          <w:b/>
          <w:bCs/>
          <w:color w:val="000000"/>
          <w:szCs w:val="21"/>
          <w:highlight w:val="none"/>
        </w:rPr>
      </w:pPr>
      <w:r>
        <w:rPr>
          <w:rFonts w:hint="eastAsia" w:ascii="宋体" w:hAnsi="宋体" w:cs="宋体"/>
          <w:b/>
          <w:bCs/>
          <w:color w:val="000000"/>
          <w:szCs w:val="21"/>
          <w:highlight w:val="none"/>
        </w:rPr>
        <w:t>5.</w:t>
      </w:r>
      <w:bookmarkEnd w:id="58"/>
      <w:r>
        <w:rPr>
          <w:rFonts w:hint="eastAsia" w:ascii="宋体" w:hAnsi="宋体" w:cs="宋体"/>
          <w:b/>
          <w:bCs/>
          <w:color w:val="000000"/>
          <w:szCs w:val="21"/>
          <w:highlight w:val="none"/>
        </w:rPr>
        <w:t>评标办法</w:t>
      </w:r>
    </w:p>
    <w:p w14:paraId="4F8CBF81">
      <w:pPr>
        <w:adjustRightInd w:val="0"/>
        <w:snapToGrid w:val="0"/>
        <w:spacing w:line="420" w:lineRule="exact"/>
        <w:ind w:firstLine="315" w:firstLineChars="150"/>
        <w:rPr>
          <w:rFonts w:ascii="宋体" w:hAnsi="宋体" w:cs="宋体"/>
          <w:color w:val="000000"/>
          <w:szCs w:val="21"/>
          <w:highlight w:val="none"/>
        </w:rPr>
      </w:pPr>
      <w:r>
        <w:rPr>
          <w:rFonts w:hint="eastAsia" w:ascii="宋体" w:hAnsi="宋体" w:cs="宋体"/>
          <w:color w:val="000000"/>
          <w:szCs w:val="21"/>
          <w:highlight w:val="none"/>
        </w:rPr>
        <w:t>本次评标采用综合评估法。评标委员会对满足招标文件实质性要求的投标文件，按照本章规定的评分标准进行打分，并按总得分由高到低顺序推荐中标候选人应当不超过3名，并标明排序，但投标报价低于其成本的除外。如总得分相等，以投标报价低的优先，投标报价仍相等由招标人随机抽取确定排名。</w:t>
      </w:r>
    </w:p>
    <w:p w14:paraId="43984F01">
      <w:pPr>
        <w:adjustRightInd w:val="0"/>
        <w:snapToGrid w:val="0"/>
        <w:spacing w:line="420" w:lineRule="exact"/>
        <w:ind w:firstLine="316" w:firstLineChars="150"/>
        <w:rPr>
          <w:rFonts w:ascii="宋体" w:hAnsi="宋体" w:cs="宋体"/>
          <w:b/>
          <w:bCs/>
          <w:color w:val="000000"/>
          <w:szCs w:val="21"/>
          <w:highlight w:val="none"/>
        </w:rPr>
      </w:pPr>
      <w:bookmarkStart w:id="59" w:name="_Toc58430318"/>
      <w:bookmarkStart w:id="60" w:name="_Toc449028878"/>
      <w:bookmarkStart w:id="61" w:name="_Toc362983802"/>
      <w:bookmarkStart w:id="62" w:name="_Toc267320058"/>
      <w:bookmarkStart w:id="63" w:name="_Toc363135205"/>
      <w:r>
        <w:rPr>
          <w:rFonts w:hint="eastAsia" w:ascii="宋体" w:hAnsi="宋体" w:cs="宋体"/>
          <w:b/>
          <w:bCs/>
          <w:color w:val="000000"/>
          <w:szCs w:val="21"/>
          <w:highlight w:val="none"/>
        </w:rPr>
        <w:t>6.评标委员会的职责</w:t>
      </w:r>
    </w:p>
    <w:p w14:paraId="1D63B1BB">
      <w:pPr>
        <w:spacing w:line="440" w:lineRule="exact"/>
        <w:ind w:firstLine="315" w:firstLineChars="150"/>
        <w:jc w:val="left"/>
        <w:rPr>
          <w:rFonts w:ascii="宋体" w:hAnsi="宋体" w:eastAsia="宋体" w:cs="宋体"/>
          <w:color w:val="000000"/>
          <w:highlight w:val="none"/>
        </w:rPr>
      </w:pPr>
      <w:r>
        <w:rPr>
          <w:rFonts w:hint="eastAsia" w:ascii="宋体" w:hAnsi="宋体" w:eastAsia="宋体" w:cs="宋体"/>
          <w:color w:val="000000"/>
          <w:highlight w:val="none"/>
        </w:rPr>
        <w:t>6.1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74DB1A67">
      <w:pPr>
        <w:spacing w:line="440" w:lineRule="exact"/>
        <w:ind w:firstLine="315" w:firstLineChars="150"/>
        <w:jc w:val="left"/>
        <w:rPr>
          <w:rFonts w:ascii="Times New Roman" w:hAnsi="Times New Roman" w:eastAsia="宋体" w:cs="Times New Roman"/>
          <w:color w:val="000000"/>
          <w:highlight w:val="none"/>
        </w:rPr>
      </w:pPr>
      <w:r>
        <w:rPr>
          <w:rFonts w:hint="eastAsia" w:ascii="宋体" w:hAnsi="宋体" w:eastAsia="宋体" w:cs="宋体"/>
          <w:color w:val="000000"/>
          <w:highlight w:val="none"/>
        </w:rPr>
        <w:t>6.2评标委员会应加</w:t>
      </w:r>
      <w:r>
        <w:rPr>
          <w:rFonts w:hint="eastAsia" w:ascii="Times New Roman" w:hAnsi="Times New Roman" w:eastAsia="宋体" w:cs="Times New Roman"/>
          <w:color w:val="000000"/>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7194F06A">
      <w:pPr>
        <w:adjustRightInd w:val="0"/>
        <w:snapToGrid w:val="0"/>
        <w:spacing w:line="420" w:lineRule="exact"/>
        <w:ind w:firstLine="316" w:firstLineChars="150"/>
        <w:rPr>
          <w:rFonts w:ascii="宋体" w:hAnsi="宋体" w:cs="宋体"/>
          <w:b/>
          <w:bCs/>
          <w:color w:val="000000"/>
          <w:szCs w:val="21"/>
          <w:highlight w:val="none"/>
        </w:rPr>
      </w:pPr>
      <w:r>
        <w:rPr>
          <w:rFonts w:hint="eastAsia" w:ascii="宋体" w:hAnsi="宋体" w:cs="宋体"/>
          <w:b/>
          <w:bCs/>
          <w:color w:val="000000"/>
          <w:szCs w:val="21"/>
          <w:highlight w:val="none"/>
        </w:rPr>
        <w:t>7.评标程序</w:t>
      </w:r>
    </w:p>
    <w:p w14:paraId="776A8100">
      <w:pPr>
        <w:spacing w:line="440" w:lineRule="exact"/>
        <w:ind w:firstLine="315" w:firstLineChars="150"/>
        <w:jc w:val="left"/>
        <w:rPr>
          <w:rFonts w:ascii="宋体" w:hAnsi="宋体" w:eastAsia="宋体" w:cs="宋体"/>
          <w:color w:val="000000"/>
          <w:highlight w:val="none"/>
        </w:rPr>
      </w:pPr>
      <w:bookmarkStart w:id="64" w:name="_Toc95223402"/>
      <w:r>
        <w:rPr>
          <w:rFonts w:hint="eastAsia" w:ascii="宋体" w:hAnsi="宋体"/>
          <w:color w:val="000000"/>
          <w:szCs w:val="21"/>
          <w:highlight w:val="none"/>
        </w:rPr>
        <w:t>评标先做准备工作，再进行资格、技术标评审，然后进行商务标评审。</w:t>
      </w:r>
      <w:bookmarkEnd w:id="64"/>
    </w:p>
    <w:p w14:paraId="6F0BCB8E">
      <w:pPr>
        <w:spacing w:line="440" w:lineRule="exact"/>
        <w:ind w:firstLine="315" w:firstLineChars="150"/>
        <w:jc w:val="left"/>
        <w:rPr>
          <w:rFonts w:ascii="宋体" w:hAnsi="宋体" w:cs="宋体"/>
          <w:color w:val="000000"/>
          <w:highlight w:val="none"/>
        </w:rPr>
      </w:pPr>
      <w:bookmarkStart w:id="65" w:name="_Toc15058917"/>
      <w:bookmarkStart w:id="66" w:name="_Toc60061500"/>
      <w:r>
        <w:rPr>
          <w:rFonts w:hint="eastAsia" w:ascii="宋体" w:hAnsi="宋体" w:cs="宋体"/>
          <w:color w:val="000000"/>
          <w:highlight w:val="none"/>
        </w:rPr>
        <w:t>7.1评标准备工作</w:t>
      </w:r>
    </w:p>
    <w:p w14:paraId="6061781C">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评标委员会熟悉评标工作情况：</w:t>
      </w:r>
    </w:p>
    <w:p w14:paraId="79BC48F9">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（1）阅读由招标人或者其委</w:t>
      </w:r>
      <w:bookmarkStart w:id="67" w:name="_Toc15058916"/>
      <w:bookmarkStart w:id="68" w:name="_Toc60061499"/>
      <w:r>
        <w:rPr>
          <w:rFonts w:hint="eastAsia" w:ascii="宋体" w:hAnsi="宋体" w:cs="宋体"/>
          <w:color w:val="000000"/>
          <w:highlight w:val="none"/>
        </w:rPr>
        <w:t>托的代理机构编</w:t>
      </w:r>
      <w:bookmarkEnd w:id="67"/>
      <w:bookmarkEnd w:id="68"/>
      <w:r>
        <w:rPr>
          <w:rFonts w:hint="eastAsia" w:ascii="宋体" w:hAnsi="宋体" w:cs="宋体"/>
          <w:color w:val="000000"/>
          <w:highlight w:val="none"/>
        </w:rPr>
        <w:t>制的招标项目情况材料。</w:t>
      </w:r>
    </w:p>
    <w:p w14:paraId="0F34367A">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（2）阅读、研究招标文件和相关评标资料，获取评标所需要的重要信息和数据，至少应了解和熟悉以下内容：招标项目的范围和性质，招标文件规定的主要技术要求、标准和商务条款。</w:t>
      </w:r>
    </w:p>
    <w:p w14:paraId="4C7245D9">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（3）熟悉招标文件规定的评标标准和评标方法及在评标过程中需要考虑的相关因素。</w:t>
      </w:r>
    </w:p>
    <w:p w14:paraId="13D38CEE">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（4）核对评标工作用表。</w:t>
      </w:r>
    </w:p>
    <w:bookmarkEnd w:id="65"/>
    <w:bookmarkEnd w:id="66"/>
    <w:p w14:paraId="08CA5B9F">
      <w:pPr>
        <w:spacing w:line="440" w:lineRule="exact"/>
        <w:ind w:firstLine="315" w:firstLineChars="150"/>
        <w:jc w:val="left"/>
        <w:rPr>
          <w:rFonts w:ascii="宋体" w:hAnsi="宋体" w:cs="宋体"/>
          <w:color w:val="000000"/>
          <w:highlight w:val="none"/>
        </w:rPr>
      </w:pPr>
      <w:bookmarkStart w:id="69" w:name="_Toc95223405"/>
      <w:r>
        <w:rPr>
          <w:rFonts w:hint="eastAsia" w:ascii="宋体" w:hAnsi="宋体" w:cs="宋体"/>
          <w:color w:val="000000"/>
          <w:highlight w:val="none"/>
        </w:rPr>
        <w:t>7.2推荐中标候选人</w:t>
      </w:r>
    </w:p>
    <w:p w14:paraId="5B827D6D">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资信评审、技术标评审、商务标评审后，推荐中标候选人，并标明排序。</w:t>
      </w:r>
    </w:p>
    <w:p w14:paraId="1191752D">
      <w:pPr>
        <w:adjustRightInd w:val="0"/>
        <w:snapToGrid w:val="0"/>
        <w:spacing w:line="420" w:lineRule="exact"/>
        <w:ind w:firstLine="316" w:firstLineChars="150"/>
        <w:rPr>
          <w:rFonts w:ascii="宋体" w:hAnsi="宋体" w:cs="宋体"/>
          <w:b/>
          <w:bCs/>
          <w:color w:val="000000"/>
          <w:szCs w:val="21"/>
          <w:highlight w:val="none"/>
        </w:rPr>
      </w:pPr>
      <w:r>
        <w:rPr>
          <w:rFonts w:hint="eastAsia" w:ascii="宋体" w:hAnsi="宋体" w:cs="宋体"/>
          <w:b/>
          <w:bCs/>
          <w:color w:val="000000"/>
          <w:szCs w:val="21"/>
          <w:highlight w:val="none"/>
        </w:rPr>
        <w:t>8.评审内容</w:t>
      </w:r>
      <w:bookmarkEnd w:id="69"/>
    </w:p>
    <w:bookmarkEnd w:id="59"/>
    <w:bookmarkEnd w:id="60"/>
    <w:bookmarkEnd w:id="61"/>
    <w:bookmarkEnd w:id="62"/>
    <w:p w14:paraId="0D6C1FE9">
      <w:pPr>
        <w:spacing w:line="440" w:lineRule="exact"/>
        <w:ind w:firstLine="315" w:firstLineChars="150"/>
        <w:jc w:val="left"/>
        <w:rPr>
          <w:rFonts w:ascii="宋体" w:hAnsi="宋体" w:cs="宋体"/>
          <w:color w:val="000000"/>
          <w:highlight w:val="none"/>
        </w:rPr>
      </w:pPr>
      <w:bookmarkStart w:id="70" w:name="_Hlk61815781"/>
      <w:r>
        <w:rPr>
          <w:rFonts w:hint="eastAsia" w:ascii="宋体" w:hAnsi="宋体" w:cs="宋体"/>
          <w:color w:val="000000"/>
          <w:highlight w:val="none"/>
        </w:rPr>
        <w:t>8.1详细评审标准：见资信标、技术标和商务标评审表。</w:t>
      </w:r>
    </w:p>
    <w:p w14:paraId="2948E821">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8.2评标委员会审查投标文件，看其是否有计算或表达上的错误，投标报价有错误的，评标委员会按以下原则对投标报价进行修正。</w:t>
      </w:r>
    </w:p>
    <w:p w14:paraId="1CF46DC6">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（1）投标文件中的大写金额与小写金额不一致的，以大写金额为准。</w:t>
      </w:r>
    </w:p>
    <w:p w14:paraId="00B2158E">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（2）总价金额与依据单价计算出的结果不一致的，以单价金额为准修正总价，但单价金额小数点有明显错误的除外。</w:t>
      </w:r>
    </w:p>
    <w:p w14:paraId="2C04EB02">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6218F0B">
      <w:pPr>
        <w:adjustRightInd w:val="0"/>
        <w:snapToGrid w:val="0"/>
        <w:spacing w:line="420" w:lineRule="exact"/>
        <w:ind w:firstLine="316" w:firstLineChars="150"/>
        <w:rPr>
          <w:rFonts w:ascii="宋体" w:hAnsi="宋体" w:cs="宋体"/>
          <w:b/>
          <w:bCs/>
          <w:color w:val="000000"/>
          <w:szCs w:val="21"/>
          <w:highlight w:val="none"/>
        </w:rPr>
      </w:pPr>
      <w:r>
        <w:rPr>
          <w:rFonts w:hint="eastAsia" w:ascii="宋体" w:hAnsi="宋体" w:cs="宋体"/>
          <w:b/>
          <w:bCs/>
          <w:color w:val="000000"/>
          <w:szCs w:val="21"/>
          <w:highlight w:val="none"/>
        </w:rPr>
        <w:t>9.无效投标条款</w:t>
      </w:r>
    </w:p>
    <w:p w14:paraId="4BF094C7">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9.1投标人存在下列情形的招标人将拒收投标文件：</w:t>
      </w:r>
    </w:p>
    <w:p w14:paraId="54F99AD6">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(1) 未在投标截止时间前通过电子邮箱递交有效电子投标文件的，投标将被拒绝。</w:t>
      </w:r>
    </w:p>
    <w:p w14:paraId="70BA94C7">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9.2其他无效投标情况：</w:t>
      </w:r>
    </w:p>
    <w:p w14:paraId="060EB5F1">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F077294">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（2）调整或修正投标文件的投标报价，调整或修正的价格经投标人书面确认后具有约束力。投标人不接受修正价格的，其投标将被拒绝。</w:t>
      </w:r>
    </w:p>
    <w:p w14:paraId="0050E674">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（3）投标人有串通投标、视为串通投标、弄虚作假、行贿等违法行为。</w:t>
      </w:r>
    </w:p>
    <w:p w14:paraId="0F811143">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（4）投标文件没有对招标文件的实质性要求和条件作出响应。</w:t>
      </w:r>
    </w:p>
    <w:p w14:paraId="5F7A5C11">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（5）未按规定的格式填写导致实质性内容不全以及实质上不响应，或者关键字迹模糊、无法辨认。</w:t>
      </w:r>
    </w:p>
    <w:p w14:paraId="3D9D01DE">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（6）同一投标人提交两个以上不同的投标文件或者投标报价，但招标文件规定提交备选投标的除外。</w:t>
      </w:r>
    </w:p>
    <w:p w14:paraId="11F08B8B">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（7）投标文件中存在招标人不能接受的其他实质性条件。</w:t>
      </w:r>
    </w:p>
    <w:p w14:paraId="51DF7762">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（8）投标人拒不按照要求对投标文件进行澄清、说明、补正的，或评标委员会根据招标文件的规定对招标文件的计算错误进行修正后，投标人不接受修正的投标报价的。</w:t>
      </w:r>
    </w:p>
    <w:p w14:paraId="7A201FB5">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（9）投标人单方面出现其他投标人材料。</w:t>
      </w:r>
    </w:p>
    <w:p w14:paraId="353359A5">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（10）法律、法规规定的其他情形。</w:t>
      </w:r>
    </w:p>
    <w:bookmarkEnd w:id="63"/>
    <w:bookmarkEnd w:id="70"/>
    <w:p w14:paraId="79B18868">
      <w:pPr>
        <w:adjustRightInd w:val="0"/>
        <w:snapToGrid w:val="0"/>
        <w:spacing w:line="420" w:lineRule="exact"/>
        <w:ind w:firstLine="316" w:firstLineChars="150"/>
        <w:rPr>
          <w:rFonts w:ascii="宋体" w:hAnsi="宋体" w:cs="宋体"/>
          <w:b/>
          <w:bCs/>
          <w:color w:val="000000"/>
          <w:szCs w:val="21"/>
          <w:highlight w:val="none"/>
        </w:rPr>
      </w:pPr>
      <w:bookmarkStart w:id="71" w:name="_Toc95223439"/>
      <w:r>
        <w:rPr>
          <w:rFonts w:hint="eastAsia" w:ascii="宋体" w:hAnsi="宋体" w:cs="宋体"/>
          <w:b/>
          <w:bCs/>
          <w:color w:val="000000"/>
          <w:szCs w:val="21"/>
          <w:highlight w:val="none"/>
        </w:rPr>
        <w:t>10.投标文件的澄清和补正</w:t>
      </w:r>
      <w:bookmarkEnd w:id="71"/>
    </w:p>
    <w:p w14:paraId="054071DE">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10.1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5AF1353C">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10.2澄清、说明和补正不得改变投标文件的实质性内容（算术性错误修正的除外）。投标人的书面澄清、说明和补正属于投标文件的组成部分。</w:t>
      </w:r>
    </w:p>
    <w:p w14:paraId="55656E93">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10.3评标委员会对投标人提交的澄清、说明和补正有疑问的，可以要求投标人进一步澄清、说明或补正、直至满足评标委员会的要求。</w:t>
      </w:r>
    </w:p>
    <w:p w14:paraId="745E3226">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按照投标文件规定进行澄清、补正后的投标报价经投标人的法定代表人或其委托代理人确认后即为该投标人的最终投标报价。投标人一旦中标，此报价即为中标价。</w:t>
      </w:r>
    </w:p>
    <w:p w14:paraId="17F44C81">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10.4评委会修正错误的原则：</w:t>
      </w:r>
    </w:p>
    <w:p w14:paraId="3CC7CFAA">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10.4.1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02CB25FF">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10.4.2如果单价与数量的乘积和总价不一致，以单价为准，修正总价及开标一览表；当单价小数点有明显的错位时，评委会将以总价为准，并修正其单价。</w:t>
      </w:r>
    </w:p>
    <w:p w14:paraId="406AE83C">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 xml:space="preserve"> 10.5评委会将按上述修正错误的方法调整投标文件中的投标报价，调整后的价格应对投标人具有约束力。无论投标人是接受或是拒绝调整后的价格，都应当由投标人在系统中确认。投标人拒绝对投标文件出现的错漏按上述原则进行修正、澄清、说明，评标委员会应当否决其投标。</w:t>
      </w:r>
    </w:p>
    <w:p w14:paraId="1823828B">
      <w:pPr>
        <w:adjustRightInd w:val="0"/>
        <w:snapToGrid w:val="0"/>
        <w:spacing w:line="420" w:lineRule="exact"/>
        <w:ind w:firstLine="316" w:firstLineChars="150"/>
        <w:rPr>
          <w:rFonts w:ascii="宋体" w:hAnsi="宋体" w:cs="宋体"/>
          <w:b/>
          <w:bCs/>
          <w:color w:val="000000"/>
          <w:szCs w:val="21"/>
          <w:highlight w:val="none"/>
        </w:rPr>
      </w:pPr>
      <w:bookmarkStart w:id="72" w:name="_Toc95223441"/>
      <w:r>
        <w:rPr>
          <w:rFonts w:hint="eastAsia" w:ascii="宋体" w:hAnsi="宋体" w:cs="宋体"/>
          <w:b/>
          <w:bCs/>
          <w:color w:val="000000"/>
          <w:szCs w:val="21"/>
          <w:highlight w:val="none"/>
        </w:rPr>
        <w:t>11.评审结果</w:t>
      </w:r>
      <w:bookmarkEnd w:id="72"/>
    </w:p>
    <w:p w14:paraId="503F4127">
      <w:pPr>
        <w:spacing w:line="440" w:lineRule="exact"/>
        <w:ind w:firstLine="315" w:firstLineChars="150"/>
        <w:jc w:val="left"/>
        <w:rPr>
          <w:rFonts w:ascii="宋体" w:hAnsi="宋体" w:cs="宋体"/>
          <w:color w:val="000000"/>
          <w:highlight w:val="none"/>
        </w:rPr>
      </w:pPr>
      <w:bookmarkStart w:id="73" w:name="_Toc95223442"/>
      <w:r>
        <w:rPr>
          <w:rFonts w:hint="eastAsia" w:ascii="宋体" w:hAnsi="宋体" w:cs="宋体"/>
          <w:color w:val="000000"/>
          <w:highlight w:val="none"/>
        </w:rPr>
        <w:t>11.1评标委员会按照总得分由高到低顺序推荐中标候选人。</w:t>
      </w:r>
    </w:p>
    <w:p w14:paraId="67471716">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11.2评标委员会完成评标后，应当向招标人提交书面评标报告。评标报告应当如实记载以下内容：</w:t>
      </w:r>
    </w:p>
    <w:p w14:paraId="70AA1155">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（1）基本情况和数据表。</w:t>
      </w:r>
    </w:p>
    <w:p w14:paraId="3A3E1E1F">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（2）评标委员会成员名单。</w:t>
      </w:r>
    </w:p>
    <w:p w14:paraId="5D601716">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（3）开标记录。</w:t>
      </w:r>
    </w:p>
    <w:p w14:paraId="43DA2E48">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（4）符合要求的投标人一览表。</w:t>
      </w:r>
    </w:p>
    <w:p w14:paraId="4223EC39">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（5）否决投标情况说明。</w:t>
      </w:r>
    </w:p>
    <w:p w14:paraId="7D83B365">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（6）评标标准、评标方法或者评标因素。</w:t>
      </w:r>
    </w:p>
    <w:p w14:paraId="5E8F58D8">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（7）评标情况一览表。</w:t>
      </w:r>
    </w:p>
    <w:p w14:paraId="6947FFD1">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（8）经评审的投标人排序。</w:t>
      </w:r>
    </w:p>
    <w:p w14:paraId="1907546F">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（9）推荐的中标候选人名单与签订合同前要处理的事宜。</w:t>
      </w:r>
    </w:p>
    <w:p w14:paraId="71E8E0B3">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（10）澄清、说明、补正事项纪要。</w:t>
      </w:r>
    </w:p>
    <w:p w14:paraId="075A5016">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11.3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3891CFE7">
      <w:pPr>
        <w:spacing w:line="440" w:lineRule="exact"/>
        <w:ind w:firstLine="315" w:firstLineChars="150"/>
        <w:jc w:val="left"/>
        <w:rPr>
          <w:rFonts w:ascii="宋体" w:hAnsi="宋体" w:cs="宋体"/>
          <w:color w:val="000000"/>
          <w:highlight w:val="none"/>
        </w:rPr>
      </w:pPr>
      <w:r>
        <w:rPr>
          <w:rFonts w:hint="eastAsia" w:ascii="宋体" w:hAnsi="宋体" w:cs="宋体"/>
          <w:color w:val="000000"/>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bookmarkEnd w:id="73"/>
    <w:p w14:paraId="57A2C8EF">
      <w:pPr>
        <w:snapToGrid w:val="0"/>
        <w:spacing w:line="440" w:lineRule="exact"/>
        <w:ind w:firstLine="422" w:firstLineChars="200"/>
        <w:rPr>
          <w:rFonts w:ascii="宋体"/>
          <w:b/>
          <w:bCs/>
          <w:szCs w:val="21"/>
          <w:highlight w:val="none"/>
        </w:rPr>
      </w:pPr>
      <w:r>
        <w:rPr>
          <w:rFonts w:hint="eastAsia" w:ascii="宋体"/>
          <w:b/>
          <w:bCs/>
          <w:szCs w:val="21"/>
          <w:highlight w:val="none"/>
        </w:rPr>
        <w:t>12.其他</w:t>
      </w:r>
    </w:p>
    <w:p w14:paraId="433AAC2C">
      <w:pPr>
        <w:snapToGrid w:val="0"/>
        <w:spacing w:line="440" w:lineRule="exact"/>
        <w:ind w:firstLine="420" w:firstLineChars="200"/>
        <w:rPr>
          <w:rFonts w:ascii="宋体"/>
          <w:szCs w:val="21"/>
          <w:highlight w:val="none"/>
        </w:rPr>
      </w:pPr>
      <w:r>
        <w:rPr>
          <w:rFonts w:hint="eastAsia" w:ascii="宋体"/>
          <w:szCs w:val="21"/>
          <w:highlight w:val="none"/>
        </w:rPr>
        <w:t>投标人提供的与投标文件有关的各类证书、证明、文件、资料等的真实性、合法性由投标人负全责。</w:t>
      </w:r>
    </w:p>
    <w:p w14:paraId="4DA385B7">
      <w:pPr>
        <w:keepNext w:val="0"/>
        <w:keepLines w:val="0"/>
        <w:pageBreakBefore w:val="0"/>
        <w:widowControl w:val="0"/>
        <w:tabs>
          <w:tab w:val="left" w:pos="8820"/>
        </w:tabs>
        <w:kinsoku/>
        <w:wordWrap/>
        <w:overflowPunct/>
        <w:topLinePunct w:val="0"/>
        <w:autoSpaceDE/>
        <w:autoSpaceDN/>
        <w:bidi w:val="0"/>
        <w:adjustRightInd/>
        <w:snapToGrid w:val="0"/>
        <w:spacing w:line="500" w:lineRule="exact"/>
        <w:jc w:val="center"/>
        <w:textAlignment w:val="auto"/>
        <w:rPr>
          <w:rFonts w:hint="eastAsia" w:eastAsiaTheme="minorEastAsia"/>
          <w:highlight w:val="none"/>
          <w:lang w:eastAsia="zh-CN"/>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用户需求书</w:t>
      </w:r>
    </w:p>
    <w:p w14:paraId="4D25FB7B">
      <w:pPr>
        <w:numPr>
          <w:ilvl w:val="0"/>
          <w:numId w:val="0"/>
        </w:numPr>
        <w:spacing w:before="156" w:beforeLines="50" w:line="360" w:lineRule="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1、工程概况</w:t>
      </w:r>
    </w:p>
    <w:p w14:paraId="303351FA">
      <w:pPr>
        <w:ind w:firstLine="420"/>
        <w:jc w:val="both"/>
        <w:rPr>
          <w:rFonts w:hint="eastAsia"/>
          <w:highlight w:val="none"/>
          <w:lang w:val="en-US" w:eastAsia="zh-CN"/>
        </w:rPr>
      </w:pPr>
      <w:r>
        <w:rPr>
          <w:rFonts w:hint="eastAsia"/>
          <w:highlight w:val="none"/>
          <w:lang w:val="en-US" w:eastAsia="zh-CN"/>
        </w:rPr>
        <w:t>滁宁城际铁路（滁州段）一期工程拟在大王郢站-林楼站小半径曲线位置加装钢轨涂油器，另外加装的涂油器由苏滁产业园站2AP7配电箱预留回路馈出两回~220V电源分别至上下行侧新增涂油器处。</w:t>
      </w:r>
    </w:p>
    <w:p w14:paraId="27DDDA62">
      <w:pPr>
        <w:numPr>
          <w:ilvl w:val="0"/>
          <w:numId w:val="3"/>
        </w:numPr>
        <w:spacing w:before="156" w:beforeLines="50" w:line="360" w:lineRule="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曲线信息表</w:t>
      </w:r>
    </w:p>
    <w:tbl>
      <w:tblPr>
        <w:tblStyle w:val="26"/>
        <w:tblW w:w="5000" w:type="pct"/>
        <w:jc w:val="center"/>
        <w:tblLayout w:type="autofit"/>
        <w:tblCellMar>
          <w:top w:w="0" w:type="dxa"/>
          <w:left w:w="108" w:type="dxa"/>
          <w:bottom w:w="0" w:type="dxa"/>
          <w:right w:w="108" w:type="dxa"/>
        </w:tblCellMar>
      </w:tblPr>
      <w:tblGrid>
        <w:gridCol w:w="752"/>
        <w:gridCol w:w="1029"/>
        <w:gridCol w:w="1670"/>
        <w:gridCol w:w="1670"/>
        <w:gridCol w:w="2294"/>
        <w:gridCol w:w="1107"/>
      </w:tblGrid>
      <w:tr w14:paraId="1E3A6B62">
        <w:trPr>
          <w:trHeight w:val="885" w:hRule="atLeast"/>
          <w:jc w:val="center"/>
        </w:trPr>
        <w:tc>
          <w:tcPr>
            <w:tcW w:w="441" w:type="pct"/>
            <w:tcBorders>
              <w:top w:val="single" w:color="000000" w:sz="4" w:space="0"/>
              <w:left w:val="single" w:color="000000" w:sz="4" w:space="0"/>
              <w:bottom w:val="nil"/>
              <w:right w:val="single" w:color="000000" w:sz="4" w:space="0"/>
            </w:tcBorders>
            <w:shd w:val="clear" w:color="auto" w:fill="FFFFFF"/>
            <w:noWrap w:val="0"/>
            <w:vAlign w:val="center"/>
          </w:tcPr>
          <w:p w14:paraId="37342E1A">
            <w:pPr>
              <w:pStyle w:val="21"/>
              <w:keepNext w:val="0"/>
              <w:keepLines w:val="0"/>
              <w:suppressLineNumbers w:val="0"/>
              <w:spacing w:before="31" w:beforeAutospacing="0" w:after="31" w:afterAutospacing="0"/>
              <w:ind w:left="0" w:right="0" w:firstLine="0" w:firstLineChars="0"/>
              <w:jc w:val="center"/>
              <w:rPr>
                <w:rFonts w:hint="default"/>
              </w:rPr>
            </w:pPr>
            <w:r>
              <w:rPr>
                <w:rFonts w:hint="default"/>
              </w:rPr>
              <w:t>序号</w:t>
            </w:r>
          </w:p>
        </w:tc>
        <w:tc>
          <w:tcPr>
            <w:tcW w:w="604" w:type="pct"/>
            <w:tcBorders>
              <w:top w:val="single" w:color="000000" w:sz="4" w:space="0"/>
              <w:left w:val="nil"/>
              <w:bottom w:val="nil"/>
              <w:right w:val="single" w:color="000000" w:sz="4" w:space="0"/>
            </w:tcBorders>
            <w:shd w:val="clear" w:color="auto" w:fill="FFFFFF"/>
            <w:noWrap w:val="0"/>
            <w:vAlign w:val="center"/>
          </w:tcPr>
          <w:p w14:paraId="4E4AE14E">
            <w:pPr>
              <w:pStyle w:val="21"/>
              <w:keepNext w:val="0"/>
              <w:keepLines w:val="0"/>
              <w:suppressLineNumbers w:val="0"/>
              <w:spacing w:before="31" w:beforeAutospacing="0" w:after="31" w:afterAutospacing="0"/>
              <w:ind w:left="0" w:right="0" w:firstLine="0" w:firstLineChars="0"/>
              <w:jc w:val="center"/>
              <w:rPr>
                <w:rFonts w:hint="default"/>
              </w:rPr>
            </w:pPr>
            <w:r>
              <w:rPr>
                <w:rFonts w:hint="default"/>
              </w:rPr>
              <w:t>行别</w:t>
            </w:r>
          </w:p>
        </w:tc>
        <w:tc>
          <w:tcPr>
            <w:tcW w:w="980" w:type="pct"/>
            <w:tcBorders>
              <w:top w:val="single" w:color="000000" w:sz="4" w:space="0"/>
              <w:left w:val="nil"/>
              <w:bottom w:val="nil"/>
              <w:right w:val="single" w:color="000000" w:sz="4" w:space="0"/>
            </w:tcBorders>
            <w:shd w:val="clear" w:color="auto" w:fill="FFFFFF"/>
            <w:noWrap/>
            <w:vAlign w:val="center"/>
          </w:tcPr>
          <w:p w14:paraId="5F28E7E0">
            <w:pPr>
              <w:pStyle w:val="21"/>
              <w:keepNext w:val="0"/>
              <w:keepLines w:val="0"/>
              <w:suppressLineNumbers w:val="0"/>
              <w:spacing w:before="31" w:beforeAutospacing="0" w:after="31" w:afterAutospacing="0"/>
              <w:ind w:left="0" w:right="0" w:firstLine="0" w:firstLineChars="0"/>
              <w:jc w:val="center"/>
              <w:rPr>
                <w:rFonts w:hint="default"/>
              </w:rPr>
            </w:pPr>
            <w:r>
              <w:rPr>
                <w:rFonts w:hint="default"/>
              </w:rPr>
              <w:t>起点</w:t>
            </w:r>
          </w:p>
        </w:tc>
        <w:tc>
          <w:tcPr>
            <w:tcW w:w="980" w:type="pct"/>
            <w:tcBorders>
              <w:top w:val="single" w:color="000000" w:sz="4" w:space="0"/>
              <w:left w:val="nil"/>
              <w:bottom w:val="nil"/>
              <w:right w:val="single" w:color="000000" w:sz="4" w:space="0"/>
            </w:tcBorders>
            <w:shd w:val="clear" w:color="auto" w:fill="FFFFFF"/>
            <w:noWrap/>
            <w:vAlign w:val="center"/>
          </w:tcPr>
          <w:p w14:paraId="11EF8CA1">
            <w:pPr>
              <w:pStyle w:val="21"/>
              <w:keepNext w:val="0"/>
              <w:keepLines w:val="0"/>
              <w:suppressLineNumbers w:val="0"/>
              <w:spacing w:before="31" w:beforeAutospacing="0" w:after="31" w:afterAutospacing="0"/>
              <w:ind w:left="0" w:right="0" w:firstLine="0" w:firstLineChars="0"/>
              <w:jc w:val="center"/>
              <w:rPr>
                <w:rFonts w:hint="default"/>
              </w:rPr>
            </w:pPr>
            <w:r>
              <w:rPr>
                <w:rFonts w:hint="default"/>
              </w:rPr>
              <w:t>终点</w:t>
            </w:r>
          </w:p>
        </w:tc>
        <w:tc>
          <w:tcPr>
            <w:tcW w:w="1346" w:type="pct"/>
            <w:tcBorders>
              <w:top w:val="single" w:color="000000" w:sz="4" w:space="0"/>
              <w:left w:val="nil"/>
              <w:bottom w:val="nil"/>
              <w:right w:val="nil"/>
            </w:tcBorders>
            <w:shd w:val="clear" w:color="auto" w:fill="FFFFFF"/>
            <w:noWrap/>
            <w:vAlign w:val="center"/>
          </w:tcPr>
          <w:p w14:paraId="28D39352">
            <w:pPr>
              <w:pStyle w:val="21"/>
              <w:keepNext w:val="0"/>
              <w:keepLines w:val="0"/>
              <w:suppressLineNumbers w:val="0"/>
              <w:spacing w:before="31" w:beforeAutospacing="0" w:after="31" w:afterAutospacing="0"/>
              <w:ind w:left="0" w:right="0" w:firstLine="0" w:firstLineChars="0"/>
              <w:jc w:val="center"/>
              <w:rPr>
                <w:rFonts w:hint="default"/>
              </w:rPr>
            </w:pPr>
            <w:r>
              <w:rPr>
                <w:rFonts w:hint="default"/>
              </w:rPr>
              <w:t>所属区间</w:t>
            </w:r>
          </w:p>
        </w:tc>
        <w:tc>
          <w:tcPr>
            <w:tcW w:w="649" w:type="pct"/>
            <w:tcBorders>
              <w:top w:val="single" w:color="000000" w:sz="4" w:space="0"/>
              <w:left w:val="single" w:color="000000" w:sz="4" w:space="0"/>
              <w:bottom w:val="nil"/>
              <w:right w:val="single" w:color="000000" w:sz="4" w:space="0"/>
            </w:tcBorders>
            <w:shd w:val="clear" w:color="auto" w:fill="FFFFFF"/>
            <w:noWrap w:val="0"/>
            <w:vAlign w:val="center"/>
          </w:tcPr>
          <w:p w14:paraId="41724DA5">
            <w:pPr>
              <w:pStyle w:val="21"/>
              <w:keepNext w:val="0"/>
              <w:keepLines w:val="0"/>
              <w:suppressLineNumbers w:val="0"/>
              <w:spacing w:before="31" w:beforeAutospacing="0" w:after="31" w:afterAutospacing="0"/>
              <w:ind w:left="0" w:right="0" w:firstLine="0" w:firstLineChars="0"/>
              <w:jc w:val="center"/>
              <w:rPr>
                <w:rFonts w:hint="default"/>
              </w:rPr>
            </w:pPr>
            <w:r>
              <w:rPr>
                <w:rFonts w:hint="default"/>
              </w:rPr>
              <w:t>曲线半径Ｒ</w:t>
            </w:r>
            <w:r>
              <w:rPr>
                <w:rFonts w:hint="eastAsia"/>
              </w:rPr>
              <w:br w:type="textWrapping"/>
            </w:r>
            <w:r>
              <w:rPr>
                <w:rFonts w:hint="default"/>
              </w:rPr>
              <w:t>（m）</w:t>
            </w:r>
          </w:p>
        </w:tc>
      </w:tr>
      <w:tr w14:paraId="38AB4C2E">
        <w:tblPrEx>
          <w:tblCellMar>
            <w:top w:w="0" w:type="dxa"/>
            <w:left w:w="108" w:type="dxa"/>
            <w:bottom w:w="0" w:type="dxa"/>
            <w:right w:w="108" w:type="dxa"/>
          </w:tblCellMar>
        </w:tblPrEx>
        <w:trPr>
          <w:trHeight w:val="681"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529C5">
            <w:pPr>
              <w:pStyle w:val="21"/>
              <w:keepNext w:val="0"/>
              <w:keepLines w:val="0"/>
              <w:suppressLineNumbers w:val="0"/>
              <w:spacing w:before="31" w:beforeAutospacing="0" w:after="31" w:afterAutospacing="0"/>
              <w:ind w:left="0" w:right="0" w:firstLine="0" w:firstLineChars="0"/>
              <w:jc w:val="center"/>
              <w:rPr>
                <w:rFonts w:hint="default"/>
              </w:rPr>
            </w:pPr>
            <w:r>
              <w:rPr>
                <w:rFonts w:hint="eastAsia"/>
              </w:rPr>
              <w:t>1</w:t>
            </w:r>
          </w:p>
        </w:tc>
        <w:tc>
          <w:tcPr>
            <w:tcW w:w="604" w:type="pct"/>
            <w:tcBorders>
              <w:top w:val="single" w:color="000000" w:sz="4" w:space="0"/>
              <w:left w:val="nil"/>
              <w:bottom w:val="nil"/>
              <w:right w:val="nil"/>
            </w:tcBorders>
            <w:shd w:val="clear" w:color="auto" w:fill="FFFFFF"/>
            <w:noWrap w:val="0"/>
            <w:vAlign w:val="center"/>
          </w:tcPr>
          <w:p w14:paraId="1F5732D2">
            <w:pPr>
              <w:pStyle w:val="21"/>
              <w:keepNext w:val="0"/>
              <w:keepLines w:val="0"/>
              <w:suppressLineNumbers w:val="0"/>
              <w:spacing w:before="31" w:beforeAutospacing="0" w:after="31" w:afterAutospacing="0"/>
              <w:ind w:left="0" w:right="0" w:firstLine="0" w:firstLineChars="0"/>
              <w:jc w:val="center"/>
              <w:rPr>
                <w:rFonts w:hint="default"/>
              </w:rPr>
            </w:pPr>
            <w:r>
              <w:rPr>
                <w:rFonts w:hint="eastAsia"/>
              </w:rPr>
              <w:t>上行</w:t>
            </w:r>
          </w:p>
        </w:tc>
        <w:tc>
          <w:tcPr>
            <w:tcW w:w="9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08345">
            <w:pPr>
              <w:pStyle w:val="21"/>
              <w:keepNext w:val="0"/>
              <w:keepLines w:val="0"/>
              <w:suppressLineNumbers w:val="0"/>
              <w:spacing w:before="31" w:beforeAutospacing="0" w:after="31" w:afterAutospacing="0"/>
              <w:ind w:left="0" w:right="0" w:firstLine="0" w:firstLineChars="0"/>
              <w:jc w:val="center"/>
              <w:rPr>
                <w:rFonts w:hint="default"/>
              </w:rPr>
            </w:pPr>
            <w:r>
              <w:rPr>
                <w:rFonts w:hint="eastAsia"/>
              </w:rPr>
              <w:t>DK19+737.771</w:t>
            </w:r>
          </w:p>
        </w:tc>
        <w:tc>
          <w:tcPr>
            <w:tcW w:w="980" w:type="pct"/>
            <w:tcBorders>
              <w:top w:val="single" w:color="000000" w:sz="4" w:space="0"/>
              <w:left w:val="nil"/>
              <w:bottom w:val="single" w:color="000000" w:sz="4" w:space="0"/>
              <w:right w:val="single" w:color="000000" w:sz="4" w:space="0"/>
            </w:tcBorders>
            <w:shd w:val="clear" w:color="auto" w:fill="FFFFFF"/>
            <w:noWrap/>
            <w:vAlign w:val="center"/>
          </w:tcPr>
          <w:p w14:paraId="2692EBCC">
            <w:pPr>
              <w:pStyle w:val="21"/>
              <w:keepNext w:val="0"/>
              <w:keepLines w:val="0"/>
              <w:suppressLineNumbers w:val="0"/>
              <w:spacing w:before="31" w:beforeAutospacing="0" w:after="31" w:afterAutospacing="0"/>
              <w:ind w:left="0" w:right="0" w:firstLine="0" w:firstLineChars="0"/>
              <w:jc w:val="center"/>
              <w:rPr>
                <w:rFonts w:hint="default"/>
              </w:rPr>
            </w:pPr>
            <w:r>
              <w:rPr>
                <w:rFonts w:hint="eastAsia"/>
              </w:rPr>
              <w:t>DK20+556.174</w:t>
            </w:r>
          </w:p>
        </w:tc>
        <w:tc>
          <w:tcPr>
            <w:tcW w:w="1346" w:type="pct"/>
            <w:tcBorders>
              <w:top w:val="single" w:color="000000" w:sz="4" w:space="0"/>
              <w:left w:val="nil"/>
              <w:bottom w:val="single" w:color="000000" w:sz="4" w:space="0"/>
              <w:right w:val="single" w:color="000000" w:sz="4" w:space="0"/>
            </w:tcBorders>
            <w:shd w:val="clear" w:color="auto" w:fill="FFFFFF"/>
            <w:noWrap/>
            <w:vAlign w:val="center"/>
          </w:tcPr>
          <w:p w14:paraId="08898716">
            <w:pPr>
              <w:keepNext w:val="0"/>
              <w:keepLines w:val="0"/>
              <w:widowControl/>
              <w:suppressLineNumbers w:val="0"/>
              <w:spacing w:before="0" w:beforeAutospacing="0" w:after="0" w:afterAutospacing="0"/>
              <w:ind w:left="0" w:right="0"/>
              <w:jc w:val="left"/>
              <w:rPr>
                <w:rFonts w:hint="default"/>
              </w:rPr>
            </w:pPr>
            <w:r>
              <w:rPr>
                <w:rFonts w:hint="eastAsia" w:ascii="Times New Roman" w:hAnsi="Times New Roman" w:eastAsia="宋体" w:cs="Times New Roman"/>
                <w:bCs/>
                <w:kern w:val="28"/>
                <w:sz w:val="18"/>
                <w:szCs w:val="32"/>
                <w:lang w:val="en-US" w:eastAsia="zh-CN" w:bidi="ar-SA"/>
              </w:rPr>
              <w:t>大王郢站</w:t>
            </w:r>
            <w:r>
              <w:rPr>
                <w:rFonts w:hint="eastAsia" w:cs="Times New Roman"/>
                <w:bCs/>
                <w:kern w:val="28"/>
                <w:sz w:val="18"/>
                <w:szCs w:val="32"/>
                <w:lang w:val="en-US" w:eastAsia="zh-CN" w:bidi="ar-SA"/>
              </w:rPr>
              <w:t>—</w:t>
            </w:r>
            <w:r>
              <w:rPr>
                <w:rFonts w:hint="eastAsia" w:ascii="Times New Roman" w:hAnsi="Times New Roman" w:eastAsia="宋体" w:cs="Times New Roman"/>
                <w:bCs/>
                <w:kern w:val="28"/>
                <w:sz w:val="18"/>
                <w:szCs w:val="32"/>
                <w:lang w:val="en-US" w:eastAsia="zh-CN" w:bidi="ar-SA"/>
              </w:rPr>
              <w:t>林楼站</w:t>
            </w:r>
          </w:p>
        </w:tc>
        <w:tc>
          <w:tcPr>
            <w:tcW w:w="649" w:type="pct"/>
            <w:tcBorders>
              <w:top w:val="single" w:color="000000" w:sz="4" w:space="0"/>
              <w:left w:val="nil"/>
              <w:bottom w:val="single" w:color="000000" w:sz="4" w:space="0"/>
              <w:right w:val="single" w:color="000000" w:sz="4" w:space="0"/>
            </w:tcBorders>
            <w:shd w:val="clear" w:color="auto" w:fill="FFFFFF"/>
            <w:noWrap/>
            <w:vAlign w:val="center"/>
          </w:tcPr>
          <w:p w14:paraId="0F34177B">
            <w:pPr>
              <w:pStyle w:val="21"/>
              <w:keepNext w:val="0"/>
              <w:keepLines w:val="0"/>
              <w:suppressLineNumbers w:val="0"/>
              <w:spacing w:before="31" w:beforeAutospacing="0" w:after="31" w:afterAutospacing="0"/>
              <w:ind w:left="0" w:right="0" w:firstLine="0" w:firstLineChars="0"/>
              <w:jc w:val="center"/>
              <w:rPr>
                <w:rFonts w:hint="default" w:eastAsia="宋体"/>
                <w:lang w:val="en-US" w:eastAsia="zh-CN"/>
              </w:rPr>
            </w:pPr>
            <w:r>
              <w:rPr>
                <w:rFonts w:hint="eastAsia"/>
                <w:lang w:val="en-US" w:eastAsia="zh-CN"/>
              </w:rPr>
              <w:t>405.6</w:t>
            </w:r>
          </w:p>
        </w:tc>
      </w:tr>
      <w:tr w14:paraId="45E25706">
        <w:tblPrEx>
          <w:tblCellMar>
            <w:top w:w="0" w:type="dxa"/>
            <w:left w:w="108" w:type="dxa"/>
            <w:bottom w:w="0" w:type="dxa"/>
            <w:right w:w="108" w:type="dxa"/>
          </w:tblCellMar>
        </w:tblPrEx>
        <w:trPr>
          <w:trHeight w:val="704"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2320E">
            <w:pPr>
              <w:pStyle w:val="21"/>
              <w:keepNext w:val="0"/>
              <w:keepLines w:val="0"/>
              <w:suppressLineNumbers w:val="0"/>
              <w:spacing w:before="31" w:beforeAutospacing="0" w:after="31" w:afterAutospacing="0"/>
              <w:ind w:left="0" w:right="0" w:firstLine="0" w:firstLineChars="0"/>
              <w:jc w:val="center"/>
              <w:rPr>
                <w:rFonts w:hint="default"/>
              </w:rPr>
            </w:pPr>
            <w:r>
              <w:rPr>
                <w:rFonts w:hint="default"/>
              </w:rPr>
              <w:t>2</w:t>
            </w:r>
          </w:p>
        </w:tc>
        <w:tc>
          <w:tcPr>
            <w:tcW w:w="604" w:type="pct"/>
            <w:tcBorders>
              <w:top w:val="single" w:color="000000" w:sz="4" w:space="0"/>
              <w:left w:val="nil"/>
              <w:bottom w:val="single" w:color="000000" w:sz="4" w:space="0"/>
              <w:right w:val="single" w:color="000000" w:sz="4" w:space="0"/>
            </w:tcBorders>
            <w:shd w:val="clear" w:color="auto" w:fill="FFFFFF"/>
            <w:noWrap w:val="0"/>
            <w:vAlign w:val="center"/>
          </w:tcPr>
          <w:p w14:paraId="3A947BD2">
            <w:pPr>
              <w:pStyle w:val="21"/>
              <w:keepNext w:val="0"/>
              <w:keepLines w:val="0"/>
              <w:suppressLineNumbers w:val="0"/>
              <w:spacing w:before="31" w:beforeAutospacing="0" w:after="31" w:afterAutospacing="0"/>
              <w:ind w:left="0" w:right="0" w:firstLine="0" w:firstLineChars="0"/>
              <w:jc w:val="center"/>
              <w:rPr>
                <w:rFonts w:hint="default"/>
              </w:rPr>
            </w:pPr>
            <w:r>
              <w:rPr>
                <w:rFonts w:hint="eastAsia"/>
              </w:rPr>
              <w:t>下行</w:t>
            </w:r>
          </w:p>
        </w:tc>
        <w:tc>
          <w:tcPr>
            <w:tcW w:w="980" w:type="pct"/>
            <w:tcBorders>
              <w:top w:val="single" w:color="000000" w:sz="4" w:space="0"/>
              <w:left w:val="nil"/>
              <w:bottom w:val="single" w:color="000000" w:sz="4" w:space="0"/>
              <w:right w:val="single" w:color="000000" w:sz="4" w:space="0"/>
            </w:tcBorders>
            <w:shd w:val="clear" w:color="auto" w:fill="FFFFFF"/>
            <w:noWrap/>
            <w:vAlign w:val="center"/>
          </w:tcPr>
          <w:p w14:paraId="11970934">
            <w:pPr>
              <w:pStyle w:val="21"/>
              <w:keepNext w:val="0"/>
              <w:keepLines w:val="0"/>
              <w:suppressLineNumbers w:val="0"/>
              <w:spacing w:before="31" w:beforeAutospacing="0" w:after="31" w:afterAutospacing="0"/>
              <w:ind w:left="0" w:right="0" w:firstLine="0" w:firstLineChars="0"/>
              <w:jc w:val="center"/>
              <w:rPr>
                <w:rFonts w:hint="default"/>
              </w:rPr>
            </w:pPr>
            <w:r>
              <w:rPr>
                <w:rFonts w:hint="eastAsia"/>
              </w:rPr>
              <w:t>DK19+737.600</w:t>
            </w:r>
          </w:p>
        </w:tc>
        <w:tc>
          <w:tcPr>
            <w:tcW w:w="980" w:type="pct"/>
            <w:tcBorders>
              <w:top w:val="single" w:color="000000" w:sz="4" w:space="0"/>
              <w:left w:val="nil"/>
              <w:bottom w:val="single" w:color="000000" w:sz="4" w:space="0"/>
              <w:right w:val="single" w:color="000000" w:sz="4" w:space="0"/>
            </w:tcBorders>
            <w:shd w:val="clear" w:color="auto" w:fill="FFFFFF"/>
            <w:noWrap/>
            <w:vAlign w:val="center"/>
          </w:tcPr>
          <w:p w14:paraId="5E10E304">
            <w:pPr>
              <w:pStyle w:val="21"/>
              <w:keepNext w:val="0"/>
              <w:keepLines w:val="0"/>
              <w:suppressLineNumbers w:val="0"/>
              <w:spacing w:before="31" w:beforeAutospacing="0" w:after="31" w:afterAutospacing="0"/>
              <w:ind w:left="0" w:right="0" w:firstLine="0" w:firstLineChars="0"/>
              <w:jc w:val="center"/>
              <w:rPr>
                <w:rFonts w:hint="default"/>
              </w:rPr>
            </w:pPr>
            <w:r>
              <w:rPr>
                <w:rFonts w:hint="eastAsia"/>
              </w:rPr>
              <w:t>DK20+556.083</w:t>
            </w:r>
          </w:p>
        </w:tc>
        <w:tc>
          <w:tcPr>
            <w:tcW w:w="1346" w:type="pct"/>
            <w:tcBorders>
              <w:top w:val="single" w:color="000000" w:sz="4" w:space="0"/>
              <w:left w:val="nil"/>
              <w:bottom w:val="single" w:color="000000" w:sz="4" w:space="0"/>
              <w:right w:val="single" w:color="000000" w:sz="4" w:space="0"/>
            </w:tcBorders>
            <w:shd w:val="clear" w:color="auto" w:fill="FFFFFF"/>
            <w:noWrap/>
            <w:vAlign w:val="center"/>
          </w:tcPr>
          <w:p w14:paraId="03207ABE">
            <w:pPr>
              <w:pStyle w:val="21"/>
              <w:keepNext w:val="0"/>
              <w:keepLines w:val="0"/>
              <w:suppressLineNumbers w:val="0"/>
              <w:spacing w:before="31" w:beforeAutospacing="0" w:after="31" w:afterAutospacing="0"/>
              <w:ind w:left="0" w:right="0" w:firstLine="0" w:firstLineChars="0"/>
              <w:jc w:val="center"/>
              <w:rPr>
                <w:rFonts w:hint="default"/>
              </w:rPr>
            </w:pPr>
            <w:r>
              <w:rPr>
                <w:rFonts w:hint="eastAsia" w:ascii="Times New Roman" w:hAnsi="Times New Roman" w:eastAsia="宋体" w:cs="Times New Roman"/>
                <w:bCs/>
                <w:kern w:val="28"/>
                <w:sz w:val="18"/>
                <w:szCs w:val="32"/>
                <w:lang w:val="en-US" w:eastAsia="zh-CN" w:bidi="ar-SA"/>
              </w:rPr>
              <w:t>大王郢站</w:t>
            </w:r>
            <w:r>
              <w:rPr>
                <w:rFonts w:hint="eastAsia" w:cs="Times New Roman"/>
                <w:bCs/>
                <w:kern w:val="28"/>
                <w:sz w:val="18"/>
                <w:szCs w:val="32"/>
                <w:lang w:val="en-US" w:eastAsia="zh-CN" w:bidi="ar-SA"/>
              </w:rPr>
              <w:t>—</w:t>
            </w:r>
            <w:r>
              <w:rPr>
                <w:rFonts w:hint="eastAsia" w:ascii="Times New Roman" w:hAnsi="Times New Roman" w:eastAsia="宋体" w:cs="Times New Roman"/>
                <w:bCs/>
                <w:kern w:val="28"/>
                <w:sz w:val="18"/>
                <w:szCs w:val="32"/>
                <w:lang w:val="en-US" w:eastAsia="zh-CN" w:bidi="ar-SA"/>
              </w:rPr>
              <w:t>林楼站</w:t>
            </w:r>
          </w:p>
        </w:tc>
        <w:tc>
          <w:tcPr>
            <w:tcW w:w="649" w:type="pct"/>
            <w:tcBorders>
              <w:top w:val="single" w:color="000000" w:sz="4" w:space="0"/>
              <w:left w:val="nil"/>
              <w:bottom w:val="single" w:color="000000" w:sz="4" w:space="0"/>
              <w:right w:val="single" w:color="000000" w:sz="4" w:space="0"/>
            </w:tcBorders>
            <w:shd w:val="clear" w:color="auto" w:fill="FFFFFF"/>
            <w:noWrap/>
            <w:vAlign w:val="center"/>
          </w:tcPr>
          <w:p w14:paraId="01787102">
            <w:pPr>
              <w:pStyle w:val="21"/>
              <w:keepNext w:val="0"/>
              <w:keepLines w:val="0"/>
              <w:suppressLineNumbers w:val="0"/>
              <w:spacing w:before="31" w:beforeAutospacing="0" w:after="31" w:afterAutospacing="0"/>
              <w:ind w:left="0" w:right="0" w:firstLine="0" w:firstLineChars="0"/>
              <w:jc w:val="center"/>
              <w:rPr>
                <w:rFonts w:hint="default" w:eastAsia="宋体"/>
                <w:lang w:val="en-US" w:eastAsia="zh-CN"/>
              </w:rPr>
            </w:pPr>
            <w:r>
              <w:rPr>
                <w:rFonts w:hint="eastAsia"/>
                <w:lang w:val="en-US" w:eastAsia="zh-CN"/>
              </w:rPr>
              <w:t>410</w:t>
            </w:r>
          </w:p>
        </w:tc>
      </w:tr>
    </w:tbl>
    <w:p w14:paraId="47FBDAAB">
      <w:pPr>
        <w:numPr>
          <w:ilvl w:val="0"/>
          <w:numId w:val="0"/>
        </w:numPr>
        <w:spacing w:before="156" w:beforeLines="50" w:line="360" w:lineRule="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3、项目人员要求：</w:t>
      </w:r>
    </w:p>
    <w:p w14:paraId="67B7CE0E">
      <w:pPr>
        <w:ind w:firstLine="420"/>
        <w:jc w:val="both"/>
        <w:rPr>
          <w:rFonts w:hint="eastAsia"/>
          <w:highlight w:val="none"/>
          <w:lang w:val="en-US" w:eastAsia="zh-CN"/>
        </w:rPr>
      </w:pPr>
      <w:r>
        <w:rPr>
          <w:rFonts w:hint="eastAsia"/>
          <w:highlight w:val="none"/>
          <w:lang w:val="en-US" w:eastAsia="zh-CN"/>
        </w:rPr>
        <w:t xml:space="preserve">为优质高效地完成本项目，按招标人要求完成本项目范围内的工程，中标人应选派精干人员组成项目组，对项目进行全面管理，并全程参与项目的核算、实施、验收。 </w:t>
      </w:r>
    </w:p>
    <w:p w14:paraId="341EB1A9">
      <w:pPr>
        <w:numPr>
          <w:ilvl w:val="0"/>
          <w:numId w:val="0"/>
        </w:numPr>
        <w:spacing w:before="156" w:beforeLines="50" w:line="360" w:lineRule="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4、新增涂油器技术需求</w:t>
      </w:r>
    </w:p>
    <w:p w14:paraId="648EDC57">
      <w:pPr>
        <w:ind w:firstLine="420"/>
        <w:jc w:val="both"/>
        <w:rPr>
          <w:rFonts w:hint="eastAsia"/>
          <w:highlight w:val="none"/>
          <w:lang w:val="en-US" w:eastAsia="zh-CN"/>
        </w:rPr>
      </w:pPr>
      <w:r>
        <w:rPr>
          <w:rFonts w:hint="eastAsia"/>
          <w:highlight w:val="none"/>
          <w:lang w:val="en-US" w:eastAsia="zh-CN"/>
        </w:rPr>
        <w:t>4.1工程数量</w:t>
      </w:r>
    </w:p>
    <w:p w14:paraId="075F57B1">
      <w:pPr>
        <w:ind w:firstLine="420"/>
      </w:pPr>
      <w:r>
        <w:rPr>
          <w:rFonts w:hint="eastAsia"/>
        </w:rPr>
        <w:t>1、大王郢至林楼站区间上行DK19+737</w:t>
      </w:r>
      <w:r>
        <w:rPr>
          <w:rFonts w:hint="eastAsia"/>
          <w:lang w:val="en-US" w:eastAsia="zh-CN"/>
        </w:rPr>
        <w:t>附近</w:t>
      </w:r>
      <w:r>
        <w:rPr>
          <w:rFonts w:hint="eastAsia"/>
        </w:rPr>
        <w:t>加装1台涂油器；</w:t>
      </w:r>
    </w:p>
    <w:p w14:paraId="60DF4790">
      <w:pPr>
        <w:ind w:firstLine="420"/>
      </w:pPr>
      <w:r>
        <w:rPr>
          <w:rFonts w:hint="eastAsia"/>
        </w:rPr>
        <w:t>2、大王郢至林楼站区间</w:t>
      </w:r>
      <w:r>
        <w:rPr>
          <w:rFonts w:hint="eastAsia"/>
          <w:lang w:val="en-US" w:eastAsia="zh-CN"/>
        </w:rPr>
        <w:t>下</w:t>
      </w:r>
      <w:r>
        <w:rPr>
          <w:rFonts w:hint="eastAsia"/>
        </w:rPr>
        <w:t>行DK20+556</w:t>
      </w:r>
      <w:r>
        <w:rPr>
          <w:rFonts w:hint="eastAsia"/>
          <w:lang w:val="en-US" w:eastAsia="zh-CN"/>
        </w:rPr>
        <w:t>附近</w:t>
      </w:r>
      <w:r>
        <w:rPr>
          <w:rFonts w:hint="eastAsia"/>
        </w:rPr>
        <w:t>加装1台涂油器；</w:t>
      </w:r>
    </w:p>
    <w:p w14:paraId="6B31EEEF">
      <w:pPr>
        <w:ind w:firstLine="420"/>
      </w:pPr>
      <w:r>
        <w:rPr>
          <w:rFonts w:hint="eastAsia"/>
        </w:rPr>
        <w:t>以上位置共计需加装2台钢轨涂油器。</w:t>
      </w:r>
    </w:p>
    <w:p w14:paraId="186B062E">
      <w:pPr>
        <w:ind w:firstLine="420"/>
        <w:jc w:val="both"/>
        <w:rPr>
          <w:rFonts w:hint="eastAsia"/>
          <w:highlight w:val="none"/>
          <w:lang w:val="en-US" w:eastAsia="zh-CN"/>
        </w:rPr>
      </w:pPr>
      <w:r>
        <w:rPr>
          <w:rFonts w:hint="eastAsia"/>
          <w:highlight w:val="none"/>
          <w:lang w:val="en-US" w:eastAsia="zh-CN"/>
        </w:rPr>
        <w:t>4.2技术要求</w:t>
      </w:r>
    </w:p>
    <w:p w14:paraId="51AE47A9">
      <w:pPr>
        <w:ind w:firstLine="420"/>
        <w:jc w:val="both"/>
        <w:rPr>
          <w:rFonts w:hint="eastAsia"/>
          <w:highlight w:val="none"/>
          <w:lang w:val="en-US" w:eastAsia="zh-CN"/>
        </w:rPr>
      </w:pPr>
      <w:r>
        <w:rPr>
          <w:rFonts w:hint="eastAsia"/>
          <w:highlight w:val="none"/>
          <w:lang w:val="en-US" w:eastAsia="zh-CN"/>
        </w:rPr>
        <w:t xml:space="preserve">4.2.1适用范围 </w:t>
      </w:r>
    </w:p>
    <w:p w14:paraId="0C46D19D">
      <w:pPr>
        <w:ind w:firstLine="420"/>
        <w:jc w:val="both"/>
        <w:rPr>
          <w:rFonts w:hint="eastAsia"/>
          <w:highlight w:val="none"/>
          <w:lang w:val="en-US" w:eastAsia="zh-CN"/>
        </w:rPr>
      </w:pPr>
      <w:r>
        <w:rPr>
          <w:rFonts w:hint="eastAsia"/>
          <w:highlight w:val="none"/>
          <w:lang w:val="en-US" w:eastAsia="zh-CN"/>
        </w:rPr>
        <w:t>本节规定了加装轨道润滑装置的总体要求、安装要求、主要技术参数及性能、质量要求等。</w:t>
      </w:r>
    </w:p>
    <w:p w14:paraId="2CD1EDDA">
      <w:pPr>
        <w:ind w:firstLine="420"/>
        <w:jc w:val="both"/>
        <w:rPr>
          <w:rFonts w:hint="eastAsia"/>
          <w:highlight w:val="none"/>
          <w:lang w:val="en-US" w:eastAsia="zh-CN"/>
        </w:rPr>
      </w:pPr>
      <w:r>
        <w:rPr>
          <w:rFonts w:hint="eastAsia"/>
          <w:highlight w:val="none"/>
          <w:lang w:val="en-US" w:eastAsia="zh-CN"/>
        </w:rPr>
        <w:t>轨道润滑装置设备技术参数应能保证可靠地运行于本工程的环境条件中。涂油器向曲线钢轨轨头内侧面自动涂油，有效降低列车通过曲线的啸叫噪声，减缓钢轨侧磨或车轮轮缘的过早磨耗到限，延长换轨周期或减少车轮的落轮镟削。</w:t>
      </w:r>
    </w:p>
    <w:p w14:paraId="2392457F">
      <w:pPr>
        <w:ind w:firstLine="420"/>
        <w:jc w:val="both"/>
        <w:rPr>
          <w:rFonts w:hint="eastAsia"/>
          <w:highlight w:val="none"/>
          <w:lang w:val="en-US" w:eastAsia="zh-CN"/>
        </w:rPr>
      </w:pPr>
      <w:r>
        <w:rPr>
          <w:rFonts w:hint="eastAsia"/>
          <w:highlight w:val="none"/>
          <w:lang w:val="en-US" w:eastAsia="zh-CN"/>
        </w:rPr>
        <w:t xml:space="preserve">4.2.2引用的规范 </w:t>
      </w:r>
    </w:p>
    <w:p w14:paraId="5D430B57">
      <w:pPr>
        <w:ind w:firstLine="420"/>
        <w:rPr>
          <w:highlight w:val="none"/>
        </w:rPr>
      </w:pPr>
      <w:r>
        <w:rPr>
          <w:rFonts w:hint="eastAsia"/>
          <w:highlight w:val="none"/>
        </w:rPr>
        <w:t>考虑到</w:t>
      </w:r>
      <w:r>
        <w:rPr>
          <w:rFonts w:hint="eastAsia"/>
          <w:highlight w:val="none"/>
          <w:lang w:eastAsia="zh-CN"/>
        </w:rPr>
        <w:t>轨道润滑装置</w:t>
      </w:r>
      <w:r>
        <w:rPr>
          <w:rFonts w:hint="eastAsia"/>
          <w:highlight w:val="none"/>
        </w:rPr>
        <w:t>的使用现状和环境，设备设计生产过程中参考并符合如下标准：</w:t>
      </w:r>
    </w:p>
    <w:p w14:paraId="7A20C720">
      <w:pPr>
        <w:ind w:firstLine="420"/>
        <w:rPr>
          <w:highlight w:val="none"/>
        </w:rPr>
      </w:pPr>
      <w:r>
        <w:rPr>
          <w:rFonts w:hint="eastAsia"/>
          <w:highlight w:val="none"/>
        </w:rPr>
        <w:t>EN 16028  轮轨摩擦管理</w:t>
      </w:r>
      <w:r>
        <w:rPr>
          <w:highlight w:val="none"/>
        </w:rPr>
        <w:t>.</w:t>
      </w:r>
      <w:r>
        <w:rPr>
          <w:rFonts w:hint="eastAsia"/>
          <w:highlight w:val="none"/>
        </w:rPr>
        <w:t>列车和轨道旁应用设施用润滑油.</w:t>
      </w:r>
    </w:p>
    <w:p w14:paraId="58D6392C">
      <w:pPr>
        <w:ind w:firstLine="420"/>
        <w:rPr>
          <w:highlight w:val="none"/>
        </w:rPr>
      </w:pPr>
      <w:r>
        <w:rPr>
          <w:highlight w:val="none"/>
        </w:rPr>
        <w:t>DIN5510</w:t>
      </w:r>
      <w:r>
        <w:rPr>
          <w:rFonts w:hint="eastAsia"/>
          <w:highlight w:val="none"/>
        </w:rPr>
        <w:t xml:space="preserve">  铁路车辆防火保护措施</w:t>
      </w:r>
    </w:p>
    <w:p w14:paraId="54FD6A63">
      <w:pPr>
        <w:ind w:firstLine="420"/>
        <w:rPr>
          <w:highlight w:val="none"/>
        </w:rPr>
      </w:pPr>
      <w:r>
        <w:rPr>
          <w:rFonts w:hint="eastAsia"/>
          <w:highlight w:val="none"/>
        </w:rPr>
        <w:t>GB998   低压电器基本实验办法</w:t>
      </w:r>
    </w:p>
    <w:p w14:paraId="3272862C">
      <w:pPr>
        <w:ind w:firstLine="420"/>
        <w:rPr>
          <w:highlight w:val="none"/>
        </w:rPr>
      </w:pPr>
      <w:r>
        <w:rPr>
          <w:rFonts w:hint="eastAsia"/>
          <w:highlight w:val="none"/>
        </w:rPr>
        <w:t>GB/T2423.</w:t>
      </w:r>
      <w:r>
        <w:rPr>
          <w:highlight w:val="none"/>
        </w:rPr>
        <w:t>43</w:t>
      </w:r>
      <w:r>
        <w:rPr>
          <w:rFonts w:hint="eastAsia"/>
          <w:highlight w:val="none"/>
        </w:rPr>
        <w:t xml:space="preserve">  电工电子产品环境实验</w:t>
      </w:r>
      <w:r>
        <w:rPr>
          <w:highlight w:val="none"/>
        </w:rPr>
        <w:t xml:space="preserve"> </w:t>
      </w:r>
      <w:r>
        <w:rPr>
          <w:rFonts w:hint="eastAsia"/>
          <w:highlight w:val="none"/>
        </w:rPr>
        <w:t>第2部分，试验方法：振动、冲击和类似动力学试验样品的安装</w:t>
      </w:r>
    </w:p>
    <w:p w14:paraId="58D00B86">
      <w:pPr>
        <w:ind w:firstLine="420"/>
        <w:rPr>
          <w:highlight w:val="none"/>
        </w:rPr>
      </w:pPr>
      <w:r>
        <w:rPr>
          <w:highlight w:val="none"/>
        </w:rPr>
        <w:t>TB10623-2014</w:t>
      </w:r>
      <w:r>
        <w:rPr>
          <w:rFonts w:hint="eastAsia"/>
          <w:highlight w:val="none"/>
          <w:lang w:val="en-US" w:eastAsia="zh-CN"/>
        </w:rPr>
        <w:t xml:space="preserve">  </w:t>
      </w:r>
      <w:r>
        <w:rPr>
          <w:rFonts w:hint="eastAsia"/>
          <w:highlight w:val="none"/>
        </w:rPr>
        <w:t>城际铁路设计规范</w:t>
      </w:r>
    </w:p>
    <w:p w14:paraId="641A9480">
      <w:pPr>
        <w:ind w:firstLine="420"/>
        <w:rPr>
          <w:highlight w:val="none"/>
        </w:rPr>
      </w:pPr>
      <w:r>
        <w:rPr>
          <w:rFonts w:hint="eastAsia"/>
          <w:highlight w:val="none"/>
        </w:rPr>
        <w:t>Q/CNR J 00011  轨道交通装备产品禁用和限用物资</w:t>
      </w:r>
    </w:p>
    <w:p w14:paraId="3A27CC64">
      <w:pPr>
        <w:ind w:firstLine="420"/>
        <w:jc w:val="both"/>
        <w:rPr>
          <w:rFonts w:hint="eastAsia"/>
          <w:highlight w:val="none"/>
          <w:lang w:val="en-US" w:eastAsia="zh-CN"/>
        </w:rPr>
      </w:pPr>
      <w:r>
        <w:rPr>
          <w:rFonts w:hint="eastAsia"/>
          <w:highlight w:val="none"/>
          <w:lang w:val="en-US" w:eastAsia="zh-CN"/>
        </w:rPr>
        <w:t>4.2.3轨道润滑装置布置</w:t>
      </w:r>
    </w:p>
    <w:p w14:paraId="78067F78">
      <w:pPr>
        <w:ind w:firstLine="420"/>
        <w:rPr>
          <w:highlight w:val="none"/>
        </w:rPr>
      </w:pPr>
      <w:r>
        <w:rPr>
          <w:rFonts w:hint="eastAsia" w:ascii="新宋体" w:hAnsi="新宋体" w:eastAsia="新宋体"/>
          <w:highlight w:val="none"/>
          <w:lang w:eastAsia="zh-CN"/>
        </w:rPr>
        <w:t>轨道润滑装置</w:t>
      </w:r>
      <w:r>
        <w:rPr>
          <w:rFonts w:hint="eastAsia"/>
          <w:highlight w:val="none"/>
        </w:rPr>
        <w:t>的润滑泵站位于列车前进方向轨道的旁边，注油系统安装在列车前进方向的上轨，将轮轨专用润滑油涂在轨道上，供方根据客户提供的资料负责符合现场实际情况的系统设计和安装位置。</w:t>
      </w:r>
    </w:p>
    <w:p w14:paraId="18073FF2">
      <w:pPr>
        <w:ind w:firstLine="420"/>
        <w:rPr>
          <w:rFonts w:hint="default" w:ascii="新宋体" w:hAnsi="新宋体" w:eastAsia="宋体"/>
          <w:highlight w:val="none"/>
          <w:lang w:val="en-US" w:eastAsia="zh-CN"/>
        </w:rPr>
      </w:pPr>
      <w:r>
        <w:rPr>
          <w:rFonts w:hint="eastAsia" w:ascii="新宋体" w:hAnsi="新宋体" w:eastAsia="新宋体"/>
          <w:highlight w:val="none"/>
        </w:rPr>
        <w:t>为尽量保护曲线，改善列车经过曲线的平顺性，要求涂油器的安装位置在距离列车进入轨道曲线直缓点的</w:t>
      </w:r>
      <w:r>
        <w:rPr>
          <w:rFonts w:hint="eastAsia" w:ascii="新宋体" w:hAnsi="新宋体" w:eastAsia="新宋体"/>
          <w:highlight w:val="none"/>
          <w:lang w:val="en-US" w:eastAsia="zh-CN"/>
        </w:rPr>
        <w:t>附近，并需满足限界要求</w:t>
      </w:r>
      <w:r>
        <w:rPr>
          <w:rFonts w:hint="eastAsia" w:ascii="新宋体" w:hAnsi="新宋体" w:eastAsia="新宋体"/>
          <w:highlight w:val="none"/>
        </w:rPr>
        <w:t>。</w:t>
      </w:r>
    </w:p>
    <w:p w14:paraId="3581C5F8">
      <w:pPr>
        <w:ind w:firstLine="420"/>
        <w:jc w:val="both"/>
        <w:rPr>
          <w:rFonts w:hint="eastAsia"/>
          <w:highlight w:val="none"/>
          <w:lang w:val="en-US" w:eastAsia="zh-CN"/>
        </w:rPr>
      </w:pPr>
      <w:r>
        <w:rPr>
          <w:rFonts w:hint="eastAsia"/>
          <w:highlight w:val="none"/>
          <w:lang w:val="en-US" w:eastAsia="zh-CN"/>
        </w:rPr>
        <w:t xml:space="preserve">4.2.4接口条件 </w:t>
      </w:r>
    </w:p>
    <w:p w14:paraId="099674F2">
      <w:pPr>
        <w:ind w:firstLine="420"/>
        <w:rPr>
          <w:snapToGrid w:val="0"/>
          <w:highlight w:val="none"/>
        </w:rPr>
      </w:pPr>
      <w:r>
        <w:rPr>
          <w:rFonts w:hint="eastAsia"/>
          <w:snapToGrid w:val="0"/>
          <w:highlight w:val="none"/>
        </w:rPr>
        <w:t>1）输入电源：电压：</w:t>
      </w:r>
      <w:r>
        <w:rPr>
          <w:snapToGrid w:val="0"/>
          <w:highlight w:val="none"/>
        </w:rPr>
        <w:t>AC</w:t>
      </w:r>
      <w:r>
        <w:rPr>
          <w:rFonts w:hint="eastAsia"/>
          <w:snapToGrid w:val="0"/>
          <w:highlight w:val="none"/>
        </w:rPr>
        <w:t xml:space="preserve"> </w:t>
      </w:r>
      <w:r>
        <w:rPr>
          <w:snapToGrid w:val="0"/>
          <w:highlight w:val="none"/>
        </w:rPr>
        <w:t>220V</w:t>
      </w:r>
      <w:r>
        <w:rPr>
          <w:rFonts w:hint="eastAsia"/>
          <w:snapToGrid w:val="0"/>
          <w:highlight w:val="none"/>
        </w:rPr>
        <w:t>，频率：</w:t>
      </w:r>
      <w:r>
        <w:rPr>
          <w:snapToGrid w:val="0"/>
          <w:highlight w:val="none"/>
        </w:rPr>
        <w:t>50HZ</w:t>
      </w:r>
      <w:r>
        <w:rPr>
          <w:rFonts w:hint="eastAsia"/>
          <w:snapToGrid w:val="0"/>
          <w:highlight w:val="none"/>
        </w:rPr>
        <w:t>，负荷等级为三级；</w:t>
      </w:r>
    </w:p>
    <w:p w14:paraId="4F60C649">
      <w:pPr>
        <w:ind w:firstLine="420"/>
        <w:rPr>
          <w:snapToGrid w:val="0"/>
          <w:highlight w:val="none"/>
        </w:rPr>
      </w:pPr>
      <w:r>
        <w:rPr>
          <w:rFonts w:hint="eastAsia"/>
          <w:snapToGrid w:val="0"/>
          <w:highlight w:val="none"/>
        </w:rPr>
        <w:t>2）车辆：D型车；</w:t>
      </w:r>
    </w:p>
    <w:p w14:paraId="7F7B095D">
      <w:pPr>
        <w:ind w:firstLine="420"/>
        <w:rPr>
          <w:snapToGrid w:val="0"/>
          <w:highlight w:val="none"/>
        </w:rPr>
      </w:pPr>
      <w:r>
        <w:rPr>
          <w:rFonts w:hint="eastAsia"/>
          <w:snapToGrid w:val="0"/>
          <w:highlight w:val="none"/>
        </w:rPr>
        <w:t>3）钢轨类型：正线</w:t>
      </w:r>
      <w:r>
        <w:rPr>
          <w:snapToGrid w:val="0"/>
          <w:highlight w:val="none"/>
        </w:rPr>
        <w:t>60kg/m</w:t>
      </w:r>
      <w:r>
        <w:rPr>
          <w:rFonts w:hint="eastAsia"/>
          <w:snapToGrid w:val="0"/>
          <w:highlight w:val="none"/>
        </w:rPr>
        <w:t>钢轨；</w:t>
      </w:r>
    </w:p>
    <w:p w14:paraId="3BC5ADB2">
      <w:pPr>
        <w:ind w:firstLine="420"/>
        <w:rPr>
          <w:szCs w:val="21"/>
          <w:highlight w:val="none"/>
        </w:rPr>
      </w:pPr>
      <w:r>
        <w:rPr>
          <w:rFonts w:hint="eastAsia"/>
          <w:snapToGrid w:val="0"/>
          <w:highlight w:val="none"/>
        </w:rPr>
        <w:t>4）在安装位置附近配套可靠地设备专用电源，并有良好可靠的接地系统。</w:t>
      </w:r>
    </w:p>
    <w:p w14:paraId="5F3B47E9">
      <w:pPr>
        <w:ind w:firstLine="420"/>
        <w:jc w:val="both"/>
        <w:rPr>
          <w:rFonts w:hint="eastAsia"/>
          <w:highlight w:val="none"/>
          <w:lang w:val="en-US" w:eastAsia="zh-CN"/>
        </w:rPr>
      </w:pPr>
      <w:r>
        <w:rPr>
          <w:rFonts w:hint="eastAsia"/>
          <w:highlight w:val="none"/>
          <w:lang w:val="en-US" w:eastAsia="zh-CN"/>
        </w:rPr>
        <w:t xml:space="preserve">4.2.5安装要求 </w:t>
      </w:r>
    </w:p>
    <w:p w14:paraId="2C8ABDDC">
      <w:pPr>
        <w:ind w:firstLine="420"/>
        <w:rPr>
          <w:snapToGrid w:val="0"/>
          <w:highlight w:val="none"/>
        </w:rPr>
      </w:pPr>
      <w:r>
        <w:rPr>
          <w:rFonts w:hint="eastAsia"/>
          <w:snapToGrid w:val="0"/>
          <w:highlight w:val="none"/>
        </w:rPr>
        <w:t>1）</w:t>
      </w:r>
      <w:r>
        <w:rPr>
          <w:rFonts w:hint="eastAsia"/>
          <w:snapToGrid w:val="0"/>
          <w:highlight w:val="none"/>
          <w:lang w:eastAsia="zh-CN"/>
        </w:rPr>
        <w:t>轨道润滑装置</w:t>
      </w:r>
      <w:r>
        <w:rPr>
          <w:rFonts w:hint="eastAsia"/>
          <w:snapToGrid w:val="0"/>
          <w:highlight w:val="none"/>
        </w:rPr>
        <w:t>的润滑材料涂覆装置和车轮探测装置根据安装地点钢轨型号需适用于</w:t>
      </w:r>
      <w:r>
        <w:rPr>
          <w:snapToGrid w:val="0"/>
          <w:highlight w:val="none"/>
        </w:rPr>
        <w:t xml:space="preserve">60 kg/m </w:t>
      </w:r>
      <w:r>
        <w:rPr>
          <w:rFonts w:hint="eastAsia"/>
          <w:snapToGrid w:val="0"/>
          <w:highlight w:val="none"/>
        </w:rPr>
        <w:t>钢轨，主机要求在高架桥路段可安装。</w:t>
      </w:r>
    </w:p>
    <w:p w14:paraId="0B733567">
      <w:pPr>
        <w:ind w:firstLine="420"/>
        <w:rPr>
          <w:snapToGrid w:val="0"/>
          <w:highlight w:val="none"/>
        </w:rPr>
      </w:pPr>
      <w:r>
        <w:rPr>
          <w:rFonts w:hint="eastAsia"/>
          <w:snapToGrid w:val="0"/>
          <w:highlight w:val="none"/>
        </w:rPr>
        <w:t>2）涂油器主机最靠近轨道的突出点距离轨道中心距离不小于</w:t>
      </w:r>
      <w:r>
        <w:rPr>
          <w:rFonts w:hint="eastAsia"/>
          <w:snapToGrid w:val="0"/>
          <w:highlight w:val="none"/>
          <w:lang w:val="en-US" w:eastAsia="zh-CN"/>
        </w:rPr>
        <w:t>2000</w:t>
      </w:r>
      <w:r>
        <w:rPr>
          <w:snapToGrid w:val="0"/>
          <w:highlight w:val="none"/>
        </w:rPr>
        <w:t>mm</w:t>
      </w:r>
      <w:r>
        <w:rPr>
          <w:rFonts w:hint="eastAsia"/>
          <w:snapToGrid w:val="0"/>
          <w:highlight w:val="none"/>
        </w:rPr>
        <w:t>。如果安装地点超出范围或有可能侵入限界。</w:t>
      </w:r>
    </w:p>
    <w:p w14:paraId="4F6181AD">
      <w:pPr>
        <w:ind w:firstLine="420"/>
        <w:rPr>
          <w:snapToGrid w:val="0"/>
          <w:highlight w:val="none"/>
        </w:rPr>
      </w:pPr>
      <w:r>
        <w:rPr>
          <w:rFonts w:hint="eastAsia"/>
          <w:snapToGrid w:val="0"/>
          <w:highlight w:val="none"/>
        </w:rPr>
        <w:t>3）设备外形尺寸必须符合安装现场安全限界要求，安装后不影响行车信号，不对通讯产生干扰，不影响或碰坏其他电力设备或电缆及其他地铁安全要求。</w:t>
      </w:r>
    </w:p>
    <w:p w14:paraId="622907E4">
      <w:pPr>
        <w:ind w:firstLine="420"/>
        <w:rPr>
          <w:snapToGrid w:val="0"/>
          <w:highlight w:val="none"/>
        </w:rPr>
      </w:pPr>
      <w:r>
        <w:rPr>
          <w:rFonts w:hint="eastAsia"/>
          <w:snapToGrid w:val="0"/>
          <w:highlight w:val="none"/>
        </w:rPr>
        <w:t>4）涂油板通常安装位置的优选地点需距离绝缘接头、焊缝、信号设施、以及其他固定轨道设备有足够的安全距离，可根据现场实际情况进行调整。</w:t>
      </w:r>
    </w:p>
    <w:p w14:paraId="08CBE790">
      <w:pPr>
        <w:ind w:firstLine="420"/>
        <w:jc w:val="both"/>
        <w:rPr>
          <w:rFonts w:hint="eastAsia"/>
          <w:highlight w:val="none"/>
          <w:lang w:val="en-US" w:eastAsia="zh-CN"/>
        </w:rPr>
      </w:pPr>
      <w:r>
        <w:rPr>
          <w:rFonts w:hint="eastAsia"/>
          <w:highlight w:val="none"/>
          <w:lang w:val="en-US" w:eastAsia="zh-CN"/>
        </w:rPr>
        <w:t xml:space="preserve">4.2.6涂油器技术参数要求 </w:t>
      </w:r>
    </w:p>
    <w:p w14:paraId="6C9C3CFD">
      <w:pPr>
        <w:ind w:firstLine="420"/>
        <w:rPr>
          <w:highlight w:val="none"/>
        </w:rPr>
      </w:pPr>
      <w:r>
        <w:rPr>
          <w:rFonts w:hint="eastAsia"/>
          <w:highlight w:val="none"/>
        </w:rPr>
        <w:t>1）可在线监控设备的油位状态，当油量过低时系统在线报警（带低液位感应器）。</w:t>
      </w:r>
    </w:p>
    <w:p w14:paraId="66C3D21E">
      <w:pPr>
        <w:ind w:firstLine="420"/>
        <w:rPr>
          <w:highlight w:val="none"/>
        </w:rPr>
      </w:pPr>
      <w:r>
        <w:rPr>
          <w:rFonts w:hint="eastAsia"/>
          <w:highlight w:val="none"/>
        </w:rPr>
        <w:t>2）可在线监控电机的损坏情况，当有故障时系统在线报警（带泵齿感应器）。</w:t>
      </w:r>
    </w:p>
    <w:p w14:paraId="0BDACA9C">
      <w:pPr>
        <w:ind w:firstLine="420"/>
        <w:rPr>
          <w:highlight w:val="none"/>
        </w:rPr>
      </w:pPr>
      <w:r>
        <w:rPr>
          <w:rFonts w:hint="eastAsia"/>
          <w:highlight w:val="none"/>
        </w:rPr>
        <w:t>3）可在线监控轨道接近开关的损坏情况，当有故障时系统在线报警（带故障反馈）。</w:t>
      </w:r>
    </w:p>
    <w:p w14:paraId="015EEA9B">
      <w:pPr>
        <w:ind w:firstLine="420"/>
        <w:rPr>
          <w:highlight w:val="none"/>
        </w:rPr>
      </w:pPr>
      <w:r>
        <w:rPr>
          <w:rFonts w:hint="eastAsia"/>
          <w:highlight w:val="none"/>
        </w:rPr>
        <w:t>4）可在线监控设备的运行车辆数、出油量等状态。</w:t>
      </w:r>
    </w:p>
    <w:p w14:paraId="149BAFD7">
      <w:pPr>
        <w:ind w:firstLine="420"/>
        <w:rPr>
          <w:highlight w:val="none"/>
        </w:rPr>
      </w:pPr>
      <w:r>
        <w:rPr>
          <w:rFonts w:hint="eastAsia"/>
          <w:highlight w:val="none"/>
        </w:rPr>
        <w:t>5）控制模式：泵齿模式、时间模式、休眠模式三种模式可选。</w:t>
      </w:r>
    </w:p>
    <w:p w14:paraId="091C1EAF">
      <w:pPr>
        <w:ind w:firstLine="420"/>
        <w:rPr>
          <w:highlight w:val="none"/>
        </w:rPr>
      </w:pPr>
      <w:r>
        <w:rPr>
          <w:rFonts w:hint="eastAsia"/>
          <w:highlight w:val="none"/>
        </w:rPr>
        <w:t>6）可通过远程实现对设备的开、关机功能。</w:t>
      </w:r>
    </w:p>
    <w:p w14:paraId="12F70CF1">
      <w:pPr>
        <w:ind w:firstLine="420"/>
        <w:rPr>
          <w:highlight w:val="none"/>
        </w:rPr>
      </w:pPr>
      <w:r>
        <w:rPr>
          <w:rFonts w:hint="eastAsia"/>
          <w:highlight w:val="none"/>
        </w:rPr>
        <w:t>7）</w:t>
      </w:r>
      <w:r>
        <w:rPr>
          <w:rFonts w:hint="eastAsia" w:cs="Times New Roman"/>
          <w:highlight w:val="none"/>
        </w:rPr>
        <w:t>可通过远程实现对设备出油频率和系统参数的手机APP与设备的交互修改功能。</w:t>
      </w:r>
    </w:p>
    <w:p w14:paraId="4AF86A08">
      <w:pPr>
        <w:ind w:firstLine="420"/>
        <w:rPr>
          <w:highlight w:val="none"/>
        </w:rPr>
      </w:pPr>
      <w:r>
        <w:rPr>
          <w:rFonts w:hint="eastAsia"/>
          <w:highlight w:val="none"/>
        </w:rPr>
        <w:t>8）可通过远程实现对以上数据的存储、下载和分析功能。</w:t>
      </w:r>
    </w:p>
    <w:p w14:paraId="65BB74C8">
      <w:pPr>
        <w:ind w:firstLine="420"/>
        <w:rPr>
          <w:highlight w:val="none"/>
        </w:rPr>
      </w:pPr>
      <w:r>
        <w:rPr>
          <w:rFonts w:hint="eastAsia"/>
          <w:highlight w:val="none"/>
        </w:rPr>
        <w:t>9）可实现单个涂油器对单向曲线的完全覆盖（曲线长度不限于300-1000米，不限于单轨润滑还是双轨润滑）而又不浪费润滑剂。</w:t>
      </w:r>
    </w:p>
    <w:p w14:paraId="7801B499">
      <w:pPr>
        <w:ind w:firstLine="420"/>
        <w:rPr>
          <w:highlight w:val="none"/>
        </w:rPr>
      </w:pPr>
      <w:r>
        <w:rPr>
          <w:rFonts w:hint="eastAsia"/>
          <w:highlight w:val="none"/>
        </w:rPr>
        <w:t>10）曲线中间不得安装涂油器，不受曲线长度影响，要求1台涂油器完全覆盖整条曲线。</w:t>
      </w:r>
    </w:p>
    <w:p w14:paraId="3C0E0A92">
      <w:pPr>
        <w:ind w:firstLine="420"/>
        <w:rPr>
          <w:highlight w:val="none"/>
        </w:rPr>
      </w:pPr>
      <w:r>
        <w:rPr>
          <w:rFonts w:hint="eastAsia"/>
          <w:highlight w:val="none"/>
        </w:rPr>
        <w:t>11）涂油器的轨道开关感应器或光电感应，要求轨道开关感应器只会对金属感应，行人经过或近距离操作时不会感应；光电感应只能感应列车，不得夜间感应行人或施工作业车辆。</w:t>
      </w:r>
    </w:p>
    <w:p w14:paraId="7C847CF5">
      <w:pPr>
        <w:ind w:firstLine="420"/>
        <w:rPr>
          <w:highlight w:val="none"/>
        </w:rPr>
      </w:pPr>
      <w:r>
        <w:rPr>
          <w:rFonts w:hint="eastAsia"/>
          <w:highlight w:val="none"/>
        </w:rPr>
        <w:t>12）通过调节涂油器适量的出油频率和出油量，可有效防止钢轨踏面敷油和润滑剂溢流至道床上。</w:t>
      </w:r>
    </w:p>
    <w:p w14:paraId="0874276E">
      <w:pPr>
        <w:ind w:firstLine="420"/>
        <w:rPr>
          <w:highlight w:val="none"/>
        </w:rPr>
      </w:pPr>
      <w:r>
        <w:rPr>
          <w:rFonts w:hint="eastAsia"/>
          <w:highlight w:val="none"/>
        </w:rPr>
        <w:t>13）涂油器箱体为钢质，开门方式均为侧开和上开，以确保箱体的牢固性和操作的安全性；箱体可实现挂墙安装，也可以直接座地安装，通过支架的固定，可长期保证稳定、牢固。</w:t>
      </w:r>
    </w:p>
    <w:p w14:paraId="673A83C0">
      <w:pPr>
        <w:ind w:firstLine="420"/>
        <w:rPr>
          <w:highlight w:val="none"/>
        </w:rPr>
      </w:pPr>
      <w:r>
        <w:rPr>
          <w:rFonts w:hint="eastAsia"/>
          <w:highlight w:val="none"/>
        </w:rPr>
        <w:t>14）涂油器箱体锁统一执行铁路通用的三角锁，牢固且防盗，方便专人维修。</w:t>
      </w:r>
    </w:p>
    <w:p w14:paraId="057FA0BA">
      <w:pPr>
        <w:ind w:firstLine="420"/>
        <w:rPr>
          <w:highlight w:val="none"/>
        </w:rPr>
      </w:pPr>
      <w:r>
        <w:rPr>
          <w:rFonts w:hint="eastAsia"/>
          <w:highlight w:val="none"/>
        </w:rPr>
        <w:t>15）油箱有效容积不少于45L，油脂更换周期一般不少于6个月，避免了更换润滑剂周期过短而加大工务维护工作量。</w:t>
      </w:r>
    </w:p>
    <w:p w14:paraId="3D06EC83">
      <w:pPr>
        <w:ind w:firstLine="420"/>
        <w:rPr>
          <w:highlight w:val="none"/>
        </w:rPr>
      </w:pPr>
      <w:r>
        <w:rPr>
          <w:rFonts w:hint="eastAsia"/>
          <w:highlight w:val="none"/>
        </w:rPr>
        <w:t>16）油箱采用直接注油方式，维护更方便，环境更友好。</w:t>
      </w:r>
    </w:p>
    <w:p w14:paraId="1A008231">
      <w:pPr>
        <w:ind w:firstLine="420"/>
        <w:rPr>
          <w:highlight w:val="none"/>
        </w:rPr>
      </w:pPr>
      <w:r>
        <w:rPr>
          <w:rFonts w:hint="eastAsia"/>
          <w:highlight w:val="none"/>
        </w:rPr>
        <w:t>17）油箱内置有搅拌装置，当涂油器工作时，内置搅拌装置可有效防止油脂沉淀和排出的油脂参数均匀，有效提高润滑效果。</w:t>
      </w:r>
    </w:p>
    <w:p w14:paraId="57EEBC66">
      <w:pPr>
        <w:ind w:firstLine="420"/>
        <w:rPr>
          <w:highlight w:val="none"/>
        </w:rPr>
      </w:pPr>
      <w:r>
        <w:rPr>
          <w:rFonts w:hint="eastAsia"/>
          <w:highlight w:val="none"/>
        </w:rPr>
        <w:t>18）安装在轨道上的涂油板为2组，每个涂油板长度不小于500mm，出油口数量为不少于16个。</w:t>
      </w:r>
    </w:p>
    <w:p w14:paraId="0D79733C">
      <w:pPr>
        <w:ind w:firstLine="420"/>
        <w:rPr>
          <w:highlight w:val="none"/>
        </w:rPr>
      </w:pPr>
      <w:r>
        <w:rPr>
          <w:rFonts w:hint="eastAsia"/>
          <w:highlight w:val="none"/>
        </w:rPr>
        <w:t>19）油管均采用绝缘管路，以防破损导电；具备压扁复位能力；不能出现漏油现象。</w:t>
      </w:r>
    </w:p>
    <w:p w14:paraId="58EF7024">
      <w:pPr>
        <w:ind w:firstLine="420"/>
        <w:rPr>
          <w:highlight w:val="none"/>
        </w:rPr>
      </w:pPr>
      <w:r>
        <w:rPr>
          <w:rFonts w:hint="eastAsia"/>
          <w:highlight w:val="none"/>
        </w:rPr>
        <w:t>20）涂油器输入电源：AC220V，50HZ，3A；涂油器工作电压：24VDC，功率不高于100W。</w:t>
      </w:r>
    </w:p>
    <w:p w14:paraId="4CFBF45C">
      <w:pPr>
        <w:ind w:firstLine="420"/>
        <w:rPr>
          <w:snapToGrid w:val="0"/>
          <w:kern w:val="0"/>
          <w:highlight w:val="none"/>
        </w:rPr>
      </w:pPr>
      <w:r>
        <w:rPr>
          <w:rFonts w:hint="eastAsia"/>
          <w:highlight w:val="none"/>
        </w:rPr>
        <w:t>21）</w:t>
      </w:r>
      <w:r>
        <w:rPr>
          <w:rFonts w:hint="eastAsia"/>
          <w:snapToGrid w:val="0"/>
          <w:kern w:val="0"/>
          <w:highlight w:val="none"/>
        </w:rPr>
        <w:t>设备部件，安装支架，膨胀螺栓，紧固螺栓等都具备足够的强度和安全冗余，并有充分的防锈，防松，防脱，防断措施，安装支架所使用膨胀螺栓整体拉拔力和剪切力保证充分的安全冗余。</w:t>
      </w:r>
    </w:p>
    <w:p w14:paraId="28203063">
      <w:pPr>
        <w:ind w:firstLine="420"/>
        <w:rPr>
          <w:snapToGrid w:val="0"/>
          <w:kern w:val="0"/>
          <w:highlight w:val="none"/>
        </w:rPr>
      </w:pPr>
      <w:r>
        <w:rPr>
          <w:rFonts w:hint="eastAsia"/>
          <w:highlight w:val="none"/>
        </w:rPr>
        <w:t>22）</w:t>
      </w:r>
      <w:r>
        <w:rPr>
          <w:rFonts w:hint="eastAsia"/>
          <w:snapToGrid w:val="0"/>
          <w:kern w:val="0"/>
          <w:highlight w:val="none"/>
        </w:rPr>
        <w:t>安装在钢轨上的卡铁紧固螺栓具有专门的防松装置以防止螺栓松动脱落；安装涂油板的支架具备防松，防断，防脱落；涂油板原则上一次调整到位，而无需担心涂油板和列车车轮之间可能的碰撞，实现寿命周期内的免维护。</w:t>
      </w:r>
    </w:p>
    <w:p w14:paraId="31B7F169">
      <w:pPr>
        <w:ind w:firstLine="420"/>
        <w:rPr>
          <w:snapToGrid w:val="0"/>
          <w:kern w:val="0"/>
          <w:highlight w:val="none"/>
        </w:rPr>
      </w:pPr>
      <w:r>
        <w:rPr>
          <w:rFonts w:hint="eastAsia"/>
          <w:highlight w:val="none"/>
        </w:rPr>
        <w:t>23）</w:t>
      </w:r>
      <w:r>
        <w:rPr>
          <w:rFonts w:hint="eastAsia"/>
          <w:snapToGrid w:val="0"/>
          <w:kern w:val="0"/>
          <w:highlight w:val="none"/>
        </w:rPr>
        <w:t>涂油器在油量低或故障工况下，泵能及时停止工作，且有远程报警和现场指示报警，以提示使用人员及时装填油脂。</w:t>
      </w:r>
    </w:p>
    <w:p w14:paraId="54E8317F">
      <w:pPr>
        <w:ind w:firstLine="420"/>
        <w:rPr>
          <w:snapToGrid w:val="0"/>
          <w:kern w:val="0"/>
          <w:highlight w:val="none"/>
        </w:rPr>
      </w:pPr>
      <w:r>
        <w:rPr>
          <w:rFonts w:hint="eastAsia"/>
          <w:snapToGrid w:val="0"/>
          <w:kern w:val="0"/>
          <w:highlight w:val="none"/>
        </w:rPr>
        <w:t>24）寿命期内，正常使用情况下，涂油板和油管不能作为耗材。</w:t>
      </w:r>
    </w:p>
    <w:p w14:paraId="175D74EA">
      <w:pPr>
        <w:ind w:firstLine="420"/>
        <w:jc w:val="both"/>
        <w:rPr>
          <w:rFonts w:hint="eastAsia"/>
          <w:highlight w:val="none"/>
          <w:lang w:val="en-US" w:eastAsia="zh-CN"/>
        </w:rPr>
      </w:pPr>
      <w:r>
        <w:rPr>
          <w:rFonts w:hint="eastAsia"/>
          <w:highlight w:val="none"/>
          <w:lang w:val="en-US" w:eastAsia="zh-CN"/>
        </w:rPr>
        <w:t xml:space="preserve">4.2.7润滑剂性能要求 </w:t>
      </w:r>
    </w:p>
    <w:p w14:paraId="26479056">
      <w:pPr>
        <w:numPr>
          <w:ilvl w:val="0"/>
          <w:numId w:val="4"/>
        </w:numPr>
        <w:ind w:firstLine="420"/>
        <w:rPr>
          <w:snapToGrid w:val="0"/>
          <w:highlight w:val="none"/>
        </w:rPr>
      </w:pPr>
      <w:r>
        <w:rPr>
          <w:rFonts w:hint="eastAsia"/>
          <w:snapToGrid w:val="0"/>
          <w:highlight w:val="none"/>
        </w:rPr>
        <w:t>优异的承载能力和极压抗磨性，四球极压测试PD&gt;4800N，显著降低轮轨的磨损。</w:t>
      </w:r>
    </w:p>
    <w:p w14:paraId="4500E52F">
      <w:pPr>
        <w:numPr>
          <w:ilvl w:val="0"/>
          <w:numId w:val="4"/>
        </w:numPr>
        <w:ind w:firstLine="420"/>
        <w:rPr>
          <w:snapToGrid w:val="0"/>
          <w:highlight w:val="none"/>
        </w:rPr>
      </w:pPr>
      <w:r>
        <w:rPr>
          <w:rFonts w:hint="eastAsia"/>
          <w:snapToGrid w:val="0"/>
          <w:highlight w:val="none"/>
        </w:rPr>
        <w:t>磨斑直径（D392N，60min）</w:t>
      </w:r>
      <w:r>
        <w:rPr>
          <w:rFonts w:hint="eastAsia" w:ascii="宋体" w:hAnsi="宋体" w:cs="宋体"/>
          <w:snapToGrid w:val="0"/>
          <w:highlight w:val="none"/>
        </w:rPr>
        <w:t>≤0.5。</w:t>
      </w:r>
    </w:p>
    <w:p w14:paraId="6A850362">
      <w:pPr>
        <w:ind w:firstLine="420"/>
        <w:rPr>
          <w:snapToGrid w:val="0"/>
          <w:highlight w:val="none"/>
        </w:rPr>
      </w:pPr>
      <w:r>
        <w:rPr>
          <w:rFonts w:hint="eastAsia"/>
          <w:snapToGrid w:val="0"/>
          <w:highlight w:val="none"/>
        </w:rPr>
        <w:t>3）浅黄色触变性胶体，优异的附着力和粘附性，具有良好的保持性。</w:t>
      </w:r>
    </w:p>
    <w:p w14:paraId="6851552D">
      <w:pPr>
        <w:ind w:firstLine="420"/>
        <w:rPr>
          <w:snapToGrid w:val="0"/>
          <w:highlight w:val="none"/>
        </w:rPr>
      </w:pPr>
      <w:r>
        <w:rPr>
          <w:rFonts w:hint="eastAsia"/>
          <w:snapToGrid w:val="0"/>
          <w:highlight w:val="none"/>
        </w:rPr>
        <w:t>4）优异的高低温稳定性，宽工作温度范围，可适用-40~+180℃环境</w:t>
      </w:r>
      <w:r>
        <w:rPr>
          <w:snapToGrid w:val="0"/>
          <w:highlight w:val="none"/>
        </w:rPr>
        <w:t>，</w:t>
      </w:r>
      <w:r>
        <w:rPr>
          <w:rFonts w:hint="eastAsia"/>
          <w:snapToGrid w:val="0"/>
          <w:highlight w:val="none"/>
        </w:rPr>
        <w:t xml:space="preserve"> 高温不析出液化油，低温不出现油脂冻结。</w:t>
      </w:r>
    </w:p>
    <w:p w14:paraId="5B2EAAF0">
      <w:pPr>
        <w:ind w:firstLine="420"/>
        <w:rPr>
          <w:snapToGrid w:val="0"/>
          <w:highlight w:val="none"/>
        </w:rPr>
      </w:pPr>
      <w:r>
        <w:rPr>
          <w:rFonts w:hint="eastAsia"/>
          <w:snapToGrid w:val="0"/>
          <w:highlight w:val="none"/>
        </w:rPr>
        <w:t>5）优异的防尘和防腐蚀性能。</w:t>
      </w:r>
    </w:p>
    <w:p w14:paraId="6C944613">
      <w:pPr>
        <w:ind w:firstLine="420"/>
        <w:rPr>
          <w:snapToGrid w:val="0"/>
          <w:highlight w:val="none"/>
        </w:rPr>
      </w:pPr>
      <w:r>
        <w:rPr>
          <w:rFonts w:hint="eastAsia"/>
          <w:snapToGrid w:val="0"/>
          <w:highlight w:val="none"/>
        </w:rPr>
        <w:t>6）优异的化学稳定性和机械安定性。</w:t>
      </w:r>
    </w:p>
    <w:p w14:paraId="488BF11D">
      <w:pPr>
        <w:ind w:firstLine="420"/>
        <w:rPr>
          <w:snapToGrid w:val="0"/>
          <w:highlight w:val="none"/>
        </w:rPr>
      </w:pPr>
      <w:r>
        <w:rPr>
          <w:rFonts w:hint="eastAsia"/>
          <w:snapToGrid w:val="0"/>
          <w:highlight w:val="none"/>
        </w:rPr>
        <w:t>7）优异的抗水性能，确保雨雪天气条件下的正常使用。</w:t>
      </w:r>
    </w:p>
    <w:p w14:paraId="56BD61D6">
      <w:pPr>
        <w:ind w:firstLine="420"/>
        <w:rPr>
          <w:snapToGrid w:val="0"/>
          <w:highlight w:val="none"/>
        </w:rPr>
      </w:pPr>
      <w:r>
        <w:rPr>
          <w:rFonts w:hint="eastAsia"/>
          <w:snapToGrid w:val="0"/>
          <w:highlight w:val="none"/>
        </w:rPr>
        <w:t>8）极好的泵送性能，能更好的与涂油器匹配，不阻塞或腐蚀润滑系统油泵、油管及涂油板等油路系统。</w:t>
      </w:r>
    </w:p>
    <w:p w14:paraId="5A534FB5">
      <w:pPr>
        <w:ind w:firstLine="420"/>
        <w:rPr>
          <w:snapToGrid w:val="0"/>
          <w:highlight w:val="none"/>
        </w:rPr>
      </w:pPr>
      <w:r>
        <w:rPr>
          <w:rFonts w:hint="eastAsia"/>
          <w:snapToGrid w:val="0"/>
          <w:highlight w:val="none"/>
        </w:rPr>
        <w:t>9）先进的环保配方技术，对健康和环境无不良影响，并具备一定的可生物降解能力。</w:t>
      </w:r>
    </w:p>
    <w:p w14:paraId="6F8FB35A">
      <w:pPr>
        <w:ind w:firstLine="420"/>
        <w:rPr>
          <w:snapToGrid w:val="0"/>
          <w:highlight w:val="none"/>
        </w:rPr>
      </w:pPr>
      <w:r>
        <w:rPr>
          <w:rFonts w:hint="eastAsia"/>
          <w:snapToGrid w:val="0"/>
          <w:highlight w:val="none"/>
        </w:rPr>
        <w:t>10）保证不会对地铁运营产生潜在的安全风险。</w:t>
      </w:r>
    </w:p>
    <w:p w14:paraId="0DD7FA69">
      <w:pPr>
        <w:ind w:firstLine="420"/>
        <w:rPr>
          <w:snapToGrid w:val="0"/>
          <w:highlight w:val="none"/>
        </w:rPr>
      </w:pPr>
      <w:r>
        <w:rPr>
          <w:rFonts w:hint="eastAsia"/>
          <w:snapToGrid w:val="0"/>
          <w:highlight w:val="none"/>
        </w:rPr>
        <w:t>11）使用单位所在地区有其他环保要求的，还必须满足使用单位所在地区的相关环保要求。</w:t>
      </w:r>
    </w:p>
    <w:p w14:paraId="532E8D92">
      <w:pPr>
        <w:ind w:firstLine="420"/>
        <w:jc w:val="both"/>
        <w:rPr>
          <w:rFonts w:hint="eastAsia"/>
          <w:highlight w:val="none"/>
          <w:lang w:val="en-US" w:eastAsia="zh-CN"/>
        </w:rPr>
      </w:pPr>
      <w:r>
        <w:rPr>
          <w:rFonts w:hint="eastAsia"/>
          <w:highlight w:val="none"/>
          <w:lang w:val="en-US" w:eastAsia="zh-CN"/>
        </w:rPr>
        <w:t xml:space="preserve">4.2.8使用方的退换货要求 </w:t>
      </w:r>
    </w:p>
    <w:p w14:paraId="6600F5CB">
      <w:pPr>
        <w:ind w:firstLine="420"/>
        <w:rPr>
          <w:snapToGrid w:val="0"/>
          <w:highlight w:val="none"/>
        </w:rPr>
      </w:pPr>
      <w:r>
        <w:rPr>
          <w:rFonts w:hint="eastAsia"/>
          <w:snapToGrid w:val="0"/>
          <w:highlight w:val="none"/>
        </w:rPr>
        <w:t>以下情况下设备使用单位有权要求设备供应商整改设备，整改后三个月内设备仍然无法满足使用单位要求的，使用方有权要求无条件拆除所安装设备并重新选择符合要求的设备供应商：</w:t>
      </w:r>
    </w:p>
    <w:p w14:paraId="35FEF8C2">
      <w:pPr>
        <w:ind w:firstLine="420"/>
        <w:rPr>
          <w:snapToGrid w:val="0"/>
          <w:highlight w:val="none"/>
        </w:rPr>
      </w:pPr>
      <w:r>
        <w:rPr>
          <w:rFonts w:hint="eastAsia"/>
          <w:snapToGrid w:val="0"/>
          <w:highlight w:val="none"/>
        </w:rPr>
        <w:t>1）四球极压测试PD</w:t>
      </w:r>
      <w:r>
        <w:rPr>
          <w:rFonts w:hint="eastAsia" w:ascii="宋体" w:hAnsi="宋体" w:cs="宋体"/>
          <w:snapToGrid w:val="0"/>
          <w:highlight w:val="none"/>
        </w:rPr>
        <w:t>值达不到要求（供方提供</w:t>
      </w:r>
      <w:r>
        <w:rPr>
          <w:rFonts w:hint="eastAsia"/>
          <w:snapToGrid w:val="0"/>
          <w:highlight w:val="none"/>
        </w:rPr>
        <w:t>具备CNAS认证的第三方产品质量检验报告，购买方或终端用户保留随机抽取样品检测的权利）。</w:t>
      </w:r>
    </w:p>
    <w:p w14:paraId="2C26CDEF">
      <w:pPr>
        <w:ind w:firstLine="420"/>
        <w:rPr>
          <w:snapToGrid w:val="0"/>
          <w:highlight w:val="none"/>
        </w:rPr>
      </w:pPr>
      <w:r>
        <w:rPr>
          <w:rFonts w:hint="eastAsia"/>
          <w:snapToGrid w:val="0"/>
          <w:highlight w:val="none"/>
        </w:rPr>
        <w:t>2）磨斑直径（D392N，60min）</w:t>
      </w:r>
      <w:r>
        <w:rPr>
          <w:rFonts w:hint="eastAsia" w:ascii="宋体" w:hAnsi="宋体" w:cs="宋体"/>
          <w:snapToGrid w:val="0"/>
          <w:highlight w:val="none"/>
        </w:rPr>
        <w:t>达不到要求（供方提供</w:t>
      </w:r>
      <w:r>
        <w:rPr>
          <w:rFonts w:hint="eastAsia"/>
          <w:snapToGrid w:val="0"/>
          <w:highlight w:val="none"/>
        </w:rPr>
        <w:t>具备CNAS认证的第三方产品质量检验报告，购买方或终端用户保留随机抽取样品检测的权利）。</w:t>
      </w:r>
    </w:p>
    <w:p w14:paraId="252D5427">
      <w:pPr>
        <w:ind w:firstLine="420"/>
        <w:rPr>
          <w:snapToGrid w:val="0"/>
          <w:highlight w:val="none"/>
        </w:rPr>
      </w:pPr>
      <w:r>
        <w:rPr>
          <w:rFonts w:hint="eastAsia"/>
          <w:snapToGrid w:val="0"/>
          <w:highlight w:val="none"/>
        </w:rPr>
        <w:t>3）1台涂油器满足不了覆盖一条曲线（不受曲线长度影响）。</w:t>
      </w:r>
    </w:p>
    <w:p w14:paraId="552B620A">
      <w:pPr>
        <w:ind w:firstLine="420"/>
        <w:rPr>
          <w:snapToGrid w:val="0"/>
          <w:highlight w:val="none"/>
        </w:rPr>
      </w:pPr>
      <w:r>
        <w:rPr>
          <w:rFonts w:hint="eastAsia"/>
          <w:snapToGrid w:val="0"/>
          <w:highlight w:val="none"/>
        </w:rPr>
        <w:t>4）油脂在涂油板出油口的爬升高度达不到8mm。</w:t>
      </w:r>
    </w:p>
    <w:p w14:paraId="265A309F">
      <w:pPr>
        <w:numPr>
          <w:ilvl w:val="0"/>
          <w:numId w:val="0"/>
        </w:numPr>
        <w:spacing w:before="156" w:beforeLines="50" w:line="360" w:lineRule="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5、新增电缆技术需求</w:t>
      </w:r>
    </w:p>
    <w:p w14:paraId="06766769">
      <w:pPr>
        <w:ind w:firstLine="420"/>
        <w:jc w:val="both"/>
        <w:rPr>
          <w:rFonts w:hint="eastAsia"/>
          <w:highlight w:val="none"/>
          <w:lang w:val="en-US" w:eastAsia="zh-CN"/>
        </w:rPr>
      </w:pPr>
      <w:r>
        <w:rPr>
          <w:rFonts w:hint="eastAsia"/>
          <w:highlight w:val="none"/>
          <w:lang w:val="en-US" w:eastAsia="zh-CN"/>
        </w:rPr>
        <w:t>5.1</w:t>
      </w:r>
      <w:r>
        <w:rPr>
          <w:rFonts w:hint="eastAsia"/>
        </w:rPr>
        <w:t>大王郢至林楼站</w:t>
      </w:r>
      <w:r>
        <w:rPr>
          <w:rFonts w:hint="eastAsia"/>
          <w:highlight w:val="none"/>
          <w:lang w:val="en-US" w:eastAsia="zh-CN"/>
        </w:rPr>
        <w:t>新增涂油器配套电缆线</w:t>
      </w:r>
    </w:p>
    <w:p w14:paraId="02FC4248">
      <w:pPr>
        <w:ind w:firstLine="420"/>
        <w:jc w:val="both"/>
        <w:rPr>
          <w:rFonts w:hint="eastAsia"/>
          <w:highlight w:val="none"/>
          <w:lang w:val="en-US" w:eastAsia="zh-CN"/>
        </w:rPr>
      </w:pPr>
      <w:r>
        <w:rPr>
          <w:rFonts w:hint="eastAsia"/>
          <w:highlight w:val="none"/>
          <w:lang w:val="en-US" w:eastAsia="zh-CN"/>
        </w:rPr>
        <w:t>5.1.1工程数量</w:t>
      </w:r>
    </w:p>
    <w:tbl>
      <w:tblPr>
        <w:tblStyle w:val="26"/>
        <w:tblpPr w:leftFromText="180" w:rightFromText="180" w:vertAnchor="text" w:horzAnchor="page" w:tblpX="2024" w:tblpY="171"/>
        <w:tblOverlap w:val="never"/>
        <w:tblW w:w="0" w:type="auto"/>
        <w:tblInd w:w="0" w:type="dxa"/>
        <w:tblLayout w:type="fixed"/>
        <w:tblCellMar>
          <w:top w:w="0" w:type="dxa"/>
          <w:left w:w="108" w:type="dxa"/>
          <w:bottom w:w="0" w:type="dxa"/>
          <w:right w:w="108" w:type="dxa"/>
        </w:tblCellMar>
      </w:tblPr>
      <w:tblGrid>
        <w:gridCol w:w="959"/>
        <w:gridCol w:w="1991"/>
        <w:gridCol w:w="2403"/>
        <w:gridCol w:w="984"/>
        <w:gridCol w:w="1001"/>
        <w:gridCol w:w="1134"/>
      </w:tblGrid>
      <w:tr w14:paraId="5B1D68D8">
        <w:tblPrEx>
          <w:tblCellMar>
            <w:top w:w="0" w:type="dxa"/>
            <w:left w:w="108" w:type="dxa"/>
            <w:bottom w:w="0" w:type="dxa"/>
            <w:right w:w="108" w:type="dxa"/>
          </w:tblCellMar>
        </w:tblPrEx>
        <w:trPr>
          <w:trHeight w:val="429" w:hRule="atLeast"/>
        </w:trPr>
        <w:tc>
          <w:tcPr>
            <w:tcW w:w="9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BEA97">
            <w:pPr>
              <w:pStyle w:val="50"/>
              <w:keepNext w:val="0"/>
              <w:keepLines w:val="0"/>
              <w:suppressLineNumbers w:val="0"/>
              <w:kinsoku w:val="0"/>
              <w:overflowPunct w:val="0"/>
              <w:spacing w:before="2" w:beforeAutospacing="0" w:after="0" w:afterAutospacing="0"/>
              <w:ind w:left="0" w:right="0" w:firstLine="0" w:firstLineChars="0"/>
              <w:rPr>
                <w:rFonts w:hint="default" w:eastAsia="Times New Roman"/>
                <w:w w:val="99"/>
                <w:sz w:val="20"/>
                <w:highlight w:val="none"/>
              </w:rPr>
            </w:pPr>
            <w:r>
              <w:rPr>
                <w:sz w:val="20"/>
                <w:highlight w:val="none"/>
              </w:rPr>
              <w:t>序号</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09DAA">
            <w:pPr>
              <w:pStyle w:val="50"/>
              <w:keepNext w:val="0"/>
              <w:keepLines w:val="0"/>
              <w:suppressLineNumbers w:val="0"/>
              <w:kinsoku w:val="0"/>
              <w:overflowPunct w:val="0"/>
              <w:spacing w:before="2" w:beforeAutospacing="0" w:after="0" w:afterAutospacing="0"/>
              <w:ind w:left="269" w:right="272" w:firstLine="400"/>
              <w:rPr>
                <w:rFonts w:hint="default"/>
                <w:sz w:val="20"/>
                <w:highlight w:val="none"/>
              </w:rPr>
            </w:pPr>
            <w:r>
              <w:rPr>
                <w:sz w:val="20"/>
                <w:highlight w:val="none"/>
              </w:rPr>
              <w:t>名称</w:t>
            </w:r>
          </w:p>
        </w:tc>
        <w:tc>
          <w:tcPr>
            <w:tcW w:w="24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C62A3">
            <w:pPr>
              <w:pStyle w:val="50"/>
              <w:keepNext w:val="0"/>
              <w:keepLines w:val="0"/>
              <w:suppressLineNumbers w:val="0"/>
              <w:kinsoku w:val="0"/>
              <w:overflowPunct w:val="0"/>
              <w:spacing w:before="2" w:beforeAutospacing="0" w:after="0" w:afterAutospacing="0"/>
              <w:ind w:left="0" w:right="0" w:firstLine="400"/>
              <w:rPr>
                <w:rFonts w:hint="default"/>
                <w:sz w:val="20"/>
                <w:highlight w:val="none"/>
              </w:rPr>
            </w:pPr>
            <w:r>
              <w:rPr>
                <w:sz w:val="20"/>
                <w:highlight w:val="none"/>
              </w:rPr>
              <w:t>型号规格</w:t>
            </w:r>
          </w:p>
        </w:tc>
        <w:tc>
          <w:tcPr>
            <w:tcW w:w="9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4D8F5">
            <w:pPr>
              <w:pStyle w:val="50"/>
              <w:keepNext w:val="0"/>
              <w:keepLines w:val="0"/>
              <w:suppressLineNumbers w:val="0"/>
              <w:kinsoku w:val="0"/>
              <w:overflowPunct w:val="0"/>
              <w:spacing w:before="2" w:beforeAutospacing="0" w:after="0" w:afterAutospacing="0"/>
              <w:ind w:left="0" w:right="0" w:firstLine="0" w:firstLineChars="0"/>
              <w:rPr>
                <w:rFonts w:hint="default" w:eastAsia="Times New Roman"/>
                <w:sz w:val="20"/>
                <w:highlight w:val="none"/>
              </w:rPr>
            </w:pPr>
            <w:r>
              <w:rPr>
                <w:sz w:val="20"/>
                <w:highlight w:val="none"/>
              </w:rPr>
              <w:t>单位</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23FD5">
            <w:pPr>
              <w:pStyle w:val="50"/>
              <w:keepNext w:val="0"/>
              <w:keepLines w:val="0"/>
              <w:suppressLineNumbers w:val="0"/>
              <w:kinsoku w:val="0"/>
              <w:overflowPunct w:val="0"/>
              <w:spacing w:before="2" w:beforeAutospacing="0" w:after="0" w:afterAutospacing="0"/>
              <w:ind w:left="0" w:right="0" w:firstLine="0" w:firstLineChars="0"/>
              <w:rPr>
                <w:rFonts w:hint="default" w:eastAsia="Times New Roman"/>
                <w:sz w:val="20"/>
                <w:highlight w:val="none"/>
              </w:rPr>
            </w:pPr>
            <w:r>
              <w:rPr>
                <w:sz w:val="20"/>
                <w:highlight w:val="none"/>
              </w:rPr>
              <w:t>数量</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DD1C3">
            <w:pPr>
              <w:pStyle w:val="50"/>
              <w:keepNext w:val="0"/>
              <w:keepLines w:val="0"/>
              <w:suppressLineNumbers w:val="0"/>
              <w:kinsoku w:val="0"/>
              <w:overflowPunct w:val="0"/>
              <w:spacing w:before="2" w:beforeAutospacing="0" w:after="0" w:afterAutospacing="0"/>
              <w:ind w:left="0" w:right="0" w:firstLine="0" w:firstLineChars="0"/>
              <w:rPr>
                <w:rFonts w:hint="default" w:eastAsia="Times New Roman"/>
                <w:highlight w:val="none"/>
              </w:rPr>
            </w:pPr>
            <w:r>
              <w:rPr>
                <w:sz w:val="20"/>
                <w:highlight w:val="none"/>
              </w:rPr>
              <w:t>备注</w:t>
            </w:r>
          </w:p>
        </w:tc>
      </w:tr>
      <w:tr w14:paraId="6EE1EC68">
        <w:tblPrEx>
          <w:tblCellMar>
            <w:top w:w="0" w:type="dxa"/>
            <w:left w:w="108" w:type="dxa"/>
            <w:bottom w:w="0" w:type="dxa"/>
            <w:right w:w="108" w:type="dxa"/>
          </w:tblCellMar>
        </w:tblPrEx>
        <w:trPr>
          <w:trHeight w:val="389" w:hRule="atLeast"/>
        </w:trPr>
        <w:tc>
          <w:tcPr>
            <w:tcW w:w="9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4BFFD">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1</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A084B">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低压电力电缆</w:t>
            </w:r>
          </w:p>
        </w:tc>
        <w:tc>
          <w:tcPr>
            <w:tcW w:w="24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06C8E">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WDZB-YJY23-0.6/1kV 3X4</w:t>
            </w:r>
          </w:p>
        </w:tc>
        <w:tc>
          <w:tcPr>
            <w:tcW w:w="9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747BC">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km</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9AD0A">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1.5</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0A764">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p>
        </w:tc>
      </w:tr>
      <w:tr w14:paraId="6DC24C8B">
        <w:tblPrEx>
          <w:tblCellMar>
            <w:top w:w="0" w:type="dxa"/>
            <w:left w:w="108" w:type="dxa"/>
            <w:bottom w:w="0" w:type="dxa"/>
            <w:right w:w="108" w:type="dxa"/>
          </w:tblCellMar>
        </w:tblPrEx>
        <w:trPr>
          <w:trHeight w:val="388" w:hRule="atLeast"/>
        </w:trPr>
        <w:tc>
          <w:tcPr>
            <w:tcW w:w="9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A5E9B">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1-1</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AEBF4">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穿钢管敷设</w:t>
            </w:r>
          </w:p>
        </w:tc>
        <w:tc>
          <w:tcPr>
            <w:tcW w:w="24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0EECC">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SC32</w:t>
            </w:r>
          </w:p>
        </w:tc>
        <w:tc>
          <w:tcPr>
            <w:tcW w:w="9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505F0">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km</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0348B">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0.3</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1A0ED">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p>
        </w:tc>
      </w:tr>
      <w:tr w14:paraId="6586C91A">
        <w:tblPrEx>
          <w:tblCellMar>
            <w:top w:w="0" w:type="dxa"/>
            <w:left w:w="108" w:type="dxa"/>
            <w:bottom w:w="0" w:type="dxa"/>
            <w:right w:w="108" w:type="dxa"/>
          </w:tblCellMar>
        </w:tblPrEx>
        <w:trPr>
          <w:trHeight w:val="90" w:hRule="atLeast"/>
        </w:trPr>
        <w:tc>
          <w:tcPr>
            <w:tcW w:w="9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CAA12">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1-2</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7D100">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沿电缆沟敷设</w:t>
            </w:r>
          </w:p>
        </w:tc>
        <w:tc>
          <w:tcPr>
            <w:tcW w:w="24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BF662">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p>
        </w:tc>
        <w:tc>
          <w:tcPr>
            <w:tcW w:w="9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03D6E1">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km</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277F5">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1.2</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A3583">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p>
        </w:tc>
      </w:tr>
      <w:tr w14:paraId="5B50A3CF">
        <w:tblPrEx>
          <w:tblCellMar>
            <w:top w:w="0" w:type="dxa"/>
            <w:left w:w="108" w:type="dxa"/>
            <w:bottom w:w="0" w:type="dxa"/>
            <w:right w:w="108" w:type="dxa"/>
          </w:tblCellMar>
        </w:tblPrEx>
        <w:trPr>
          <w:trHeight w:val="389" w:hRule="atLeast"/>
        </w:trPr>
        <w:tc>
          <w:tcPr>
            <w:tcW w:w="9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8FEFC">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2</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AD46B">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低压电力电缆头</w:t>
            </w:r>
          </w:p>
        </w:tc>
        <w:tc>
          <w:tcPr>
            <w:tcW w:w="24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194DE">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干包式</w:t>
            </w:r>
          </w:p>
        </w:tc>
        <w:tc>
          <w:tcPr>
            <w:tcW w:w="9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F4254">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个</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9117C">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4</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0B1FC">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p>
        </w:tc>
      </w:tr>
      <w:tr w14:paraId="3536FF1A">
        <w:tblPrEx>
          <w:tblCellMar>
            <w:top w:w="0" w:type="dxa"/>
            <w:left w:w="108" w:type="dxa"/>
            <w:bottom w:w="0" w:type="dxa"/>
            <w:right w:w="108" w:type="dxa"/>
          </w:tblCellMar>
        </w:tblPrEx>
        <w:trPr>
          <w:trHeight w:val="388" w:hRule="atLeast"/>
        </w:trPr>
        <w:tc>
          <w:tcPr>
            <w:tcW w:w="9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F44DD">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3</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1A3AA">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防火隔板</w:t>
            </w:r>
          </w:p>
        </w:tc>
        <w:tc>
          <w:tcPr>
            <w:tcW w:w="24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95702">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p>
        </w:tc>
        <w:tc>
          <w:tcPr>
            <w:tcW w:w="9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D80C6">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km</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6F92F">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1.2</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CA833">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p>
        </w:tc>
      </w:tr>
      <w:tr w14:paraId="51DD45DF">
        <w:tblPrEx>
          <w:tblCellMar>
            <w:top w:w="0" w:type="dxa"/>
            <w:left w:w="108" w:type="dxa"/>
            <w:bottom w:w="0" w:type="dxa"/>
            <w:right w:w="108" w:type="dxa"/>
          </w:tblCellMar>
        </w:tblPrEx>
        <w:trPr>
          <w:trHeight w:val="388" w:hRule="atLeast"/>
        </w:trPr>
        <w:tc>
          <w:tcPr>
            <w:tcW w:w="9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689E8">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4</w:t>
            </w:r>
          </w:p>
        </w:tc>
        <w:tc>
          <w:tcPr>
            <w:tcW w:w="1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D4604">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配电箱改造</w:t>
            </w:r>
          </w:p>
        </w:tc>
        <w:tc>
          <w:tcPr>
            <w:tcW w:w="24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7C342">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p>
        </w:tc>
        <w:tc>
          <w:tcPr>
            <w:tcW w:w="9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DE8EB">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处</w:t>
            </w:r>
          </w:p>
        </w:tc>
        <w:tc>
          <w:tcPr>
            <w:tcW w:w="10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F83D6">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r>
              <w:rPr>
                <w:rFonts w:ascii="宋体" w:hAnsi="宋体" w:cs="宋体"/>
                <w:sz w:val="20"/>
                <w:highlight w:val="none"/>
              </w:rPr>
              <w:t>1</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2FCB1">
            <w:pPr>
              <w:pStyle w:val="50"/>
              <w:keepNext w:val="0"/>
              <w:keepLines w:val="0"/>
              <w:suppressLineNumbers w:val="0"/>
              <w:kinsoku w:val="0"/>
              <w:overflowPunct w:val="0"/>
              <w:spacing w:before="2" w:beforeAutospacing="0" w:after="0" w:afterAutospacing="0"/>
              <w:ind w:left="0" w:right="0" w:firstLine="0" w:firstLineChars="0"/>
              <w:rPr>
                <w:rFonts w:ascii="宋体" w:hAnsi="宋体" w:cs="宋体"/>
                <w:sz w:val="20"/>
                <w:highlight w:val="none"/>
              </w:rPr>
            </w:pPr>
          </w:p>
        </w:tc>
      </w:tr>
    </w:tbl>
    <w:p w14:paraId="067148B0">
      <w:pPr>
        <w:ind w:firstLine="420"/>
        <w:jc w:val="both"/>
        <w:rPr>
          <w:rFonts w:hint="eastAsia"/>
          <w:highlight w:val="none"/>
          <w:lang w:val="en-US" w:eastAsia="zh-CN"/>
        </w:rPr>
      </w:pPr>
      <w:r>
        <w:rPr>
          <w:rFonts w:hint="eastAsia"/>
          <w:highlight w:val="none"/>
          <w:lang w:val="en-US" w:eastAsia="zh-CN"/>
        </w:rPr>
        <w:t>5.2电缆敷设要求</w:t>
      </w:r>
    </w:p>
    <w:p w14:paraId="3AEE7CC2">
      <w:pPr>
        <w:ind w:firstLine="420"/>
        <w:rPr>
          <w:rFonts w:hint="eastAsia"/>
          <w:snapToGrid w:val="0"/>
          <w:highlight w:val="none"/>
        </w:rPr>
      </w:pPr>
      <w:r>
        <w:rPr>
          <w:rFonts w:hint="eastAsia"/>
          <w:snapToGrid w:val="0"/>
          <w:highlight w:val="none"/>
          <w:lang w:val="en-US" w:eastAsia="zh-CN"/>
        </w:rPr>
        <w:t>5.2.1</w:t>
      </w:r>
      <w:r>
        <w:rPr>
          <w:rFonts w:hint="eastAsia"/>
          <w:snapToGrid w:val="0"/>
          <w:highlight w:val="none"/>
        </w:rPr>
        <w:t>用电需求</w:t>
      </w:r>
    </w:p>
    <w:p w14:paraId="53DCE030">
      <w:pPr>
        <w:ind w:firstLine="420"/>
        <w:rPr>
          <w:rFonts w:hint="eastAsia"/>
          <w:snapToGrid w:val="0"/>
          <w:highlight w:val="none"/>
        </w:rPr>
      </w:pPr>
      <w:r>
        <w:rPr>
          <w:rFonts w:hint="eastAsia"/>
        </w:rPr>
        <w:t>大王郢至林楼站</w:t>
      </w:r>
      <w:r>
        <w:rPr>
          <w:rFonts w:hint="eastAsia"/>
          <w:snapToGrid w:val="0"/>
          <w:highlight w:val="none"/>
        </w:rPr>
        <w:t>新增涂油器用电需求为～</w:t>
      </w:r>
      <w:r>
        <w:rPr>
          <w:rFonts w:hint="default"/>
          <w:snapToGrid w:val="0"/>
          <w:highlight w:val="none"/>
        </w:rPr>
        <w:t>220V</w:t>
      </w:r>
      <w:r>
        <w:rPr>
          <w:rFonts w:hint="eastAsia"/>
          <w:snapToGrid w:val="0"/>
          <w:highlight w:val="none"/>
        </w:rPr>
        <w:t>、</w:t>
      </w:r>
      <w:r>
        <w:rPr>
          <w:rFonts w:hint="default"/>
          <w:snapToGrid w:val="0"/>
          <w:highlight w:val="none"/>
        </w:rPr>
        <w:t>300W</w:t>
      </w:r>
      <w:r>
        <w:rPr>
          <w:rFonts w:hint="eastAsia"/>
          <w:snapToGrid w:val="0"/>
          <w:highlight w:val="none"/>
        </w:rPr>
        <w:t>，按三级负荷供电。</w:t>
      </w:r>
    </w:p>
    <w:p w14:paraId="7C1CD313">
      <w:pPr>
        <w:ind w:firstLine="420"/>
        <w:rPr>
          <w:rFonts w:hint="eastAsia"/>
          <w:snapToGrid w:val="0"/>
          <w:highlight w:val="none"/>
        </w:rPr>
      </w:pPr>
      <w:r>
        <w:rPr>
          <w:rFonts w:hint="eastAsia"/>
          <w:snapToGrid w:val="0"/>
          <w:highlight w:val="none"/>
          <w:lang w:val="en-US" w:eastAsia="zh-CN"/>
        </w:rPr>
        <w:t>5.2.2</w:t>
      </w:r>
      <w:r>
        <w:rPr>
          <w:rFonts w:hint="eastAsia"/>
          <w:snapToGrid w:val="0"/>
          <w:highlight w:val="none"/>
        </w:rPr>
        <w:t>电缆路径及安全要求</w:t>
      </w:r>
    </w:p>
    <w:p w14:paraId="60A0C816">
      <w:pPr>
        <w:ind w:firstLine="420"/>
        <w:rPr>
          <w:rFonts w:hint="eastAsia"/>
        </w:rPr>
      </w:pPr>
      <w:r>
        <w:rPr>
          <w:rFonts w:hint="eastAsia"/>
        </w:rPr>
        <w:t>由苏滁产业园站2AP7配电箱预留回路馈出两回~220V电源分别至上下行侧新增涂油器，采用WDZB-YJY23-0.6/1kV 3X4 电缆供电，电缆在站房内穿钢管敷设、在高架区间内沿电力电缆沟敷设并设置防火隔板与既有环网电缆隔离。电缆阻燃等级不低于B级、燃烧等级不应低于B1级，产烟毒性不低于t1级，燃烧滴落物/微粒等级不低于d1级。低压电力电缆金属层应在线路一端或中间部位直接接地。</w:t>
      </w:r>
    </w:p>
    <w:p w14:paraId="090B811F">
      <w:pPr>
        <w:ind w:firstLine="420"/>
        <w:jc w:val="both"/>
        <w:rPr>
          <w:rFonts w:hint="eastAsia"/>
          <w:highlight w:val="none"/>
          <w:lang w:val="en-US" w:eastAsia="zh-CN"/>
        </w:rPr>
      </w:pPr>
      <w:r>
        <w:rPr>
          <w:rFonts w:hint="eastAsia"/>
          <w:highlight w:val="none"/>
          <w:lang w:val="en-US" w:eastAsia="zh-CN"/>
        </w:rPr>
        <w:t>5.3电力电缆与通信信号电缆的间距要求</w:t>
      </w:r>
    </w:p>
    <w:p w14:paraId="1B80EB7E">
      <w:pPr>
        <w:rPr>
          <w:rFonts w:hint="eastAsia"/>
          <w:highlight w:val="none"/>
          <w:lang w:val="en-US" w:eastAsia="zh-CN"/>
        </w:rPr>
      </w:pPr>
      <w:r>
        <w:rPr>
          <w:sz w:val="24"/>
          <w:highlight w:val="none"/>
        </w:rPr>
        <w:drawing>
          <wp:inline distT="0" distB="0" distL="114300" distR="114300">
            <wp:extent cx="5274310" cy="2872105"/>
            <wp:effectExtent l="0" t="0" r="2540"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74310" cy="2872105"/>
                    </a:xfrm>
                    <a:prstGeom prst="rect">
                      <a:avLst/>
                    </a:prstGeom>
                    <a:noFill/>
                    <a:ln>
                      <a:noFill/>
                    </a:ln>
                  </pic:spPr>
                </pic:pic>
              </a:graphicData>
            </a:graphic>
          </wp:inline>
        </w:drawing>
      </w:r>
    </w:p>
    <w:p w14:paraId="123666D2">
      <w:pPr>
        <w:numPr>
          <w:ilvl w:val="0"/>
          <w:numId w:val="0"/>
        </w:numPr>
        <w:spacing w:before="156" w:beforeLines="50" w:line="360" w:lineRule="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6、施工作业要求</w:t>
      </w:r>
    </w:p>
    <w:p w14:paraId="38A6C9A6">
      <w:pPr>
        <w:ind w:firstLine="420"/>
        <w:rPr>
          <w:rFonts w:hint="eastAsia"/>
          <w:snapToGrid w:val="0"/>
          <w:highlight w:val="none"/>
        </w:rPr>
      </w:pPr>
      <w:r>
        <w:rPr>
          <w:rFonts w:hint="eastAsia"/>
          <w:snapToGrid w:val="0"/>
          <w:highlight w:val="none"/>
        </w:rPr>
        <w:t>1）乙方自行将每日施工所需材料运至施工现场，并做好未完品保护。</w:t>
      </w:r>
    </w:p>
    <w:p w14:paraId="2372CCE0">
      <w:pPr>
        <w:ind w:firstLine="420"/>
        <w:rPr>
          <w:rFonts w:hint="eastAsia"/>
          <w:snapToGrid w:val="0"/>
          <w:highlight w:val="none"/>
        </w:rPr>
      </w:pPr>
      <w:r>
        <w:rPr>
          <w:rFonts w:hint="eastAsia"/>
          <w:snapToGrid w:val="0"/>
          <w:highlight w:val="none"/>
        </w:rPr>
        <w:t>2）乙方每日作业完成后须经双方检查确认合格后方可撤离现场。</w:t>
      </w:r>
    </w:p>
    <w:p w14:paraId="3E004835">
      <w:pPr>
        <w:ind w:firstLine="420"/>
        <w:rPr>
          <w:rFonts w:hint="eastAsia"/>
          <w:snapToGrid w:val="0"/>
          <w:highlight w:val="none"/>
        </w:rPr>
      </w:pPr>
      <w:r>
        <w:rPr>
          <w:rFonts w:hint="eastAsia"/>
          <w:snapToGrid w:val="0"/>
          <w:highlight w:val="none"/>
        </w:rPr>
        <w:t>3）施工人员要求具备一定的登高施工作业经验，作业前要了解工程项目的内容和性质、服务对象及安装位置，施工人员必须持有电工证，同时要熟悉技术、质量要求，现场负责人要强化技术管理及安全保护措施。</w:t>
      </w:r>
    </w:p>
    <w:p w14:paraId="4B6B273C">
      <w:pPr>
        <w:ind w:firstLine="420"/>
        <w:rPr>
          <w:rFonts w:hint="eastAsia"/>
          <w:snapToGrid w:val="0"/>
          <w:highlight w:val="none"/>
        </w:rPr>
      </w:pPr>
      <w:r>
        <w:rPr>
          <w:rFonts w:hint="eastAsia"/>
          <w:snapToGrid w:val="0"/>
          <w:highlight w:val="none"/>
        </w:rPr>
        <w:t>4）合理安排施工进度及人力和物力的投入。</w:t>
      </w:r>
    </w:p>
    <w:p w14:paraId="459B8B1A">
      <w:pPr>
        <w:ind w:firstLine="420"/>
        <w:rPr>
          <w:rFonts w:hint="eastAsia"/>
          <w:snapToGrid w:val="0"/>
          <w:highlight w:val="none"/>
        </w:rPr>
      </w:pPr>
      <w:r>
        <w:rPr>
          <w:rFonts w:hint="eastAsia"/>
          <w:snapToGrid w:val="0"/>
          <w:highlight w:val="none"/>
        </w:rPr>
        <w:t>5）施工单位应严格遵守地铁车站内的安全施工制度要求，施工前到车控室进行登记、请点，在得到批准后方可进入施工现场。必须保证当天所有施工作业人员都安全离开施工区域，方可进行销点。</w:t>
      </w:r>
    </w:p>
    <w:p w14:paraId="683905D2">
      <w:pPr>
        <w:ind w:firstLine="420"/>
        <w:rPr>
          <w:rFonts w:hint="eastAsia"/>
          <w:snapToGrid w:val="0"/>
          <w:highlight w:val="none"/>
        </w:rPr>
      </w:pPr>
      <w:r>
        <w:rPr>
          <w:rFonts w:hint="eastAsia"/>
          <w:snapToGrid w:val="0"/>
          <w:highlight w:val="none"/>
        </w:rPr>
        <w:t>6）乙方根据滁宁铁路运营有限责任公司《施工检修管理办法》等相关文件要求做好现场施工管理及防护工作。</w:t>
      </w:r>
    </w:p>
    <w:p w14:paraId="7374E58E">
      <w:pPr>
        <w:ind w:firstLine="420"/>
        <w:rPr>
          <w:rFonts w:hint="eastAsia"/>
          <w:snapToGrid w:val="0"/>
          <w:highlight w:val="none"/>
        </w:rPr>
      </w:pPr>
      <w:r>
        <w:rPr>
          <w:rFonts w:hint="eastAsia"/>
          <w:snapToGrid w:val="0"/>
          <w:highlight w:val="none"/>
        </w:rPr>
        <w:t>7）服从现场管理，作业人员及作业机具不得影响运营正常办公。</w:t>
      </w:r>
    </w:p>
    <w:p w14:paraId="7311871B">
      <w:pPr>
        <w:ind w:firstLine="420"/>
        <w:rPr>
          <w:rFonts w:hint="eastAsia"/>
          <w:snapToGrid w:val="0"/>
          <w:highlight w:val="none"/>
        </w:rPr>
      </w:pPr>
      <w:r>
        <w:rPr>
          <w:rFonts w:hint="eastAsia"/>
          <w:snapToGrid w:val="0"/>
          <w:highlight w:val="none"/>
        </w:rPr>
        <w:t>8）做好施工现场的作业安全防护，文明施工，保证施工现场工完料清。</w:t>
      </w:r>
    </w:p>
    <w:p w14:paraId="56C53036">
      <w:pPr>
        <w:ind w:firstLine="420"/>
        <w:rPr>
          <w:rFonts w:hint="eastAsia"/>
          <w:snapToGrid w:val="0"/>
          <w:highlight w:val="none"/>
        </w:rPr>
      </w:pPr>
      <w:r>
        <w:rPr>
          <w:rFonts w:hint="eastAsia"/>
          <w:snapToGrid w:val="0"/>
          <w:highlight w:val="none"/>
        </w:rPr>
        <w:t>9）施工人员进入施工现场应立足本职工作，不得擅自非工程范围内任何设备，尤其注意电缆线、电器设备。</w:t>
      </w:r>
    </w:p>
    <w:p w14:paraId="1EAF183B">
      <w:pPr>
        <w:ind w:firstLine="420"/>
        <w:rPr>
          <w:rFonts w:hint="eastAsia"/>
          <w:snapToGrid w:val="0"/>
          <w:highlight w:val="none"/>
        </w:rPr>
      </w:pPr>
      <w:r>
        <w:rPr>
          <w:rFonts w:hint="eastAsia"/>
          <w:snapToGrid w:val="0"/>
          <w:highlight w:val="none"/>
        </w:rPr>
        <w:t>10）安装过程中导致道床破损、钢轨擦伤等滁宁城际铁路设备损坏，由施工单位负责恢复。</w:t>
      </w:r>
    </w:p>
    <w:p w14:paraId="5DBCB7BB">
      <w:pPr>
        <w:numPr>
          <w:ilvl w:val="0"/>
          <w:numId w:val="0"/>
        </w:numPr>
        <w:spacing w:before="156" w:beforeLines="50" w:line="360" w:lineRule="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7、安全施工要求</w:t>
      </w:r>
    </w:p>
    <w:p w14:paraId="01725DC2">
      <w:pPr>
        <w:ind w:firstLine="420"/>
        <w:rPr>
          <w:highlight w:val="none"/>
        </w:rPr>
      </w:pPr>
      <w:r>
        <w:rPr>
          <w:rFonts w:hint="eastAsia"/>
          <w:highlight w:val="none"/>
        </w:rPr>
        <w:t>1）乙方根据滁宁铁路运营有限责任公司相关文件要求做好现场施工管理及防护工作。</w:t>
      </w:r>
    </w:p>
    <w:p w14:paraId="6DEBF0C4">
      <w:pPr>
        <w:ind w:firstLine="420"/>
        <w:rPr>
          <w:highlight w:val="none"/>
        </w:rPr>
      </w:pPr>
      <w:r>
        <w:rPr>
          <w:rFonts w:hint="eastAsia"/>
          <w:highlight w:val="none"/>
        </w:rPr>
        <w:t>2）施工人员工作前不许饮酒，进入施工现场不准嬉笑打闹及大声吵闹，严格服从现场负责人指挥。</w:t>
      </w:r>
    </w:p>
    <w:p w14:paraId="2B896AA6">
      <w:pPr>
        <w:ind w:firstLine="420"/>
        <w:rPr>
          <w:highlight w:val="none"/>
        </w:rPr>
      </w:pPr>
      <w:r>
        <w:rPr>
          <w:rFonts w:hint="eastAsia"/>
          <w:highlight w:val="none"/>
        </w:rPr>
        <w:t>3）乙方在施工前应组织施工动员大会，全员做好安全预想工作，切实了解现场施工时存在的所有安全隐患。</w:t>
      </w:r>
    </w:p>
    <w:p w14:paraId="797CE69C">
      <w:pPr>
        <w:ind w:firstLine="420"/>
        <w:rPr>
          <w:highlight w:val="none"/>
        </w:rPr>
      </w:pPr>
      <w:r>
        <w:rPr>
          <w:rFonts w:hint="eastAsia"/>
          <w:highlight w:val="none"/>
        </w:rPr>
        <w:t>4）施工前须由负责人向施工人员进行技术交底和安全交底，并做好记录（签字确认），未经教育者不得进入施工现场作业。</w:t>
      </w:r>
    </w:p>
    <w:p w14:paraId="725A6E2A">
      <w:pPr>
        <w:ind w:firstLine="420"/>
        <w:rPr>
          <w:highlight w:val="none"/>
        </w:rPr>
      </w:pPr>
      <w:r>
        <w:rPr>
          <w:rFonts w:hint="eastAsia"/>
          <w:highlight w:val="none"/>
        </w:rPr>
        <w:t>5）乙方应根据现场情况提前做好突发事故应急处理计划，并与所有参与人员进行学习。</w:t>
      </w:r>
    </w:p>
    <w:p w14:paraId="535A3C19">
      <w:pPr>
        <w:ind w:firstLine="420"/>
        <w:rPr>
          <w:highlight w:val="none"/>
        </w:rPr>
      </w:pPr>
      <w:r>
        <w:rPr>
          <w:rFonts w:hint="eastAsia"/>
          <w:highlight w:val="none"/>
        </w:rPr>
        <w:t>6）施工完成后必须清理现场，做到“三清”，并配合甲方人员检查完毕后方可撤离现场。</w:t>
      </w:r>
    </w:p>
    <w:p w14:paraId="733FD4F1">
      <w:pPr>
        <w:ind w:firstLine="420"/>
        <w:rPr>
          <w:highlight w:val="none"/>
        </w:rPr>
      </w:pPr>
      <w:r>
        <w:rPr>
          <w:rFonts w:hint="eastAsia"/>
          <w:highlight w:val="none"/>
        </w:rPr>
        <w:t>7）施工过程严格防尘、防火，涉及动火切割作业时，施工动火作业应取得动火证，动火作业时，需有相应的保护措施，并具有动火作业应急预案。</w:t>
      </w:r>
    </w:p>
    <w:p w14:paraId="798BBF79">
      <w:pPr>
        <w:ind w:firstLine="420"/>
        <w:rPr>
          <w:highlight w:val="none"/>
        </w:rPr>
      </w:pPr>
      <w:r>
        <w:rPr>
          <w:rFonts w:hint="eastAsia"/>
          <w:highlight w:val="none"/>
        </w:rPr>
        <w:t>8）施工时应做好相应的安全保护措施，现场指挥员、安全员及小组组长必须佩带醒目职责标志，施工人员必须统一佩齐安全防护用品（反光背心、安全帽、劳保手套、劳保鞋等）。</w:t>
      </w:r>
    </w:p>
    <w:p w14:paraId="5991FDC2">
      <w:pPr>
        <w:numPr>
          <w:ilvl w:val="0"/>
          <w:numId w:val="0"/>
        </w:numPr>
        <w:spacing w:before="156" w:beforeLines="50" w:line="360" w:lineRule="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8、文明施工要求</w:t>
      </w:r>
    </w:p>
    <w:p w14:paraId="37FF3953">
      <w:pPr>
        <w:ind w:firstLine="420"/>
        <w:rPr>
          <w:highlight w:val="none"/>
        </w:rPr>
      </w:pPr>
      <w:r>
        <w:rPr>
          <w:rFonts w:hint="eastAsia"/>
          <w:highlight w:val="none"/>
        </w:rPr>
        <w:t>1）施工作业不得影响地铁设施设备正常运行，保持作业场地的整洁卫生。施工现场材料分规格、品种堆码整齐，施工用机具摆放位置合理安全，保持现场整洁。</w:t>
      </w:r>
    </w:p>
    <w:p w14:paraId="3D1BBC77">
      <w:pPr>
        <w:ind w:firstLine="420"/>
        <w:rPr>
          <w:highlight w:val="none"/>
        </w:rPr>
      </w:pPr>
      <w:r>
        <w:rPr>
          <w:rFonts w:hint="eastAsia"/>
          <w:highlight w:val="none"/>
        </w:rPr>
        <w:t>2）拆除原有构筑物时，施工过程中要采取可靠措施保护既有设备，不得损坏及影响设备正常运转。</w:t>
      </w:r>
    </w:p>
    <w:p w14:paraId="29805391">
      <w:pPr>
        <w:ind w:firstLine="420"/>
        <w:rPr>
          <w:highlight w:val="none"/>
        </w:rPr>
      </w:pPr>
      <w:r>
        <w:rPr>
          <w:rFonts w:hint="eastAsia"/>
          <w:highlight w:val="none"/>
        </w:rPr>
        <w:t>3）严格禁止在施工现场抽烟、焚烧油毡、塑料、皮革等会产生明火、有毒、有害烟尘和恶臭气体的物质。</w:t>
      </w:r>
    </w:p>
    <w:p w14:paraId="205A5028">
      <w:pPr>
        <w:ind w:firstLine="420"/>
        <w:rPr>
          <w:highlight w:val="none"/>
        </w:rPr>
      </w:pPr>
      <w:r>
        <w:rPr>
          <w:rFonts w:hint="eastAsia"/>
          <w:highlight w:val="none"/>
        </w:rPr>
        <w:t>4）与施工无关的人员禁止进入现场，维护良好的工作秩序和劳动纪律，禁止赌博、打架、斗殴等行为，遵守治安规定。</w:t>
      </w:r>
    </w:p>
    <w:p w14:paraId="3D13CC02">
      <w:pPr>
        <w:ind w:firstLine="420"/>
        <w:rPr>
          <w:highlight w:val="none"/>
        </w:rPr>
      </w:pPr>
      <w:r>
        <w:rPr>
          <w:rFonts w:hint="eastAsia"/>
          <w:highlight w:val="none"/>
        </w:rPr>
        <w:t xml:space="preserve">5）现场使用的施工机械、车辆尾气排放符合环保要求。施工现场设专人负责环保工作，配备相应的洒水设备，及时洒水，减少扬尘污染。 </w:t>
      </w:r>
    </w:p>
    <w:p w14:paraId="5250F4DC">
      <w:pPr>
        <w:ind w:firstLine="420"/>
        <w:rPr>
          <w:highlight w:val="none"/>
        </w:rPr>
      </w:pPr>
      <w:r>
        <w:rPr>
          <w:rFonts w:hint="eastAsia"/>
          <w:highlight w:val="none"/>
        </w:rPr>
        <w:t>6）本项目所有施工垃圾袋装清运，随施工同步清理，不得遗漏、抛洒至高架桥外，保持工完场清，施工结束确保施工区域及周边环境卫生、干净整洁。涉及与外部单位、机构协调，由承包人负责。</w:t>
      </w:r>
    </w:p>
    <w:p w14:paraId="6DC388CB">
      <w:pPr>
        <w:ind w:firstLine="420"/>
        <w:rPr>
          <w:highlight w:val="none"/>
        </w:rPr>
      </w:pPr>
      <w:r>
        <w:rPr>
          <w:rFonts w:hint="eastAsia"/>
          <w:highlight w:val="none"/>
        </w:rPr>
        <w:t>7）施工人员必须严格遵守甲方及乙方规定的劳动纪律，乙方规定的劳动纪律及各类规章制度、规程不得与甲方的规章制度、规程相违背。</w:t>
      </w:r>
    </w:p>
    <w:p w14:paraId="54904EC8">
      <w:pPr>
        <w:ind w:firstLine="420"/>
        <w:rPr>
          <w:highlight w:val="none"/>
        </w:rPr>
      </w:pPr>
      <w:r>
        <w:rPr>
          <w:rFonts w:hint="eastAsia"/>
          <w:highlight w:val="none"/>
        </w:rPr>
        <w:t>8）施工单位在施工期间应统一着装，且着装应符合安全施工相关要求。</w:t>
      </w:r>
    </w:p>
    <w:p w14:paraId="32C25E6F">
      <w:pPr>
        <w:numPr>
          <w:ilvl w:val="0"/>
          <w:numId w:val="0"/>
        </w:numPr>
        <w:spacing w:before="156" w:beforeLines="50" w:line="360" w:lineRule="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9、质量保证</w:t>
      </w:r>
    </w:p>
    <w:p w14:paraId="53E367B3">
      <w:pPr>
        <w:ind w:firstLine="420"/>
        <w:rPr>
          <w:snapToGrid w:val="0"/>
          <w:highlight w:val="none"/>
        </w:rPr>
      </w:pPr>
      <w:r>
        <w:rPr>
          <w:rFonts w:hint="eastAsia"/>
          <w:snapToGrid w:val="0"/>
          <w:highlight w:val="none"/>
          <w:lang w:val="en-US" w:eastAsia="zh-CN"/>
        </w:rPr>
        <w:t>1</w:t>
      </w:r>
      <w:r>
        <w:rPr>
          <w:rFonts w:hint="eastAsia"/>
          <w:snapToGrid w:val="0"/>
          <w:highlight w:val="none"/>
        </w:rPr>
        <w:t>）应随产品出具维修说明书。</w:t>
      </w:r>
    </w:p>
    <w:p w14:paraId="78B4493F">
      <w:pPr>
        <w:ind w:firstLine="420"/>
        <w:rPr>
          <w:snapToGrid w:val="0"/>
          <w:highlight w:val="none"/>
        </w:rPr>
      </w:pPr>
      <w:r>
        <w:rPr>
          <w:rFonts w:hint="eastAsia"/>
          <w:snapToGrid w:val="0"/>
          <w:highlight w:val="none"/>
          <w:lang w:val="en-US" w:eastAsia="zh-CN"/>
        </w:rPr>
        <w:t>2</w:t>
      </w:r>
      <w:r>
        <w:rPr>
          <w:rFonts w:hint="eastAsia"/>
          <w:snapToGrid w:val="0"/>
          <w:highlight w:val="none"/>
        </w:rPr>
        <w:t>）涂油器供货还应包括现场安装所需的电源线、安装支架、固定螺栓及其它相关辅助材料。供货方应在涂油器安装过程中配合、指导安装单位完成设备的安装和调试工作，直至该设备验收合格。</w:t>
      </w:r>
    </w:p>
    <w:p w14:paraId="0E062293">
      <w:pPr>
        <w:ind w:firstLine="420"/>
        <w:rPr>
          <w:snapToGrid w:val="0"/>
          <w:highlight w:val="none"/>
        </w:rPr>
      </w:pPr>
      <w:r>
        <w:rPr>
          <w:rFonts w:hint="eastAsia"/>
          <w:snapToGrid w:val="0"/>
          <w:highlight w:val="none"/>
          <w:lang w:val="en-US" w:eastAsia="zh-CN"/>
        </w:rPr>
        <w:t>3</w:t>
      </w:r>
      <w:r>
        <w:rPr>
          <w:rFonts w:hint="eastAsia"/>
          <w:snapToGrid w:val="0"/>
          <w:highlight w:val="none"/>
        </w:rPr>
        <w:t>）附送</w:t>
      </w:r>
      <w:r>
        <w:rPr>
          <w:rFonts w:hint="eastAsia"/>
          <w:snapToGrid w:val="0"/>
          <w:highlight w:val="none"/>
          <w:lang w:eastAsia="zh-CN"/>
        </w:rPr>
        <w:t>轨道润滑装置</w:t>
      </w:r>
      <w:r>
        <w:rPr>
          <w:rFonts w:hint="eastAsia"/>
          <w:snapToGrid w:val="0"/>
          <w:highlight w:val="none"/>
          <w:lang w:val="en-US" w:eastAsia="zh-CN"/>
        </w:rPr>
        <w:t>48</w:t>
      </w:r>
      <w:r>
        <w:rPr>
          <w:rFonts w:hint="eastAsia"/>
          <w:snapToGrid w:val="0"/>
          <w:highlight w:val="none"/>
        </w:rPr>
        <w:t>kg专用润滑脂。</w:t>
      </w:r>
    </w:p>
    <w:p w14:paraId="45406E2E">
      <w:pPr>
        <w:ind w:firstLine="420"/>
        <w:rPr>
          <w:snapToGrid w:val="0"/>
          <w:highlight w:val="none"/>
        </w:rPr>
      </w:pPr>
      <w:r>
        <w:rPr>
          <w:rFonts w:hint="eastAsia"/>
          <w:snapToGrid w:val="0"/>
          <w:highlight w:val="none"/>
          <w:lang w:val="en-US" w:eastAsia="zh-CN"/>
        </w:rPr>
        <w:t>4</w:t>
      </w:r>
      <w:r>
        <w:rPr>
          <w:rFonts w:hint="eastAsia"/>
          <w:snapToGrid w:val="0"/>
          <w:highlight w:val="none"/>
        </w:rPr>
        <w:t>）</w:t>
      </w:r>
      <w:r>
        <w:rPr>
          <w:rFonts w:hint="eastAsia"/>
          <w:snapToGrid w:val="0"/>
          <w:highlight w:val="none"/>
          <w:lang w:eastAsia="zh-CN"/>
        </w:rPr>
        <w:t>轨道润滑装置</w:t>
      </w:r>
      <w:r>
        <w:rPr>
          <w:rFonts w:hint="eastAsia"/>
          <w:snapToGrid w:val="0"/>
          <w:highlight w:val="none"/>
        </w:rPr>
        <w:t>产品应在保证使用安全，润滑效果显著的前提下做到性能稳定，质量可靠，使用方便，维护简单，尽可能的降低使用单位的使用维护成本。</w:t>
      </w:r>
    </w:p>
    <w:p w14:paraId="5259037A">
      <w:pPr>
        <w:ind w:firstLine="420"/>
        <w:rPr>
          <w:snapToGrid w:val="0"/>
          <w:highlight w:val="none"/>
        </w:rPr>
      </w:pPr>
      <w:r>
        <w:rPr>
          <w:rFonts w:hint="eastAsia"/>
          <w:snapToGrid w:val="0"/>
          <w:highlight w:val="none"/>
          <w:lang w:val="en-US" w:eastAsia="zh-CN"/>
        </w:rPr>
        <w:t>5</w:t>
      </w:r>
      <w:r>
        <w:rPr>
          <w:rFonts w:hint="eastAsia"/>
          <w:snapToGrid w:val="0"/>
          <w:highlight w:val="none"/>
        </w:rPr>
        <w:t>）产品使用期间，应按使用者要求进行售后服务，该要求在订货时确定。</w:t>
      </w:r>
    </w:p>
    <w:p w14:paraId="410BE41C">
      <w:pPr>
        <w:ind w:firstLine="420"/>
        <w:rPr>
          <w:snapToGrid w:val="0"/>
          <w:highlight w:val="none"/>
        </w:rPr>
      </w:pPr>
      <w:r>
        <w:rPr>
          <w:rFonts w:hint="eastAsia"/>
          <w:snapToGrid w:val="0"/>
          <w:highlight w:val="none"/>
          <w:lang w:val="en-US" w:eastAsia="zh-CN"/>
        </w:rPr>
        <w:t>6</w:t>
      </w:r>
      <w:r>
        <w:rPr>
          <w:rFonts w:hint="eastAsia"/>
          <w:snapToGrid w:val="0"/>
          <w:highlight w:val="none"/>
        </w:rPr>
        <w:t>）培训运营单位相关使用维护人员。</w:t>
      </w:r>
    </w:p>
    <w:p w14:paraId="19368F76">
      <w:pPr>
        <w:ind w:firstLine="420"/>
        <w:rPr>
          <w:snapToGrid w:val="0"/>
          <w:highlight w:val="none"/>
        </w:rPr>
      </w:pPr>
      <w:r>
        <w:rPr>
          <w:rFonts w:hint="eastAsia"/>
          <w:snapToGrid w:val="0"/>
          <w:highlight w:val="none"/>
          <w:lang w:val="en-US" w:eastAsia="zh-CN"/>
        </w:rPr>
        <w:t>7</w:t>
      </w:r>
      <w:r>
        <w:rPr>
          <w:rFonts w:hint="eastAsia"/>
          <w:snapToGrid w:val="0"/>
          <w:highlight w:val="none"/>
        </w:rPr>
        <w:t>）涂油器2年质保期，质保期内若出现设计，制造，安装等原因产生的质量问题，免费维修或更换零部件；超出质保期有保修承诺和措施。</w:t>
      </w:r>
    </w:p>
    <w:p w14:paraId="64435814">
      <w:pPr>
        <w:ind w:firstLine="420"/>
        <w:rPr>
          <w:snapToGrid w:val="0"/>
          <w:highlight w:val="none"/>
        </w:rPr>
      </w:pPr>
      <w:r>
        <w:rPr>
          <w:rFonts w:hint="eastAsia"/>
          <w:snapToGrid w:val="0"/>
          <w:highlight w:val="none"/>
          <w:lang w:val="en-US" w:eastAsia="zh-CN"/>
        </w:rPr>
        <w:t>8</w:t>
      </w:r>
      <w:r>
        <w:rPr>
          <w:rFonts w:hint="eastAsia"/>
          <w:snapToGrid w:val="0"/>
          <w:highlight w:val="none"/>
        </w:rPr>
        <w:t>）设备供应商必须有售后服务的技术咨询热线，售后服务的团队，必须承诺设备不会因停产导致零部件停止供应，必须具备提供全寿命期内售后维修服务的能力。</w:t>
      </w:r>
    </w:p>
    <w:p w14:paraId="504218F4">
      <w:pPr>
        <w:ind w:firstLine="420"/>
        <w:rPr>
          <w:snapToGrid w:val="0"/>
          <w:highlight w:val="none"/>
        </w:rPr>
      </w:pPr>
      <w:r>
        <w:rPr>
          <w:rFonts w:hint="eastAsia"/>
          <w:snapToGrid w:val="0"/>
          <w:highlight w:val="none"/>
          <w:lang w:val="en-US" w:eastAsia="zh-CN"/>
        </w:rPr>
        <w:t>9</w:t>
      </w:r>
      <w:r>
        <w:rPr>
          <w:rFonts w:hint="eastAsia"/>
          <w:snapToGrid w:val="0"/>
          <w:highlight w:val="none"/>
        </w:rPr>
        <w:t>）</w:t>
      </w:r>
      <w:r>
        <w:rPr>
          <w:rFonts w:hint="eastAsia"/>
          <w:snapToGrid w:val="0"/>
          <w:highlight w:val="none"/>
          <w:lang w:eastAsia="zh-CN"/>
        </w:rPr>
        <w:t>轨道润滑装置</w:t>
      </w:r>
      <w:r>
        <w:rPr>
          <w:rFonts w:hint="eastAsia"/>
          <w:snapToGrid w:val="0"/>
          <w:highlight w:val="none"/>
        </w:rPr>
        <w:t>内部电缆线具备良好的阻燃、耐火及防潮性能，所设电箱安全接地。</w:t>
      </w:r>
    </w:p>
    <w:p w14:paraId="3831FB4C">
      <w:pPr>
        <w:numPr>
          <w:ilvl w:val="0"/>
          <w:numId w:val="0"/>
        </w:numPr>
        <w:spacing w:before="156" w:beforeLines="50" w:line="360" w:lineRule="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 xml:space="preserve">10、包装，标志和储藏 </w:t>
      </w:r>
    </w:p>
    <w:p w14:paraId="3A068706">
      <w:pPr>
        <w:ind w:firstLine="420"/>
        <w:rPr>
          <w:snapToGrid w:val="0"/>
          <w:highlight w:val="none"/>
        </w:rPr>
      </w:pPr>
      <w:r>
        <w:rPr>
          <w:rFonts w:hint="eastAsia"/>
          <w:snapToGrid w:val="0"/>
          <w:highlight w:val="none"/>
        </w:rPr>
        <w:t>1）产品经出厂试验合格后按厂家标准包装，若无厂家包装标准，则按国家标</w:t>
      </w:r>
      <w:r>
        <w:rPr>
          <w:snapToGrid w:val="0"/>
          <w:highlight w:val="none"/>
        </w:rPr>
        <w:t xml:space="preserve">GB/T13384 </w:t>
      </w:r>
      <w:r>
        <w:rPr>
          <w:rFonts w:hint="eastAsia"/>
          <w:snapToGrid w:val="0"/>
          <w:highlight w:val="none"/>
        </w:rPr>
        <w:t>的规定进行包装。</w:t>
      </w:r>
    </w:p>
    <w:p w14:paraId="6A98CB14">
      <w:pPr>
        <w:ind w:firstLine="420"/>
        <w:rPr>
          <w:snapToGrid w:val="0"/>
          <w:highlight w:val="none"/>
        </w:rPr>
      </w:pPr>
      <w:r>
        <w:rPr>
          <w:rFonts w:hint="eastAsia"/>
          <w:snapToGrid w:val="0"/>
          <w:highlight w:val="none"/>
        </w:rPr>
        <w:t>2）每台产品必须附有产品《合格证》、《产品维护说明书》各一份。</w:t>
      </w:r>
    </w:p>
    <w:p w14:paraId="10CBF03B">
      <w:pPr>
        <w:ind w:firstLine="420"/>
        <w:rPr>
          <w:snapToGrid w:val="0"/>
          <w:highlight w:val="none"/>
        </w:rPr>
      </w:pPr>
      <w:r>
        <w:rPr>
          <w:rFonts w:hint="eastAsia"/>
          <w:snapToGrid w:val="0"/>
          <w:highlight w:val="none"/>
        </w:rPr>
        <w:t>3）产品要适合于公路、铁路运输及装载的要求。</w:t>
      </w:r>
    </w:p>
    <w:p w14:paraId="16F0D771">
      <w:pPr>
        <w:ind w:firstLine="420"/>
        <w:rPr>
          <w:snapToGrid w:val="0"/>
          <w:highlight w:val="none"/>
        </w:rPr>
      </w:pPr>
      <w:r>
        <w:rPr>
          <w:rFonts w:hint="eastAsia"/>
          <w:snapToGrid w:val="0"/>
          <w:highlight w:val="none"/>
        </w:rPr>
        <w:t>4）不组装运输的产品必要时各部件应有便于组装的标志。</w:t>
      </w:r>
    </w:p>
    <w:p w14:paraId="3C583DDF">
      <w:pPr>
        <w:ind w:firstLine="420"/>
        <w:rPr>
          <w:snapToGrid w:val="0"/>
          <w:highlight w:val="none"/>
        </w:rPr>
      </w:pPr>
      <w:r>
        <w:rPr>
          <w:rFonts w:hint="eastAsia"/>
          <w:snapToGrid w:val="0"/>
          <w:highlight w:val="none"/>
        </w:rPr>
        <w:t>5）可动部分和触头应固定。</w:t>
      </w:r>
    </w:p>
    <w:p w14:paraId="470084AD">
      <w:pPr>
        <w:ind w:firstLine="420"/>
        <w:rPr>
          <w:snapToGrid w:val="0"/>
          <w:highlight w:val="none"/>
        </w:rPr>
      </w:pPr>
      <w:r>
        <w:rPr>
          <w:rFonts w:hint="eastAsia"/>
          <w:snapToGrid w:val="0"/>
          <w:highlight w:val="none"/>
        </w:rPr>
        <w:t>6）装箱后，箱子外壁应有下列文字及标记：</w:t>
      </w:r>
    </w:p>
    <w:p w14:paraId="64A71B64">
      <w:pPr>
        <w:ind w:firstLine="840" w:firstLineChars="400"/>
        <w:rPr>
          <w:snapToGrid w:val="0"/>
          <w:highlight w:val="none"/>
        </w:rPr>
      </w:pPr>
      <w:r>
        <w:rPr>
          <w:rFonts w:hint="eastAsia"/>
          <w:snapToGrid w:val="0"/>
          <w:highlight w:val="none"/>
        </w:rPr>
        <w:t>a）制造厂厂名、产品型号及名称。</w:t>
      </w:r>
    </w:p>
    <w:p w14:paraId="548EE393">
      <w:pPr>
        <w:ind w:firstLine="840" w:firstLineChars="400"/>
        <w:rPr>
          <w:snapToGrid w:val="0"/>
          <w:highlight w:val="none"/>
        </w:rPr>
      </w:pPr>
      <w:r>
        <w:rPr>
          <w:rFonts w:hint="eastAsia"/>
          <w:snapToGrid w:val="0"/>
          <w:highlight w:val="none"/>
        </w:rPr>
        <w:t>b）收货单位名称和地址。</w:t>
      </w:r>
    </w:p>
    <w:p w14:paraId="083BD76B">
      <w:pPr>
        <w:ind w:firstLine="420"/>
        <w:rPr>
          <w:snapToGrid w:val="0"/>
          <w:highlight w:val="none"/>
        </w:rPr>
      </w:pPr>
      <w:r>
        <w:rPr>
          <w:rFonts w:hint="eastAsia"/>
          <w:snapToGrid w:val="0"/>
          <w:highlight w:val="none"/>
        </w:rPr>
        <w:t>7）产品的安装、使用和维护方面有产品《产品维护说明书》规定。</w:t>
      </w:r>
    </w:p>
    <w:p w14:paraId="70DB4B86">
      <w:pPr>
        <w:ind w:firstLine="420"/>
        <w:rPr>
          <w:snapToGrid w:val="0"/>
          <w:highlight w:val="none"/>
        </w:rPr>
      </w:pPr>
      <w:r>
        <w:rPr>
          <w:rFonts w:hint="eastAsia"/>
          <w:snapToGrid w:val="0"/>
          <w:highlight w:val="none"/>
        </w:rPr>
        <w:t>8）专用润滑脂需采用客户接受的包装，以免货物损坏和污染。</w:t>
      </w:r>
    </w:p>
    <w:p w14:paraId="2FFC7B72">
      <w:pPr>
        <w:ind w:firstLine="420"/>
        <w:rPr>
          <w:snapToGrid w:val="0"/>
          <w:highlight w:val="none"/>
        </w:rPr>
      </w:pPr>
      <w:r>
        <w:rPr>
          <w:rFonts w:hint="eastAsia"/>
          <w:snapToGrid w:val="0"/>
          <w:highlight w:val="none"/>
        </w:rPr>
        <w:t>9）专用润滑脂标牌需符合相关规定，并至少包含以下内容：</w:t>
      </w:r>
    </w:p>
    <w:p w14:paraId="2E605447">
      <w:pPr>
        <w:ind w:firstLine="840" w:firstLineChars="400"/>
        <w:rPr>
          <w:snapToGrid w:val="0"/>
          <w:highlight w:val="none"/>
        </w:rPr>
      </w:pPr>
      <w:r>
        <w:rPr>
          <w:rFonts w:hint="eastAsia"/>
          <w:snapToGrid w:val="0"/>
          <w:highlight w:val="none"/>
        </w:rPr>
        <w:t>a）供货厂家名称等信息。</w:t>
      </w:r>
    </w:p>
    <w:p w14:paraId="47321BEC">
      <w:pPr>
        <w:ind w:firstLine="840" w:firstLineChars="400"/>
        <w:rPr>
          <w:rFonts w:hint="eastAsia"/>
          <w:snapToGrid w:val="0"/>
          <w:highlight w:val="none"/>
        </w:rPr>
      </w:pPr>
      <w:r>
        <w:rPr>
          <w:rFonts w:hint="eastAsia"/>
          <w:snapToGrid w:val="0"/>
          <w:highlight w:val="none"/>
        </w:rPr>
        <w:t>b）产品规格参数等信息。</w:t>
      </w:r>
    </w:p>
    <w:p w14:paraId="0A706A05">
      <w:pPr>
        <w:numPr>
          <w:ilvl w:val="0"/>
          <w:numId w:val="0"/>
        </w:numPr>
        <w:spacing w:before="156" w:beforeLines="50" w:line="360" w:lineRule="auto"/>
        <w:rPr>
          <w:rFonts w:hint="default" w:ascii="宋体" w:hAnsi="宋体" w:eastAsia="宋体" w:cs="宋体"/>
          <w:b/>
          <w:sz w:val="24"/>
          <w:highlight w:val="none"/>
          <w:lang w:val="en-US" w:eastAsia="zh-CN"/>
        </w:rPr>
      </w:pPr>
      <w:r>
        <w:rPr>
          <w:rFonts w:hint="eastAsia" w:ascii="宋体" w:hAnsi="宋体" w:eastAsia="宋体" w:cs="宋体"/>
          <w:b/>
          <w:sz w:val="24"/>
          <w:highlight w:val="none"/>
          <w:lang w:val="en-US" w:eastAsia="zh-CN"/>
        </w:rPr>
        <w:t>11、工期</w:t>
      </w:r>
    </w:p>
    <w:p w14:paraId="1E644010">
      <w:pPr>
        <w:ind w:firstLine="420"/>
        <w:rPr>
          <w:rFonts w:hint="eastAsia"/>
          <w:snapToGrid w:val="0"/>
          <w:highlight w:val="none"/>
          <w:lang w:val="en-US" w:eastAsia="zh-CN"/>
        </w:rPr>
      </w:pPr>
      <w:r>
        <w:rPr>
          <w:rFonts w:hint="eastAsia"/>
          <w:snapToGrid w:val="0"/>
          <w:highlight w:val="none"/>
          <w:lang w:val="en-US" w:eastAsia="zh-CN"/>
        </w:rPr>
        <w:t>自签订合同之日起30天内完成供货安装，实际进场时间以招标人通知并完成进场开工报审手续为准。</w:t>
      </w:r>
    </w:p>
    <w:p w14:paraId="405FB3F4">
      <w:pPr>
        <w:ind w:firstLine="420"/>
        <w:jc w:val="both"/>
        <w:rPr>
          <w:rFonts w:hint="eastAsia"/>
          <w:highlight w:val="none"/>
          <w:lang w:val="en-US" w:eastAsia="zh-CN"/>
        </w:rPr>
      </w:pPr>
    </w:p>
    <w:p w14:paraId="46A57349">
      <w:pPr>
        <w:rPr>
          <w:rFonts w:hint="eastAsia" w:ascii="宋体"/>
          <w:b/>
          <w:color w:val="auto"/>
          <w:sz w:val="30"/>
          <w:szCs w:val="30"/>
          <w:highlight w:val="none"/>
          <w:lang w:val="en-US" w:eastAsia="zh-CN"/>
        </w:rPr>
      </w:pPr>
      <w:r>
        <w:rPr>
          <w:rFonts w:hint="eastAsia" w:ascii="宋体"/>
          <w:b/>
          <w:color w:val="auto"/>
          <w:sz w:val="30"/>
          <w:szCs w:val="30"/>
          <w:highlight w:val="none"/>
          <w:lang w:val="en-US" w:eastAsia="zh-CN"/>
        </w:rPr>
        <w:br w:type="page"/>
      </w:r>
    </w:p>
    <w:p w14:paraId="09506BEB">
      <w:pPr>
        <w:numPr>
          <w:ilvl w:val="0"/>
          <w:numId w:val="0"/>
        </w:numPr>
        <w:spacing w:line="400" w:lineRule="exact"/>
        <w:jc w:val="center"/>
        <w:outlineLvl w:val="0"/>
        <w:rPr>
          <w:rFonts w:hint="eastAsia" w:ascii="宋体"/>
          <w:b/>
          <w:color w:val="auto"/>
          <w:sz w:val="30"/>
          <w:szCs w:val="30"/>
          <w:highlight w:val="none"/>
        </w:rPr>
      </w:pPr>
      <w:r>
        <w:rPr>
          <w:rFonts w:hint="eastAsia" w:ascii="宋体"/>
          <w:b/>
          <w:color w:val="auto"/>
          <w:sz w:val="30"/>
          <w:szCs w:val="30"/>
          <w:highlight w:val="none"/>
          <w:lang w:val="en-US" w:eastAsia="zh-CN"/>
        </w:rPr>
        <w:t xml:space="preserve">第六章 </w:t>
      </w:r>
      <w:r>
        <w:rPr>
          <w:rFonts w:hint="eastAsia" w:ascii="宋体"/>
          <w:b/>
          <w:color w:val="auto"/>
          <w:sz w:val="30"/>
          <w:szCs w:val="30"/>
          <w:highlight w:val="none"/>
        </w:rPr>
        <w:t>合同条款及格式</w:t>
      </w:r>
    </w:p>
    <w:p w14:paraId="203D244D">
      <w:pPr>
        <w:pageBreakBefore w:val="0"/>
        <w:widowControl/>
        <w:numPr>
          <w:ilvl w:val="0"/>
          <w:numId w:val="5"/>
        </w:numPr>
        <w:kinsoku/>
        <w:wordWrap/>
        <w:overflowPunct/>
        <w:topLinePunct w:val="0"/>
        <w:autoSpaceDE/>
        <w:autoSpaceDN/>
        <w:bidi w:val="0"/>
        <w:adjustRightInd/>
        <w:spacing w:before="156" w:beforeLines="50" w:after="156" w:afterLines="50" w:line="360" w:lineRule="exact"/>
        <w:ind w:left="0" w:firstLine="0"/>
        <w:jc w:val="center"/>
        <w:textAlignment w:val="baseline"/>
        <w:outlineLvl w:val="1"/>
        <w:rPr>
          <w:rFonts w:hint="eastAsia" w:ascii="宋体" w:hAnsi="宋体" w:cs="宋体"/>
          <w:b/>
          <w:color w:val="auto"/>
          <w:sz w:val="30"/>
          <w:szCs w:val="30"/>
          <w:highlight w:val="none"/>
        </w:rPr>
      </w:pPr>
      <w:r>
        <w:rPr>
          <w:rFonts w:hint="eastAsia" w:ascii="宋体" w:hAnsi="宋体" w:cs="宋体"/>
          <w:b/>
          <w:color w:val="auto"/>
          <w:sz w:val="28"/>
          <w:szCs w:val="28"/>
          <w:highlight w:val="none"/>
        </w:rPr>
        <w:t xml:space="preserve">  </w:t>
      </w:r>
      <w:bookmarkStart w:id="74" w:name="_Toc14837"/>
      <w:r>
        <w:rPr>
          <w:rFonts w:hint="eastAsia" w:ascii="宋体" w:hAnsi="宋体" w:cs="宋体"/>
          <w:b/>
          <w:color w:val="auto"/>
          <w:sz w:val="28"/>
          <w:szCs w:val="28"/>
          <w:highlight w:val="none"/>
        </w:rPr>
        <w:t>合同协议书（格式</w:t>
      </w:r>
      <w:r>
        <w:rPr>
          <w:rFonts w:hint="eastAsia" w:ascii="宋体" w:hAnsi="宋体" w:cs="宋体"/>
          <w:b/>
          <w:color w:val="auto"/>
          <w:sz w:val="28"/>
          <w:szCs w:val="28"/>
          <w:highlight w:val="none"/>
          <w:lang w:val="en-US" w:eastAsia="zh-CN"/>
        </w:rPr>
        <w:t>仅供参考</w:t>
      </w:r>
      <w:r>
        <w:rPr>
          <w:rFonts w:hint="eastAsia" w:ascii="宋体" w:hAnsi="宋体" w:cs="宋体"/>
          <w:b/>
          <w:color w:val="auto"/>
          <w:sz w:val="28"/>
          <w:szCs w:val="28"/>
          <w:highlight w:val="none"/>
        </w:rPr>
        <w:t>）</w:t>
      </w:r>
      <w:bookmarkEnd w:id="74"/>
    </w:p>
    <w:p w14:paraId="37EACBC2">
      <w:pPr>
        <w:pageBreakBefore w:val="0"/>
        <w:kinsoku/>
        <w:wordWrap/>
        <w:overflowPunct/>
        <w:topLinePunct w:val="0"/>
        <w:autoSpaceDE/>
        <w:autoSpaceDN/>
        <w:bidi w:val="0"/>
        <w:adjustRightInd/>
        <w:spacing w:line="360" w:lineRule="exact"/>
        <w:ind w:firstLine="2932" w:firstLineChars="1043"/>
        <w:rPr>
          <w:rFonts w:hint="eastAsia" w:ascii="宋体" w:hAnsi="宋体" w:cs="宋体"/>
          <w:color w:val="auto"/>
          <w:sz w:val="24"/>
          <w:highlight w:val="none"/>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编号</w:t>
      </w:r>
    </w:p>
    <w:p w14:paraId="258A782A">
      <w:pPr>
        <w:pageBreakBefore w:val="0"/>
        <w:kinsoku/>
        <w:wordWrap/>
        <w:overflowPunct/>
        <w:topLinePunct w:val="0"/>
        <w:autoSpaceDE/>
        <w:autoSpaceDN/>
        <w:bidi w:val="0"/>
        <w:adjustRightInd/>
        <w:spacing w:line="360" w:lineRule="exact"/>
        <w:ind w:firstLine="420" w:firstLineChars="200"/>
        <w:rPr>
          <w:rFonts w:hint="eastAsia" w:ascii="宋体" w:hAnsi="宋体" w:cs="宋体"/>
          <w:color w:val="auto"/>
          <w:szCs w:val="21"/>
          <w:highlight w:val="none"/>
        </w:rPr>
      </w:pPr>
      <w:bookmarkStart w:id="75" w:name="_Toc179632628"/>
      <w:bookmarkStart w:id="76" w:name="_Toc144974578"/>
      <w:bookmarkStart w:id="77" w:name="_Toc152045610"/>
      <w:bookmarkStart w:id="78" w:name="_Toc246996253"/>
      <w:bookmarkStart w:id="79" w:name="_Toc247085768"/>
      <w:bookmarkStart w:id="80" w:name="_Toc246996996"/>
      <w:bookmarkStart w:id="81" w:name="_Toc296602498"/>
      <w:bookmarkStart w:id="82" w:name="_Toc152042388"/>
      <w:bookmarkStart w:id="83" w:name="_Toc469495742"/>
      <w:r>
        <w:rPr>
          <w:rFonts w:hint="eastAsia" w:ascii="宋体" w:hAnsi="宋体" w:cs="宋体"/>
          <w:color w:val="auto"/>
          <w:szCs w:val="21"/>
          <w:highlight w:val="none"/>
        </w:rPr>
        <w:t>买    方：                                   卖    方：</w:t>
      </w:r>
    </w:p>
    <w:p w14:paraId="17D99DC6">
      <w:pPr>
        <w:pageBreakBefore w:val="0"/>
        <w:kinsoku/>
        <w:wordWrap/>
        <w:overflowPunct/>
        <w:topLinePunct w:val="0"/>
        <w:autoSpaceDE/>
        <w:autoSpaceDN/>
        <w:bidi w:val="0"/>
        <w:adjustRightInd/>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                                   电    话：</w:t>
      </w:r>
    </w:p>
    <w:p w14:paraId="5FE94EB9">
      <w:pPr>
        <w:pageBreakBefore w:val="0"/>
        <w:kinsoku/>
        <w:wordWrap/>
        <w:overflowPunct/>
        <w:topLinePunct w:val="0"/>
        <w:autoSpaceDE/>
        <w:autoSpaceDN/>
        <w:bidi w:val="0"/>
        <w:adjustRightInd/>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住    所：                                   住    所：                       </w:t>
      </w:r>
    </w:p>
    <w:p w14:paraId="3C67D217">
      <w:pPr>
        <w:pageBreakBefore w:val="0"/>
        <w:kinsoku/>
        <w:wordWrap/>
        <w:overflowPunct/>
        <w:topLinePunct w:val="0"/>
        <w:autoSpaceDE/>
        <w:autoSpaceDN/>
        <w:bidi w:val="0"/>
        <w:adjustRightInd/>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（产品名称）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为中标人。按照《中华人民共和国民法典》的规定，买卖双方同意按照下述的条款和条件，签署本合同。</w:t>
      </w:r>
    </w:p>
    <w:p w14:paraId="799E7F69">
      <w:pPr>
        <w:pageBreakBefore w:val="0"/>
        <w:kinsoku/>
        <w:wordWrap/>
        <w:overflowPunct/>
        <w:topLinePunct w:val="0"/>
        <w:autoSpaceDE/>
        <w:autoSpaceDN/>
        <w:bidi w:val="0"/>
        <w:adjustRightInd/>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1、本合同文件</w:t>
      </w:r>
    </w:p>
    <w:p w14:paraId="1C913DDC">
      <w:pPr>
        <w:pageBreakBefore w:val="0"/>
        <w:kinsoku/>
        <w:wordWrap/>
        <w:overflowPunct/>
        <w:topLinePunct w:val="0"/>
        <w:autoSpaceDE/>
        <w:autoSpaceDN/>
        <w:bidi w:val="0"/>
        <w:adjustRightInd/>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14:paraId="34ED9058">
      <w:pPr>
        <w:pageBreakBefore w:val="0"/>
        <w:numPr>
          <w:ilvl w:val="0"/>
          <w:numId w:val="6"/>
        </w:numPr>
        <w:kinsoku/>
        <w:wordWrap/>
        <w:overflowPunct/>
        <w:topLinePunct w:val="0"/>
        <w:autoSpaceDE/>
        <w:autoSpaceDN/>
        <w:bidi w:val="0"/>
        <w:adjustRightInd/>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招标文件；</w:t>
      </w:r>
    </w:p>
    <w:p w14:paraId="3DBC4E7C">
      <w:pPr>
        <w:pageBreakBefore w:val="0"/>
        <w:numPr>
          <w:ilvl w:val="0"/>
          <w:numId w:val="6"/>
        </w:numPr>
        <w:kinsoku/>
        <w:wordWrap/>
        <w:overflowPunct/>
        <w:topLinePunct w:val="0"/>
        <w:autoSpaceDE/>
        <w:autoSpaceDN/>
        <w:bidi w:val="0"/>
        <w:adjustRightInd/>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投标文件；</w:t>
      </w:r>
    </w:p>
    <w:p w14:paraId="5315E82B">
      <w:pPr>
        <w:pageBreakBefore w:val="0"/>
        <w:numPr>
          <w:ilvl w:val="0"/>
          <w:numId w:val="6"/>
        </w:numPr>
        <w:kinsoku/>
        <w:wordWrap/>
        <w:overflowPunct/>
        <w:topLinePunct w:val="0"/>
        <w:autoSpaceDE/>
        <w:autoSpaceDN/>
        <w:bidi w:val="0"/>
        <w:adjustRightInd/>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中标通知书；</w:t>
      </w:r>
    </w:p>
    <w:p w14:paraId="4F92F75D">
      <w:pPr>
        <w:pageBreakBefore w:val="0"/>
        <w:kinsoku/>
        <w:wordWrap/>
        <w:overflowPunct/>
        <w:topLinePunct w:val="0"/>
        <w:autoSpaceDE/>
        <w:autoSpaceDN/>
        <w:bidi w:val="0"/>
        <w:adjustRightInd/>
        <w:spacing w:line="360" w:lineRule="exact"/>
        <w:ind w:left="210" w:leftChars="100"/>
        <w:rPr>
          <w:rFonts w:hint="eastAsia" w:ascii="宋体" w:hAnsi="宋体" w:cs="宋体"/>
          <w:color w:val="auto"/>
          <w:szCs w:val="21"/>
          <w:highlight w:val="none"/>
        </w:rPr>
      </w:pPr>
      <w:r>
        <w:rPr>
          <w:rFonts w:hint="eastAsia" w:ascii="宋体" w:hAnsi="宋体" w:cs="宋体"/>
          <w:color w:val="auto"/>
          <w:szCs w:val="21"/>
          <w:highlight w:val="none"/>
        </w:rPr>
        <w:t>（4）经双方确认进入合同的其它文件、补充条款或说明。</w:t>
      </w:r>
    </w:p>
    <w:p w14:paraId="515B3287">
      <w:pPr>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2、采购标的、数量、质量要求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分项报价清单详见附件。</w:t>
      </w:r>
    </w:p>
    <w:p w14:paraId="7FE7365C">
      <w:pPr>
        <w:pageBreakBefore w:val="0"/>
        <w:kinsoku/>
        <w:wordWrap/>
        <w:overflowPunct/>
        <w:topLinePunct w:val="0"/>
        <w:autoSpaceDE/>
        <w:autoSpaceDN/>
        <w:bidi w:val="0"/>
        <w:adjustRightInd/>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3、合同总价</w:t>
      </w:r>
    </w:p>
    <w:p w14:paraId="73F3364E">
      <w:pPr>
        <w:pageBreakBefore w:val="0"/>
        <w:kinsoku/>
        <w:wordWrap/>
        <w:overflowPunct/>
        <w:topLinePunct w:val="0"/>
        <w:autoSpaceDE/>
        <w:autoSpaceDN/>
        <w:bidi w:val="0"/>
        <w:adjustRightInd/>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p>
    <w:p w14:paraId="7175A080">
      <w:pPr>
        <w:pageBreakBefore w:val="0"/>
        <w:numPr>
          <w:ilvl w:val="0"/>
          <w:numId w:val="7"/>
        </w:numPr>
        <w:kinsoku/>
        <w:wordWrap/>
        <w:overflowPunct/>
        <w:topLinePunct w:val="0"/>
        <w:autoSpaceDE/>
        <w:autoSpaceDN/>
        <w:bidi w:val="0"/>
        <w:adjustRightInd/>
        <w:snapToGrid w:val="0"/>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付款方式：</w:t>
      </w:r>
    </w:p>
    <w:p w14:paraId="29627CB7">
      <w:pPr>
        <w:pageBreakBefore w:val="0"/>
        <w:widowControl w:val="0"/>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、合同</w:t>
      </w:r>
      <w:r>
        <w:rPr>
          <w:rFonts w:hint="eastAsia" w:ascii="宋体" w:hAnsi="宋体" w:eastAsia="宋体" w:cs="宋体"/>
          <w:b/>
          <w:bCs/>
          <w:color w:val="auto"/>
          <w:szCs w:val="21"/>
          <w:highlight w:val="none"/>
          <w:lang w:val="en-US" w:eastAsia="zh-CN"/>
        </w:rPr>
        <w:t>工</w:t>
      </w:r>
      <w:r>
        <w:rPr>
          <w:rFonts w:hint="eastAsia" w:ascii="宋体" w:hAnsi="宋体" w:eastAsia="宋体" w:cs="宋体"/>
          <w:b/>
          <w:bCs/>
          <w:color w:val="auto"/>
          <w:szCs w:val="21"/>
          <w:highlight w:val="none"/>
        </w:rPr>
        <w:t>期：</w:t>
      </w:r>
    </w:p>
    <w:p w14:paraId="725C5385">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交货</w:t>
      </w:r>
      <w:r>
        <w:rPr>
          <w:rFonts w:hint="eastAsia" w:ascii="宋体" w:hAnsi="宋体" w:cs="宋体"/>
          <w:color w:val="auto"/>
          <w:szCs w:val="21"/>
          <w:highlight w:val="none"/>
        </w:rPr>
        <w:t>地点：</w:t>
      </w:r>
      <w:r>
        <w:rPr>
          <w:rFonts w:hint="eastAsia" w:ascii="宋体" w:hAnsi="宋体" w:eastAsia="宋体" w:cs="宋体"/>
          <w:color w:val="000000"/>
          <w:szCs w:val="21"/>
          <w:highlight w:val="none"/>
          <w:lang w:val="en-US" w:eastAsia="zh-CN"/>
        </w:rPr>
        <w:t>招标人指定地点。</w:t>
      </w:r>
    </w:p>
    <w:p w14:paraId="3A664B96">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检验、测试和验收</w:t>
      </w:r>
      <w:r>
        <w:rPr>
          <w:rFonts w:hint="eastAsia" w:ascii="宋体" w:hAnsi="宋体" w:eastAsia="宋体" w:cs="宋体"/>
          <w:color w:val="auto"/>
          <w:szCs w:val="21"/>
          <w:highlight w:val="none"/>
        </w:rPr>
        <w:t>及违约责任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按《合同条款》要求执行。</w:t>
      </w:r>
    </w:p>
    <w:p w14:paraId="0CEF4E97">
      <w:pPr>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cs="宋体"/>
          <w:color w:val="auto"/>
          <w:szCs w:val="21"/>
          <w:highlight w:val="none"/>
        </w:rPr>
        <w:t>违约责任及解决争议方法</w:t>
      </w:r>
      <w:r>
        <w:rPr>
          <w:rFonts w:hint="eastAsia" w:ascii="宋体" w:cs="宋体"/>
          <w:color w:val="auto"/>
          <w:szCs w:val="21"/>
          <w:highlight w:val="none"/>
          <w:lang w:eastAsia="zh-CN"/>
        </w:rPr>
        <w:t>：</w:t>
      </w:r>
      <w:r>
        <w:rPr>
          <w:rFonts w:hint="eastAsia" w:ascii="宋体" w:hAnsi="宋体" w:eastAsia="宋体" w:cs="宋体"/>
          <w:color w:val="auto"/>
          <w:szCs w:val="21"/>
          <w:highlight w:val="none"/>
          <w:lang w:val="en-US" w:eastAsia="zh-CN"/>
        </w:rPr>
        <w:t>按《合同条款》要求执行。</w:t>
      </w:r>
    </w:p>
    <w:p w14:paraId="653ADFB5">
      <w:pPr>
        <w:pageBreakBefore w:val="0"/>
        <w:kinsoku/>
        <w:wordWrap/>
        <w:overflowPunct/>
        <w:topLinePunct w:val="0"/>
        <w:autoSpaceDE/>
        <w:autoSpaceDN/>
        <w:bidi w:val="0"/>
        <w:adjustRightInd/>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、合同的生效</w:t>
      </w:r>
    </w:p>
    <w:p w14:paraId="68A3318B">
      <w:pPr>
        <w:pStyle w:val="8"/>
        <w:pageBreakBefore w:val="0"/>
        <w:kinsoku/>
        <w:wordWrap/>
        <w:overflowPunct/>
        <w:topLinePunct w:val="0"/>
        <w:autoSpaceDE/>
        <w:autoSpaceDN/>
        <w:bidi w:val="0"/>
        <w:adjustRightInd/>
        <w:spacing w:after="0" w:line="36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合同经双方授权代表签署，买卖双方加盖印章之后生效。</w:t>
      </w:r>
    </w:p>
    <w:p w14:paraId="5B4D2076">
      <w:pPr>
        <w:pStyle w:val="8"/>
        <w:pageBreakBefore w:val="0"/>
        <w:kinsoku/>
        <w:wordWrap/>
        <w:overflowPunct/>
        <w:topLinePunct w:val="0"/>
        <w:autoSpaceDE/>
        <w:autoSpaceDN/>
        <w:bidi w:val="0"/>
        <w:adjustRightInd/>
        <w:spacing w:after="0" w:line="36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本合同一式     份，双方各执     份。</w:t>
      </w:r>
    </w:p>
    <w:p w14:paraId="19BCD0B3">
      <w:pPr>
        <w:pStyle w:val="8"/>
        <w:pageBreakBefore w:val="0"/>
        <w:kinsoku/>
        <w:wordWrap/>
        <w:overflowPunct/>
        <w:topLinePunct w:val="0"/>
        <w:autoSpaceDE/>
        <w:autoSpaceDN/>
        <w:bidi w:val="0"/>
        <w:adjustRightInd/>
        <w:spacing w:after="0" w:line="36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 xml:space="preserve">买  方：                          </w:t>
      </w:r>
      <w:r>
        <w:rPr>
          <w:rFonts w:hint="eastAsia" w:ascii="宋体" w:hAnsi="宋体" w:cs="宋体"/>
          <w:color w:val="auto"/>
          <w:kern w:val="0"/>
          <w:szCs w:val="21"/>
          <w:highlight w:val="none"/>
          <w:u w:val="none" w:color="000000"/>
          <w:lang w:val="en-US" w:eastAsia="zh-CN"/>
        </w:rPr>
        <w:t xml:space="preserve"> </w:t>
      </w:r>
      <w:r>
        <w:rPr>
          <w:rFonts w:hint="eastAsia" w:ascii="宋体" w:hAnsi="宋体" w:cs="宋体"/>
          <w:color w:val="auto"/>
          <w:kern w:val="0"/>
          <w:szCs w:val="21"/>
          <w:highlight w:val="none"/>
          <w:u w:val="none" w:color="000000"/>
        </w:rPr>
        <w:t>卖  方：</w:t>
      </w:r>
    </w:p>
    <w:p w14:paraId="728D33DE">
      <w:pPr>
        <w:pStyle w:val="8"/>
        <w:pageBreakBefore w:val="0"/>
        <w:kinsoku/>
        <w:wordWrap/>
        <w:overflowPunct/>
        <w:topLinePunct w:val="0"/>
        <w:autoSpaceDE/>
        <w:autoSpaceDN/>
        <w:bidi w:val="0"/>
        <w:adjustRightInd/>
        <w:spacing w:after="0" w:line="36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名  称：（盖章）                   名  称：（盖章）</w:t>
      </w:r>
    </w:p>
    <w:p w14:paraId="0149848B">
      <w:pPr>
        <w:pStyle w:val="8"/>
        <w:pageBreakBefore w:val="0"/>
        <w:kinsoku/>
        <w:wordWrap/>
        <w:overflowPunct/>
        <w:topLinePunct w:val="0"/>
        <w:autoSpaceDE/>
        <w:autoSpaceDN/>
        <w:bidi w:val="0"/>
        <w:adjustRightInd/>
        <w:spacing w:after="0" w:line="36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法定代表人（或委托代理人）：       法定代表人（或委托代理人）：</w:t>
      </w:r>
    </w:p>
    <w:p w14:paraId="435CE53E">
      <w:pPr>
        <w:pStyle w:val="8"/>
        <w:pageBreakBefore w:val="0"/>
        <w:kinsoku/>
        <w:wordWrap/>
        <w:overflowPunct/>
        <w:topLinePunct w:val="0"/>
        <w:autoSpaceDE/>
        <w:autoSpaceDN/>
        <w:bidi w:val="0"/>
        <w:adjustRightInd/>
        <w:spacing w:after="0" w:line="36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 xml:space="preserve">（签字）                       </w:t>
      </w:r>
      <w:r>
        <w:rPr>
          <w:rFonts w:hint="eastAsia" w:ascii="宋体" w:hAnsi="宋体" w:cs="宋体"/>
          <w:color w:val="auto"/>
          <w:kern w:val="0"/>
          <w:szCs w:val="21"/>
          <w:highlight w:val="none"/>
          <w:u w:val="none" w:color="000000"/>
          <w:lang w:val="en-US" w:eastAsia="zh-CN"/>
        </w:rPr>
        <w:t xml:space="preserve">  </w:t>
      </w:r>
      <w:r>
        <w:rPr>
          <w:rFonts w:hint="eastAsia" w:ascii="宋体" w:hAnsi="宋体" w:cs="宋体"/>
          <w:color w:val="auto"/>
          <w:kern w:val="0"/>
          <w:szCs w:val="21"/>
          <w:highlight w:val="none"/>
          <w:u w:val="none" w:color="000000"/>
        </w:rPr>
        <w:t xml:space="preserve"> （签字）</w:t>
      </w:r>
    </w:p>
    <w:p w14:paraId="6EEA7753">
      <w:pPr>
        <w:pStyle w:val="8"/>
        <w:pageBreakBefore w:val="0"/>
        <w:kinsoku/>
        <w:wordWrap/>
        <w:overflowPunct/>
        <w:topLinePunct w:val="0"/>
        <w:autoSpaceDE/>
        <w:autoSpaceDN/>
        <w:bidi w:val="0"/>
        <w:adjustRightInd/>
        <w:spacing w:after="0" w:line="36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 xml:space="preserve">地    址：                        </w:t>
      </w:r>
      <w:r>
        <w:rPr>
          <w:rFonts w:hint="eastAsia" w:ascii="宋体" w:hAnsi="宋体" w:cs="宋体"/>
          <w:color w:val="auto"/>
          <w:kern w:val="0"/>
          <w:szCs w:val="21"/>
          <w:highlight w:val="none"/>
          <w:u w:val="none" w:color="000000"/>
          <w:lang w:val="en-US" w:eastAsia="zh-CN"/>
        </w:rPr>
        <w:t xml:space="preserve"> </w:t>
      </w:r>
      <w:r>
        <w:rPr>
          <w:rFonts w:hint="eastAsia" w:ascii="宋体" w:hAnsi="宋体" w:cs="宋体"/>
          <w:color w:val="auto"/>
          <w:kern w:val="0"/>
          <w:szCs w:val="21"/>
          <w:highlight w:val="none"/>
          <w:u w:val="none" w:color="000000"/>
        </w:rPr>
        <w:t>地    址：</w:t>
      </w:r>
    </w:p>
    <w:p w14:paraId="1E155D94">
      <w:pPr>
        <w:pStyle w:val="8"/>
        <w:pageBreakBefore w:val="0"/>
        <w:kinsoku/>
        <w:wordWrap/>
        <w:overflowPunct/>
        <w:topLinePunct w:val="0"/>
        <w:autoSpaceDE/>
        <w:autoSpaceDN/>
        <w:bidi w:val="0"/>
        <w:adjustRightInd/>
        <w:spacing w:after="0" w:line="36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 xml:space="preserve">邮政编码：                       </w:t>
      </w:r>
      <w:r>
        <w:rPr>
          <w:rFonts w:hint="eastAsia" w:ascii="宋体" w:hAnsi="宋体" w:cs="宋体"/>
          <w:color w:val="auto"/>
          <w:kern w:val="0"/>
          <w:szCs w:val="21"/>
          <w:highlight w:val="none"/>
          <w:u w:val="none" w:color="000000"/>
          <w:lang w:val="en-US" w:eastAsia="zh-CN"/>
        </w:rPr>
        <w:t xml:space="preserve"> </w:t>
      </w:r>
      <w:r>
        <w:rPr>
          <w:rFonts w:hint="eastAsia" w:ascii="宋体" w:hAnsi="宋体" w:cs="宋体"/>
          <w:color w:val="auto"/>
          <w:kern w:val="0"/>
          <w:szCs w:val="21"/>
          <w:highlight w:val="none"/>
          <w:u w:val="none" w:color="000000"/>
        </w:rPr>
        <w:t xml:space="preserve"> 邮政编码：</w:t>
      </w:r>
    </w:p>
    <w:p w14:paraId="60675996">
      <w:pPr>
        <w:pStyle w:val="8"/>
        <w:pageBreakBefore w:val="0"/>
        <w:kinsoku/>
        <w:wordWrap/>
        <w:overflowPunct/>
        <w:topLinePunct w:val="0"/>
        <w:autoSpaceDE/>
        <w:autoSpaceDN/>
        <w:bidi w:val="0"/>
        <w:adjustRightInd/>
        <w:spacing w:after="0" w:line="36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 xml:space="preserve">电    话：                        </w:t>
      </w:r>
      <w:r>
        <w:rPr>
          <w:rFonts w:hint="eastAsia" w:ascii="宋体" w:hAnsi="宋体" w:cs="宋体"/>
          <w:color w:val="auto"/>
          <w:kern w:val="0"/>
          <w:szCs w:val="21"/>
          <w:highlight w:val="none"/>
          <w:u w:val="none" w:color="000000"/>
          <w:lang w:val="en-US" w:eastAsia="zh-CN"/>
        </w:rPr>
        <w:t xml:space="preserve"> </w:t>
      </w:r>
      <w:r>
        <w:rPr>
          <w:rFonts w:hint="eastAsia" w:ascii="宋体" w:hAnsi="宋体" w:cs="宋体"/>
          <w:color w:val="auto"/>
          <w:kern w:val="0"/>
          <w:szCs w:val="21"/>
          <w:highlight w:val="none"/>
          <w:u w:val="none" w:color="000000"/>
        </w:rPr>
        <w:t>电    话：</w:t>
      </w:r>
    </w:p>
    <w:p w14:paraId="1FAB81BE">
      <w:pPr>
        <w:pStyle w:val="8"/>
        <w:pageBreakBefore w:val="0"/>
        <w:kinsoku/>
        <w:wordWrap/>
        <w:overflowPunct/>
        <w:topLinePunct w:val="0"/>
        <w:autoSpaceDE/>
        <w:autoSpaceDN/>
        <w:bidi w:val="0"/>
        <w:adjustRightInd/>
        <w:spacing w:after="0" w:line="360" w:lineRule="exact"/>
        <w:ind w:left="0" w:leftChars="0" w:firstLine="420" w:firstLineChars="200"/>
        <w:rPr>
          <w:rFonts w:hint="eastAsia" w:ascii="宋体" w:hAnsi="宋体" w:cs="宋体"/>
          <w:color w:val="auto"/>
          <w:kern w:val="0"/>
          <w:szCs w:val="21"/>
          <w:highlight w:val="none"/>
          <w:u w:val="none" w:color="000000"/>
        </w:rPr>
      </w:pPr>
      <w:r>
        <w:rPr>
          <w:rFonts w:hint="eastAsia" w:ascii="宋体" w:hAnsi="宋体" w:cs="宋体"/>
          <w:color w:val="auto"/>
          <w:kern w:val="0"/>
          <w:szCs w:val="21"/>
          <w:highlight w:val="none"/>
          <w:u w:val="none" w:color="000000"/>
        </w:rPr>
        <w:t xml:space="preserve">开户银行：                        </w:t>
      </w:r>
      <w:r>
        <w:rPr>
          <w:rFonts w:hint="eastAsia" w:ascii="宋体" w:hAnsi="宋体" w:cs="宋体"/>
          <w:color w:val="auto"/>
          <w:kern w:val="0"/>
          <w:szCs w:val="21"/>
          <w:highlight w:val="none"/>
          <w:u w:val="none" w:color="000000"/>
          <w:lang w:val="en-US" w:eastAsia="zh-CN"/>
        </w:rPr>
        <w:t xml:space="preserve"> </w:t>
      </w:r>
      <w:r>
        <w:rPr>
          <w:rFonts w:hint="eastAsia" w:ascii="宋体" w:hAnsi="宋体" w:cs="宋体"/>
          <w:color w:val="auto"/>
          <w:kern w:val="0"/>
          <w:szCs w:val="21"/>
          <w:highlight w:val="none"/>
          <w:u w:val="none" w:color="000000"/>
        </w:rPr>
        <w:t>开户银行：</w:t>
      </w:r>
    </w:p>
    <w:p w14:paraId="13189E6E">
      <w:pPr>
        <w:pStyle w:val="8"/>
        <w:pageBreakBefore w:val="0"/>
        <w:kinsoku/>
        <w:wordWrap/>
        <w:overflowPunct/>
        <w:topLinePunct w:val="0"/>
        <w:autoSpaceDE/>
        <w:autoSpaceDN/>
        <w:bidi w:val="0"/>
        <w:adjustRightInd/>
        <w:spacing w:after="0" w:line="360" w:lineRule="exact"/>
        <w:ind w:left="0" w:leftChars="0" w:firstLine="420" w:firstLineChars="200"/>
        <w:rPr>
          <w:rFonts w:hint="eastAsia" w:ascii="宋体" w:hAnsi="宋体" w:cs="宋体"/>
          <w:b/>
          <w:color w:val="auto"/>
          <w:sz w:val="30"/>
          <w:szCs w:val="30"/>
          <w:highlight w:val="none"/>
        </w:rPr>
      </w:pPr>
      <w:r>
        <w:rPr>
          <w:rFonts w:hint="eastAsia" w:ascii="宋体" w:hAnsi="宋体" w:cs="宋体"/>
          <w:color w:val="auto"/>
          <w:kern w:val="0"/>
          <w:szCs w:val="21"/>
          <w:highlight w:val="none"/>
          <w:u w:val="none" w:color="000000"/>
        </w:rPr>
        <w:t xml:space="preserve">帐    号：                       </w:t>
      </w:r>
      <w:r>
        <w:rPr>
          <w:rFonts w:hint="eastAsia" w:ascii="宋体" w:hAnsi="宋体" w:cs="宋体"/>
          <w:color w:val="auto"/>
          <w:kern w:val="0"/>
          <w:szCs w:val="21"/>
          <w:highlight w:val="none"/>
          <w:u w:val="none" w:color="000000"/>
          <w:lang w:val="en-US" w:eastAsia="zh-CN"/>
        </w:rPr>
        <w:t xml:space="preserve"> </w:t>
      </w:r>
      <w:r>
        <w:rPr>
          <w:rFonts w:hint="eastAsia" w:ascii="宋体" w:hAnsi="宋体" w:cs="宋体"/>
          <w:color w:val="auto"/>
          <w:kern w:val="0"/>
          <w:szCs w:val="21"/>
          <w:highlight w:val="none"/>
          <w:u w:val="none" w:color="000000"/>
        </w:rPr>
        <w:t xml:space="preserve"> 帐    号：</w:t>
      </w:r>
    </w:p>
    <w:p w14:paraId="6E4BF9FD">
      <w:pPr>
        <w:spacing w:before="156" w:beforeLines="50" w:after="156" w:afterLines="50" w:line="440" w:lineRule="exact"/>
        <w:jc w:val="center"/>
        <w:outlineLvl w:val="1"/>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bookmarkStart w:id="84" w:name="_Toc23596"/>
      <w:r>
        <w:rPr>
          <w:rFonts w:hint="eastAsia" w:ascii="宋体" w:hAnsi="宋体" w:cs="宋体"/>
          <w:b/>
          <w:color w:val="auto"/>
          <w:sz w:val="30"/>
          <w:szCs w:val="30"/>
          <w:highlight w:val="none"/>
        </w:rPr>
        <w:t>二  合同条款</w:t>
      </w:r>
      <w:bookmarkEnd w:id="75"/>
      <w:bookmarkEnd w:id="76"/>
      <w:bookmarkEnd w:id="77"/>
      <w:bookmarkEnd w:id="78"/>
      <w:bookmarkEnd w:id="79"/>
      <w:bookmarkEnd w:id="80"/>
      <w:bookmarkEnd w:id="81"/>
      <w:bookmarkEnd w:id="82"/>
      <w:bookmarkEnd w:id="83"/>
      <w:bookmarkEnd w:id="84"/>
    </w:p>
    <w:p w14:paraId="4AD49F5E">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一.  合同文件</w:t>
      </w:r>
    </w:p>
    <w:p w14:paraId="01210E9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1.合同文件适用法律</w:t>
      </w:r>
    </w:p>
    <w:p w14:paraId="42A98F41">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适用于合同文件的法律是中华人民共和国现行法律、法规及</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所在地的地方性法规。</w:t>
      </w:r>
    </w:p>
    <w:p w14:paraId="3854BAB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2.合同文件组成和解释顺序</w:t>
      </w:r>
    </w:p>
    <w:p w14:paraId="43D09E4F">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(1)合同文件的组成和解释顺序如下：</w:t>
      </w:r>
    </w:p>
    <w:p w14:paraId="6CF407B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&lt;1&gt;合同的主要条款；</w:t>
      </w:r>
    </w:p>
    <w:p w14:paraId="085B409C">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&lt;2&gt;合同的一般性条款；</w:t>
      </w:r>
    </w:p>
    <w:p w14:paraId="103BAD83">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&lt;3&gt;洽商、变更等明确双方权利义务的纪要、协议；</w:t>
      </w:r>
    </w:p>
    <w:p w14:paraId="7B4387AC">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&lt;4&gt;中标通知书、投标文件和招标文件；</w:t>
      </w:r>
    </w:p>
    <w:p w14:paraId="5E1D74F1">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&lt;5&gt;有关图纸、标准、规范和其它有关技术资料、技术要求。</w:t>
      </w:r>
    </w:p>
    <w:p w14:paraId="73858A2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&lt;6&gt;合同的主要条款的效力优于合同的一般性条款的效力。</w:t>
      </w:r>
    </w:p>
    <w:p w14:paraId="77C99DC5">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3.合同文件使用文字</w:t>
      </w:r>
    </w:p>
    <w:p w14:paraId="4DC8358C">
      <w:pPr>
        <w:pStyle w:val="6"/>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(1)合同文件使用中文书写、解释和说明。</w:t>
      </w:r>
    </w:p>
    <w:p w14:paraId="76E760E5">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14:paraId="7B544C87">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二.  标的物的一般条款</w:t>
      </w:r>
    </w:p>
    <w:p w14:paraId="1C4F2DB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4.完整物权</w:t>
      </w:r>
    </w:p>
    <w:p w14:paraId="3B9F2EC1">
      <w:pPr>
        <w:tabs>
          <w:tab w:val="left" w:pos="660"/>
        </w:tabs>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对于出卖的标的物，卖方应当拥有完整物权，并且卖方负有保证第三人不得向买方主张任何权利（包括知识产权）的义务。</w:t>
      </w:r>
    </w:p>
    <w:p w14:paraId="23137987">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5.质量保证</w:t>
      </w:r>
    </w:p>
    <w:p w14:paraId="6DEBC016">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52E9B055">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0EC4DAB5">
      <w:pPr>
        <w:pStyle w:val="6"/>
        <w:tabs>
          <w:tab w:val="left" w:pos="900"/>
        </w:tabs>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602FEA46">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6.包装</w:t>
      </w:r>
    </w:p>
    <w:p w14:paraId="4DEF4266">
      <w:pPr>
        <w:pStyle w:val="6"/>
        <w:tabs>
          <w:tab w:val="left" w:pos="900"/>
        </w:tabs>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2939DE7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7.伴随服务</w:t>
      </w:r>
    </w:p>
    <w:p w14:paraId="70727883">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(1)卖方除应履行按期按量交付合格标的物的义务之外，还应提供下列服务：</w:t>
      </w:r>
    </w:p>
    <w:p w14:paraId="4378486F">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&lt;1&gt;标的物的现场安装或指导安装、启动、调试、监督（如果必须安装、调试的话）；</w:t>
      </w:r>
    </w:p>
    <w:p w14:paraId="43F8D8F5">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&lt;2&gt;提供标的物组装和一般维修所必须的工具；</w:t>
      </w:r>
    </w:p>
    <w:p w14:paraId="71BB7DFD">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14:paraId="29443A92">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&lt;4&gt;对买方技术人员的技术指导或培训。</w:t>
      </w:r>
    </w:p>
    <w:p w14:paraId="0FEE346C">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(2)除合同另有规定之外，伴随服务的费用均已含在合同价款中，买方不再另行进行支付。</w:t>
      </w:r>
    </w:p>
    <w:p w14:paraId="17B18143">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三.  标的物的交付、检验和验收</w:t>
      </w:r>
    </w:p>
    <w:p w14:paraId="35CBBF9C">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8.标的物的交付</w:t>
      </w:r>
    </w:p>
    <w:p w14:paraId="69105C20">
      <w:pPr>
        <w:pStyle w:val="6"/>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(1)标的物的所有权自标的物交付时转移。</w:t>
      </w:r>
    </w:p>
    <w:p w14:paraId="027EF004">
      <w:pPr>
        <w:pStyle w:val="6"/>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(2)卖方应当按照约定的期限和约定的地点交付符合招标文件要求的标的物。</w:t>
      </w:r>
    </w:p>
    <w:p w14:paraId="5BE77ED5">
      <w:pPr>
        <w:pStyle w:val="6"/>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(3)卖方应当按照约定或者交易习惯向</w:t>
      </w:r>
      <w:r>
        <w:rPr>
          <w:rFonts w:hint="eastAsia" w:ascii="宋体" w:hAnsi="宋体" w:cs="宋体"/>
          <w:color w:val="auto"/>
          <w:sz w:val="21"/>
          <w:szCs w:val="21"/>
          <w:highlight w:val="none"/>
          <w:u w:val="none" w:color="000000"/>
          <w:lang w:eastAsia="zh-CN"/>
        </w:rPr>
        <w:t>招标人</w:t>
      </w:r>
      <w:r>
        <w:rPr>
          <w:rFonts w:hint="eastAsia" w:ascii="宋体" w:hAnsi="宋体" w:cs="宋体"/>
          <w:color w:val="auto"/>
          <w:sz w:val="21"/>
          <w:szCs w:val="21"/>
          <w:highlight w:val="none"/>
          <w:u w:val="none" w:color="000000"/>
        </w:rPr>
        <w:t>交付提取标的物单证以外的有关单证和资料。</w:t>
      </w:r>
    </w:p>
    <w:p w14:paraId="41A2F86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9.检验和验收</w:t>
      </w:r>
    </w:p>
    <w:p w14:paraId="2F6D6F1E">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4A49C5B3">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(2)买方根据合同规定的内容和验收标准进行验收，经检验无误后出具验收合格证明，该证明作为最终付款所需文件的组成部分。</w:t>
      </w:r>
    </w:p>
    <w:p w14:paraId="21A6DE53">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(3)验收期限自标的物交付之日起三十天内。特殊情况需延长的，双方应在合同条款中约定。</w:t>
      </w:r>
    </w:p>
    <w:p w14:paraId="32F8E513">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四. 对标的物提出异议的时间和办法</w:t>
      </w:r>
    </w:p>
    <w:p w14:paraId="35CA3B51">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10.对标的物提出异议的时间和办法 </w:t>
      </w:r>
    </w:p>
    <w:p w14:paraId="56E83A6F">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14:paraId="1E3112AF">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(2)如买方在验收期满后既不出具验收合格证明又未提出书面异议的视为卖方所交标的物符合合同规定。</w:t>
      </w:r>
    </w:p>
    <w:p w14:paraId="63C6DC11">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(3)卖方应在收到买方书面异议后七天内负责处理问题，否则将视为默认买方提出的异议和处理意见。</w:t>
      </w:r>
    </w:p>
    <w:p w14:paraId="57C0F9CA">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五. 合同价款和支付</w:t>
      </w:r>
    </w:p>
    <w:p w14:paraId="4C5C603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11.合同价款和支付</w:t>
      </w:r>
    </w:p>
    <w:p w14:paraId="51B9AB36">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(1)本合同的结算货币为人民币，单位元。</w:t>
      </w:r>
    </w:p>
    <w:p w14:paraId="035BFCF2">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(2)卖方应按照双方签订的合同规定交货并在合同主要条款规定的期限内持下列单据结算货款：</w:t>
      </w:r>
    </w:p>
    <w:p w14:paraId="5A542819">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&lt;1&gt;合格的销售发票；</w:t>
      </w:r>
    </w:p>
    <w:p w14:paraId="05EB13E6">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&lt;2&gt;买方盖章签收后的送货回单和验收合格证明。</w:t>
      </w:r>
    </w:p>
    <w:p w14:paraId="0333E7ED">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(3)买方应按合同主要条款规定的期限和方式付款。</w:t>
      </w:r>
    </w:p>
    <w:p w14:paraId="5D48E983">
      <w:pPr>
        <w:pStyle w:val="6"/>
        <w:tabs>
          <w:tab w:val="left" w:pos="540"/>
        </w:tabs>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14:paraId="37CD92CD">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六. 违约责任</w:t>
      </w:r>
    </w:p>
    <w:p w14:paraId="2E146746">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12.违约责任</w:t>
      </w:r>
    </w:p>
    <w:p w14:paraId="342563D9">
      <w:pPr>
        <w:pStyle w:val="6"/>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合同一方不履行合同义务或者履行合同义务不符合约定的，应当承担继续履行、采取补救措施或者赔偿损失等违约责任。</w:t>
      </w:r>
    </w:p>
    <w:p w14:paraId="5A9DDC9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13.买方违约责任</w:t>
      </w:r>
    </w:p>
    <w:p w14:paraId="615F188C">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(1)在合同生效后，买方要求退货的，应向卖方偿付合同总价款的5%，作为违约金，违约金不足以补偿损失的，卖方有权要求</w:t>
      </w:r>
      <w:r>
        <w:rPr>
          <w:rFonts w:hint="eastAsia" w:ascii="宋体" w:hAnsi="宋体" w:cs="宋体"/>
          <w:color w:val="auto"/>
          <w:sz w:val="21"/>
          <w:szCs w:val="21"/>
          <w:highlight w:val="none"/>
          <w:u w:val="none" w:color="000000"/>
          <w:lang w:eastAsia="zh-CN"/>
        </w:rPr>
        <w:t>买方</w:t>
      </w:r>
      <w:r>
        <w:rPr>
          <w:rFonts w:hint="eastAsia" w:ascii="宋体" w:hAnsi="宋体" w:cs="宋体"/>
          <w:color w:val="auto"/>
          <w:sz w:val="21"/>
          <w:szCs w:val="21"/>
          <w:highlight w:val="none"/>
          <w:u w:val="none" w:color="000000"/>
        </w:rPr>
        <w:t>补足。</w:t>
      </w:r>
    </w:p>
    <w:p w14:paraId="74B4A9A2">
      <w:pPr>
        <w:pStyle w:val="6"/>
        <w:overflowPunct w:val="0"/>
        <w:spacing w:line="440" w:lineRule="exact"/>
        <w:ind w:right="-334" w:rightChars="-159"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(2)买方逾期付款的应按照逾期付款金额的每天万分之四支付逾期付款违约金。</w:t>
      </w:r>
    </w:p>
    <w:p w14:paraId="2E83BEB2">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(3)买方违反合同规定，拒绝接收卖方交付的符合招标文件要求的合格标的物，应当承担卖方由此造成的损失。</w:t>
      </w:r>
    </w:p>
    <w:p w14:paraId="371D280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14.卖方违约责任</w:t>
      </w:r>
    </w:p>
    <w:p w14:paraId="4713EB28">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(1)卖方不能交货（逾期超过五天视为不能交货），或交货不合格从而影响买方按期正常使用的，应向买方偿付合同总价款</w:t>
      </w:r>
      <w:r>
        <w:rPr>
          <w:rFonts w:ascii="宋体" w:hAnsi="宋体" w:cs="宋体"/>
          <w:color w:val="auto"/>
          <w:sz w:val="21"/>
          <w:szCs w:val="21"/>
          <w:highlight w:val="none"/>
          <w:u w:val="none" w:color="000000"/>
        </w:rPr>
        <w:t>10</w:t>
      </w:r>
      <w:r>
        <w:rPr>
          <w:rFonts w:hint="eastAsia" w:ascii="宋体" w:hAnsi="宋体" w:cs="宋体"/>
          <w:color w:val="auto"/>
          <w:sz w:val="21"/>
          <w:szCs w:val="21"/>
          <w:highlight w:val="none"/>
          <w:u w:val="none" w:color="000000"/>
        </w:rPr>
        <w:t>%的违约金，违约金不足以补偿损失的，买方有权要求卖方补足。</w:t>
      </w:r>
    </w:p>
    <w:p w14:paraId="0B50AFF7">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(2)卖方逾期交货的，应在发货前与买方协商，买方仍需求的，卖方应立即发货并应按照逾期交货部分货款的每天万分之四支付逾期交货违约金，同时承担买方因此遭致的损失费用。</w:t>
      </w:r>
    </w:p>
    <w:p w14:paraId="0710222B">
      <w:pPr>
        <w:pStyle w:val="6"/>
        <w:overflowPunct w:val="0"/>
        <w:spacing w:line="440" w:lineRule="exact"/>
        <w:ind w:firstLine="0"/>
        <w:jc w:val="left"/>
        <w:rPr>
          <w:rFonts w:hint="default" w:eastAsia="宋体"/>
          <w:highlight w:val="none"/>
          <w:lang w:val="en-US" w:eastAsia="zh-CN"/>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lang w:val="en-US" w:eastAsia="zh-CN"/>
        </w:rPr>
        <w:t>3）在实际供货时，买方将随机取样送检（由买方指定的第三方权威检测机构检测），每次随机抽取品种，取样数量为：每个品种抽取1-2件产品，抽取的样品数量由卖方负责免费补充给买方，产生的检测费用、运输费等所有费用由卖方承担。若第一次检测结果劣于招标文件要求，买方有权根据检测情况提高抽样率，所有费用均由卖方自行承担，除换货外，还应按履约保证金金额的50%向买方支付违约金。如买方在供货期内两次抽样检测结果劣于招标文件要求，买方有权没收履约保证金，并有权解除本合同，因此而产生的一切费用和责任由卖方承担。</w:t>
      </w:r>
    </w:p>
    <w:p w14:paraId="5EDF32BC">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15.不可抗力</w:t>
      </w:r>
    </w:p>
    <w:p w14:paraId="5D7B1277">
      <w:pPr>
        <w:pStyle w:val="6"/>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(1)因水灾、火灾、地震、战争等不可抗力不能履行合同的，根据不可抗力的影响，部分或者全部免除责任。但合同一方迟延履行后发生不可抗力的，不能免除责任。</w:t>
      </w:r>
    </w:p>
    <w:p w14:paraId="4D241C39">
      <w:pPr>
        <w:pStyle w:val="6"/>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(2)合同一方因不可抗力不能履行合同的，应当及时通知对方，以减轻可能给对方造成的损失，并应当在合理期限内提供证明。</w:t>
      </w:r>
    </w:p>
    <w:p w14:paraId="47C671CA">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七. 索赔</w:t>
      </w:r>
    </w:p>
    <w:p w14:paraId="584F09B3">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16.索赔</w:t>
      </w:r>
    </w:p>
    <w:p w14:paraId="4874AE8E">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(1)买方有权根据当地产品质量检验机构或其它有权威部门出具的检验证书向卖方提出索赔。</w:t>
      </w:r>
    </w:p>
    <w:p w14:paraId="0C4CDC3B">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14:paraId="0B9822EB">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4AA93F5F">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&lt;2&gt;根据标的物的低劣程度、损坏程度以及甲方遭受损失的数额，经双方协商确定降低标的物的价格；</w:t>
      </w:r>
    </w:p>
    <w:p w14:paraId="2700D7D9">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1C256053">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21200625">
      <w:pPr>
        <w:pStyle w:val="6"/>
        <w:overflowPunct w:val="0"/>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(4)买方提出索赔的书面材料应报当地政府采购管理部门备案。卖方同意的索赔方案应报当地政府采购管理部门审核。</w:t>
      </w:r>
    </w:p>
    <w:p w14:paraId="5F5CF183">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八. 履约保证金</w:t>
      </w:r>
    </w:p>
    <w:p w14:paraId="0334A1DC">
      <w:pPr>
        <w:spacing w:line="440" w:lineRule="exact"/>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17.</w:t>
      </w:r>
      <w:r>
        <w:rPr>
          <w:rFonts w:hint="eastAsia" w:ascii="宋体" w:hAnsi="宋体" w:cs="宋体"/>
          <w:color w:val="auto"/>
          <w:szCs w:val="21"/>
          <w:highlight w:val="none"/>
          <w:lang w:val="en-US" w:eastAsia="zh-CN"/>
        </w:rPr>
        <w:t>本项目不收取</w:t>
      </w:r>
      <w:r>
        <w:rPr>
          <w:rFonts w:hint="eastAsia" w:ascii="宋体" w:hAnsi="宋体" w:cs="宋体"/>
          <w:color w:val="auto"/>
          <w:szCs w:val="21"/>
          <w:highlight w:val="none"/>
        </w:rPr>
        <w:t>履约保证金</w:t>
      </w:r>
      <w:r>
        <w:rPr>
          <w:rFonts w:hint="eastAsia" w:ascii="宋体" w:hAnsi="宋体" w:cs="宋体"/>
          <w:color w:val="auto"/>
          <w:szCs w:val="21"/>
          <w:highlight w:val="none"/>
          <w:lang w:eastAsia="zh-CN"/>
        </w:rPr>
        <w:t>。</w:t>
      </w:r>
    </w:p>
    <w:p w14:paraId="0A90E652">
      <w:pPr>
        <w:pStyle w:val="6"/>
        <w:overflowPunct w:val="0"/>
        <w:spacing w:line="440" w:lineRule="exact"/>
        <w:ind w:right="-334" w:rightChars="-159" w:firstLine="0"/>
        <w:jc w:val="left"/>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九.  合同的解除和转让</w:t>
      </w:r>
    </w:p>
    <w:p w14:paraId="1B7F249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18.合同的解除</w:t>
      </w:r>
    </w:p>
    <w:p w14:paraId="7C99EBCF">
      <w:pPr>
        <w:pStyle w:val="6"/>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(1)买方和卖方协商一致，可以解除合同。</w:t>
      </w:r>
    </w:p>
    <w:p w14:paraId="6FA0C653">
      <w:pPr>
        <w:pStyle w:val="6"/>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(2)有下列情形之一，合同一方可以解除合同：</w:t>
      </w:r>
    </w:p>
    <w:p w14:paraId="4B1850AE">
      <w:pPr>
        <w:pStyle w:val="6"/>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&lt;1&gt;因不可抗力致使不能实现合同目的，未受不可抗力影响的一方有权解除合同；</w:t>
      </w:r>
    </w:p>
    <w:p w14:paraId="3B78A91D">
      <w:pPr>
        <w:pStyle w:val="6"/>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&lt;2&gt;因合同一方违约导致合同不能履行，另一方有权解除合同。</w:t>
      </w:r>
    </w:p>
    <w:p w14:paraId="240E2D92">
      <w:pPr>
        <w:pStyle w:val="6"/>
        <w:spacing w:line="440" w:lineRule="exact"/>
        <w:ind w:firstLine="0"/>
        <w:jc w:val="left"/>
        <w:rPr>
          <w:rFonts w:hint="eastAsia" w:ascii="宋体" w:hAnsi="宋体" w:cs="宋体"/>
          <w:color w:val="auto"/>
          <w:sz w:val="21"/>
          <w:szCs w:val="21"/>
          <w:highlight w:val="none"/>
          <w:u w:val="none" w:color="000000"/>
        </w:rPr>
      </w:pPr>
      <w:r>
        <w:rPr>
          <w:rFonts w:hint="eastAsia" w:ascii="宋体" w:hAns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14:paraId="019DD0BD">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19.合同的转让</w:t>
      </w:r>
    </w:p>
    <w:p w14:paraId="063644B7">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合同的部分和全部都不得转让。</w:t>
      </w:r>
    </w:p>
    <w:p w14:paraId="05BB3F2F">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十. 合同的生效</w:t>
      </w:r>
    </w:p>
    <w:p w14:paraId="74DC0156">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20.合同的生效</w:t>
      </w:r>
    </w:p>
    <w:p w14:paraId="5F9AFAB6">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本合同在双方签字盖章后生效。</w:t>
      </w:r>
    </w:p>
    <w:p w14:paraId="2F648269">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十一. 争议解决</w:t>
      </w:r>
    </w:p>
    <w:p w14:paraId="7904C5DB">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21.争议解决</w:t>
      </w:r>
    </w:p>
    <w:p w14:paraId="06830D60">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买卖双方因合同发生争议，进行调解，协商不成，可选择：</w:t>
      </w:r>
    </w:p>
    <w:p w14:paraId="59C5FC03">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(1)双方同时将争议提</w:t>
      </w:r>
      <w:r>
        <w:rPr>
          <w:rFonts w:hint="eastAsia" w:ascii="宋体" w:hAnsi="宋体" w:eastAsia="宋体" w:cs="宋体"/>
          <w:color w:val="auto"/>
          <w:szCs w:val="21"/>
          <w:highlight w:val="none"/>
          <w:lang w:eastAsia="zh-CN"/>
        </w:rPr>
        <w:t>交滁州</w:t>
      </w:r>
      <w:r>
        <w:rPr>
          <w:rFonts w:hint="eastAsia" w:ascii="宋体" w:hAnsi="宋体" w:eastAsia="宋体" w:cs="宋体"/>
          <w:color w:val="auto"/>
          <w:szCs w:val="21"/>
          <w:highlight w:val="none"/>
        </w:rPr>
        <w:t>仲裁委员会</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仲裁；</w:t>
      </w:r>
    </w:p>
    <w:p w14:paraId="0826B553">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(2)向买方所在地人民法院提起诉讼。</w:t>
      </w:r>
    </w:p>
    <w:p w14:paraId="12C5F1FF">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十二 .附则</w:t>
      </w:r>
    </w:p>
    <w:p w14:paraId="0D460FC7">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22.合同份数。</w:t>
      </w:r>
    </w:p>
    <w:p w14:paraId="2D2EC30E">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lang w:val="en-US" w:eastAsia="zh-CN"/>
        </w:rPr>
        <w:t>捌</w:t>
      </w:r>
      <w:r>
        <w:rPr>
          <w:rFonts w:hint="eastAsia" w:ascii="宋体" w:hAnsi="宋体" w:eastAsia="宋体" w:cs="宋体"/>
          <w:color w:val="auto"/>
          <w:szCs w:val="21"/>
          <w:highlight w:val="none"/>
        </w:rPr>
        <w:t>份，买卖双方各执</w:t>
      </w:r>
      <w:r>
        <w:rPr>
          <w:rFonts w:hint="eastAsia" w:ascii="宋体" w:hAnsi="宋体" w:eastAsia="宋体" w:cs="宋体"/>
          <w:color w:val="auto"/>
          <w:szCs w:val="21"/>
          <w:highlight w:val="none"/>
          <w:lang w:val="en-US" w:eastAsia="zh-CN"/>
        </w:rPr>
        <w:t>肆</w:t>
      </w:r>
      <w:r>
        <w:rPr>
          <w:rFonts w:hint="eastAsia" w:ascii="宋体" w:hAnsi="宋体" w:eastAsia="宋体" w:cs="宋体"/>
          <w:color w:val="auto"/>
          <w:szCs w:val="21"/>
          <w:highlight w:val="none"/>
        </w:rPr>
        <w:t>份。</w:t>
      </w:r>
    </w:p>
    <w:p w14:paraId="6195BA03">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23.未尽事宜</w:t>
      </w:r>
    </w:p>
    <w:p w14:paraId="5CC609C9">
      <w:pPr>
        <w:pStyle w:val="6"/>
        <w:spacing w:line="440" w:lineRule="exact"/>
        <w:ind w:firstLine="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本合同未尽事宜应按《中华人民共和国招标投标法》、《中华人民共和国民法典》、《中华人民共和国产品质量法》之规定解释。</w:t>
      </w:r>
    </w:p>
    <w:p w14:paraId="4A9304B1">
      <w:pPr>
        <w:rPr>
          <w:rFonts w:hint="eastAsia" w:ascii="宋体" w:hAnsi="宋体" w:eastAsia="宋体" w:cs="宋体"/>
          <w:color w:val="auto"/>
          <w:kern w:val="2"/>
          <w:sz w:val="28"/>
          <w:szCs w:val="28"/>
          <w:highlight w:val="none"/>
          <w:u w:color="auto"/>
          <w:lang w:val="en-US" w:eastAsia="zh-CN" w:bidi="ar"/>
        </w:rPr>
      </w:pPr>
    </w:p>
    <w:p w14:paraId="5773D273">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27369BF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bookmarkStart w:id="85" w:name="_Toc6275_WPSOffice_Level1"/>
      <w:bookmarkEnd w:id="85"/>
      <w:r>
        <w:rPr>
          <w:rFonts w:hint="eastAsia" w:ascii="宋体" w:hAnsi="宋体" w:eastAsia="宋体" w:cs="宋体"/>
          <w:color w:val="auto"/>
          <w:kern w:val="2"/>
          <w:sz w:val="28"/>
          <w:szCs w:val="28"/>
          <w:highlight w:val="none"/>
          <w:u w:color="auto"/>
          <w:lang w:val="en-US" w:eastAsia="zh-CN" w:bidi="ar"/>
        </w:rPr>
        <w:t>第七章 投标文件格式</w:t>
      </w:r>
    </w:p>
    <w:p w14:paraId="77274FAC">
      <w:pPr>
        <w:jc w:val="right"/>
        <w:rPr>
          <w:rFonts w:ascii="宋体" w:hAnsi="宋体"/>
          <w:sz w:val="28"/>
          <w:szCs w:val="28"/>
          <w:highlight w:val="none"/>
          <w:bdr w:val="single" w:color="auto" w:sz="4" w:space="0"/>
        </w:rPr>
      </w:pPr>
    </w:p>
    <w:p w14:paraId="6AF3F164">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sz w:val="20"/>
          <w:szCs w:val="20"/>
          <w:highlight w:val="none"/>
          <w:lang w:val="en-US"/>
        </w:rPr>
      </w:pPr>
      <w:r>
        <w:rPr>
          <w:rFonts w:hint="eastAsia" w:ascii="黑体" w:hAnsi="宋体" w:eastAsia="黑体" w:cs="黑体"/>
          <w:color w:val="000000"/>
          <w:kern w:val="0"/>
          <w:sz w:val="20"/>
          <w:szCs w:val="20"/>
          <w:highlight w:val="none"/>
          <w:u w:color="000000"/>
          <w:lang w:val="en-US" w:eastAsia="zh-CN" w:bidi="ar"/>
        </w:rPr>
        <w:t xml:space="preserve"> </w:t>
      </w:r>
    </w:p>
    <w:p w14:paraId="58B3C774">
      <w:pPr>
        <w:jc w:val="center"/>
        <w:rPr>
          <w:rFonts w:hint="eastAsia" w:ascii="宋体"/>
          <w:b/>
          <w:color w:val="auto"/>
          <w:sz w:val="44"/>
          <w:szCs w:val="44"/>
          <w:highlight w:val="none"/>
        </w:rPr>
      </w:pPr>
      <w:bookmarkStart w:id="86" w:name="_Toc21573"/>
      <w:bookmarkEnd w:id="86"/>
      <w:bookmarkStart w:id="87" w:name="_Toc449028949"/>
      <w:bookmarkStart w:id="88" w:name="_Toc350698753"/>
      <w:r>
        <w:rPr>
          <w:rFonts w:hint="eastAsia" w:ascii="宋体"/>
          <w:b/>
          <w:color w:val="auto"/>
          <w:sz w:val="44"/>
          <w:szCs w:val="44"/>
          <w:highlight w:val="none"/>
        </w:rPr>
        <w:t>资信证明文件</w:t>
      </w:r>
      <w:bookmarkEnd w:id="87"/>
      <w:bookmarkEnd w:id="88"/>
    </w:p>
    <w:p w14:paraId="2924478C">
      <w:pPr>
        <w:jc w:val="center"/>
        <w:rPr>
          <w:rFonts w:hint="eastAsia" w:ascii="宋体"/>
          <w:color w:val="auto"/>
          <w:sz w:val="32"/>
          <w:szCs w:val="32"/>
          <w:highlight w:val="none"/>
        </w:rPr>
      </w:pPr>
      <w:r>
        <w:rPr>
          <w:rFonts w:hint="eastAsia" w:ascii="宋体"/>
          <w:color w:val="auto"/>
          <w:sz w:val="32"/>
          <w:szCs w:val="32"/>
          <w:highlight w:val="none"/>
        </w:rPr>
        <w:t>（投标文件一）</w:t>
      </w:r>
    </w:p>
    <w:p w14:paraId="65B37F85">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6693B557">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bookmarkStart w:id="89" w:name="_Toc7180_WPSOffice_Level3"/>
      <w:bookmarkEnd w:id="89"/>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15FE458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A07C83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7E71AA4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68731FE8">
      <w:pPr>
        <w:pStyle w:val="7"/>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2C3F69BD">
      <w:pPr>
        <w:pStyle w:val="22"/>
        <w:widowControl/>
        <w:rPr>
          <w:highlight w:val="none"/>
          <w:lang w:val="en-US"/>
        </w:rPr>
      </w:pPr>
      <w:r>
        <w:rPr>
          <w:highlight w:val="none"/>
          <w:lang w:val="en-US"/>
        </w:rPr>
        <w:t xml:space="preserve"> </w:t>
      </w:r>
    </w:p>
    <w:p w14:paraId="3BE2C95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4E0BCE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3942CBB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50DD432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7E07FC3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20BFACCF">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71D24498">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val="0"/>
          <w:color w:val="000000"/>
          <w:kern w:val="0"/>
          <w:sz w:val="44"/>
          <w:szCs w:val="44"/>
          <w:highlight w:val="none"/>
          <w:lang w:val="en-US" w:eastAsia="zh-CN" w:bidi="ar"/>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90" w:name="_Toc14710_WPSOffice_Level1"/>
      <w:bookmarkEnd w:id="90"/>
    </w:p>
    <w:p w14:paraId="65115373">
      <w:pPr>
        <w:keepNext w:val="0"/>
        <w:keepLines w:val="0"/>
        <w:widowControl/>
        <w:suppressLineNumbers w:val="0"/>
        <w:spacing w:before="0" w:beforeAutospacing="0" w:after="0" w:afterAutospacing="0" w:line="640" w:lineRule="exact"/>
        <w:ind w:left="0" w:right="0"/>
        <w:jc w:val="center"/>
        <w:rPr>
          <w:rFonts w:hint="default" w:ascii="Times New Roman" w:hAnsi="Times New Roman" w:eastAsia="宋体" w:cs="Times New Roman"/>
          <w:b/>
          <w:bCs w:val="0"/>
          <w:color w:val="000000"/>
          <w:kern w:val="0"/>
          <w:sz w:val="44"/>
          <w:szCs w:val="44"/>
          <w:highlight w:val="none"/>
          <w:lang w:val="en-US" w:eastAsia="zh-CN" w:bidi="ar"/>
        </w:rPr>
      </w:pPr>
    </w:p>
    <w:p w14:paraId="3545A7CD">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目   录</w:t>
      </w:r>
    </w:p>
    <w:p w14:paraId="40C619F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5CE23CFB">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1D8ADBD2">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（1）法人代表人身份证明及其有效身份证（或法人代表授权委托书及其有效身份证）（格式见附件）；</w:t>
      </w:r>
    </w:p>
    <w:p w14:paraId="1725158E">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（2）投标人有效的营业执照、税务登记证、组织机构代码证（或三合一证书）；</w:t>
      </w:r>
    </w:p>
    <w:p w14:paraId="521C445C">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（3）诚信投标承诺书（格式见附件）；</w:t>
      </w:r>
    </w:p>
    <w:p w14:paraId="65BB49EB">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（4）服务承诺：是否响应招标文件要求的书面说明和服务承诺书（格式见附件）；</w:t>
      </w:r>
    </w:p>
    <w:p w14:paraId="4BB68CB4">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（5）详细的货物名称、规格、技术参数等【附技术参数响应表、货物的详细配置清单，格式见附件】；</w:t>
      </w:r>
    </w:p>
    <w:p w14:paraId="222DBBEC">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（6）招标文件中要求的资信评审（评分）的支持资料；</w:t>
      </w:r>
    </w:p>
    <w:p w14:paraId="739E322C">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（7）投标人认为需要提供的其他资信证明材料。</w:t>
      </w:r>
    </w:p>
    <w:p w14:paraId="44060729">
      <w:pPr>
        <w:spacing w:line="360" w:lineRule="auto"/>
        <w:ind w:firstLine="420" w:firstLineChars="200"/>
        <w:rPr>
          <w:rFonts w:hint="eastAsia" w:ascii="宋体" w:hAnsi="Times New Roman" w:eastAsia="宋体" w:cs="Times New Roman"/>
          <w:color w:val="auto"/>
          <w:szCs w:val="21"/>
          <w:highlight w:val="none"/>
          <w:lang w:eastAsia="zh-CN"/>
        </w:rPr>
      </w:pPr>
    </w:p>
    <w:p w14:paraId="1B0FF29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val="en-US" w:eastAsia="zh-CN"/>
        </w:rPr>
      </w:pPr>
    </w:p>
    <w:p w14:paraId="4F342F5C">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3181610F">
      <w:pPr>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1321D59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09C45A5D">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u w:color="000000"/>
          <w:lang w:val="en-US" w:eastAsia="zh-CN" w:bidi="ar"/>
        </w:rPr>
        <w:t>1</w:t>
      </w:r>
      <w:r>
        <w:rPr>
          <w:rFonts w:hint="eastAsia" w:ascii="宋体" w:hAnsi="宋体" w:eastAsia="宋体" w:cs="宋体"/>
          <w:b/>
          <w:bCs w:val="0"/>
          <w:color w:val="000000"/>
          <w:kern w:val="0"/>
          <w:sz w:val="28"/>
          <w:szCs w:val="28"/>
          <w:highlight w:val="none"/>
          <w:u w:color="000000"/>
          <w:lang w:val="en-US" w:eastAsia="zh-CN" w:bidi="ar"/>
        </w:rPr>
        <w:t>、法定代表人身份证明或授权委托书</w:t>
      </w:r>
    </w:p>
    <w:p w14:paraId="31AC92B4">
      <w:pPr>
        <w:pStyle w:val="41"/>
        <w:widowControl/>
        <w:autoSpaceDE w:val="0"/>
        <w:autoSpaceDN/>
        <w:spacing w:before="312" w:beforeLines="100" w:beforeAutospacing="0" w:after="312" w:afterLines="100" w:afterAutospacing="0" w:line="400" w:lineRule="exact"/>
        <w:ind w:left="0" w:right="0"/>
        <w:rPr>
          <w:rFonts w:hint="eastAsia" w:ascii="宋体" w:hAnsi="宋体" w:eastAsia="宋体" w:cs="宋体"/>
          <w:b/>
          <w:bCs w:val="0"/>
          <w:sz w:val="24"/>
          <w:szCs w:val="24"/>
          <w:highlight w:val="none"/>
          <w:lang w:val="en-US"/>
        </w:rPr>
      </w:pPr>
      <w:bookmarkStart w:id="91" w:name="_Toc6019_WPSOffice_Level1"/>
      <w:bookmarkEnd w:id="91"/>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eastAsia="zh-CN"/>
        </w:rPr>
        <w:t>、法定代表人身份证明</w:t>
      </w:r>
    </w:p>
    <w:p w14:paraId="004DED3E">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5CFE9E85">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单位性质：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69D60E30">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地    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12F00BB">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成立时间：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＿日</w:t>
      </w:r>
    </w:p>
    <w:p w14:paraId="2CF12331">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经营期限：</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6BF27AAC">
      <w:pPr>
        <w:keepNext w:val="0"/>
        <w:keepLines w:val="0"/>
        <w:widowControl/>
        <w:suppressLineNumbers w:val="0"/>
        <w:spacing w:before="0" w:beforeAutospacing="0" w:after="0" w:afterAutospacing="0" w:line="480" w:lineRule="exact"/>
        <w:ind w:left="0" w:right="0" w:firstLine="144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spacing w:val="240"/>
          <w:kern w:val="0"/>
          <w:sz w:val="24"/>
          <w:szCs w:val="24"/>
          <w:highlight w:val="none"/>
          <w:u w:color="000000"/>
          <w:lang w:val="en-US" w:eastAsia="zh-CN" w:bidi="ar"/>
        </w:rPr>
        <w:t>姓</w:t>
      </w:r>
      <w:r>
        <w:rPr>
          <w:rFonts w:hint="eastAsia" w:ascii="宋体" w:hAnsi="宋体" w:eastAsia="宋体" w:cs="宋体"/>
          <w:color w:val="000000"/>
          <w:kern w:val="0"/>
          <w:sz w:val="24"/>
          <w:szCs w:val="24"/>
          <w:highlight w:val="none"/>
          <w:u w:color="000000"/>
          <w:lang w:val="en-US" w:eastAsia="zh-CN" w:bidi="ar"/>
        </w:rPr>
        <w:t>名：</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性别：</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职务：</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_</w:t>
      </w:r>
    </w:p>
    <w:p w14:paraId="1FEC4DD6">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（投标人名称）的法定代表人。</w:t>
      </w:r>
    </w:p>
    <w:p w14:paraId="181D6CF5">
      <w:pPr>
        <w:keepNext w:val="0"/>
        <w:keepLines w:val="0"/>
        <w:widowControl/>
        <w:suppressLineNumbers w:val="0"/>
        <w:spacing w:before="0" w:beforeAutospacing="0" w:after="0" w:afterAutospacing="0" w:line="480" w:lineRule="exact"/>
        <w:ind w:left="0" w:right="0" w:firstLine="960" w:firstLineChars="4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特此证明。</w:t>
      </w:r>
    </w:p>
    <w:p w14:paraId="7A6AA1B0">
      <w:pPr>
        <w:keepNext w:val="0"/>
        <w:keepLines w:val="0"/>
        <w:widowControl/>
        <w:suppressLineNumbers w:val="0"/>
        <w:spacing w:before="0" w:beforeAutospacing="0" w:after="0" w:afterAutospacing="0" w:line="360" w:lineRule="auto"/>
        <w:ind w:left="0" w:right="0" w:firstLine="3480" w:firstLineChars="14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（盖单位章）</w:t>
      </w:r>
    </w:p>
    <w:p w14:paraId="0E2C4EC3">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年    月     日</w:t>
      </w:r>
    </w:p>
    <w:p w14:paraId="38754A99">
      <w:pPr>
        <w:keepNext w:val="0"/>
        <w:keepLines w:val="0"/>
        <w:widowControl/>
        <w:suppressLineNumbers w:val="0"/>
        <w:spacing w:before="0" w:beforeAutospacing="0" w:after="0" w:afterAutospacing="0" w:line="357" w:lineRule="atLeast"/>
        <w:ind w:left="0" w:right="0" w:firstLine="560" w:firstLineChars="200"/>
        <w:jc w:val="center"/>
        <w:rPr>
          <w:rFonts w:hint="eastAsia" w:ascii="宋体" w:hAnsi="宋体" w:eastAsia="宋体" w:cs="宋体"/>
          <w:sz w:val="24"/>
          <w:szCs w:val="24"/>
          <w:highlight w:val="none"/>
          <w:lang w:val="en-US"/>
        </w:rPr>
      </w:pPr>
      <w:r>
        <w:rPr>
          <w:rFonts w:hint="eastAsia" w:ascii="宋体" w:hAnsi="宋体" w:eastAsia="宋体" w:cs="宋体"/>
          <w:color w:val="000000"/>
          <w:kern w:val="0"/>
          <w:sz w:val="28"/>
          <w:szCs w:val="28"/>
          <w:highlight w:val="none"/>
          <w:u w:color="000000"/>
          <w:lang w:val="en-US" w:eastAsia="zh-CN" w:bidi="ar"/>
        </w:rPr>
        <w:t>2、</w:t>
      </w:r>
      <w:r>
        <w:rPr>
          <w:rFonts w:hint="eastAsia" w:ascii="宋体" w:hAnsi="宋体" w:eastAsia="宋体" w:cs="宋体"/>
          <w:color w:val="000000"/>
          <w:kern w:val="0"/>
          <w:sz w:val="24"/>
          <w:szCs w:val="24"/>
          <w:highlight w:val="none"/>
          <w:u w:color="000000"/>
          <w:lang w:val="en-US" w:eastAsia="zh-CN" w:bidi="ar"/>
        </w:rPr>
        <w:t>授权委托书</w:t>
      </w:r>
    </w:p>
    <w:p w14:paraId="20236F0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20A43B10">
      <w:pPr>
        <w:keepNext w:val="0"/>
        <w:keepLines w:val="0"/>
        <w:widowControl/>
        <w:suppressLineNumbers w:val="0"/>
        <w:spacing w:before="0" w:beforeAutospacing="0" w:after="0" w:afterAutospacing="0" w:line="540" w:lineRule="exact"/>
        <w:ind w:left="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本授权委托书声明：我</w:t>
      </w:r>
      <w:r>
        <w:rPr>
          <w:rFonts w:hint="eastAsia" w:ascii="宋体" w:hAnsi="宋体" w:eastAsia="宋体" w:cs="宋体"/>
          <w:color w:val="000000"/>
          <w:kern w:val="0"/>
          <w:sz w:val="24"/>
          <w:szCs w:val="24"/>
          <w:highlight w:val="none"/>
          <w:u w:val="single" w:color="000000"/>
          <w:lang w:val="en-US" w:eastAsia="zh-CN" w:bidi="ar"/>
        </w:rPr>
        <w:t xml:space="preserve">         （姓名）</w:t>
      </w: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（投标人名称）</w:t>
      </w:r>
      <w:r>
        <w:rPr>
          <w:rFonts w:hint="eastAsia" w:ascii="宋体" w:hAnsi="宋体" w:eastAsia="宋体" w:cs="宋体"/>
          <w:color w:val="000000"/>
          <w:kern w:val="0"/>
          <w:sz w:val="24"/>
          <w:szCs w:val="24"/>
          <w:highlight w:val="none"/>
          <w:u w:color="000000"/>
          <w:lang w:val="en-US" w:eastAsia="zh-CN" w:bidi="ar"/>
        </w:rPr>
        <w:t>的法定代表人，现授权委托</w:t>
      </w:r>
      <w:r>
        <w:rPr>
          <w:rFonts w:hint="eastAsia" w:ascii="宋体" w:hAnsi="宋体" w:eastAsia="宋体" w:cs="宋体"/>
          <w:color w:val="000000"/>
          <w:kern w:val="0"/>
          <w:sz w:val="24"/>
          <w:szCs w:val="24"/>
          <w:highlight w:val="none"/>
          <w:u w:val="single" w:color="000000"/>
          <w:lang w:val="en-US" w:eastAsia="zh-CN" w:bidi="ar"/>
        </w:rPr>
        <w:t xml:space="preserve">        （单位名称）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（姓名） </w:t>
      </w:r>
      <w:r>
        <w:rPr>
          <w:rFonts w:hint="eastAsia" w:ascii="宋体" w:hAnsi="宋体" w:eastAsia="宋体" w:cs="宋体"/>
          <w:color w:val="000000"/>
          <w:kern w:val="0"/>
          <w:sz w:val="24"/>
          <w:szCs w:val="24"/>
          <w:highlight w:val="none"/>
          <w:u w:color="000000"/>
          <w:lang w:val="en-US" w:eastAsia="zh-CN" w:bidi="ar"/>
        </w:rPr>
        <w:t>为我公司法定代表人授权委托代理人，参加</w:t>
      </w:r>
      <w:r>
        <w:rPr>
          <w:rFonts w:hint="eastAsia" w:ascii="宋体" w:hAnsi="宋体" w:eastAsia="宋体" w:cs="宋体"/>
          <w:color w:val="000000"/>
          <w:kern w:val="0"/>
          <w:sz w:val="24"/>
          <w:szCs w:val="24"/>
          <w:highlight w:val="none"/>
          <w:u w:val="single" w:color="000000"/>
          <w:lang w:val="en-US" w:eastAsia="zh-CN" w:bidi="ar"/>
        </w:rPr>
        <w:t xml:space="preserve">      招标人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工程的投标活动。代理人在投标、开标、评标、合同谈判过程中所签署的一切文件和处理与之有关的一切事务，我均予以承认。</w:t>
      </w:r>
    </w:p>
    <w:p w14:paraId="5785622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489CB29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6074727E">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附：法人及授权委托人身份证</w:t>
      </w:r>
    </w:p>
    <w:p w14:paraId="55EA6C2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47B748E3">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207F7CD2">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07321A31">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0FE9BF61">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5B62EB1D">
      <w:pPr>
        <w:keepNext w:val="0"/>
        <w:keepLines w:val="0"/>
        <w:pageBreakBefore w:val="0"/>
        <w:kinsoku/>
        <w:wordWrap/>
        <w:overflowPunct/>
        <w:topLinePunct w:val="0"/>
        <w:autoSpaceDE/>
        <w:autoSpaceDN/>
        <w:bidi w:val="0"/>
        <w:adjustRightInd/>
        <w:snapToGrid/>
        <w:spacing w:line="38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33EA7087">
      <w:pPr>
        <w:keepNext w:val="0"/>
        <w:keepLines w:val="0"/>
        <w:pageBreakBefore w:val="0"/>
        <w:widowControl w:val="0"/>
        <w:kinsoku/>
        <w:wordWrap/>
        <w:overflowPunct/>
        <w:topLinePunct w:val="0"/>
        <w:autoSpaceDE/>
        <w:autoSpaceDN/>
        <w:bidi w:val="0"/>
        <w:adjustRightInd/>
        <w:snapToGrid/>
        <w:spacing w:line="400" w:lineRule="exact"/>
        <w:ind w:firstLine="413" w:firstLineChars="147"/>
        <w:jc w:val="center"/>
        <w:textAlignment w:val="auto"/>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19E884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本人以企业法定代表人的身份郑重承诺：</w:t>
      </w:r>
    </w:p>
    <w:p w14:paraId="2D019B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一、将遵循公开、公正和诚实信用的原则自愿参加</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项目的投标；</w:t>
      </w:r>
    </w:p>
    <w:p w14:paraId="02A041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二、所提供的一切材料都是真实、有效、合法的；</w:t>
      </w:r>
    </w:p>
    <w:p w14:paraId="743A51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三、不出借、转让资质证书，不让他人挂靠投标，不以他人名义投标或者以其他方式弄虚作假，骗取中标；</w:t>
      </w:r>
    </w:p>
    <w:p w14:paraId="67A5CF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四、不与其他投标人相互串通投标报价，不排挤其他投标人的公平竞争、损害招标人的合法权益；</w:t>
      </w:r>
    </w:p>
    <w:p w14:paraId="7F066E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五、不与招标人、招标代理机构或其他投标人串通投标，损害国家利益、社会公共利益或者他人的合法权益；</w:t>
      </w:r>
    </w:p>
    <w:p w14:paraId="10E1D0F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六、我公司没有下列情形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8、</w:t>
      </w:r>
      <w:r>
        <w:rPr>
          <w:rFonts w:hint="eastAsia" w:ascii="宋体" w:hAnsi="宋体" w:eastAsia="宋体" w:cs="宋体"/>
          <w:color w:val="auto"/>
          <w:sz w:val="21"/>
          <w:szCs w:val="21"/>
          <w:highlight w:val="none"/>
          <w:lang w:eastAsia="zh-CN"/>
        </w:rPr>
        <w:t>被列入省级、市级农民工工资支付异常名录的施工企业，限制其参加全市范围内项目投标；列入县级异常名录的施工企业，限制其参加本行政区域内项目投标。</w:t>
      </w:r>
    </w:p>
    <w:p w14:paraId="30865C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、保证中标后不转包及使用挂靠队伍，若有分包征得建设单位同意；</w:t>
      </w:r>
    </w:p>
    <w:p w14:paraId="4E062B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、保证中标之后，按照投标文件承诺</w:t>
      </w:r>
      <w:r>
        <w:rPr>
          <w:rFonts w:hint="eastAsia" w:ascii="宋体" w:hAnsi="宋体" w:eastAsia="宋体" w:cs="宋体"/>
          <w:color w:val="auto"/>
          <w:sz w:val="21"/>
          <w:szCs w:val="21"/>
          <w:highlight w:val="none"/>
          <w:lang w:val="en-US" w:eastAsia="zh-CN"/>
        </w:rPr>
        <w:t>供货及服务</w:t>
      </w:r>
      <w:r>
        <w:rPr>
          <w:rFonts w:hint="eastAsia" w:ascii="宋体" w:hAnsi="宋体" w:eastAsia="宋体" w:cs="宋体"/>
          <w:color w:val="auto"/>
          <w:sz w:val="21"/>
          <w:szCs w:val="21"/>
          <w:highlight w:val="none"/>
        </w:rPr>
        <w:t>，如有违反，同意接受建设单位违约处罚；</w:t>
      </w:r>
    </w:p>
    <w:p w14:paraId="001BD4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、保证企业及所属相关人员在本次投标中无行贿等犯罪行为；</w:t>
      </w:r>
    </w:p>
    <w:p w14:paraId="6DAD32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7B57A6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3034D7F6">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color w:val="auto"/>
          <w:szCs w:val="21"/>
          <w:highlight w:val="none"/>
        </w:rPr>
        <w:t> </w:t>
      </w:r>
      <w:r>
        <w:rPr>
          <w:rFonts w:hint="eastAsia" w:ascii="宋体" w:hAnsi="宋体"/>
          <w:szCs w:val="21"/>
          <w:highlight w:val="none"/>
        </w:rPr>
        <w:t>开户银行：                          基本账户：</w:t>
      </w:r>
    </w:p>
    <w:p w14:paraId="3A9B76E6">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投标单位（签章或盖章）：          法定代表人（签字或签章）：</w:t>
      </w:r>
    </w:p>
    <w:p w14:paraId="11651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r>
        <w:rPr>
          <w:rFonts w:hint="eastAsia" w:ascii="宋体" w:hAnsi="宋体" w:eastAsia="宋体" w:cs="宋体"/>
          <w:color w:val="000000"/>
          <w:kern w:val="0"/>
          <w:sz w:val="21"/>
          <w:szCs w:val="21"/>
          <w:highlight w:val="none"/>
          <w:u w:color="000000"/>
          <w:lang w:val="en-US" w:eastAsia="zh-CN" w:bidi="ar"/>
        </w:rPr>
        <w:t xml:space="preserve"> </w:t>
      </w:r>
    </w:p>
    <w:p w14:paraId="1F74D2D0">
      <w:pPr>
        <w:keepNext/>
        <w:keepLines/>
        <w:spacing w:line="720" w:lineRule="auto"/>
        <w:jc w:val="both"/>
        <w:outlineLvl w:val="2"/>
        <w:rPr>
          <w:rFonts w:hint="eastAsia"/>
          <w:b/>
          <w:bCs/>
          <w:sz w:val="28"/>
          <w:szCs w:val="28"/>
          <w:highlight w:val="none"/>
          <w:lang w:val="en-US" w:eastAsia="zh-CN"/>
        </w:rPr>
      </w:pPr>
      <w:r>
        <w:rPr>
          <w:rFonts w:hint="eastAsia" w:ascii="宋体" w:hAnsi="宋体" w:eastAsia="宋体" w:cs="宋体"/>
          <w:color w:val="000000"/>
          <w:kern w:val="0"/>
          <w:sz w:val="21"/>
          <w:szCs w:val="21"/>
          <w:highlight w:val="none"/>
          <w:u w:color="000000"/>
          <w:lang w:val="en-US" w:eastAsia="zh-CN" w:bidi="ar"/>
        </w:rPr>
        <w:br w:type="page"/>
      </w:r>
      <w:r>
        <w:rPr>
          <w:rFonts w:hint="eastAsia"/>
          <w:b/>
          <w:bCs/>
          <w:sz w:val="28"/>
          <w:szCs w:val="28"/>
          <w:highlight w:val="none"/>
          <w:lang w:val="en-US" w:eastAsia="zh-CN"/>
        </w:rPr>
        <w:t>附件3：</w:t>
      </w:r>
    </w:p>
    <w:p w14:paraId="039C3213">
      <w:pPr>
        <w:keepNext/>
        <w:keepLines/>
        <w:spacing w:line="720" w:lineRule="auto"/>
        <w:jc w:val="center"/>
        <w:outlineLvl w:val="2"/>
        <w:rPr>
          <w:b/>
          <w:bCs/>
          <w:sz w:val="28"/>
          <w:szCs w:val="28"/>
          <w:highlight w:val="none"/>
        </w:rPr>
      </w:pPr>
      <w:r>
        <w:rPr>
          <w:rFonts w:hint="eastAsia"/>
          <w:b/>
          <w:bCs/>
          <w:sz w:val="28"/>
          <w:szCs w:val="28"/>
          <w:highlight w:val="none"/>
        </w:rPr>
        <w:t>服务承诺书</w:t>
      </w:r>
    </w:p>
    <w:p w14:paraId="57F96DC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07E5E74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w:t>
      </w:r>
      <w:r>
        <w:rPr>
          <w:rFonts w:hint="eastAsia" w:ascii="宋体" w:hAnsi="宋体"/>
          <w:color w:val="000000"/>
          <w:sz w:val="24"/>
          <w:highlight w:val="none"/>
          <w:lang w:val="en-US" w:eastAsia="zh-CN"/>
        </w:rPr>
        <w:t>供货和</w:t>
      </w:r>
      <w:r>
        <w:rPr>
          <w:rFonts w:hint="eastAsia" w:ascii="宋体" w:hAnsi="宋体"/>
          <w:color w:val="000000"/>
          <w:sz w:val="24"/>
          <w:highlight w:val="none"/>
        </w:rPr>
        <w:t>服务。</w:t>
      </w:r>
      <w:r>
        <w:rPr>
          <w:rFonts w:hint="eastAsia" w:ascii="宋体" w:hAnsi="宋体"/>
          <w:color w:val="000000"/>
          <w:sz w:val="24"/>
          <w:highlight w:val="none"/>
          <w:lang w:val="en-US" w:eastAsia="zh-CN"/>
        </w:rPr>
        <w:t>若发现有偏离且不能按招标人要求调整的，招标人有权终止合同重新招标，我方承担因此产生的所有经济及工期责任。</w:t>
      </w:r>
    </w:p>
    <w:p w14:paraId="35FECF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特此声明。</w:t>
      </w:r>
    </w:p>
    <w:p w14:paraId="6581C774">
      <w:pPr>
        <w:spacing w:line="720" w:lineRule="auto"/>
        <w:rPr>
          <w:rFonts w:ascii="宋体" w:hAnsi="宋体"/>
          <w:color w:val="000000"/>
          <w:sz w:val="24"/>
          <w:highlight w:val="none"/>
        </w:rPr>
      </w:pPr>
      <w:r>
        <w:rPr>
          <w:rFonts w:hint="eastAsia" w:ascii="宋体" w:hAnsi="宋体"/>
          <w:color w:val="000000"/>
          <w:sz w:val="24"/>
          <w:highlight w:val="none"/>
        </w:rPr>
        <w:t> </w:t>
      </w:r>
    </w:p>
    <w:p w14:paraId="703CAE04">
      <w:pPr>
        <w:spacing w:line="720" w:lineRule="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（签章）       </w:t>
      </w:r>
    </w:p>
    <w:p w14:paraId="43BF399E">
      <w:pPr>
        <w:spacing w:line="720" w:lineRule="auto"/>
        <w:rPr>
          <w:rFonts w:ascii="宋体" w:hAnsi="宋体"/>
          <w:color w:val="000000"/>
          <w:sz w:val="24"/>
          <w:highlight w:val="none"/>
          <w:u w:val="single"/>
        </w:rPr>
      </w:pPr>
      <w:r>
        <w:rPr>
          <w:rFonts w:hint="eastAsia" w:ascii="宋体" w:hAnsi="宋体"/>
          <w:color w:val="000000"/>
          <w:sz w:val="24"/>
          <w:highlight w:val="none"/>
        </w:rPr>
        <w:t>                                    投标单位名称：</w:t>
      </w:r>
      <w:r>
        <w:rPr>
          <w:rFonts w:hint="eastAsia" w:ascii="宋体" w:hAnsi="宋体"/>
          <w:color w:val="000000"/>
          <w:sz w:val="24"/>
          <w:highlight w:val="none"/>
          <w:u w:val="single"/>
        </w:rPr>
        <w:t xml:space="preserve">        （签章）    </w:t>
      </w:r>
    </w:p>
    <w:p w14:paraId="6EBAEF83">
      <w:pPr>
        <w:spacing w:line="720" w:lineRule="auto"/>
        <w:ind w:firstLine="4560" w:firstLineChars="1900"/>
        <w:jc w:val="left"/>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10A8A76E">
      <w:pPr>
        <w:rPr>
          <w:rFonts w:hint="eastAsia" w:ascii="宋体" w:hAnsi="宋体"/>
          <w:b/>
          <w:color w:val="auto"/>
          <w:sz w:val="24"/>
          <w:highlight w:val="none"/>
        </w:rPr>
      </w:pPr>
      <w:r>
        <w:rPr>
          <w:rFonts w:hint="eastAsia" w:ascii="宋体" w:hAnsi="宋体"/>
          <w:b/>
          <w:color w:val="auto"/>
          <w:sz w:val="24"/>
          <w:highlight w:val="none"/>
        </w:rPr>
        <w:br w:type="page"/>
      </w:r>
    </w:p>
    <w:p w14:paraId="2FF3C81E">
      <w:pPr>
        <w:spacing w:line="360" w:lineRule="exact"/>
        <w:ind w:firstLine="354" w:firstLineChars="147"/>
        <w:rPr>
          <w:rFonts w:hint="eastAsia" w:ascii="宋体" w:hAnsi="宋体" w:eastAsia="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4</w:t>
      </w:r>
    </w:p>
    <w:p w14:paraId="0AB08FA4">
      <w:pPr>
        <w:jc w:val="center"/>
        <w:rPr>
          <w:rFonts w:hint="eastAsia" w:ascii="宋体" w:hAnsi="宋体"/>
          <w:b/>
          <w:color w:val="auto"/>
          <w:sz w:val="30"/>
          <w:szCs w:val="30"/>
          <w:highlight w:val="none"/>
        </w:rPr>
      </w:pPr>
      <w:r>
        <w:rPr>
          <w:rFonts w:hint="eastAsia" w:ascii="宋体" w:hAnsi="宋体"/>
          <w:b/>
          <w:color w:val="auto"/>
          <w:sz w:val="30"/>
          <w:szCs w:val="30"/>
          <w:highlight w:val="none"/>
        </w:rPr>
        <w:t>技术参数响应表（格式）</w:t>
      </w:r>
    </w:p>
    <w:p w14:paraId="72A99F48">
      <w:pPr>
        <w:rPr>
          <w:rFonts w:hint="eastAsia" w:ascii="宋体" w:hAnsi="宋体"/>
          <w:color w:val="auto"/>
          <w:sz w:val="24"/>
          <w:highlight w:val="none"/>
        </w:rPr>
      </w:pPr>
    </w:p>
    <w:tbl>
      <w:tblPr>
        <w:tblStyle w:val="26"/>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3094"/>
        <w:gridCol w:w="1577"/>
        <w:gridCol w:w="1962"/>
      </w:tblGrid>
      <w:tr w14:paraId="1F3A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65" w:type="dxa"/>
            <w:noWrap w:val="0"/>
            <w:vAlign w:val="center"/>
          </w:tcPr>
          <w:p w14:paraId="298EF5C7">
            <w:pPr>
              <w:keepNext w:val="0"/>
              <w:keepLines w:val="0"/>
              <w:suppressLineNumbers w:val="0"/>
              <w:spacing w:before="0" w:beforeAutospacing="0" w:after="0" w:afterAutospacing="0" w:line="240" w:lineRule="atLeas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1421" w:type="dxa"/>
            <w:noWrap w:val="0"/>
            <w:vAlign w:val="center"/>
          </w:tcPr>
          <w:p w14:paraId="37A1FA28">
            <w:pPr>
              <w:keepNext w:val="0"/>
              <w:keepLines w:val="0"/>
              <w:suppressLineNumbers w:val="0"/>
              <w:spacing w:before="0" w:beforeAutospacing="0" w:after="0" w:afterAutospacing="0" w:line="240" w:lineRule="atLeas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品目名称</w:t>
            </w:r>
          </w:p>
        </w:tc>
        <w:tc>
          <w:tcPr>
            <w:tcW w:w="3094" w:type="dxa"/>
            <w:noWrap w:val="0"/>
            <w:vAlign w:val="center"/>
          </w:tcPr>
          <w:p w14:paraId="70D81C3E">
            <w:pPr>
              <w:keepNext w:val="0"/>
              <w:keepLines w:val="0"/>
              <w:suppressLineNumbers w:val="0"/>
              <w:spacing w:before="0" w:beforeAutospacing="0" w:after="0" w:afterAutospacing="0" w:line="240" w:lineRule="atLeas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规格型号及参数</w:t>
            </w:r>
          </w:p>
        </w:tc>
        <w:tc>
          <w:tcPr>
            <w:tcW w:w="1577" w:type="dxa"/>
            <w:noWrap w:val="0"/>
            <w:vAlign w:val="center"/>
          </w:tcPr>
          <w:p w14:paraId="3104C035">
            <w:pPr>
              <w:keepNext w:val="0"/>
              <w:keepLines w:val="0"/>
              <w:suppressLineNumbers w:val="0"/>
              <w:spacing w:before="0" w:beforeAutospacing="0" w:after="0" w:afterAutospacing="0" w:line="240" w:lineRule="atLeas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是否响应</w:t>
            </w:r>
          </w:p>
        </w:tc>
        <w:tc>
          <w:tcPr>
            <w:tcW w:w="1962" w:type="dxa"/>
            <w:noWrap w:val="0"/>
            <w:vAlign w:val="center"/>
          </w:tcPr>
          <w:p w14:paraId="74D7A069">
            <w:pPr>
              <w:keepNext w:val="0"/>
              <w:keepLines w:val="0"/>
              <w:suppressLineNumbers w:val="0"/>
              <w:spacing w:before="0" w:beforeAutospacing="0" w:after="0" w:afterAutospacing="0" w:line="240" w:lineRule="atLeas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其他情况说明</w:t>
            </w:r>
          </w:p>
        </w:tc>
      </w:tr>
      <w:tr w14:paraId="6714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0BF6D5B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noWrap w:val="0"/>
            <w:vAlign w:val="center"/>
          </w:tcPr>
          <w:p w14:paraId="59164CC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Cs w:val="21"/>
                <w:highlight w:val="none"/>
              </w:rPr>
            </w:pPr>
          </w:p>
        </w:tc>
        <w:tc>
          <w:tcPr>
            <w:tcW w:w="3094" w:type="dxa"/>
            <w:noWrap w:val="0"/>
            <w:vAlign w:val="center"/>
          </w:tcPr>
          <w:p w14:paraId="5FC496DC">
            <w:pPr>
              <w:keepNext w:val="0"/>
              <w:keepLines w:val="0"/>
              <w:suppressLineNumbers w:val="0"/>
              <w:spacing w:before="0" w:beforeAutospacing="0" w:after="0" w:afterAutospacing="0"/>
              <w:ind w:left="0" w:right="0" w:firstLine="630" w:firstLineChars="300"/>
              <w:jc w:val="center"/>
              <w:rPr>
                <w:rFonts w:hint="eastAsia" w:ascii="宋体" w:hAnsi="宋体"/>
                <w:color w:val="auto"/>
                <w:szCs w:val="21"/>
                <w:highlight w:val="none"/>
              </w:rPr>
            </w:pPr>
          </w:p>
        </w:tc>
        <w:tc>
          <w:tcPr>
            <w:tcW w:w="1577" w:type="dxa"/>
            <w:noWrap w:val="0"/>
            <w:vAlign w:val="center"/>
          </w:tcPr>
          <w:p w14:paraId="268C612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s="宋体"/>
                <w:color w:val="auto"/>
                <w:szCs w:val="21"/>
                <w:highlight w:val="none"/>
              </w:rPr>
              <w:t>是/否</w:t>
            </w:r>
          </w:p>
        </w:tc>
        <w:tc>
          <w:tcPr>
            <w:tcW w:w="1962" w:type="dxa"/>
            <w:noWrap w:val="0"/>
            <w:vAlign w:val="center"/>
          </w:tcPr>
          <w:p w14:paraId="1278653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70DC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27B889F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noWrap w:val="0"/>
            <w:vAlign w:val="center"/>
          </w:tcPr>
          <w:p w14:paraId="585C084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3094" w:type="dxa"/>
            <w:noWrap w:val="0"/>
            <w:vAlign w:val="center"/>
          </w:tcPr>
          <w:p w14:paraId="63F61108">
            <w:pPr>
              <w:keepNext w:val="0"/>
              <w:keepLines w:val="0"/>
              <w:suppressLineNumbers w:val="0"/>
              <w:spacing w:before="0" w:beforeAutospacing="0" w:after="0" w:afterAutospacing="0"/>
              <w:ind w:left="0" w:right="0" w:firstLine="630" w:firstLineChars="300"/>
              <w:jc w:val="center"/>
              <w:rPr>
                <w:rFonts w:hint="eastAsia" w:ascii="宋体" w:hAnsi="宋体"/>
                <w:color w:val="auto"/>
                <w:szCs w:val="21"/>
                <w:highlight w:val="none"/>
              </w:rPr>
            </w:pPr>
          </w:p>
        </w:tc>
        <w:tc>
          <w:tcPr>
            <w:tcW w:w="1577" w:type="dxa"/>
            <w:noWrap w:val="0"/>
            <w:vAlign w:val="center"/>
          </w:tcPr>
          <w:p w14:paraId="40828E00">
            <w:pPr>
              <w:keepNext w:val="0"/>
              <w:keepLines w:val="0"/>
              <w:suppressLineNumbers w:val="0"/>
              <w:spacing w:before="0" w:beforeAutospacing="0" w:after="0" w:afterAutospacing="0"/>
              <w:ind w:left="0" w:right="0"/>
              <w:jc w:val="center"/>
              <w:rPr>
                <w:rFonts w:hint="default"/>
                <w:color w:val="auto"/>
                <w:highlight w:val="none"/>
              </w:rPr>
            </w:pPr>
            <w:r>
              <w:rPr>
                <w:rFonts w:hint="eastAsia" w:ascii="宋体" w:hAnsi="宋体" w:cs="宋体"/>
                <w:color w:val="auto"/>
                <w:szCs w:val="21"/>
                <w:highlight w:val="none"/>
              </w:rPr>
              <w:t>是/否</w:t>
            </w:r>
          </w:p>
        </w:tc>
        <w:tc>
          <w:tcPr>
            <w:tcW w:w="1962" w:type="dxa"/>
            <w:noWrap w:val="0"/>
            <w:vAlign w:val="center"/>
          </w:tcPr>
          <w:p w14:paraId="4DC563E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A02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4DE59FE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noWrap w:val="0"/>
            <w:vAlign w:val="center"/>
          </w:tcPr>
          <w:p w14:paraId="6686D75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3094" w:type="dxa"/>
            <w:noWrap w:val="0"/>
            <w:vAlign w:val="center"/>
          </w:tcPr>
          <w:p w14:paraId="1E0F2C9D">
            <w:pPr>
              <w:keepNext w:val="0"/>
              <w:keepLines w:val="0"/>
              <w:suppressLineNumbers w:val="0"/>
              <w:spacing w:before="0" w:beforeAutospacing="0" w:after="0" w:afterAutospacing="0"/>
              <w:ind w:left="0" w:right="0" w:firstLine="630" w:firstLineChars="300"/>
              <w:jc w:val="center"/>
              <w:rPr>
                <w:rFonts w:hint="eastAsia" w:ascii="宋体" w:hAnsi="宋体"/>
                <w:color w:val="auto"/>
                <w:szCs w:val="21"/>
                <w:highlight w:val="none"/>
              </w:rPr>
            </w:pPr>
          </w:p>
        </w:tc>
        <w:tc>
          <w:tcPr>
            <w:tcW w:w="1577" w:type="dxa"/>
            <w:noWrap w:val="0"/>
            <w:vAlign w:val="center"/>
          </w:tcPr>
          <w:p w14:paraId="2FEB80AD">
            <w:pPr>
              <w:keepNext w:val="0"/>
              <w:keepLines w:val="0"/>
              <w:suppressLineNumbers w:val="0"/>
              <w:spacing w:before="0" w:beforeAutospacing="0" w:after="0" w:afterAutospacing="0"/>
              <w:ind w:left="0" w:right="0"/>
              <w:jc w:val="center"/>
              <w:rPr>
                <w:rFonts w:hint="default"/>
                <w:color w:val="auto"/>
                <w:highlight w:val="none"/>
              </w:rPr>
            </w:pPr>
            <w:r>
              <w:rPr>
                <w:rFonts w:hint="eastAsia" w:ascii="宋体" w:hAnsi="宋体" w:cs="宋体"/>
                <w:color w:val="auto"/>
                <w:szCs w:val="21"/>
                <w:highlight w:val="none"/>
              </w:rPr>
              <w:t>是/否</w:t>
            </w:r>
          </w:p>
        </w:tc>
        <w:tc>
          <w:tcPr>
            <w:tcW w:w="1962" w:type="dxa"/>
            <w:noWrap w:val="0"/>
            <w:vAlign w:val="center"/>
          </w:tcPr>
          <w:p w14:paraId="66E6260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664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472059F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default" w:ascii="宋体" w:hAnsi="宋体"/>
                <w:color w:val="auto"/>
                <w:szCs w:val="21"/>
                <w:highlight w:val="none"/>
              </w:rPr>
              <w:t>…</w:t>
            </w:r>
          </w:p>
        </w:tc>
        <w:tc>
          <w:tcPr>
            <w:tcW w:w="1421" w:type="dxa"/>
            <w:shd w:val="clear" w:color="auto" w:fill="FFFFFF"/>
            <w:noWrap w:val="0"/>
            <w:vAlign w:val="center"/>
          </w:tcPr>
          <w:p w14:paraId="5DBEAC5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 w:val="24"/>
                <w:highlight w:val="none"/>
              </w:rPr>
            </w:pPr>
          </w:p>
        </w:tc>
        <w:tc>
          <w:tcPr>
            <w:tcW w:w="3094" w:type="dxa"/>
            <w:noWrap w:val="0"/>
            <w:vAlign w:val="center"/>
          </w:tcPr>
          <w:p w14:paraId="5A351195">
            <w:pPr>
              <w:keepNext w:val="0"/>
              <w:keepLines w:val="0"/>
              <w:suppressLineNumbers w:val="0"/>
              <w:spacing w:before="0" w:beforeAutospacing="0" w:after="0" w:afterAutospacing="0"/>
              <w:ind w:left="0" w:right="0" w:firstLine="630" w:firstLineChars="300"/>
              <w:jc w:val="center"/>
              <w:rPr>
                <w:rFonts w:hint="eastAsia" w:ascii="宋体" w:hAnsi="宋体"/>
                <w:color w:val="auto"/>
                <w:szCs w:val="21"/>
                <w:highlight w:val="none"/>
              </w:rPr>
            </w:pPr>
          </w:p>
        </w:tc>
        <w:tc>
          <w:tcPr>
            <w:tcW w:w="1577" w:type="dxa"/>
            <w:noWrap w:val="0"/>
            <w:vAlign w:val="center"/>
          </w:tcPr>
          <w:p w14:paraId="4C5719E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default" w:ascii="宋体" w:hAnsi="宋体" w:cs="宋体"/>
                <w:color w:val="auto"/>
                <w:szCs w:val="21"/>
                <w:highlight w:val="none"/>
              </w:rPr>
              <w:t>…</w:t>
            </w:r>
          </w:p>
        </w:tc>
        <w:tc>
          <w:tcPr>
            <w:tcW w:w="1962" w:type="dxa"/>
            <w:noWrap w:val="0"/>
            <w:vAlign w:val="center"/>
          </w:tcPr>
          <w:p w14:paraId="14F6F5E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bl>
    <w:p w14:paraId="785B76DE">
      <w:pPr>
        <w:autoSpaceDE w:val="0"/>
        <w:autoSpaceDN w:val="0"/>
        <w:adjustRightInd w:val="0"/>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注：1.</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应逐一说明投标产品和</w:t>
      </w:r>
      <w:r>
        <w:rPr>
          <w:rFonts w:hint="eastAsia" w:ascii="宋体" w:hAnsi="宋体" w:eastAsia="宋体" w:cs="宋体"/>
          <w:color w:val="auto"/>
          <w:szCs w:val="21"/>
          <w:highlight w:val="none"/>
          <w:lang w:val="en-US" w:eastAsia="zh-CN"/>
        </w:rPr>
        <w:t>参数</w:t>
      </w:r>
      <w:r>
        <w:rPr>
          <w:rFonts w:hint="eastAsia" w:ascii="宋体" w:hAnsi="宋体" w:eastAsia="宋体" w:cs="宋体"/>
          <w:color w:val="auto"/>
          <w:szCs w:val="21"/>
          <w:highlight w:val="none"/>
          <w:lang w:val="zh-CN"/>
        </w:rPr>
        <w:t>响应；</w:t>
      </w:r>
    </w:p>
    <w:p w14:paraId="5B04FEBE">
      <w:pPr>
        <w:autoSpaceDE w:val="0"/>
        <w:autoSpaceDN w:val="0"/>
        <w:adjustRightInd w:val="0"/>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2.如果行数不够，请自行增加。</w:t>
      </w:r>
    </w:p>
    <w:p w14:paraId="4FC4FC10">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4AADAEC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7E122AD">
      <w:pPr>
        <w:spacing w:line="480" w:lineRule="auto"/>
        <w:rPr>
          <w:rFonts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E60F9A6">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货物的详细配置清单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7A8A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noWrap w:val="0"/>
            <w:vAlign w:val="center"/>
          </w:tcPr>
          <w:p w14:paraId="1F4A7C32">
            <w:pPr>
              <w:keepNext w:val="0"/>
              <w:keepLines w:val="0"/>
              <w:suppressLineNumbers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1436" w:type="dxa"/>
            <w:noWrap w:val="0"/>
            <w:vAlign w:val="center"/>
          </w:tcPr>
          <w:p w14:paraId="374902D8">
            <w:pPr>
              <w:keepNext w:val="0"/>
              <w:keepLines w:val="0"/>
              <w:suppressLineNumbers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2154" w:type="dxa"/>
            <w:noWrap w:val="0"/>
            <w:vAlign w:val="center"/>
          </w:tcPr>
          <w:p w14:paraId="549D5F4C">
            <w:pPr>
              <w:keepNext w:val="0"/>
              <w:keepLines w:val="0"/>
              <w:suppressLineNumbers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szCs w:val="21"/>
                <w:highlight w:val="none"/>
              </w:rPr>
              <w:t>品牌、规格型号</w:t>
            </w:r>
          </w:p>
        </w:tc>
        <w:tc>
          <w:tcPr>
            <w:tcW w:w="1171" w:type="dxa"/>
            <w:noWrap w:val="0"/>
            <w:vAlign w:val="center"/>
          </w:tcPr>
          <w:p w14:paraId="3DBF9FF6">
            <w:pPr>
              <w:keepNext w:val="0"/>
              <w:keepLines w:val="0"/>
              <w:suppressLineNumbers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szCs w:val="21"/>
                <w:highlight w:val="none"/>
              </w:rPr>
              <w:t>产地</w:t>
            </w:r>
          </w:p>
        </w:tc>
        <w:tc>
          <w:tcPr>
            <w:tcW w:w="2180" w:type="dxa"/>
            <w:noWrap w:val="0"/>
            <w:vAlign w:val="center"/>
          </w:tcPr>
          <w:p w14:paraId="25CCDD67">
            <w:pPr>
              <w:keepNext w:val="0"/>
              <w:keepLines w:val="0"/>
              <w:suppressLineNumbers w:val="0"/>
              <w:spacing w:before="0" w:beforeAutospacing="0" w:after="0" w:afterAutospacing="0" w:line="360" w:lineRule="auto"/>
              <w:ind w:left="261" w:right="0"/>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532" w:type="dxa"/>
            <w:noWrap w:val="0"/>
            <w:vAlign w:val="center"/>
          </w:tcPr>
          <w:p w14:paraId="5C61C521">
            <w:pPr>
              <w:keepNext w:val="0"/>
              <w:keepLines w:val="0"/>
              <w:suppressLineNumbers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color w:val="auto"/>
                <w:szCs w:val="21"/>
                <w:highlight w:val="none"/>
              </w:rPr>
              <w:t>详细配置清单</w:t>
            </w:r>
          </w:p>
        </w:tc>
      </w:tr>
      <w:tr w14:paraId="1AA5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40C5A623">
            <w:pPr>
              <w:keepNext w:val="0"/>
              <w:keepLines w:val="0"/>
              <w:numPr>
                <w:ilvl w:val="0"/>
                <w:numId w:val="8"/>
              </w:numPr>
              <w:suppressLineNumbers w:val="0"/>
              <w:spacing w:before="0" w:beforeAutospacing="0" w:after="0" w:afterAutospacing="0" w:line="360" w:lineRule="auto"/>
              <w:ind w:right="0"/>
              <w:rPr>
                <w:rFonts w:hint="eastAsia" w:ascii="宋体" w:hAnsi="宋体"/>
                <w:color w:val="auto"/>
                <w:szCs w:val="21"/>
                <w:highlight w:val="none"/>
              </w:rPr>
            </w:pPr>
          </w:p>
        </w:tc>
        <w:tc>
          <w:tcPr>
            <w:tcW w:w="1436" w:type="dxa"/>
            <w:shd w:val="clear" w:color="auto" w:fill="FFFFFF"/>
            <w:noWrap w:val="0"/>
            <w:vAlign w:val="center"/>
          </w:tcPr>
          <w:p w14:paraId="58A2C7E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Cs w:val="21"/>
                <w:highlight w:val="none"/>
              </w:rPr>
            </w:pPr>
          </w:p>
        </w:tc>
        <w:tc>
          <w:tcPr>
            <w:tcW w:w="2154" w:type="dxa"/>
            <w:noWrap w:val="0"/>
            <w:vAlign w:val="top"/>
          </w:tcPr>
          <w:p w14:paraId="1BE949F5">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c>
          <w:tcPr>
            <w:tcW w:w="1171" w:type="dxa"/>
            <w:noWrap w:val="0"/>
            <w:vAlign w:val="top"/>
          </w:tcPr>
          <w:p w14:paraId="1D46FF3A">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c>
          <w:tcPr>
            <w:tcW w:w="2180" w:type="dxa"/>
            <w:noWrap w:val="0"/>
            <w:vAlign w:val="top"/>
          </w:tcPr>
          <w:p w14:paraId="204F48D1">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c>
          <w:tcPr>
            <w:tcW w:w="1532" w:type="dxa"/>
            <w:noWrap w:val="0"/>
            <w:vAlign w:val="top"/>
          </w:tcPr>
          <w:p w14:paraId="6766718D">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28A1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0D4C40BF">
            <w:pPr>
              <w:keepNext w:val="0"/>
              <w:keepLines w:val="0"/>
              <w:numPr>
                <w:ilvl w:val="0"/>
                <w:numId w:val="8"/>
              </w:numPr>
              <w:suppressLineNumbers w:val="0"/>
              <w:spacing w:before="0" w:beforeAutospacing="0" w:after="0" w:afterAutospacing="0" w:line="360" w:lineRule="auto"/>
              <w:ind w:right="0"/>
              <w:rPr>
                <w:rFonts w:hint="eastAsia" w:ascii="宋体" w:hAnsi="宋体"/>
                <w:color w:val="auto"/>
                <w:szCs w:val="21"/>
                <w:highlight w:val="none"/>
              </w:rPr>
            </w:pPr>
          </w:p>
        </w:tc>
        <w:tc>
          <w:tcPr>
            <w:tcW w:w="1436" w:type="dxa"/>
            <w:shd w:val="clear" w:color="auto" w:fill="FFFFFF"/>
            <w:noWrap w:val="0"/>
            <w:vAlign w:val="center"/>
          </w:tcPr>
          <w:p w14:paraId="4EAFA3C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Cs w:val="21"/>
                <w:highlight w:val="none"/>
              </w:rPr>
            </w:pPr>
          </w:p>
        </w:tc>
        <w:tc>
          <w:tcPr>
            <w:tcW w:w="2154" w:type="dxa"/>
            <w:noWrap w:val="0"/>
            <w:vAlign w:val="top"/>
          </w:tcPr>
          <w:p w14:paraId="379C6F5F">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c>
          <w:tcPr>
            <w:tcW w:w="1171" w:type="dxa"/>
            <w:noWrap w:val="0"/>
            <w:vAlign w:val="top"/>
          </w:tcPr>
          <w:p w14:paraId="3F48C483">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c>
          <w:tcPr>
            <w:tcW w:w="2180" w:type="dxa"/>
            <w:noWrap w:val="0"/>
            <w:vAlign w:val="top"/>
          </w:tcPr>
          <w:p w14:paraId="0719AFE6">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c>
          <w:tcPr>
            <w:tcW w:w="1532" w:type="dxa"/>
            <w:noWrap w:val="0"/>
            <w:vAlign w:val="top"/>
          </w:tcPr>
          <w:p w14:paraId="532F3B5F">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5DB5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4CC69A0C">
            <w:pPr>
              <w:keepNext w:val="0"/>
              <w:keepLines w:val="0"/>
              <w:numPr>
                <w:ilvl w:val="0"/>
                <w:numId w:val="8"/>
              </w:numPr>
              <w:suppressLineNumbers w:val="0"/>
              <w:spacing w:before="0" w:beforeAutospacing="0" w:after="0" w:afterAutospacing="0" w:line="360" w:lineRule="auto"/>
              <w:ind w:right="0"/>
              <w:rPr>
                <w:rFonts w:hint="eastAsia" w:ascii="宋体" w:hAnsi="宋体"/>
                <w:color w:val="auto"/>
                <w:szCs w:val="21"/>
                <w:highlight w:val="none"/>
              </w:rPr>
            </w:pPr>
          </w:p>
        </w:tc>
        <w:tc>
          <w:tcPr>
            <w:tcW w:w="1436" w:type="dxa"/>
            <w:shd w:val="clear" w:color="auto" w:fill="FFFFFF"/>
            <w:noWrap w:val="0"/>
            <w:vAlign w:val="center"/>
          </w:tcPr>
          <w:p w14:paraId="784FBDB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Cs w:val="21"/>
                <w:highlight w:val="none"/>
              </w:rPr>
            </w:pPr>
          </w:p>
        </w:tc>
        <w:tc>
          <w:tcPr>
            <w:tcW w:w="2154" w:type="dxa"/>
            <w:noWrap w:val="0"/>
            <w:vAlign w:val="top"/>
          </w:tcPr>
          <w:p w14:paraId="77C5DF25">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c>
          <w:tcPr>
            <w:tcW w:w="1171" w:type="dxa"/>
            <w:noWrap w:val="0"/>
            <w:vAlign w:val="top"/>
          </w:tcPr>
          <w:p w14:paraId="0A0843F8">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c>
          <w:tcPr>
            <w:tcW w:w="2180" w:type="dxa"/>
            <w:noWrap w:val="0"/>
            <w:vAlign w:val="top"/>
          </w:tcPr>
          <w:p w14:paraId="2D0E522C">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c>
          <w:tcPr>
            <w:tcW w:w="1532" w:type="dxa"/>
            <w:noWrap w:val="0"/>
            <w:vAlign w:val="top"/>
          </w:tcPr>
          <w:p w14:paraId="6B1A0072">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r w14:paraId="297B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71493582">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r>
              <w:rPr>
                <w:rFonts w:hint="default" w:ascii="宋体" w:hAnsi="宋体"/>
                <w:color w:val="auto"/>
                <w:szCs w:val="21"/>
                <w:highlight w:val="none"/>
              </w:rPr>
              <w:t>…</w:t>
            </w:r>
          </w:p>
        </w:tc>
        <w:tc>
          <w:tcPr>
            <w:tcW w:w="1436" w:type="dxa"/>
            <w:shd w:val="clear" w:color="auto" w:fill="FFFFFF"/>
            <w:noWrap w:val="0"/>
            <w:vAlign w:val="center"/>
          </w:tcPr>
          <w:p w14:paraId="22F46CC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olor w:val="auto"/>
                <w:szCs w:val="21"/>
                <w:highlight w:val="none"/>
              </w:rPr>
            </w:pPr>
          </w:p>
        </w:tc>
        <w:tc>
          <w:tcPr>
            <w:tcW w:w="2154" w:type="dxa"/>
            <w:noWrap w:val="0"/>
            <w:vAlign w:val="top"/>
          </w:tcPr>
          <w:p w14:paraId="619DABC3">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c>
          <w:tcPr>
            <w:tcW w:w="1171" w:type="dxa"/>
            <w:noWrap w:val="0"/>
            <w:vAlign w:val="top"/>
          </w:tcPr>
          <w:p w14:paraId="23D9B787">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c>
          <w:tcPr>
            <w:tcW w:w="2180" w:type="dxa"/>
            <w:noWrap w:val="0"/>
            <w:vAlign w:val="top"/>
          </w:tcPr>
          <w:p w14:paraId="12293C84">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c>
          <w:tcPr>
            <w:tcW w:w="1532" w:type="dxa"/>
            <w:noWrap w:val="0"/>
            <w:vAlign w:val="top"/>
          </w:tcPr>
          <w:p w14:paraId="2608F288">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p>
        </w:tc>
      </w:tr>
    </w:tbl>
    <w:p w14:paraId="38EACC07">
      <w:pPr>
        <w:spacing w:line="360" w:lineRule="auto"/>
        <w:jc w:val="left"/>
        <w:rPr>
          <w:rFonts w:hint="eastAsia" w:ascii="宋体" w:hAnsi="宋体"/>
          <w:b/>
          <w:color w:val="auto"/>
          <w:sz w:val="28"/>
          <w:szCs w:val="28"/>
          <w:highlight w:val="none"/>
        </w:rPr>
      </w:pPr>
      <w:r>
        <w:rPr>
          <w:rFonts w:hint="eastAsia" w:ascii="宋体" w:hAnsi="宋体"/>
          <w:b/>
          <w:color w:val="auto"/>
          <w:sz w:val="28"/>
          <w:szCs w:val="28"/>
          <w:highlight w:val="none"/>
        </w:rPr>
        <w:t>注：</w:t>
      </w:r>
      <w:r>
        <w:rPr>
          <w:rFonts w:hint="eastAsia" w:ascii="宋体" w:hAnsi="宋体" w:cs="宋体"/>
          <w:color w:val="auto"/>
          <w:szCs w:val="21"/>
          <w:highlight w:val="none"/>
          <w:lang w:val="zh-CN"/>
        </w:rPr>
        <w:t>如果行数不够，请自行增加。</w:t>
      </w:r>
    </w:p>
    <w:p w14:paraId="14A81A5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03BF882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C14469E">
      <w:pPr>
        <w:spacing w:line="480" w:lineRule="auto"/>
        <w:rPr>
          <w:rFonts w:hint="eastAsia"/>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7159C5F">
      <w:pPr>
        <w:rPr>
          <w:highlight w:val="none"/>
        </w:rPr>
      </w:pPr>
      <w:r>
        <w:rPr>
          <w:highlight w:val="none"/>
        </w:rPr>
        <w:br w:type="page"/>
      </w:r>
    </w:p>
    <w:p w14:paraId="42EF774A">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4922667A">
      <w:pPr>
        <w:jc w:val="center"/>
        <w:rPr>
          <w:rFonts w:hint="eastAsia" w:ascii="宋体"/>
          <w:b/>
          <w:color w:val="auto"/>
          <w:sz w:val="44"/>
          <w:szCs w:val="44"/>
          <w:highlight w:val="none"/>
        </w:rPr>
      </w:pPr>
      <w:r>
        <w:rPr>
          <w:rFonts w:hint="eastAsia" w:ascii="宋体"/>
          <w:b/>
          <w:color w:val="auto"/>
          <w:sz w:val="44"/>
          <w:szCs w:val="44"/>
          <w:highlight w:val="none"/>
          <w:lang w:val="en-US" w:eastAsia="zh-CN"/>
        </w:rPr>
        <w:t>技术标</w:t>
      </w:r>
    </w:p>
    <w:p w14:paraId="4C878EC2">
      <w:pPr>
        <w:jc w:val="center"/>
        <w:rPr>
          <w:rFonts w:hint="eastAsia" w:ascii="宋体"/>
          <w:color w:val="auto"/>
          <w:sz w:val="32"/>
          <w:szCs w:val="32"/>
          <w:highlight w:val="none"/>
        </w:rPr>
      </w:pPr>
      <w:r>
        <w:rPr>
          <w:rFonts w:hint="eastAsia" w:ascii="宋体"/>
          <w:color w:val="auto"/>
          <w:sz w:val="32"/>
          <w:szCs w:val="32"/>
          <w:highlight w:val="none"/>
        </w:rPr>
        <w:t>（投标文件</w:t>
      </w:r>
      <w:r>
        <w:rPr>
          <w:rFonts w:hint="eastAsia" w:ascii="宋体"/>
          <w:color w:val="auto"/>
          <w:sz w:val="32"/>
          <w:szCs w:val="32"/>
          <w:highlight w:val="none"/>
          <w:lang w:val="en-US" w:eastAsia="zh-CN"/>
        </w:rPr>
        <w:t>二</w:t>
      </w:r>
      <w:r>
        <w:rPr>
          <w:rFonts w:hint="eastAsia" w:ascii="宋体"/>
          <w:color w:val="auto"/>
          <w:sz w:val="32"/>
          <w:szCs w:val="32"/>
          <w:highlight w:val="none"/>
        </w:rPr>
        <w:t>）</w:t>
      </w:r>
    </w:p>
    <w:p w14:paraId="73573764">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2BE12DAC">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7D5481D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FE3DBB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6155EC0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8D5539F">
      <w:pPr>
        <w:pStyle w:val="7"/>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6B78DBE4">
      <w:pPr>
        <w:pStyle w:val="22"/>
        <w:widowControl/>
        <w:rPr>
          <w:highlight w:val="none"/>
          <w:lang w:val="en-US"/>
        </w:rPr>
      </w:pPr>
      <w:r>
        <w:rPr>
          <w:highlight w:val="none"/>
          <w:lang w:val="en-US"/>
        </w:rPr>
        <w:t xml:space="preserve"> </w:t>
      </w:r>
    </w:p>
    <w:p w14:paraId="4DCD088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AA3759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29578B9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78449A8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34E1A06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60BAC5F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03E11A96">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43FE314C">
      <w:pPr>
        <w:rPr>
          <w:rFonts w:hint="eastAsia" w:ascii="宋体" w:hAnsi="宋体" w:eastAsia="宋体" w:cs="宋体"/>
          <w:b/>
          <w:bCs w:val="0"/>
          <w:color w:val="000000"/>
          <w:kern w:val="0"/>
          <w:sz w:val="30"/>
          <w:szCs w:val="30"/>
          <w:highlight w:val="none"/>
          <w:u w:color="000000"/>
          <w:lang w:val="en-US" w:eastAsia="zh-CN" w:bidi="ar"/>
        </w:rPr>
      </w:pPr>
      <w:r>
        <w:rPr>
          <w:rFonts w:hint="eastAsia" w:ascii="宋体" w:hAnsi="宋体" w:eastAsia="宋体" w:cs="宋体"/>
          <w:b/>
          <w:bCs w:val="0"/>
          <w:color w:val="000000"/>
          <w:kern w:val="0"/>
          <w:sz w:val="30"/>
          <w:szCs w:val="30"/>
          <w:highlight w:val="none"/>
          <w:u w:color="000000"/>
          <w:lang w:val="en-US" w:eastAsia="zh-CN" w:bidi="ar"/>
        </w:rPr>
        <w:br w:type="page"/>
      </w:r>
    </w:p>
    <w:p w14:paraId="16D83784">
      <w:pPr>
        <w:spacing w:line="400" w:lineRule="exact"/>
        <w:jc w:val="center"/>
        <w:rPr>
          <w:rFonts w:hint="eastAsia"/>
          <w:b/>
          <w:color w:val="auto"/>
          <w:sz w:val="36"/>
          <w:szCs w:val="36"/>
          <w:highlight w:val="none"/>
        </w:rPr>
      </w:pPr>
    </w:p>
    <w:p w14:paraId="612B297B">
      <w:pPr>
        <w:spacing w:line="400" w:lineRule="exact"/>
        <w:jc w:val="center"/>
        <w:rPr>
          <w:rFonts w:hint="eastAsia"/>
          <w:b/>
          <w:color w:val="auto"/>
          <w:sz w:val="36"/>
          <w:szCs w:val="36"/>
          <w:highlight w:val="none"/>
        </w:rPr>
      </w:pPr>
      <w:r>
        <w:rPr>
          <w:rFonts w:hint="eastAsia"/>
          <w:b/>
          <w:color w:val="auto"/>
          <w:sz w:val="36"/>
          <w:szCs w:val="36"/>
          <w:highlight w:val="none"/>
        </w:rPr>
        <w:t>目   录</w:t>
      </w:r>
    </w:p>
    <w:p w14:paraId="114E3C2B">
      <w:pPr>
        <w:spacing w:line="360" w:lineRule="auto"/>
        <w:ind w:firstLine="420" w:firstLineChars="200"/>
        <w:rPr>
          <w:rFonts w:hint="eastAsia" w:ascii="宋体" w:hAnsi="Times New Roman" w:eastAsia="宋体" w:cs="Times New Roman"/>
          <w:color w:val="auto"/>
          <w:szCs w:val="21"/>
          <w:highlight w:val="none"/>
        </w:rPr>
      </w:pPr>
    </w:p>
    <w:p w14:paraId="212791ED">
      <w:pPr>
        <w:spacing w:line="360" w:lineRule="auto"/>
        <w:ind w:firstLine="420" w:firstLineChars="200"/>
        <w:rPr>
          <w:rFonts w:hint="eastAsia"/>
          <w:b/>
          <w:color w:val="auto"/>
          <w:sz w:val="28"/>
          <w:szCs w:val="28"/>
          <w:highlight w:val="none"/>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1）项目实施方案。</w:t>
      </w:r>
    </w:p>
    <w:p w14:paraId="1C558860">
      <w:pPr>
        <w:rPr>
          <w:rFonts w:hint="eastAsia" w:ascii="宋体" w:hAnsi="宋体" w:eastAsia="宋体" w:cs="宋体"/>
          <w:b/>
          <w:bCs w:val="0"/>
          <w:color w:val="000000"/>
          <w:kern w:val="0"/>
          <w:sz w:val="30"/>
          <w:szCs w:val="30"/>
          <w:highlight w:val="none"/>
          <w:u w:color="000000"/>
          <w:lang w:val="en-US" w:eastAsia="zh-CN" w:bidi="ar"/>
        </w:rPr>
      </w:pPr>
      <w:r>
        <w:rPr>
          <w:rFonts w:hint="eastAsia" w:ascii="宋体" w:hAnsi="宋体" w:eastAsia="宋体" w:cs="宋体"/>
          <w:b/>
          <w:bCs w:val="0"/>
          <w:color w:val="000000"/>
          <w:kern w:val="0"/>
          <w:sz w:val="30"/>
          <w:szCs w:val="30"/>
          <w:highlight w:val="none"/>
          <w:u w:color="000000"/>
          <w:lang w:val="en-US" w:eastAsia="zh-CN" w:bidi="ar"/>
        </w:rPr>
        <w:br w:type="page"/>
      </w:r>
    </w:p>
    <w:p w14:paraId="5B3A2FC1">
      <w:pPr>
        <w:jc w:val="center"/>
        <w:rPr>
          <w:rFonts w:hint="eastAsia" w:ascii="宋体"/>
          <w:b/>
          <w:color w:val="auto"/>
          <w:sz w:val="44"/>
          <w:szCs w:val="44"/>
          <w:highlight w:val="none"/>
          <w:lang w:val="en-US" w:eastAsia="zh-CN"/>
        </w:rPr>
      </w:pPr>
    </w:p>
    <w:p w14:paraId="598AD052">
      <w:pPr>
        <w:jc w:val="center"/>
        <w:rPr>
          <w:rFonts w:hint="eastAsia" w:ascii="宋体"/>
          <w:b/>
          <w:color w:val="auto"/>
          <w:sz w:val="44"/>
          <w:szCs w:val="44"/>
          <w:highlight w:val="none"/>
          <w:lang w:val="en-US" w:eastAsia="zh-CN"/>
        </w:rPr>
      </w:pPr>
    </w:p>
    <w:p w14:paraId="3A62D2AF">
      <w:pPr>
        <w:jc w:val="center"/>
        <w:rPr>
          <w:rFonts w:hint="eastAsia" w:ascii="宋体"/>
          <w:b/>
          <w:color w:val="auto"/>
          <w:sz w:val="44"/>
          <w:szCs w:val="44"/>
          <w:highlight w:val="none"/>
          <w:lang w:val="en-US" w:eastAsia="zh-CN"/>
        </w:rPr>
      </w:pPr>
    </w:p>
    <w:p w14:paraId="6261C731">
      <w:pPr>
        <w:jc w:val="center"/>
        <w:rPr>
          <w:rFonts w:hint="eastAsia" w:ascii="宋体"/>
          <w:b/>
          <w:color w:val="auto"/>
          <w:sz w:val="44"/>
          <w:szCs w:val="44"/>
          <w:highlight w:val="none"/>
        </w:rPr>
      </w:pPr>
      <w:r>
        <w:rPr>
          <w:rFonts w:hint="eastAsia" w:ascii="宋体"/>
          <w:b/>
          <w:color w:val="auto"/>
          <w:sz w:val="44"/>
          <w:szCs w:val="44"/>
          <w:highlight w:val="none"/>
          <w:lang w:val="en-US" w:eastAsia="zh-CN"/>
        </w:rPr>
        <w:t>商务标</w:t>
      </w:r>
    </w:p>
    <w:p w14:paraId="7F3D9A22">
      <w:pPr>
        <w:jc w:val="center"/>
        <w:rPr>
          <w:rFonts w:hint="eastAsia" w:ascii="宋体"/>
          <w:color w:val="auto"/>
          <w:sz w:val="32"/>
          <w:szCs w:val="32"/>
          <w:highlight w:val="none"/>
        </w:rPr>
      </w:pPr>
      <w:r>
        <w:rPr>
          <w:rFonts w:hint="eastAsia" w:ascii="宋体"/>
          <w:color w:val="auto"/>
          <w:sz w:val="32"/>
          <w:szCs w:val="32"/>
          <w:highlight w:val="none"/>
        </w:rPr>
        <w:t>（投标文件</w:t>
      </w:r>
      <w:r>
        <w:rPr>
          <w:rFonts w:hint="eastAsia" w:ascii="宋体"/>
          <w:color w:val="auto"/>
          <w:sz w:val="32"/>
          <w:szCs w:val="32"/>
          <w:highlight w:val="none"/>
          <w:lang w:val="en-US" w:eastAsia="zh-CN"/>
        </w:rPr>
        <w:t>三</w:t>
      </w:r>
      <w:r>
        <w:rPr>
          <w:rFonts w:hint="eastAsia" w:ascii="宋体"/>
          <w:color w:val="auto"/>
          <w:sz w:val="32"/>
          <w:szCs w:val="32"/>
          <w:highlight w:val="none"/>
        </w:rPr>
        <w:t>）</w:t>
      </w:r>
    </w:p>
    <w:p w14:paraId="120CB525">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2CB5682C">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24FFE52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4704F1C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74F3AE2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74B69F26">
      <w:pPr>
        <w:pStyle w:val="7"/>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0546B083">
      <w:pPr>
        <w:pStyle w:val="22"/>
        <w:widowControl/>
        <w:rPr>
          <w:highlight w:val="none"/>
          <w:lang w:val="en-US"/>
        </w:rPr>
      </w:pPr>
      <w:r>
        <w:rPr>
          <w:highlight w:val="none"/>
          <w:lang w:val="en-US"/>
        </w:rPr>
        <w:t xml:space="preserve"> </w:t>
      </w:r>
    </w:p>
    <w:p w14:paraId="6A15102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1242507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59135E2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085CB32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33CD89F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5EEFA96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367760CB">
      <w:pPr>
        <w:rPr>
          <w:rFonts w:hint="eastAsia" w:ascii="宋体" w:hAnsi="宋体" w:eastAsia="宋体" w:cs="宋体"/>
          <w:b/>
          <w:bCs w:val="0"/>
          <w:color w:val="000000"/>
          <w:kern w:val="0"/>
          <w:sz w:val="32"/>
          <w:szCs w:val="32"/>
          <w:highlight w:val="none"/>
          <w:u w:color="000000"/>
          <w:lang w:val="en-US" w:eastAsia="zh-CN" w:bidi="ar"/>
        </w:rPr>
      </w:pPr>
      <w:r>
        <w:rPr>
          <w:rFonts w:hint="eastAsia" w:ascii="宋体" w:hAnsi="宋体" w:eastAsia="宋体" w:cs="宋体"/>
          <w:b/>
          <w:bCs w:val="0"/>
          <w:color w:val="000000"/>
          <w:kern w:val="0"/>
          <w:sz w:val="32"/>
          <w:szCs w:val="32"/>
          <w:highlight w:val="none"/>
          <w:u w:color="000000"/>
          <w:lang w:val="en-US" w:eastAsia="zh-CN" w:bidi="ar"/>
        </w:rPr>
        <w:br w:type="page"/>
      </w:r>
    </w:p>
    <w:p w14:paraId="1BBA3F5B">
      <w:pPr>
        <w:spacing w:line="400" w:lineRule="exact"/>
        <w:jc w:val="center"/>
        <w:rPr>
          <w:b/>
          <w:color w:val="auto"/>
          <w:sz w:val="36"/>
          <w:szCs w:val="36"/>
          <w:highlight w:val="none"/>
        </w:rPr>
      </w:pPr>
    </w:p>
    <w:p w14:paraId="34D9801F">
      <w:pPr>
        <w:pStyle w:val="42"/>
        <w:rPr>
          <w:b/>
          <w:color w:val="auto"/>
          <w:sz w:val="36"/>
          <w:szCs w:val="36"/>
          <w:highlight w:val="none"/>
        </w:rPr>
      </w:pPr>
    </w:p>
    <w:p w14:paraId="15AB8A84">
      <w:pPr>
        <w:pStyle w:val="42"/>
        <w:rPr>
          <w:b/>
          <w:color w:val="auto"/>
          <w:sz w:val="36"/>
          <w:szCs w:val="36"/>
          <w:highlight w:val="none"/>
        </w:rPr>
      </w:pPr>
    </w:p>
    <w:p w14:paraId="405202BC">
      <w:pPr>
        <w:spacing w:line="400" w:lineRule="exact"/>
        <w:jc w:val="center"/>
        <w:rPr>
          <w:rFonts w:hint="eastAsia"/>
          <w:b/>
          <w:color w:val="auto"/>
          <w:sz w:val="36"/>
          <w:szCs w:val="36"/>
          <w:highlight w:val="none"/>
        </w:rPr>
      </w:pPr>
      <w:r>
        <w:rPr>
          <w:rFonts w:hint="eastAsia"/>
          <w:b/>
          <w:color w:val="auto"/>
          <w:sz w:val="36"/>
          <w:szCs w:val="36"/>
          <w:highlight w:val="none"/>
        </w:rPr>
        <w:t>目   录</w:t>
      </w:r>
    </w:p>
    <w:p w14:paraId="2931E90E">
      <w:pPr>
        <w:spacing w:line="400" w:lineRule="exact"/>
        <w:ind w:firstLine="4130" w:firstLineChars="935"/>
        <w:rPr>
          <w:rFonts w:hint="eastAsia"/>
          <w:b/>
          <w:color w:val="auto"/>
          <w:sz w:val="44"/>
          <w:szCs w:val="44"/>
          <w:highlight w:val="none"/>
        </w:rPr>
      </w:pPr>
    </w:p>
    <w:p w14:paraId="24F11D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（1）开标一览表（格式见附件）；</w:t>
      </w:r>
    </w:p>
    <w:p w14:paraId="239A22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（2）投标函（格式见附件）；</w:t>
      </w:r>
    </w:p>
    <w:p w14:paraId="612DAD1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（3）</w:t>
      </w:r>
      <w:r>
        <w:rPr>
          <w:rFonts w:hint="eastAsia" w:ascii="宋体"/>
          <w:szCs w:val="21"/>
          <w:highlight w:val="none"/>
        </w:rPr>
        <w:t>招标文件商务评审中要求提供的其他相关资料；</w:t>
      </w:r>
    </w:p>
    <w:p w14:paraId="5CB8C8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（4）投标人认为需要提供的其他材料。</w:t>
      </w:r>
    </w:p>
    <w:p w14:paraId="120CE28A">
      <w:pPr>
        <w:rPr>
          <w:rFonts w:hint="eastAsia" w:ascii="宋体"/>
          <w:b/>
          <w:color w:val="auto"/>
          <w:sz w:val="28"/>
          <w:szCs w:val="28"/>
          <w:highlight w:val="none"/>
        </w:rPr>
      </w:pPr>
      <w:r>
        <w:rPr>
          <w:rFonts w:hint="eastAsia" w:ascii="宋体"/>
          <w:b/>
          <w:color w:val="auto"/>
          <w:sz w:val="28"/>
          <w:szCs w:val="28"/>
          <w:highlight w:val="none"/>
        </w:rPr>
        <w:br w:type="page"/>
      </w:r>
    </w:p>
    <w:p w14:paraId="029BCAD1">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附件1</w:t>
      </w:r>
    </w:p>
    <w:p w14:paraId="61AE7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147"/>
        <w:jc w:val="center"/>
        <w:textAlignment w:val="auto"/>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开标一览表</w:t>
      </w:r>
    </w:p>
    <w:p w14:paraId="05D28958">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42C7544E">
      <w:pPr>
        <w:keepNext w:val="0"/>
        <w:keepLines w:val="0"/>
        <w:widowControl/>
        <w:suppressLineNumbers w:val="0"/>
        <w:snapToGrid w:val="0"/>
        <w:spacing w:before="0" w:beforeAutospacing="0" w:after="0" w:afterAutospacing="0" w:line="460" w:lineRule="exact"/>
        <w:ind w:left="2940" w:leftChars="140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04B6D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1DC87675">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1DC6E70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2EE30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6FD019C6">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79F03F7F">
            <w:pPr>
              <w:pStyle w:val="17"/>
              <w:widowControl/>
              <w:spacing w:line="460" w:lineRule="exact"/>
              <w:ind w:left="86" w:leftChars="41"/>
              <w:rPr>
                <w:rFonts w:hint="eastAsia" w:ascii="宋体" w:hAnsi="Arial" w:eastAsia="宋体" w:cs="宋体"/>
                <w:sz w:val="24"/>
                <w:szCs w:val="24"/>
                <w:highlight w:val="none"/>
                <w:lang w:val="en-US"/>
              </w:rPr>
            </w:pPr>
          </w:p>
        </w:tc>
      </w:tr>
      <w:tr w14:paraId="5C1AD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4354F1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总投标价\供货期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6A6E0611">
            <w:pPr>
              <w:keepNext w:val="0"/>
              <w:keepLines w:val="0"/>
              <w:suppressLineNumbers w:val="0"/>
              <w:spacing w:before="0" w:beforeAutospacing="0" w:after="0" w:afterAutospacing="0" w:line="360" w:lineRule="auto"/>
              <w:ind w:left="0" w:right="0"/>
              <w:rPr>
                <w:rFonts w:hint="default" w:ascii="宋体"/>
                <w:color w:val="000000"/>
                <w:sz w:val="24"/>
                <w:highlight w:val="none"/>
              </w:rPr>
            </w:pPr>
            <w:r>
              <w:rPr>
                <w:rFonts w:hint="eastAsia" w:ascii="宋体"/>
                <w:color w:val="000000"/>
                <w:sz w:val="24"/>
                <w:highlight w:val="none"/>
              </w:rPr>
              <w:t>投标</w:t>
            </w:r>
            <w:r>
              <w:rPr>
                <w:rFonts w:hint="eastAsia" w:ascii="宋体"/>
                <w:color w:val="000000"/>
                <w:sz w:val="24"/>
                <w:highlight w:val="none"/>
                <w:lang w:val="en-US" w:eastAsia="zh-CN"/>
              </w:rPr>
              <w:t>报</w:t>
            </w:r>
            <w:r>
              <w:rPr>
                <w:rFonts w:hint="eastAsia" w:ascii="宋体"/>
                <w:color w:val="000000"/>
                <w:sz w:val="24"/>
                <w:highlight w:val="none"/>
              </w:rPr>
              <w:t>价（大写）：</w:t>
            </w:r>
            <w:r>
              <w:rPr>
                <w:rFonts w:hint="eastAsia" w:ascii="宋体"/>
                <w:color w:val="000000"/>
                <w:sz w:val="24"/>
                <w:highlight w:val="none"/>
                <w:u w:val="single"/>
              </w:rPr>
              <w:t xml:space="preserve">                   </w:t>
            </w:r>
            <w:r>
              <w:rPr>
                <w:rFonts w:hint="eastAsia" w:ascii="宋体"/>
                <w:color w:val="000000"/>
                <w:sz w:val="24"/>
                <w:highlight w:val="none"/>
              </w:rPr>
              <w:t>元</w:t>
            </w:r>
          </w:p>
          <w:p w14:paraId="0E7F1934">
            <w:pPr>
              <w:keepNext w:val="0"/>
              <w:keepLines w:val="0"/>
              <w:suppressLineNumbers w:val="0"/>
              <w:spacing w:before="0" w:beforeAutospacing="0" w:after="0" w:afterAutospacing="0" w:line="360" w:lineRule="auto"/>
              <w:ind w:left="0" w:right="0" w:firstLine="1080" w:firstLineChars="450"/>
              <w:rPr>
                <w:rFonts w:hint="default" w:ascii="宋体"/>
                <w:color w:val="000000"/>
                <w:sz w:val="24"/>
                <w:highlight w:val="none"/>
              </w:rPr>
            </w:pPr>
            <w:r>
              <w:rPr>
                <w:rFonts w:hint="eastAsia" w:ascii="宋体"/>
                <w:color w:val="000000"/>
                <w:sz w:val="24"/>
                <w:highlight w:val="none"/>
              </w:rPr>
              <w:t>(小写) ：</w:t>
            </w:r>
            <w:r>
              <w:rPr>
                <w:rFonts w:hint="eastAsia" w:ascii="宋体"/>
                <w:color w:val="000000"/>
                <w:sz w:val="24"/>
                <w:highlight w:val="none"/>
                <w:u w:val="single"/>
              </w:rPr>
              <w:t xml:space="preserve">                    </w:t>
            </w:r>
            <w:r>
              <w:rPr>
                <w:rFonts w:hint="eastAsia" w:ascii="宋体"/>
                <w:color w:val="000000"/>
                <w:sz w:val="24"/>
                <w:highlight w:val="none"/>
              </w:rPr>
              <w:t>元</w:t>
            </w:r>
          </w:p>
          <w:p w14:paraId="1544DA12">
            <w:pPr>
              <w:keepNext w:val="0"/>
              <w:keepLines w:val="0"/>
              <w:widowControl/>
              <w:suppressLineNumbers w:val="0"/>
              <w:spacing w:before="0" w:beforeAutospacing="0" w:after="0" w:afterAutospacing="0" w:line="360" w:lineRule="auto"/>
              <w:ind w:left="0" w:right="0"/>
              <w:jc w:val="both"/>
              <w:rPr>
                <w:rFonts w:hint="eastAsia" w:ascii="宋体"/>
                <w:color w:val="000000"/>
                <w:sz w:val="24"/>
                <w:highlight w:val="none"/>
              </w:rPr>
            </w:pPr>
          </w:p>
          <w:p w14:paraId="32A20B44">
            <w:pPr>
              <w:keepNext w:val="0"/>
              <w:keepLines w:val="0"/>
              <w:suppressLineNumbers w:val="0"/>
              <w:spacing w:before="0" w:beforeAutospacing="0" w:after="0" w:afterAutospacing="0" w:line="360" w:lineRule="auto"/>
              <w:ind w:left="0" w:right="0" w:firstLine="1200" w:firstLineChars="500"/>
              <w:rPr>
                <w:rFonts w:hint="eastAsia" w:ascii="宋体" w:hAnsi="宋体" w:eastAsiaTheme="minorEastAsia"/>
                <w:color w:val="auto"/>
                <w:sz w:val="24"/>
                <w:highlight w:val="none"/>
                <w:lang w:val="en-US" w:eastAsia="zh-CN"/>
              </w:rPr>
            </w:pPr>
          </w:p>
          <w:p w14:paraId="1DF3C52A">
            <w:pPr>
              <w:keepNext w:val="0"/>
              <w:keepLines w:val="0"/>
              <w:widowControl/>
              <w:suppressLineNumbers w:val="0"/>
              <w:spacing w:before="0" w:beforeAutospacing="0" w:after="0" w:afterAutospacing="0" w:line="360" w:lineRule="auto"/>
              <w:ind w:left="0" w:right="0"/>
              <w:jc w:val="both"/>
              <w:rPr>
                <w:rFonts w:hint="default"/>
                <w:kern w:val="2"/>
                <w:sz w:val="24"/>
                <w:szCs w:val="24"/>
                <w:highlight w:val="none"/>
                <w:lang w:val="en-US"/>
              </w:rPr>
            </w:pPr>
            <w:r>
              <w:rPr>
                <w:rFonts w:hint="eastAsia" w:ascii="宋体"/>
                <w:color w:val="000000"/>
                <w:sz w:val="24"/>
                <w:highlight w:val="none"/>
                <w:lang w:val="en-US" w:eastAsia="zh-CN"/>
              </w:rPr>
              <w:t>供货期</w:t>
            </w:r>
            <w:r>
              <w:rPr>
                <w:rFonts w:hint="eastAsia" w:ascii="宋体"/>
                <w:color w:val="000000"/>
                <w:sz w:val="24"/>
                <w:highlight w:val="none"/>
              </w:rPr>
              <w:t>：</w:t>
            </w:r>
          </w:p>
        </w:tc>
      </w:tr>
    </w:tbl>
    <w:p w14:paraId="034F99AE">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5FA4126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23E96353">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57F02440">
      <w:pPr>
        <w:spacing w:line="360" w:lineRule="auto"/>
        <w:rPr>
          <w:rFonts w:hint="eastAsia" w:ascii="宋体" w:hAnsi="宋体" w:eastAsia="宋体" w:cs="宋体"/>
          <w:b/>
          <w:bCs w:val="0"/>
          <w:color w:val="000000"/>
          <w:kern w:val="0"/>
          <w:sz w:val="30"/>
          <w:szCs w:val="30"/>
          <w:highlight w:val="none"/>
          <w:lang w:val="en-US" w:eastAsia="zh-CN" w:bidi="ar"/>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3B94AF0E">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p>
    <w:p w14:paraId="2FDA4F56">
      <w:pPr>
        <w:keepNext w:val="0"/>
        <w:keepLines w:val="0"/>
        <w:widowControl/>
        <w:suppressLineNumbers w:val="0"/>
        <w:spacing w:before="0" w:beforeAutospacing="0" w:after="0" w:afterAutospacing="0" w:line="360" w:lineRule="exact"/>
        <w:ind w:left="0" w:right="0" w:firstLine="443" w:firstLineChars="147"/>
        <w:jc w:val="both"/>
        <w:rPr>
          <w:rFonts w:hint="default"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附件2</w:t>
      </w:r>
    </w:p>
    <w:p w14:paraId="624EAFCC">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22E6E563">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2D4D1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(招标人)       </w:t>
      </w:r>
      <w:r>
        <w:rPr>
          <w:rFonts w:hint="eastAsia" w:ascii="宋体" w:hAnsi="宋体" w:eastAsia="宋体" w:cs="宋体"/>
          <w:color w:val="000000"/>
          <w:kern w:val="0"/>
          <w:sz w:val="24"/>
          <w:szCs w:val="24"/>
          <w:highlight w:val="none"/>
          <w:u w:color="000000"/>
          <w:lang w:val="en-US" w:eastAsia="zh-CN" w:bidi="ar"/>
        </w:rPr>
        <w:t xml:space="preserve"> </w:t>
      </w:r>
    </w:p>
    <w:p w14:paraId="531B5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4A843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2.我方愿意按照招标文件规定的各项要求，向招标人提供本项目的供货及服务，投标报价为人民币（大写）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；供货期：</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w:t>
      </w:r>
    </w:p>
    <w:p w14:paraId="00683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0215A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60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5B0CE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14:paraId="5A351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43639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14:paraId="23567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42198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69D2C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7B870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751E3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7FF1C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14:paraId="3A5B050F">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35FC01E4">
      <w:pPr>
        <w:pStyle w:val="24"/>
        <w:widowControl/>
        <w:spacing w:before="0" w:beforeAutospacing="0" w:after="0" w:afterAutospacing="0" w:line="375" w:lineRule="atLeast"/>
        <w:ind w:left="0" w:right="0"/>
        <w:jc w:val="center"/>
        <w:outlineLvl w:val="0"/>
        <w:rPr>
          <w:b/>
          <w:bCs w:val="0"/>
          <w:sz w:val="32"/>
          <w:szCs w:val="32"/>
          <w:highlight w:val="none"/>
          <w:lang w:val="en-US"/>
        </w:rPr>
      </w:pPr>
      <w:r>
        <w:rPr>
          <w:b/>
          <w:bCs w:val="0"/>
          <w:sz w:val="32"/>
          <w:szCs w:val="32"/>
          <w:highlight w:val="none"/>
          <w:lang w:eastAsia="zh-CN"/>
        </w:rPr>
        <w:br w:type="page"/>
      </w:r>
      <w:r>
        <w:rPr>
          <w:b/>
          <w:bCs w:val="0"/>
          <w:sz w:val="32"/>
          <w:szCs w:val="32"/>
          <w:highlight w:val="none"/>
          <w:lang w:eastAsia="zh-CN"/>
        </w:rPr>
        <w:t>第</w:t>
      </w:r>
      <w:r>
        <w:rPr>
          <w:rFonts w:hint="eastAsia"/>
          <w:b/>
          <w:bCs w:val="0"/>
          <w:sz w:val="32"/>
          <w:szCs w:val="32"/>
          <w:highlight w:val="none"/>
          <w:lang w:val="en-US" w:eastAsia="zh-CN"/>
        </w:rPr>
        <w:t>八</w:t>
      </w:r>
      <w:r>
        <w:rPr>
          <w:b/>
          <w:bCs w:val="0"/>
          <w:sz w:val="32"/>
          <w:szCs w:val="32"/>
          <w:highlight w:val="none"/>
          <w:lang w:eastAsia="zh-CN"/>
        </w:rPr>
        <w:t>章</w:t>
      </w:r>
      <w:r>
        <w:rPr>
          <w:b/>
          <w:bCs w:val="0"/>
          <w:sz w:val="32"/>
          <w:szCs w:val="32"/>
          <w:highlight w:val="none"/>
          <w:lang w:val="en-US"/>
        </w:rPr>
        <w:t xml:space="preserve">   </w:t>
      </w:r>
      <w:r>
        <w:rPr>
          <w:rFonts w:hint="eastAsia"/>
          <w:b/>
          <w:bCs w:val="0"/>
          <w:sz w:val="32"/>
          <w:szCs w:val="32"/>
          <w:highlight w:val="none"/>
          <w:lang w:eastAsia="zh-CN"/>
        </w:rPr>
        <w:t>招标人</w:t>
      </w:r>
      <w:r>
        <w:rPr>
          <w:b/>
          <w:bCs w:val="0"/>
          <w:sz w:val="32"/>
          <w:szCs w:val="32"/>
          <w:highlight w:val="none"/>
          <w:lang w:eastAsia="zh-CN"/>
        </w:rPr>
        <w:t>、招标代理机构对本招标文件的确认</w:t>
      </w:r>
    </w:p>
    <w:tbl>
      <w:tblPr>
        <w:tblStyle w:val="26"/>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1072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7712E8A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3E19CB49">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滁州至南京城际铁路（滁州段）一期工程轨道润滑物资采购项目</w:t>
            </w:r>
            <w:r>
              <w:rPr>
                <w:rFonts w:hint="eastAsia" w:ascii="宋体" w:hAnsi="宋体" w:eastAsia="宋体" w:cs="宋体"/>
                <w:color w:val="000000"/>
                <w:kern w:val="2"/>
                <w:sz w:val="28"/>
                <w:szCs w:val="28"/>
                <w:highlight w:val="none"/>
                <w:u w:color="000000"/>
                <w:lang w:val="en-US" w:eastAsia="zh-CN" w:bidi="ar"/>
              </w:rPr>
              <w:t>招标文件进行确认。</w:t>
            </w:r>
          </w:p>
          <w:p w14:paraId="5C87B8F9">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招标人：皖通城际铁路有限责任公司 </w:t>
            </w:r>
          </w:p>
          <w:p w14:paraId="7CB6F40C">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 xml:space="preserve">联系人：王亮 </w:t>
            </w:r>
          </w:p>
          <w:p w14:paraId="36424A43">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联系电话：18182598725</w:t>
            </w:r>
          </w:p>
          <w:p w14:paraId="1756150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p>
          <w:p w14:paraId="215AE80B">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（单位盖章）</w:t>
            </w:r>
          </w:p>
          <w:p w14:paraId="01BEC2C5">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676A36FA">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2024年10月</w:t>
            </w:r>
          </w:p>
          <w:p w14:paraId="6DC800E0">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2493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0BA7056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7F987E0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招标代理机构：滁州市城投工程咨询管理有限公司</w:t>
            </w:r>
          </w:p>
          <w:p w14:paraId="0DBCA0D1">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3251DDF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28508F5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17932327">
            <w:pPr>
              <w:pStyle w:val="7"/>
              <w:widowControl/>
              <w:spacing w:before="0" w:beforeAutospacing="0" w:after="120" w:afterAutospacing="0"/>
              <w:ind w:leftChars="200" w:right="0" w:firstLine="560"/>
              <w:rPr>
                <w:kern w:val="2"/>
                <w:sz w:val="28"/>
                <w:szCs w:val="28"/>
                <w:highlight w:val="none"/>
                <w:lang w:val="en-US"/>
              </w:rPr>
            </w:pPr>
          </w:p>
          <w:p w14:paraId="6F42E13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5AD5D0FB">
            <w:pPr>
              <w:keepNext w:val="0"/>
              <w:keepLines w:val="0"/>
              <w:widowControl/>
              <w:suppressLineNumbers w:val="0"/>
              <w:spacing w:before="0" w:beforeAutospacing="0" w:after="0" w:afterAutospacing="0" w:line="440" w:lineRule="exact"/>
              <w:ind w:left="0" w:right="0" w:firstLine="5740" w:firstLineChars="20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7ED3AA38">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5B11C52A">
            <w:pPr>
              <w:keepNext w:val="0"/>
              <w:keepLines w:val="0"/>
              <w:widowControl/>
              <w:suppressLineNumbers w:val="0"/>
              <w:spacing w:before="0" w:beforeAutospacing="0" w:after="0" w:afterAutospacing="0" w:line="440" w:lineRule="exact"/>
              <w:ind w:left="0" w:right="0" w:firstLine="5880" w:firstLineChars="21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2024年10月</w:t>
            </w:r>
          </w:p>
        </w:tc>
      </w:tr>
    </w:tbl>
    <w:p w14:paraId="320DD53E">
      <w:pPr>
        <w:rPr>
          <w:highlight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BC1C2">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FE134">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EFE134">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376B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9B45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C9B45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9FAD">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DE5F5"/>
    <w:multiLevelType w:val="singleLevel"/>
    <w:tmpl w:val="E13DE5F5"/>
    <w:lvl w:ilvl="0" w:tentative="0">
      <w:start w:val="2"/>
      <w:numFmt w:val="decimal"/>
      <w:suff w:val="nothing"/>
      <w:lvlText w:val="%1、"/>
      <w:lvlJc w:val="left"/>
    </w:lvl>
  </w:abstractNum>
  <w:abstractNum w:abstractNumId="1">
    <w:nsid w:val="F2A9B865"/>
    <w:multiLevelType w:val="singleLevel"/>
    <w:tmpl w:val="F2A9B865"/>
    <w:lvl w:ilvl="0" w:tentative="0">
      <w:start w:val="4"/>
      <w:numFmt w:val="decimal"/>
      <w:suff w:val="nothing"/>
      <w:lvlText w:val="%1、"/>
      <w:lvlJc w:val="left"/>
    </w:lvl>
  </w:abstractNum>
  <w:abstractNum w:abstractNumId="2">
    <w:nsid w:val="00000007"/>
    <w:multiLevelType w:val="singleLevel"/>
    <w:tmpl w:val="00000007"/>
    <w:lvl w:ilvl="0" w:tentative="0">
      <w:start w:val="1"/>
      <w:numFmt w:val="decimal"/>
      <w:suff w:val="nothing"/>
      <w:lvlText w:val="（%1）"/>
      <w:lvlJc w:val="left"/>
    </w:lvl>
  </w:abstractNum>
  <w:abstractNum w:abstractNumId="3">
    <w:nsid w:val="0000000B"/>
    <w:multiLevelType w:val="multilevel"/>
    <w:tmpl w:val="0000000B"/>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0000000C"/>
    <w:multiLevelType w:val="singleLevel"/>
    <w:tmpl w:val="0000000C"/>
    <w:lvl w:ilvl="0" w:tentative="0">
      <w:start w:val="1"/>
      <w:numFmt w:val="decimal"/>
      <w:lvlText w:val="%1."/>
      <w:lvlJc w:val="left"/>
      <w:pPr>
        <w:ind w:left="425" w:hanging="425"/>
      </w:pPr>
      <w:rPr>
        <w:rFonts w:hint="default"/>
      </w:rPr>
    </w:lvl>
  </w:abstractNum>
  <w:abstractNum w:abstractNumId="5">
    <w:nsid w:val="142584F2"/>
    <w:multiLevelType w:val="singleLevel"/>
    <w:tmpl w:val="142584F2"/>
    <w:lvl w:ilvl="0" w:tentative="0">
      <w:start w:val="1"/>
      <w:numFmt w:val="decimal"/>
      <w:suff w:val="nothing"/>
      <w:lvlText w:val="%1）"/>
      <w:lvlJc w:val="left"/>
    </w:lvl>
  </w:abstractNum>
  <w:abstractNum w:abstractNumId="6">
    <w:nsid w:val="181D5CA9"/>
    <w:multiLevelType w:val="singleLevel"/>
    <w:tmpl w:val="181D5CA9"/>
    <w:lvl w:ilvl="0" w:tentative="0">
      <w:start w:val="35"/>
      <w:numFmt w:val="decimal"/>
      <w:lvlText w:val="%1."/>
      <w:lvlJc w:val="left"/>
      <w:pPr>
        <w:tabs>
          <w:tab w:val="left" w:pos="312"/>
        </w:tabs>
      </w:pPr>
    </w:lvl>
  </w:abstractNum>
  <w:abstractNum w:abstractNumId="7">
    <w:nsid w:val="2323379E"/>
    <w:multiLevelType w:val="multilevel"/>
    <w:tmpl w:val="2323379E"/>
    <w:lvl w:ilvl="0" w:tentative="0">
      <w:start w:val="1"/>
      <w:numFmt w:val="chineseCountingThousand"/>
      <w:pStyle w:val="25"/>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6"/>
  </w:num>
  <w:num w:numId="3">
    <w:abstractNumId w:val="0"/>
  </w:num>
  <w:num w:numId="4">
    <w:abstractNumId w:val="5"/>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1D118B5"/>
    <w:rsid w:val="01E872A1"/>
    <w:rsid w:val="02AF5EC1"/>
    <w:rsid w:val="03EB72C0"/>
    <w:rsid w:val="06B76AF5"/>
    <w:rsid w:val="06D54ED0"/>
    <w:rsid w:val="07A279B7"/>
    <w:rsid w:val="07C12328"/>
    <w:rsid w:val="0B625D1F"/>
    <w:rsid w:val="0B8B29D7"/>
    <w:rsid w:val="0B9716C3"/>
    <w:rsid w:val="0CEF01A1"/>
    <w:rsid w:val="0D586601"/>
    <w:rsid w:val="0D8F0D8C"/>
    <w:rsid w:val="0E064672"/>
    <w:rsid w:val="0E264319"/>
    <w:rsid w:val="0EBB3464"/>
    <w:rsid w:val="0FEC3D6A"/>
    <w:rsid w:val="10182671"/>
    <w:rsid w:val="114F3AD5"/>
    <w:rsid w:val="11AE0E26"/>
    <w:rsid w:val="12082018"/>
    <w:rsid w:val="135F768F"/>
    <w:rsid w:val="14334ED5"/>
    <w:rsid w:val="14C00319"/>
    <w:rsid w:val="14CF696D"/>
    <w:rsid w:val="15D46184"/>
    <w:rsid w:val="18D96084"/>
    <w:rsid w:val="18DA6F09"/>
    <w:rsid w:val="1AB3384D"/>
    <w:rsid w:val="1D2A5FD4"/>
    <w:rsid w:val="1DA44462"/>
    <w:rsid w:val="1E474369"/>
    <w:rsid w:val="1E567970"/>
    <w:rsid w:val="1EC473A1"/>
    <w:rsid w:val="1F9647B1"/>
    <w:rsid w:val="1FBE5586"/>
    <w:rsid w:val="202979CC"/>
    <w:rsid w:val="222D5B93"/>
    <w:rsid w:val="22EA440E"/>
    <w:rsid w:val="23503E27"/>
    <w:rsid w:val="23DF40E5"/>
    <w:rsid w:val="28721359"/>
    <w:rsid w:val="287E4991"/>
    <w:rsid w:val="28C620C3"/>
    <w:rsid w:val="29BA55DC"/>
    <w:rsid w:val="2CD13D11"/>
    <w:rsid w:val="2D921DED"/>
    <w:rsid w:val="2FD4269B"/>
    <w:rsid w:val="31CF5BC6"/>
    <w:rsid w:val="3692586C"/>
    <w:rsid w:val="382B3EBA"/>
    <w:rsid w:val="38886482"/>
    <w:rsid w:val="3AEDD2D9"/>
    <w:rsid w:val="3E1108FD"/>
    <w:rsid w:val="3F1964BD"/>
    <w:rsid w:val="3F392F9C"/>
    <w:rsid w:val="40585B1F"/>
    <w:rsid w:val="41C76417"/>
    <w:rsid w:val="42AB7679"/>
    <w:rsid w:val="43EE045E"/>
    <w:rsid w:val="440F4D94"/>
    <w:rsid w:val="4443363F"/>
    <w:rsid w:val="454247AC"/>
    <w:rsid w:val="46DE1424"/>
    <w:rsid w:val="47DC16A5"/>
    <w:rsid w:val="49C27036"/>
    <w:rsid w:val="4B8A2C90"/>
    <w:rsid w:val="4BBE3EC0"/>
    <w:rsid w:val="4BF21D42"/>
    <w:rsid w:val="4C3857CB"/>
    <w:rsid w:val="4C9419DF"/>
    <w:rsid w:val="4F522371"/>
    <w:rsid w:val="50620C14"/>
    <w:rsid w:val="50C36810"/>
    <w:rsid w:val="54C56489"/>
    <w:rsid w:val="54EE5293"/>
    <w:rsid w:val="56797A9A"/>
    <w:rsid w:val="58BC42F8"/>
    <w:rsid w:val="5AB972A9"/>
    <w:rsid w:val="5AC41FE9"/>
    <w:rsid w:val="5AD57D84"/>
    <w:rsid w:val="5C2219D2"/>
    <w:rsid w:val="5C940834"/>
    <w:rsid w:val="5D8F154C"/>
    <w:rsid w:val="5EB57251"/>
    <w:rsid w:val="5F0E0827"/>
    <w:rsid w:val="5F35414B"/>
    <w:rsid w:val="635219C2"/>
    <w:rsid w:val="642277FE"/>
    <w:rsid w:val="6509245E"/>
    <w:rsid w:val="668A652A"/>
    <w:rsid w:val="691E05DB"/>
    <w:rsid w:val="69394AB2"/>
    <w:rsid w:val="69524CC8"/>
    <w:rsid w:val="6C3752E5"/>
    <w:rsid w:val="6CC47100"/>
    <w:rsid w:val="6E0A1F4F"/>
    <w:rsid w:val="6EA934B6"/>
    <w:rsid w:val="6F4C7352"/>
    <w:rsid w:val="71867FC9"/>
    <w:rsid w:val="72D30C05"/>
    <w:rsid w:val="75616D9B"/>
    <w:rsid w:val="75843174"/>
    <w:rsid w:val="76B7003F"/>
    <w:rsid w:val="77FF70A2"/>
    <w:rsid w:val="781F79B3"/>
    <w:rsid w:val="78412396"/>
    <w:rsid w:val="794F00D8"/>
    <w:rsid w:val="79924E45"/>
    <w:rsid w:val="7B280AC6"/>
    <w:rsid w:val="7CBF5DBC"/>
    <w:rsid w:val="7CC201FC"/>
    <w:rsid w:val="7EE10A61"/>
    <w:rsid w:val="7F216B07"/>
    <w:rsid w:val="FFBF8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link w:val="37"/>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4">
    <w:name w:val="heading 3"/>
    <w:basedOn w:val="1"/>
    <w:next w:val="1"/>
    <w:unhideWhenUsed/>
    <w:qFormat/>
    <w:uiPriority w:val="9"/>
    <w:pPr>
      <w:keepNext/>
      <w:keepLines/>
      <w:spacing w:line="360" w:lineRule="auto"/>
      <w:outlineLvl w:val="2"/>
    </w:pPr>
    <w:rPr>
      <w:rFonts w:ascii="仿宋_GB2312" w:eastAsia="仿宋_GB2312"/>
      <w:b/>
      <w:bCs/>
      <w:sz w:val="32"/>
      <w:szCs w:val="32"/>
    </w:rPr>
  </w:style>
  <w:style w:type="character" w:default="1" w:styleId="27">
    <w:name w:val="Default Paragraph Font"/>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Normal Indent"/>
    <w:basedOn w:val="1"/>
    <w:next w:val="7"/>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7">
    <w:name w:val="Body Text First Indent 2"/>
    <w:basedOn w:val="8"/>
    <w:next w:val="10"/>
    <w:link w:val="35"/>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8">
    <w:name w:val="Body Text Indent"/>
    <w:basedOn w:val="1"/>
    <w:next w:val="9"/>
    <w:link w:val="34"/>
    <w:qFormat/>
    <w:uiPriority w:val="0"/>
    <w:pPr>
      <w:spacing w:after="120" w:afterLines="0" w:afterAutospacing="0"/>
      <w:ind w:left="420" w:leftChars="200"/>
    </w:pPr>
  </w:style>
  <w:style w:type="paragraph" w:styleId="9">
    <w:name w:val="envelope return"/>
    <w:basedOn w:val="1"/>
    <w:next w:val="5"/>
    <w:qFormat/>
    <w:uiPriority w:val="0"/>
    <w:pPr>
      <w:snapToGrid w:val="0"/>
    </w:pPr>
    <w:rPr>
      <w:rFonts w:ascii="Arial" w:hAnsi="Arial"/>
    </w:rPr>
  </w:style>
  <w:style w:type="paragraph" w:styleId="10">
    <w:name w:val="Body Text First Indent"/>
    <w:basedOn w:val="11"/>
    <w:unhideWhenUsed/>
    <w:qFormat/>
    <w:uiPriority w:val="99"/>
    <w:pPr>
      <w:ind w:firstLine="420" w:firstLineChars="100"/>
    </w:pPr>
  </w:style>
  <w:style w:type="paragraph" w:styleId="11">
    <w:name w:val="Body Text"/>
    <w:basedOn w:val="1"/>
    <w:qFormat/>
    <w:uiPriority w:val="0"/>
    <w:pPr>
      <w:widowControl w:val="0"/>
      <w:snapToGrid w:val="0"/>
      <w:spacing w:line="360" w:lineRule="auto"/>
    </w:pPr>
    <w:rPr>
      <w:rFonts w:ascii="Arial" w:hAnsi="Arial" w:eastAsia="仿宋_GB2312"/>
      <w:sz w:val="31"/>
    </w:rPr>
  </w:style>
  <w:style w:type="paragraph" w:styleId="12">
    <w:name w:val="annotation text"/>
    <w:basedOn w:val="1"/>
    <w:qFormat/>
    <w:uiPriority w:val="0"/>
    <w:pPr>
      <w:jc w:val="left"/>
    </w:pPr>
    <w:rPr>
      <w:kern w:val="1"/>
    </w:rPr>
  </w:style>
  <w:style w:type="paragraph" w:styleId="13">
    <w:name w:val="Body Text 3"/>
    <w:basedOn w:val="1"/>
    <w:qFormat/>
    <w:uiPriority w:val="0"/>
    <w:rPr>
      <w:rFonts w:ascii="宋体" w:hAnsi="Calibri" w:eastAsia="宋体" w:cs="Times New Roman"/>
      <w:sz w:val="24"/>
      <w:szCs w:val="20"/>
    </w:rPr>
  </w:style>
  <w:style w:type="paragraph" w:styleId="14">
    <w:name w:val="List Continue"/>
    <w:basedOn w:val="1"/>
    <w:qFormat/>
    <w:uiPriority w:val="0"/>
    <w:pPr>
      <w:spacing w:after="120"/>
      <w:ind w:left="420"/>
    </w:pPr>
  </w:style>
  <w:style w:type="paragraph" w:styleId="15">
    <w:name w:val="index 4"/>
    <w:basedOn w:val="1"/>
    <w:next w:val="1"/>
    <w:qFormat/>
    <w:uiPriority w:val="99"/>
    <w:pPr>
      <w:ind w:left="600" w:leftChars="600"/>
    </w:pPr>
    <w:rPr>
      <w:szCs w:val="24"/>
    </w:rPr>
  </w:style>
  <w:style w:type="paragraph" w:styleId="16">
    <w:name w:val="Plain Text"/>
    <w:basedOn w:val="1"/>
    <w:next w:val="1"/>
    <w:link w:val="39"/>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7">
    <w:name w:val="Date"/>
    <w:basedOn w:val="1"/>
    <w:next w:val="1"/>
    <w:link w:val="36"/>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8">
    <w:name w:val="footer"/>
    <w:basedOn w:val="1"/>
    <w:link w:val="40"/>
    <w:qFormat/>
    <w:uiPriority w:val="0"/>
    <w:pPr>
      <w:tabs>
        <w:tab w:val="center" w:pos="4153"/>
        <w:tab w:val="right" w:pos="8306"/>
      </w:tabs>
      <w:snapToGrid w:val="0"/>
      <w:jc w:val="left"/>
    </w:pPr>
    <w:rPr>
      <w:sz w:val="18"/>
    </w:rPr>
  </w:style>
  <w:style w:type="paragraph" w:styleId="19">
    <w:name w:val="header"/>
    <w:basedOn w:val="1"/>
    <w:link w:val="3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39"/>
  </w:style>
  <w:style w:type="paragraph" w:styleId="21">
    <w:name w:val="Subtitle"/>
    <w:basedOn w:val="1"/>
    <w:next w:val="1"/>
    <w:qFormat/>
    <w:uiPriority w:val="11"/>
    <w:pPr>
      <w:spacing w:before="10" w:beforeLines="10" w:after="10" w:afterLines="10"/>
    </w:pPr>
    <w:rPr>
      <w:bCs/>
      <w:kern w:val="28"/>
      <w:sz w:val="18"/>
      <w:szCs w:val="32"/>
    </w:rPr>
  </w:style>
  <w:style w:type="paragraph" w:styleId="22">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3">
    <w:name w:val="Body Text 2"/>
    <w:basedOn w:val="1"/>
    <w:unhideWhenUsed/>
    <w:qFormat/>
    <w:uiPriority w:val="99"/>
    <w:pPr>
      <w:spacing w:after="120" w:line="480" w:lineRule="auto"/>
    </w:pPr>
  </w:style>
  <w:style w:type="paragraph" w:styleId="24">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5">
    <w:name w:val="Title"/>
    <w:basedOn w:val="1"/>
    <w:next w:val="1"/>
    <w:qFormat/>
    <w:uiPriority w:val="0"/>
    <w:pPr>
      <w:numPr>
        <w:ilvl w:val="0"/>
        <w:numId w:val="1"/>
      </w:numPr>
      <w:spacing w:line="360" w:lineRule="auto"/>
      <w:jc w:val="left"/>
      <w:outlineLvl w:val="0"/>
    </w:pPr>
    <w:rPr>
      <w:rFonts w:ascii="Cambria" w:hAnsi="Cambria"/>
      <w:b/>
      <w:bCs/>
      <w:sz w:val="28"/>
      <w:szCs w:val="32"/>
    </w:rPr>
  </w:style>
  <w:style w:type="character" w:styleId="28">
    <w:name w:val="Hyperlink"/>
    <w:qFormat/>
    <w:uiPriority w:val="99"/>
    <w:rPr>
      <w:color w:val="333333"/>
      <w:u w:val="none"/>
    </w:rPr>
  </w:style>
  <w:style w:type="paragraph" w:customStyle="1" w:styleId="29">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30">
    <w:name w:val="正文文字 8"/>
    <w:basedOn w:val="1"/>
    <w:next w:val="1"/>
    <w:qFormat/>
    <w:uiPriority w:val="0"/>
    <w:pPr>
      <w:ind w:left="240"/>
    </w:pPr>
    <w:rPr>
      <w:sz w:val="16"/>
    </w:rPr>
  </w:style>
  <w:style w:type="paragraph" w:customStyle="1" w:styleId="3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3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33">
    <w:name w:val="二级标题"/>
    <w:basedOn w:val="1"/>
    <w:next w:val="1"/>
    <w:qFormat/>
    <w:uiPriority w:val="0"/>
    <w:rPr>
      <w:rFonts w:hint="eastAsia" w:eastAsia="楷体"/>
    </w:rPr>
  </w:style>
  <w:style w:type="character" w:customStyle="1" w:styleId="34">
    <w:name w:val="正文文本缩进 Char"/>
    <w:basedOn w:val="27"/>
    <w:link w:val="8"/>
    <w:qFormat/>
    <w:uiPriority w:val="0"/>
    <w:rPr>
      <w:rFonts w:hint="default" w:ascii="Times New Roman" w:hAnsi="Times New Roman" w:eastAsia="宋体" w:cs="Times New Roman"/>
      <w:color w:val="000000"/>
      <w:kern w:val="0"/>
      <w:szCs w:val="21"/>
      <w:u w:color="000000"/>
    </w:rPr>
  </w:style>
  <w:style w:type="character" w:customStyle="1" w:styleId="35">
    <w:name w:val="正文首行缩进 2 Char"/>
    <w:basedOn w:val="34"/>
    <w:link w:val="7"/>
    <w:qFormat/>
    <w:uiPriority w:val="0"/>
    <w:rPr>
      <w:rFonts w:hint="default" w:ascii="Times New Roman" w:hAnsi="Times New Roman" w:eastAsia="宋体" w:cs="Times New Roman"/>
      <w:color w:val="000000"/>
      <w:kern w:val="0"/>
      <w:szCs w:val="21"/>
      <w:u w:color="000000"/>
    </w:rPr>
  </w:style>
  <w:style w:type="character" w:customStyle="1" w:styleId="36">
    <w:name w:val="日期 Char"/>
    <w:basedOn w:val="27"/>
    <w:link w:val="17"/>
    <w:qFormat/>
    <w:uiPriority w:val="0"/>
    <w:rPr>
      <w:rFonts w:ascii="Arial" w:hAnsi="Arial" w:eastAsia="仿宋_GB2312" w:cs="Arial"/>
      <w:color w:val="000000"/>
      <w:sz w:val="32"/>
      <w:szCs w:val="32"/>
      <w:u w:color="000000"/>
    </w:rPr>
  </w:style>
  <w:style w:type="character" w:customStyle="1" w:styleId="37">
    <w:name w:val="标题 2 Char"/>
    <w:basedOn w:val="27"/>
    <w:link w:val="3"/>
    <w:qFormat/>
    <w:uiPriority w:val="0"/>
    <w:rPr>
      <w:rFonts w:hint="default" w:ascii="Times New Roman" w:hAnsi="Times New Roman" w:eastAsia="宋体" w:cs="Times New Roman"/>
      <w:kern w:val="0"/>
      <w:sz w:val="24"/>
      <w:szCs w:val="24"/>
    </w:rPr>
  </w:style>
  <w:style w:type="character" w:customStyle="1" w:styleId="38">
    <w:name w:val="页眉 Char"/>
    <w:basedOn w:val="27"/>
    <w:link w:val="19"/>
    <w:qFormat/>
    <w:uiPriority w:val="0"/>
    <w:rPr>
      <w:rFonts w:hint="default" w:ascii="Times New Roman" w:hAnsi="Times New Roman" w:eastAsia="宋体" w:cs="Times New Roman"/>
      <w:color w:val="000000"/>
      <w:kern w:val="0"/>
      <w:sz w:val="18"/>
      <w:szCs w:val="18"/>
      <w:u w:color="000000"/>
    </w:rPr>
  </w:style>
  <w:style w:type="character" w:customStyle="1" w:styleId="39">
    <w:name w:val="纯文本 Char"/>
    <w:basedOn w:val="27"/>
    <w:link w:val="16"/>
    <w:qFormat/>
    <w:uiPriority w:val="0"/>
    <w:rPr>
      <w:rFonts w:hint="eastAsia" w:ascii="宋体" w:hAnsi="宋体" w:eastAsia="宋体" w:cs="宋体"/>
      <w:szCs w:val="21"/>
    </w:rPr>
  </w:style>
  <w:style w:type="character" w:customStyle="1" w:styleId="40">
    <w:name w:val="页脚 Char"/>
    <w:basedOn w:val="27"/>
    <w:link w:val="18"/>
    <w:qFormat/>
    <w:uiPriority w:val="0"/>
    <w:rPr>
      <w:rFonts w:hint="default" w:ascii="Times New Roman" w:hAnsi="Times New Roman" w:eastAsia="宋体" w:cs="Times New Roman"/>
      <w:color w:val="000000"/>
      <w:kern w:val="0"/>
      <w:sz w:val="18"/>
      <w:szCs w:val="18"/>
      <w:u w:color="000000"/>
    </w:rPr>
  </w:style>
  <w:style w:type="paragraph" w:customStyle="1" w:styleId="41">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2">
    <w:name w:val="List Paragraph"/>
    <w:basedOn w:val="1"/>
    <w:qFormat/>
    <w:uiPriority w:val="0"/>
    <w:pPr>
      <w:widowControl w:val="0"/>
      <w:spacing w:line="240" w:lineRule="auto"/>
      <w:ind w:firstLine="200" w:firstLineChars="200"/>
      <w:textAlignment w:val="auto"/>
    </w:pPr>
    <w:rPr>
      <w:u w:val="none" w:color="000000"/>
    </w:rPr>
  </w:style>
  <w:style w:type="character" w:customStyle="1" w:styleId="43">
    <w:name w:val="NormalCharacter"/>
    <w:semiHidden/>
    <w:qFormat/>
    <w:uiPriority w:val="0"/>
  </w:style>
  <w:style w:type="paragraph" w:customStyle="1" w:styleId="44">
    <w:name w:val="正文1"/>
    <w:basedOn w:val="1"/>
    <w:qFormat/>
    <w:uiPriority w:val="0"/>
    <w:pPr>
      <w:spacing w:line="500" w:lineRule="exact"/>
      <w:jc w:val="center"/>
    </w:pPr>
    <w:rPr>
      <w:b/>
      <w:sz w:val="36"/>
    </w:rPr>
  </w:style>
  <w:style w:type="paragraph" w:customStyle="1" w:styleId="4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6">
    <w:name w:val="样式 样式 仿宋＋首行缩进 + 首行缩进:  2 字符 + 首行缩进:  2 字符"/>
    <w:basedOn w:val="1"/>
    <w:qFormat/>
    <w:uiPriority w:val="0"/>
    <w:pPr>
      <w:adjustRightInd w:val="0"/>
      <w:snapToGrid w:val="0"/>
      <w:spacing w:line="360" w:lineRule="auto"/>
      <w:ind w:firstLine="200" w:firstLineChars="200"/>
      <w:jc w:val="left"/>
    </w:pPr>
    <w:rPr>
      <w:rFonts w:ascii="仿宋_GB2312" w:eastAsia="仿宋_GB2312"/>
      <w:kern w:val="0"/>
      <w:sz w:val="28"/>
      <w:szCs w:val="20"/>
    </w:rPr>
  </w:style>
  <w:style w:type="paragraph" w:customStyle="1" w:styleId="47">
    <w:name w:val="xl25"/>
    <w:basedOn w:val="1"/>
    <w:qFormat/>
    <w:uiPriority w:val="0"/>
    <w:pPr>
      <w:widowControl/>
      <w:spacing w:before="100" w:beforeAutospacing="1" w:after="100" w:afterAutospacing="1"/>
      <w:jc w:val="right"/>
    </w:pPr>
    <w:rPr>
      <w:rFonts w:ascii="Arial Unicode MS" w:hAnsi="Arial Unicode MS" w:cs="宋体"/>
      <w:sz w:val="18"/>
      <w:szCs w:val="18"/>
    </w:rPr>
  </w:style>
  <w:style w:type="paragraph" w:customStyle="1" w:styleId="4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9">
    <w:name w:val="首行缩进"/>
    <w:basedOn w:val="1"/>
    <w:next w:val="14"/>
    <w:qFormat/>
    <w:uiPriority w:val="0"/>
    <w:pPr>
      <w:spacing w:line="360" w:lineRule="auto"/>
      <w:ind w:firstLine="480" w:firstLineChars="200"/>
    </w:pPr>
    <w:rPr>
      <w:sz w:val="24"/>
      <w:lang w:val="zh-CN"/>
    </w:rPr>
  </w:style>
  <w:style w:type="paragraph" w:customStyle="1" w:styleId="50">
    <w:name w:val="Table Paragraph"/>
    <w:basedOn w:val="1"/>
    <w:unhideWhenUsed/>
    <w:qFormat/>
    <w:uiPriority w:val="1"/>
    <w:pPr>
      <w:jc w:val="center"/>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16807</Words>
  <Characters>17999</Characters>
  <Lines>0</Lines>
  <Paragraphs>0</Paragraphs>
  <TotalTime>2</TotalTime>
  <ScaleCrop>false</ScaleCrop>
  <LinksUpToDate>false</LinksUpToDate>
  <CharactersWithSpaces>18509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2021-12-21T17:48:00Z</dcterms:created>
  <dc:creator>傻傻一辈子</dc:creator>
  <cp:lastModifiedBy>傻傻一辈子</cp:lastModifiedBy>
  <cp:lastPrinted>2023-11-23T15:05:00Z</cp:lastPrinted>
  <dcterms:modified xsi:type="dcterms:W3CDTF">2024-10-22T10:29:06Z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C4C6A95434B94A3ABC07C832733C5A17</vt:lpwstr>
  </property>
</Properties>
</file>