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357DF">
      <w:pPr>
        <w:spacing w:before="55" w:line="217" w:lineRule="auto"/>
        <w:ind w:left="1016"/>
        <w:rPr>
          <w:rFonts w:ascii="宋体" w:hAnsi="宋体" w:eastAsia="宋体" w:cs="宋体"/>
          <w:b/>
          <w:bCs/>
          <w:color w:val="auto"/>
          <w:spacing w:val="-6"/>
          <w:sz w:val="28"/>
          <w:szCs w:val="28"/>
        </w:rPr>
      </w:pPr>
      <w:r>
        <w:rPr>
          <w:rFonts w:ascii="宋体" w:hAnsi="宋体" w:eastAsia="宋体" w:cs="宋体"/>
          <w:b/>
          <w:bCs/>
          <w:color w:val="auto"/>
          <w:spacing w:val="-6"/>
          <w:sz w:val="28"/>
          <w:szCs w:val="28"/>
        </w:rPr>
        <w:t>一、 电梯及扶梯采购清单</w:t>
      </w:r>
    </w:p>
    <w:tbl>
      <w:tblPr>
        <w:tblStyle w:val="5"/>
        <w:tblW w:w="1546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2"/>
        <w:gridCol w:w="1467"/>
        <w:gridCol w:w="660"/>
        <w:gridCol w:w="613"/>
        <w:gridCol w:w="768"/>
        <w:gridCol w:w="768"/>
        <w:gridCol w:w="969"/>
        <w:gridCol w:w="1009"/>
        <w:gridCol w:w="1171"/>
        <w:gridCol w:w="838"/>
        <w:gridCol w:w="554"/>
        <w:gridCol w:w="853"/>
        <w:gridCol w:w="1433"/>
        <w:gridCol w:w="1267"/>
        <w:gridCol w:w="2301"/>
      </w:tblGrid>
      <w:tr w14:paraId="571C45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792" w:type="dxa"/>
            <w:vAlign w:val="center"/>
          </w:tcPr>
          <w:p w14:paraId="733B56BE">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b/>
                <w:bCs/>
                <w:color w:val="auto"/>
                <w:spacing w:val="4"/>
              </w:rPr>
              <w:t>梯号</w:t>
            </w:r>
          </w:p>
        </w:tc>
        <w:tc>
          <w:tcPr>
            <w:tcW w:w="1467" w:type="dxa"/>
            <w:vAlign w:val="center"/>
          </w:tcPr>
          <w:p w14:paraId="177B5D35">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b/>
                <w:bCs/>
                <w:color w:val="auto"/>
                <w:spacing w:val="4"/>
              </w:rPr>
              <w:t>类型</w:t>
            </w:r>
          </w:p>
        </w:tc>
        <w:tc>
          <w:tcPr>
            <w:tcW w:w="660" w:type="dxa"/>
            <w:vAlign w:val="center"/>
          </w:tcPr>
          <w:p w14:paraId="4D49FE95">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b/>
                <w:bCs/>
                <w:color w:val="auto"/>
                <w:spacing w:val="2"/>
              </w:rPr>
              <w:t>是否</w:t>
            </w:r>
          </w:p>
          <w:p w14:paraId="076BC10B">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b/>
                <w:bCs/>
                <w:color w:val="auto"/>
                <w:spacing w:val="2"/>
              </w:rPr>
              <w:t>贯通</w:t>
            </w:r>
          </w:p>
        </w:tc>
        <w:tc>
          <w:tcPr>
            <w:tcW w:w="613" w:type="dxa"/>
            <w:vAlign w:val="center"/>
          </w:tcPr>
          <w:p w14:paraId="0C627E41">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b/>
                <w:bCs/>
                <w:color w:val="auto"/>
                <w:spacing w:val="3"/>
              </w:rPr>
              <w:t>数量</w:t>
            </w:r>
          </w:p>
        </w:tc>
        <w:tc>
          <w:tcPr>
            <w:tcW w:w="768" w:type="dxa"/>
            <w:vAlign w:val="center"/>
          </w:tcPr>
          <w:p w14:paraId="727203D5">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b/>
                <w:bCs/>
                <w:color w:val="auto"/>
                <w:spacing w:val="4"/>
              </w:rPr>
            </w:pPr>
            <w:r>
              <w:rPr>
                <w:b/>
                <w:bCs/>
                <w:color w:val="auto"/>
                <w:spacing w:val="4"/>
              </w:rPr>
              <w:t>载重</w:t>
            </w:r>
          </w:p>
          <w:p w14:paraId="27C52C73">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b/>
                <w:bCs/>
                <w:color w:val="auto"/>
                <w:spacing w:val="-4"/>
              </w:rPr>
              <w:t>（Kg）</w:t>
            </w:r>
          </w:p>
        </w:tc>
        <w:tc>
          <w:tcPr>
            <w:tcW w:w="768" w:type="dxa"/>
            <w:vAlign w:val="center"/>
          </w:tcPr>
          <w:p w14:paraId="43E1F797">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b/>
                <w:bCs/>
                <w:color w:val="auto"/>
                <w:spacing w:val="4"/>
              </w:rPr>
            </w:pPr>
            <w:r>
              <w:rPr>
                <w:b/>
                <w:bCs/>
                <w:color w:val="auto"/>
                <w:spacing w:val="4"/>
              </w:rPr>
              <w:t>速度</w:t>
            </w:r>
          </w:p>
          <w:p w14:paraId="49D8DC54">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b/>
                <w:bCs/>
                <w:color w:val="auto"/>
                <w:spacing w:val="-2"/>
              </w:rPr>
              <w:t>（M/S）</w:t>
            </w:r>
          </w:p>
        </w:tc>
        <w:tc>
          <w:tcPr>
            <w:tcW w:w="969" w:type="dxa"/>
            <w:vAlign w:val="center"/>
          </w:tcPr>
          <w:p w14:paraId="1B43CB2C">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b/>
                <w:bCs/>
                <w:color w:val="auto"/>
                <w:spacing w:val="5"/>
              </w:rPr>
              <w:t>层/站/门</w:t>
            </w:r>
          </w:p>
        </w:tc>
        <w:tc>
          <w:tcPr>
            <w:tcW w:w="1009" w:type="dxa"/>
            <w:vAlign w:val="center"/>
          </w:tcPr>
          <w:p w14:paraId="216B9314">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b/>
                <w:bCs/>
                <w:color w:val="auto"/>
                <w:spacing w:val="6"/>
              </w:rPr>
              <w:t>服务楼层</w:t>
            </w:r>
          </w:p>
        </w:tc>
        <w:tc>
          <w:tcPr>
            <w:tcW w:w="1171" w:type="dxa"/>
            <w:vAlign w:val="center"/>
          </w:tcPr>
          <w:p w14:paraId="572841AF">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b/>
                <w:bCs/>
                <w:color w:val="auto"/>
                <w:spacing w:val="7"/>
              </w:rPr>
              <w:t>井道净尺寸</w:t>
            </w:r>
            <w:r>
              <w:rPr>
                <w:b/>
                <w:bCs/>
                <w:color w:val="auto"/>
              </w:rPr>
              <w:t>（宽*深</w:t>
            </w:r>
            <w:r>
              <w:rPr>
                <w:color w:val="auto"/>
                <w:spacing w:val="-39"/>
              </w:rPr>
              <w:t xml:space="preserve"> </w:t>
            </w:r>
            <w:r>
              <w:rPr>
                <w:b/>
                <w:bCs/>
                <w:color w:val="auto"/>
              </w:rPr>
              <w:t>mm）</w:t>
            </w:r>
          </w:p>
        </w:tc>
        <w:tc>
          <w:tcPr>
            <w:tcW w:w="838" w:type="dxa"/>
            <w:vAlign w:val="center"/>
          </w:tcPr>
          <w:p w14:paraId="1858D708">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b/>
                <w:bCs/>
                <w:color w:val="auto"/>
                <w:spacing w:val="5"/>
              </w:rPr>
              <w:t>提升高</w:t>
            </w:r>
            <w:r>
              <w:rPr>
                <w:b/>
                <w:bCs/>
                <w:color w:val="auto"/>
              </w:rPr>
              <w:t>度</w:t>
            </w:r>
          </w:p>
        </w:tc>
        <w:tc>
          <w:tcPr>
            <w:tcW w:w="554" w:type="dxa"/>
            <w:vAlign w:val="center"/>
          </w:tcPr>
          <w:p w14:paraId="6046E242">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b/>
                <w:bCs/>
                <w:color w:val="auto"/>
                <w:spacing w:val="4"/>
              </w:rPr>
              <w:t>底坑</w:t>
            </w:r>
          </w:p>
          <w:p w14:paraId="1452853A">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b/>
                <w:bCs/>
                <w:color w:val="auto"/>
                <w:spacing w:val="4"/>
              </w:rPr>
              <w:t>深度</w:t>
            </w:r>
          </w:p>
        </w:tc>
        <w:tc>
          <w:tcPr>
            <w:tcW w:w="853" w:type="dxa"/>
            <w:vAlign w:val="center"/>
          </w:tcPr>
          <w:p w14:paraId="668BD181">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b/>
                <w:bCs/>
                <w:color w:val="auto"/>
                <w:spacing w:val="4"/>
              </w:rPr>
              <w:t>机房</w:t>
            </w:r>
          </w:p>
        </w:tc>
        <w:tc>
          <w:tcPr>
            <w:tcW w:w="1433" w:type="dxa"/>
            <w:vAlign w:val="center"/>
          </w:tcPr>
          <w:p w14:paraId="27A57120">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b/>
                <w:bCs/>
                <w:color w:val="auto"/>
                <w:spacing w:val="4"/>
                <w:lang w:val="en-US" w:eastAsia="zh-CN"/>
              </w:rPr>
            </w:pPr>
            <w:r>
              <w:rPr>
                <w:rFonts w:hint="eastAsia"/>
                <w:b/>
                <w:bCs/>
                <w:color w:val="auto"/>
                <w:spacing w:val="4"/>
                <w:lang w:val="en-US" w:eastAsia="zh-CN"/>
              </w:rPr>
              <w:t>轿厢净尺寸</w:t>
            </w:r>
          </w:p>
          <w:p w14:paraId="00357600">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b/>
                <w:bCs/>
                <w:color w:val="auto"/>
                <w:spacing w:val="4"/>
                <w:lang w:val="en-US" w:eastAsia="zh-CN"/>
              </w:rPr>
            </w:pPr>
            <w:r>
              <w:rPr>
                <w:b/>
                <w:bCs/>
                <w:color w:val="auto"/>
              </w:rPr>
              <w:t>（宽*深</w:t>
            </w:r>
            <w:r>
              <w:rPr>
                <w:b/>
                <w:bCs/>
                <w:color w:val="auto"/>
                <w:spacing w:val="-39"/>
              </w:rPr>
              <w:t xml:space="preserve"> </w:t>
            </w:r>
            <w:r>
              <w:rPr>
                <w:b/>
                <w:bCs/>
                <w:color w:val="auto"/>
              </w:rPr>
              <w:t>mm）</w:t>
            </w:r>
          </w:p>
        </w:tc>
        <w:tc>
          <w:tcPr>
            <w:tcW w:w="1267" w:type="dxa"/>
            <w:vAlign w:val="center"/>
          </w:tcPr>
          <w:p w14:paraId="2DFF51F7">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b/>
                <w:bCs/>
                <w:color w:val="auto"/>
                <w:spacing w:val="4"/>
                <w:lang w:val="en-US" w:eastAsia="zh-CN"/>
              </w:rPr>
            </w:pPr>
            <w:r>
              <w:rPr>
                <w:rFonts w:hint="eastAsia"/>
                <w:b/>
                <w:bCs/>
                <w:color w:val="auto"/>
                <w:spacing w:val="4"/>
                <w:lang w:val="en-US" w:eastAsia="zh-CN"/>
              </w:rPr>
              <w:t>开门净尺寸</w:t>
            </w:r>
          </w:p>
          <w:p w14:paraId="05B05B6F">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b/>
                <w:bCs/>
                <w:color w:val="auto"/>
                <w:spacing w:val="4"/>
                <w:lang w:val="en-US" w:eastAsia="zh-CN"/>
              </w:rPr>
            </w:pPr>
            <w:r>
              <w:rPr>
                <w:b/>
                <w:bCs/>
                <w:color w:val="auto"/>
              </w:rPr>
              <w:t>（宽*深</w:t>
            </w:r>
            <w:r>
              <w:rPr>
                <w:b/>
                <w:bCs/>
                <w:color w:val="auto"/>
                <w:spacing w:val="-39"/>
              </w:rPr>
              <w:t xml:space="preserve"> </w:t>
            </w:r>
            <w:r>
              <w:rPr>
                <w:b/>
                <w:bCs/>
                <w:color w:val="auto"/>
              </w:rPr>
              <w:t>mm）</w:t>
            </w:r>
          </w:p>
        </w:tc>
        <w:tc>
          <w:tcPr>
            <w:tcW w:w="2301" w:type="dxa"/>
            <w:vAlign w:val="center"/>
          </w:tcPr>
          <w:p w14:paraId="7590F468">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eastAsia="宋体"/>
                <w:b/>
                <w:bCs/>
                <w:color w:val="auto"/>
                <w:spacing w:val="4"/>
                <w:lang w:val="en-US" w:eastAsia="zh-CN"/>
              </w:rPr>
            </w:pPr>
            <w:r>
              <w:rPr>
                <w:rFonts w:hint="eastAsia"/>
                <w:b/>
                <w:bCs/>
                <w:color w:val="auto"/>
                <w:spacing w:val="4"/>
                <w:lang w:val="en-US" w:eastAsia="zh-CN"/>
              </w:rPr>
              <w:t>备注</w:t>
            </w:r>
          </w:p>
        </w:tc>
      </w:tr>
      <w:tr w14:paraId="671C5E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792" w:type="dxa"/>
            <w:vAlign w:val="center"/>
          </w:tcPr>
          <w:p w14:paraId="0F6F9A6F">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3"/>
                <w:sz w:val="18"/>
                <w:szCs w:val="18"/>
              </w:rPr>
              <w:t>14#-25#</w:t>
            </w:r>
          </w:p>
        </w:tc>
        <w:tc>
          <w:tcPr>
            <w:tcW w:w="1467" w:type="dxa"/>
            <w:vAlign w:val="center"/>
          </w:tcPr>
          <w:p w14:paraId="6EE7E496">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7"/>
              </w:rPr>
              <w:t>无机房货梯</w:t>
            </w:r>
          </w:p>
        </w:tc>
        <w:tc>
          <w:tcPr>
            <w:tcW w:w="660" w:type="dxa"/>
            <w:vAlign w:val="center"/>
          </w:tcPr>
          <w:p w14:paraId="70CD5B6D">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rPr>
              <w:t>否</w:t>
            </w:r>
          </w:p>
        </w:tc>
        <w:tc>
          <w:tcPr>
            <w:tcW w:w="613" w:type="dxa"/>
            <w:vAlign w:val="center"/>
          </w:tcPr>
          <w:p w14:paraId="1A7D8998">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7"/>
                <w:position w:val="1"/>
              </w:rPr>
              <w:t>12</w:t>
            </w:r>
          </w:p>
        </w:tc>
        <w:tc>
          <w:tcPr>
            <w:tcW w:w="768" w:type="dxa"/>
            <w:vAlign w:val="center"/>
          </w:tcPr>
          <w:p w14:paraId="68318E79">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3"/>
                <w:sz w:val="18"/>
                <w:szCs w:val="18"/>
              </w:rPr>
              <w:t>5000</w:t>
            </w:r>
          </w:p>
        </w:tc>
        <w:tc>
          <w:tcPr>
            <w:tcW w:w="768" w:type="dxa"/>
            <w:vAlign w:val="center"/>
          </w:tcPr>
          <w:p w14:paraId="0DC25C26">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eastAsia="宋体"/>
                <w:color w:val="auto"/>
                <w:sz w:val="18"/>
                <w:szCs w:val="18"/>
                <w:lang w:eastAsia="zh-CN"/>
              </w:rPr>
            </w:pPr>
            <w:r>
              <w:rPr>
                <w:color w:val="auto"/>
                <w:spacing w:val="-2"/>
                <w:sz w:val="18"/>
                <w:szCs w:val="18"/>
              </w:rPr>
              <w:t>0.</w:t>
            </w:r>
            <w:r>
              <w:rPr>
                <w:rFonts w:hint="eastAsia"/>
                <w:color w:val="auto"/>
                <w:spacing w:val="-2"/>
                <w:sz w:val="18"/>
                <w:szCs w:val="18"/>
                <w:lang w:val="en-US" w:eastAsia="zh-CN"/>
              </w:rPr>
              <w:t>5</w:t>
            </w:r>
          </w:p>
        </w:tc>
        <w:tc>
          <w:tcPr>
            <w:tcW w:w="969" w:type="dxa"/>
            <w:vAlign w:val="center"/>
          </w:tcPr>
          <w:p w14:paraId="0A31670B">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rPr>
              <w:t>2/2/2</w:t>
            </w:r>
          </w:p>
        </w:tc>
        <w:tc>
          <w:tcPr>
            <w:tcW w:w="1009" w:type="dxa"/>
            <w:vAlign w:val="center"/>
          </w:tcPr>
          <w:p w14:paraId="39BB100C">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position w:val="1"/>
              </w:rPr>
              <w:t>1F-2F</w:t>
            </w:r>
          </w:p>
        </w:tc>
        <w:tc>
          <w:tcPr>
            <w:tcW w:w="1171" w:type="dxa"/>
            <w:vAlign w:val="center"/>
          </w:tcPr>
          <w:p w14:paraId="0BA3EF1F">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position w:val="1"/>
              </w:rPr>
              <w:t>3700*4100</w:t>
            </w:r>
          </w:p>
        </w:tc>
        <w:tc>
          <w:tcPr>
            <w:tcW w:w="838" w:type="dxa"/>
            <w:vAlign w:val="center"/>
          </w:tcPr>
          <w:p w14:paraId="56FA7E7A">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2"/>
                <w:position w:val="1"/>
              </w:rPr>
              <w:t>9.6</w:t>
            </w:r>
          </w:p>
        </w:tc>
        <w:tc>
          <w:tcPr>
            <w:tcW w:w="554" w:type="dxa"/>
            <w:vAlign w:val="center"/>
          </w:tcPr>
          <w:p w14:paraId="3436F7AA">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1"/>
                <w:position w:val="1"/>
              </w:rPr>
              <w:t>2.1</w:t>
            </w:r>
          </w:p>
        </w:tc>
        <w:tc>
          <w:tcPr>
            <w:tcW w:w="853" w:type="dxa"/>
            <w:vAlign w:val="center"/>
          </w:tcPr>
          <w:p w14:paraId="6600D8D1">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3"/>
                <w:sz w:val="18"/>
                <w:szCs w:val="18"/>
              </w:rPr>
              <w:t>无机房</w:t>
            </w:r>
          </w:p>
        </w:tc>
        <w:tc>
          <w:tcPr>
            <w:tcW w:w="1433" w:type="dxa"/>
            <w:vAlign w:val="center"/>
          </w:tcPr>
          <w:p w14:paraId="6F16BBFC">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eastAsia="宋体"/>
                <w:color w:val="auto"/>
                <w:spacing w:val="-3"/>
                <w:sz w:val="18"/>
                <w:szCs w:val="18"/>
                <w:lang w:val="en-US" w:eastAsia="zh-CN"/>
              </w:rPr>
            </w:pPr>
            <w:r>
              <w:rPr>
                <w:rFonts w:hint="eastAsia"/>
                <w:color w:val="auto"/>
                <w:spacing w:val="-3"/>
                <w:sz w:val="18"/>
                <w:szCs w:val="18"/>
                <w:lang w:val="en-US" w:eastAsia="zh-CN"/>
              </w:rPr>
              <w:t>2000*3600</w:t>
            </w:r>
          </w:p>
        </w:tc>
        <w:tc>
          <w:tcPr>
            <w:tcW w:w="1267" w:type="dxa"/>
            <w:vAlign w:val="center"/>
          </w:tcPr>
          <w:p w14:paraId="02B51AD4">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eastAsia="宋体"/>
                <w:color w:val="auto"/>
                <w:spacing w:val="-3"/>
                <w:sz w:val="18"/>
                <w:szCs w:val="18"/>
                <w:lang w:val="en-US" w:eastAsia="zh-CN"/>
              </w:rPr>
            </w:pPr>
            <w:r>
              <w:rPr>
                <w:rFonts w:hint="eastAsia"/>
                <w:color w:val="auto"/>
                <w:spacing w:val="-3"/>
                <w:sz w:val="18"/>
                <w:szCs w:val="18"/>
                <w:lang w:val="en-US" w:eastAsia="zh-CN"/>
              </w:rPr>
              <w:t>2000*23000</w:t>
            </w:r>
          </w:p>
        </w:tc>
        <w:tc>
          <w:tcPr>
            <w:tcW w:w="2301" w:type="dxa"/>
            <w:vAlign w:val="center"/>
          </w:tcPr>
          <w:p w14:paraId="0AD7D571">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color w:val="auto"/>
                <w:spacing w:val="-3"/>
                <w:sz w:val="18"/>
                <w:szCs w:val="18"/>
                <w:lang w:val="en-US" w:eastAsia="zh-CN"/>
              </w:rPr>
            </w:pPr>
            <w:r>
              <w:rPr>
                <w:rFonts w:hint="eastAsia" w:ascii="宋体" w:hAnsi="宋体" w:eastAsia="宋体" w:cs="宋体"/>
                <w:snapToGrid w:val="0"/>
                <w:color w:val="auto"/>
                <w:spacing w:val="-3"/>
                <w:kern w:val="0"/>
                <w:sz w:val="18"/>
                <w:szCs w:val="18"/>
                <w:lang w:val="en-US" w:eastAsia="zh-CN" w:bidi="ar-SA"/>
              </w:rPr>
              <w:t>1、</w:t>
            </w:r>
            <w:r>
              <w:rPr>
                <w:rFonts w:hint="eastAsia"/>
                <w:color w:val="auto"/>
                <w:spacing w:val="-3"/>
                <w:sz w:val="18"/>
                <w:szCs w:val="18"/>
                <w:lang w:val="en-US" w:eastAsia="zh-CN"/>
              </w:rPr>
              <w:t>市场主流货梯运行速度按0.5m/s设计</w:t>
            </w:r>
          </w:p>
          <w:p w14:paraId="72EE142B">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color w:val="auto"/>
                <w:spacing w:val="-3"/>
                <w:sz w:val="18"/>
                <w:szCs w:val="18"/>
                <w:lang w:val="en-US" w:eastAsia="zh-CN"/>
              </w:rPr>
            </w:pPr>
            <w:r>
              <w:rPr>
                <w:rFonts w:hint="default" w:ascii="宋体" w:hAnsi="宋体" w:eastAsia="宋体" w:cs="宋体"/>
                <w:snapToGrid w:val="0"/>
                <w:color w:val="auto"/>
                <w:spacing w:val="-3"/>
                <w:kern w:val="0"/>
                <w:sz w:val="18"/>
                <w:szCs w:val="18"/>
                <w:lang w:val="en-US" w:eastAsia="zh-CN" w:bidi="ar-SA"/>
              </w:rPr>
              <w:t>2、</w:t>
            </w:r>
            <w:r>
              <w:rPr>
                <w:rFonts w:hint="eastAsia"/>
                <w:color w:val="auto"/>
                <w:spacing w:val="-3"/>
                <w:sz w:val="18"/>
                <w:szCs w:val="18"/>
                <w:lang w:val="en-US" w:eastAsia="zh-CN"/>
              </w:rPr>
              <w:t>5吨货梯现有井道尺寸偏小，建议增加井道宽度约500mm</w:t>
            </w:r>
          </w:p>
          <w:p w14:paraId="66022BC2">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color w:val="auto"/>
                <w:spacing w:val="-3"/>
                <w:sz w:val="18"/>
                <w:szCs w:val="18"/>
                <w:lang w:val="en-US" w:eastAsia="zh-CN"/>
              </w:rPr>
            </w:pPr>
            <w:r>
              <w:rPr>
                <w:rFonts w:hint="eastAsia"/>
                <w:color w:val="auto"/>
                <w:spacing w:val="-3"/>
                <w:sz w:val="18"/>
                <w:szCs w:val="18"/>
                <w:lang w:val="en-US" w:eastAsia="zh-CN"/>
              </w:rPr>
              <w:t>3、基坑深度可缩小为1.7米</w:t>
            </w:r>
          </w:p>
        </w:tc>
      </w:tr>
      <w:tr w14:paraId="5110A9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7" w:hRule="atLeast"/>
        </w:trPr>
        <w:tc>
          <w:tcPr>
            <w:tcW w:w="792" w:type="dxa"/>
            <w:vMerge w:val="restart"/>
            <w:tcBorders>
              <w:bottom w:val="nil"/>
            </w:tcBorders>
            <w:vAlign w:val="center"/>
          </w:tcPr>
          <w:p w14:paraId="784FA2A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28A2785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57B5095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40C4242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27DE6A7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075BCFAE">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4FC7401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7928105D">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3"/>
                <w:sz w:val="18"/>
                <w:szCs w:val="18"/>
              </w:rPr>
              <w:t>28#</w:t>
            </w:r>
          </w:p>
        </w:tc>
        <w:tc>
          <w:tcPr>
            <w:tcW w:w="1467" w:type="dxa"/>
            <w:vAlign w:val="center"/>
          </w:tcPr>
          <w:p w14:paraId="5F172DD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55632D56">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rPr>
              <w:t>DT</w:t>
            </w:r>
            <w:r>
              <w:rPr>
                <w:color w:val="auto"/>
                <w:spacing w:val="7"/>
              </w:rPr>
              <w:t>1</w:t>
            </w:r>
            <w:r>
              <w:rPr>
                <w:color w:val="auto"/>
                <w:spacing w:val="-33"/>
              </w:rPr>
              <w:t xml:space="preserve"> </w:t>
            </w:r>
            <w:r>
              <w:rPr>
                <w:color w:val="auto"/>
                <w:spacing w:val="7"/>
              </w:rPr>
              <w:t>贯通门</w:t>
            </w:r>
            <w:r>
              <w:rPr>
                <w:color w:val="auto"/>
              </w:rPr>
              <w:t xml:space="preserve"> </w:t>
            </w:r>
            <w:r>
              <w:rPr>
                <w:color w:val="auto"/>
                <w:spacing w:val="4"/>
              </w:rPr>
              <w:t>（无障碍功能）</w:t>
            </w:r>
          </w:p>
        </w:tc>
        <w:tc>
          <w:tcPr>
            <w:tcW w:w="660" w:type="dxa"/>
            <w:vAlign w:val="center"/>
          </w:tcPr>
          <w:p w14:paraId="4B5E04F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00DB1F52">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rPr>
              <w:t>是</w:t>
            </w:r>
          </w:p>
        </w:tc>
        <w:tc>
          <w:tcPr>
            <w:tcW w:w="613" w:type="dxa"/>
            <w:vAlign w:val="center"/>
          </w:tcPr>
          <w:p w14:paraId="1831E9C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0FEEBE59">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position w:val="1"/>
              </w:rPr>
              <w:t>1</w:t>
            </w:r>
          </w:p>
        </w:tc>
        <w:tc>
          <w:tcPr>
            <w:tcW w:w="768" w:type="dxa"/>
            <w:vAlign w:val="center"/>
          </w:tcPr>
          <w:p w14:paraId="3892103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7D497FF7">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5"/>
                <w:sz w:val="18"/>
                <w:szCs w:val="18"/>
              </w:rPr>
              <w:t>1600</w:t>
            </w:r>
          </w:p>
        </w:tc>
        <w:tc>
          <w:tcPr>
            <w:tcW w:w="768" w:type="dxa"/>
            <w:vAlign w:val="center"/>
          </w:tcPr>
          <w:p w14:paraId="4F6A725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152B4413">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7"/>
                <w:sz w:val="18"/>
                <w:szCs w:val="18"/>
              </w:rPr>
              <w:t>1.5</w:t>
            </w:r>
          </w:p>
        </w:tc>
        <w:tc>
          <w:tcPr>
            <w:tcW w:w="969" w:type="dxa"/>
            <w:vAlign w:val="center"/>
          </w:tcPr>
          <w:p w14:paraId="30859C4E">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3CAACF50">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rPr>
              <w:t>9/6/6</w:t>
            </w:r>
          </w:p>
        </w:tc>
        <w:tc>
          <w:tcPr>
            <w:tcW w:w="1009" w:type="dxa"/>
            <w:vAlign w:val="center"/>
          </w:tcPr>
          <w:p w14:paraId="040FEFF5">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4"/>
                <w:position w:val="1"/>
              </w:rPr>
              <w:t>-1F-8F</w:t>
            </w:r>
          </w:p>
          <w:p w14:paraId="57CDC776">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rPr>
              <w:t xml:space="preserve">（2F\3F\4 </w:t>
            </w:r>
            <w:r>
              <w:rPr>
                <w:color w:val="auto"/>
                <w:spacing w:val="1"/>
              </w:rPr>
              <w:t>F</w:t>
            </w:r>
            <w:r>
              <w:rPr>
                <w:color w:val="auto"/>
                <w:spacing w:val="-33"/>
              </w:rPr>
              <w:t xml:space="preserve"> </w:t>
            </w:r>
            <w:r>
              <w:rPr>
                <w:color w:val="auto"/>
                <w:spacing w:val="1"/>
              </w:rPr>
              <w:t>不停）</w:t>
            </w:r>
          </w:p>
        </w:tc>
        <w:tc>
          <w:tcPr>
            <w:tcW w:w="1171" w:type="dxa"/>
            <w:vAlign w:val="center"/>
          </w:tcPr>
          <w:p w14:paraId="5D3B442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1148B5D2">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position w:val="1"/>
              </w:rPr>
              <w:t>2800*2600</w:t>
            </w:r>
          </w:p>
        </w:tc>
        <w:tc>
          <w:tcPr>
            <w:tcW w:w="838" w:type="dxa"/>
            <w:vAlign w:val="center"/>
          </w:tcPr>
          <w:p w14:paraId="6DA6205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6C7879E9">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position w:val="1"/>
              </w:rPr>
              <w:t>36.658</w:t>
            </w:r>
          </w:p>
        </w:tc>
        <w:tc>
          <w:tcPr>
            <w:tcW w:w="554" w:type="dxa"/>
            <w:vAlign w:val="center"/>
          </w:tcPr>
          <w:p w14:paraId="7007110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75484FF2">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position w:val="1"/>
              </w:rPr>
              <w:t>1.7</w:t>
            </w:r>
          </w:p>
        </w:tc>
        <w:tc>
          <w:tcPr>
            <w:tcW w:w="853" w:type="dxa"/>
            <w:vAlign w:val="center"/>
          </w:tcPr>
          <w:p w14:paraId="7A2BB03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745FE718">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3"/>
                <w:sz w:val="18"/>
                <w:szCs w:val="18"/>
              </w:rPr>
              <w:t>无机房</w:t>
            </w:r>
          </w:p>
        </w:tc>
        <w:tc>
          <w:tcPr>
            <w:tcW w:w="1433" w:type="dxa"/>
            <w:vAlign w:val="center"/>
          </w:tcPr>
          <w:p w14:paraId="6B803124">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eastAsia="宋体"/>
                <w:color w:val="auto"/>
                <w:spacing w:val="-3"/>
                <w:sz w:val="18"/>
                <w:szCs w:val="18"/>
                <w:lang w:val="en-US" w:eastAsia="zh-CN"/>
              </w:rPr>
            </w:pPr>
            <w:r>
              <w:rPr>
                <w:rFonts w:hint="eastAsia"/>
                <w:color w:val="auto"/>
                <w:spacing w:val="-3"/>
                <w:sz w:val="18"/>
                <w:szCs w:val="18"/>
                <w:lang w:val="en-US" w:eastAsia="zh-CN"/>
              </w:rPr>
              <w:t>1650*2050或2000*1700</w:t>
            </w:r>
          </w:p>
        </w:tc>
        <w:tc>
          <w:tcPr>
            <w:tcW w:w="1267" w:type="dxa"/>
            <w:vAlign w:val="center"/>
          </w:tcPr>
          <w:p w14:paraId="6104376B">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eastAsia="宋体"/>
                <w:color w:val="auto"/>
                <w:spacing w:val="-3"/>
                <w:sz w:val="18"/>
                <w:szCs w:val="18"/>
                <w:lang w:val="en-US" w:eastAsia="zh-CN"/>
              </w:rPr>
            </w:pPr>
            <w:r>
              <w:rPr>
                <w:rFonts w:hint="eastAsia"/>
                <w:color w:val="auto"/>
                <w:spacing w:val="-3"/>
                <w:sz w:val="18"/>
                <w:szCs w:val="18"/>
                <w:lang w:val="en-US" w:eastAsia="zh-CN"/>
              </w:rPr>
              <w:t>1100*2100</w:t>
            </w:r>
          </w:p>
        </w:tc>
        <w:tc>
          <w:tcPr>
            <w:tcW w:w="2301" w:type="dxa"/>
            <w:vAlign w:val="center"/>
          </w:tcPr>
          <w:p w14:paraId="5FB6F023">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pacing w:val="-3"/>
                <w:sz w:val="18"/>
                <w:szCs w:val="18"/>
              </w:rPr>
            </w:pPr>
          </w:p>
        </w:tc>
      </w:tr>
      <w:tr w14:paraId="606D8A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7" w:hRule="atLeast"/>
        </w:trPr>
        <w:tc>
          <w:tcPr>
            <w:tcW w:w="792" w:type="dxa"/>
            <w:vMerge w:val="continue"/>
            <w:tcBorders>
              <w:top w:val="nil"/>
              <w:bottom w:val="nil"/>
            </w:tcBorders>
            <w:vAlign w:val="center"/>
          </w:tcPr>
          <w:p w14:paraId="72111BB7">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tc>
        <w:tc>
          <w:tcPr>
            <w:tcW w:w="1467" w:type="dxa"/>
            <w:vAlign w:val="center"/>
          </w:tcPr>
          <w:p w14:paraId="5D1DC3E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65829358">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rPr>
              <w:t>DT</w:t>
            </w:r>
            <w:r>
              <w:rPr>
                <w:color w:val="auto"/>
                <w:spacing w:val="7"/>
              </w:rPr>
              <w:t>2</w:t>
            </w:r>
            <w:r>
              <w:rPr>
                <w:color w:val="auto"/>
                <w:spacing w:val="-33"/>
              </w:rPr>
              <w:t xml:space="preserve"> </w:t>
            </w:r>
            <w:r>
              <w:rPr>
                <w:color w:val="auto"/>
                <w:spacing w:val="7"/>
              </w:rPr>
              <w:t>贯通门</w:t>
            </w:r>
            <w:r>
              <w:rPr>
                <w:color w:val="auto"/>
              </w:rPr>
              <w:t xml:space="preserve"> </w:t>
            </w:r>
            <w:r>
              <w:rPr>
                <w:color w:val="auto"/>
                <w:spacing w:val="4"/>
              </w:rPr>
              <w:t>（无障碍功能）</w:t>
            </w:r>
          </w:p>
        </w:tc>
        <w:tc>
          <w:tcPr>
            <w:tcW w:w="660" w:type="dxa"/>
            <w:vAlign w:val="center"/>
          </w:tcPr>
          <w:p w14:paraId="7674FFAF">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15CC9643">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rPr>
              <w:t>是</w:t>
            </w:r>
          </w:p>
        </w:tc>
        <w:tc>
          <w:tcPr>
            <w:tcW w:w="613" w:type="dxa"/>
            <w:vAlign w:val="center"/>
          </w:tcPr>
          <w:p w14:paraId="18B0E19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3851EEA9">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position w:val="1"/>
              </w:rPr>
              <w:t>1</w:t>
            </w:r>
          </w:p>
        </w:tc>
        <w:tc>
          <w:tcPr>
            <w:tcW w:w="768" w:type="dxa"/>
            <w:vAlign w:val="center"/>
          </w:tcPr>
          <w:p w14:paraId="204FDCD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662CBB5B">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5"/>
                <w:sz w:val="18"/>
                <w:szCs w:val="18"/>
              </w:rPr>
              <w:t>1600</w:t>
            </w:r>
          </w:p>
        </w:tc>
        <w:tc>
          <w:tcPr>
            <w:tcW w:w="768" w:type="dxa"/>
            <w:vAlign w:val="center"/>
          </w:tcPr>
          <w:p w14:paraId="08E41EA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35178ACA">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7"/>
                <w:sz w:val="18"/>
                <w:szCs w:val="18"/>
              </w:rPr>
              <w:t>1.5</w:t>
            </w:r>
          </w:p>
        </w:tc>
        <w:tc>
          <w:tcPr>
            <w:tcW w:w="969" w:type="dxa"/>
            <w:vAlign w:val="center"/>
          </w:tcPr>
          <w:p w14:paraId="7C002BF7">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0BBD62AF">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rPr>
              <w:t>9/6/6</w:t>
            </w:r>
          </w:p>
        </w:tc>
        <w:tc>
          <w:tcPr>
            <w:tcW w:w="1009" w:type="dxa"/>
            <w:vAlign w:val="center"/>
          </w:tcPr>
          <w:p w14:paraId="6B0D8431">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4"/>
                <w:position w:val="1"/>
              </w:rPr>
              <w:t>-1F-8F</w:t>
            </w:r>
          </w:p>
          <w:p w14:paraId="78E48CF6">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rPr>
              <w:t xml:space="preserve">（2F\3F\4 </w:t>
            </w:r>
            <w:r>
              <w:rPr>
                <w:color w:val="auto"/>
                <w:spacing w:val="1"/>
              </w:rPr>
              <w:t>F</w:t>
            </w:r>
            <w:r>
              <w:rPr>
                <w:color w:val="auto"/>
                <w:spacing w:val="-33"/>
              </w:rPr>
              <w:t xml:space="preserve"> </w:t>
            </w:r>
            <w:r>
              <w:rPr>
                <w:color w:val="auto"/>
                <w:spacing w:val="1"/>
              </w:rPr>
              <w:t>不停）</w:t>
            </w:r>
          </w:p>
        </w:tc>
        <w:tc>
          <w:tcPr>
            <w:tcW w:w="1171" w:type="dxa"/>
            <w:vAlign w:val="center"/>
          </w:tcPr>
          <w:p w14:paraId="16217CB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56CF545B">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position w:val="1"/>
              </w:rPr>
              <w:t>2800*2600</w:t>
            </w:r>
          </w:p>
        </w:tc>
        <w:tc>
          <w:tcPr>
            <w:tcW w:w="838" w:type="dxa"/>
            <w:vAlign w:val="center"/>
          </w:tcPr>
          <w:p w14:paraId="212CC9C7">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3C6262BC">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position w:val="1"/>
              </w:rPr>
              <w:t>36.658</w:t>
            </w:r>
          </w:p>
        </w:tc>
        <w:tc>
          <w:tcPr>
            <w:tcW w:w="554" w:type="dxa"/>
            <w:vAlign w:val="center"/>
          </w:tcPr>
          <w:p w14:paraId="70A6485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4C6AAA56">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position w:val="1"/>
              </w:rPr>
              <w:t>1.7</w:t>
            </w:r>
          </w:p>
        </w:tc>
        <w:tc>
          <w:tcPr>
            <w:tcW w:w="853" w:type="dxa"/>
            <w:vAlign w:val="center"/>
          </w:tcPr>
          <w:p w14:paraId="004749C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6E7F08B6">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3"/>
                <w:sz w:val="18"/>
                <w:szCs w:val="18"/>
              </w:rPr>
              <w:t>无机房</w:t>
            </w:r>
          </w:p>
        </w:tc>
        <w:tc>
          <w:tcPr>
            <w:tcW w:w="1433" w:type="dxa"/>
            <w:vAlign w:val="center"/>
          </w:tcPr>
          <w:p w14:paraId="20CF47E2">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color w:val="auto"/>
                <w:spacing w:val="-3"/>
                <w:sz w:val="18"/>
                <w:szCs w:val="18"/>
              </w:rPr>
            </w:pPr>
            <w:r>
              <w:rPr>
                <w:rFonts w:hint="eastAsia"/>
                <w:color w:val="auto"/>
                <w:spacing w:val="-3"/>
                <w:sz w:val="18"/>
                <w:szCs w:val="18"/>
                <w:lang w:val="en-US" w:eastAsia="zh-CN"/>
              </w:rPr>
              <w:t>1650*2050或2000*1700</w:t>
            </w:r>
          </w:p>
        </w:tc>
        <w:tc>
          <w:tcPr>
            <w:tcW w:w="1267" w:type="dxa"/>
            <w:vAlign w:val="center"/>
          </w:tcPr>
          <w:p w14:paraId="71D2FFE8">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color w:val="auto"/>
                <w:spacing w:val="-3"/>
                <w:sz w:val="18"/>
                <w:szCs w:val="18"/>
              </w:rPr>
            </w:pPr>
            <w:r>
              <w:rPr>
                <w:rFonts w:hint="eastAsia"/>
                <w:color w:val="auto"/>
                <w:spacing w:val="-3"/>
                <w:sz w:val="18"/>
                <w:szCs w:val="18"/>
                <w:lang w:val="en-US" w:eastAsia="zh-CN"/>
              </w:rPr>
              <w:t>1100*2100</w:t>
            </w:r>
          </w:p>
        </w:tc>
        <w:tc>
          <w:tcPr>
            <w:tcW w:w="2301" w:type="dxa"/>
            <w:vAlign w:val="center"/>
          </w:tcPr>
          <w:p w14:paraId="4F3E1F7F">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pacing w:val="-3"/>
                <w:sz w:val="18"/>
                <w:szCs w:val="18"/>
              </w:rPr>
            </w:pPr>
          </w:p>
        </w:tc>
      </w:tr>
      <w:tr w14:paraId="69D721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792" w:type="dxa"/>
            <w:vMerge w:val="continue"/>
            <w:tcBorders>
              <w:top w:val="nil"/>
              <w:bottom w:val="nil"/>
            </w:tcBorders>
            <w:vAlign w:val="center"/>
          </w:tcPr>
          <w:p w14:paraId="3DD2D00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tc>
        <w:tc>
          <w:tcPr>
            <w:tcW w:w="1467" w:type="dxa"/>
            <w:vAlign w:val="center"/>
          </w:tcPr>
          <w:p w14:paraId="00A44FCE">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8"/>
              </w:rPr>
              <w:t>消防电梯兼货梯</w:t>
            </w:r>
          </w:p>
        </w:tc>
        <w:tc>
          <w:tcPr>
            <w:tcW w:w="660" w:type="dxa"/>
            <w:vAlign w:val="center"/>
          </w:tcPr>
          <w:p w14:paraId="6120445E">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rPr>
              <w:t>否</w:t>
            </w:r>
          </w:p>
        </w:tc>
        <w:tc>
          <w:tcPr>
            <w:tcW w:w="613" w:type="dxa"/>
            <w:vAlign w:val="center"/>
          </w:tcPr>
          <w:p w14:paraId="4F07146A">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position w:val="1"/>
              </w:rPr>
              <w:t>1</w:t>
            </w:r>
          </w:p>
        </w:tc>
        <w:tc>
          <w:tcPr>
            <w:tcW w:w="768" w:type="dxa"/>
            <w:vAlign w:val="center"/>
          </w:tcPr>
          <w:p w14:paraId="31F15E9E">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5"/>
                <w:sz w:val="18"/>
                <w:szCs w:val="18"/>
              </w:rPr>
              <w:t>1600</w:t>
            </w:r>
          </w:p>
        </w:tc>
        <w:tc>
          <w:tcPr>
            <w:tcW w:w="768" w:type="dxa"/>
            <w:vAlign w:val="center"/>
          </w:tcPr>
          <w:p w14:paraId="283CB420">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7"/>
                <w:sz w:val="18"/>
                <w:szCs w:val="18"/>
              </w:rPr>
              <w:t>1.5</w:t>
            </w:r>
          </w:p>
        </w:tc>
        <w:tc>
          <w:tcPr>
            <w:tcW w:w="969" w:type="dxa"/>
            <w:vAlign w:val="center"/>
          </w:tcPr>
          <w:p w14:paraId="615E5AEE">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rPr>
              <w:t>9/9/9</w:t>
            </w:r>
          </w:p>
        </w:tc>
        <w:tc>
          <w:tcPr>
            <w:tcW w:w="1009" w:type="dxa"/>
            <w:vAlign w:val="center"/>
          </w:tcPr>
          <w:p w14:paraId="28828123">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4"/>
                <w:position w:val="1"/>
              </w:rPr>
              <w:t>-1F-8F</w:t>
            </w:r>
          </w:p>
        </w:tc>
        <w:tc>
          <w:tcPr>
            <w:tcW w:w="1171" w:type="dxa"/>
            <w:vAlign w:val="center"/>
          </w:tcPr>
          <w:p w14:paraId="5DA5C661">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position w:val="1"/>
              </w:rPr>
              <w:t>2800*2500</w:t>
            </w:r>
          </w:p>
        </w:tc>
        <w:tc>
          <w:tcPr>
            <w:tcW w:w="838" w:type="dxa"/>
            <w:vAlign w:val="center"/>
          </w:tcPr>
          <w:p w14:paraId="6ABFF426">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position w:val="1"/>
              </w:rPr>
              <w:t>36.658</w:t>
            </w:r>
          </w:p>
        </w:tc>
        <w:tc>
          <w:tcPr>
            <w:tcW w:w="554" w:type="dxa"/>
            <w:vAlign w:val="center"/>
          </w:tcPr>
          <w:p w14:paraId="4D51679C">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position w:val="1"/>
              </w:rPr>
              <w:t>1.7</w:t>
            </w:r>
          </w:p>
        </w:tc>
        <w:tc>
          <w:tcPr>
            <w:tcW w:w="853" w:type="dxa"/>
            <w:vAlign w:val="center"/>
          </w:tcPr>
          <w:p w14:paraId="1571D0F7">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3"/>
                <w:sz w:val="18"/>
                <w:szCs w:val="18"/>
              </w:rPr>
              <w:t>无机房</w:t>
            </w:r>
          </w:p>
        </w:tc>
        <w:tc>
          <w:tcPr>
            <w:tcW w:w="1433" w:type="dxa"/>
            <w:vAlign w:val="center"/>
          </w:tcPr>
          <w:p w14:paraId="249BA3CC">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eastAsia="宋体"/>
                <w:color w:val="auto"/>
                <w:spacing w:val="-3"/>
                <w:sz w:val="18"/>
                <w:szCs w:val="18"/>
                <w:lang w:val="en-US" w:eastAsia="zh-CN"/>
              </w:rPr>
            </w:pPr>
            <w:r>
              <w:rPr>
                <w:rFonts w:hint="eastAsia"/>
                <w:color w:val="auto"/>
                <w:spacing w:val="-3"/>
                <w:sz w:val="18"/>
                <w:szCs w:val="18"/>
                <w:lang w:val="en-US" w:eastAsia="zh-CN"/>
              </w:rPr>
              <w:t>2000*1700</w:t>
            </w:r>
          </w:p>
        </w:tc>
        <w:tc>
          <w:tcPr>
            <w:tcW w:w="1267" w:type="dxa"/>
            <w:vAlign w:val="center"/>
          </w:tcPr>
          <w:p w14:paraId="1E4B8B2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pacing w:val="-3"/>
                <w:sz w:val="18"/>
                <w:szCs w:val="18"/>
              </w:rPr>
            </w:pPr>
            <w:r>
              <w:rPr>
                <w:rFonts w:hint="eastAsia"/>
                <w:color w:val="auto"/>
                <w:spacing w:val="-3"/>
                <w:sz w:val="18"/>
                <w:szCs w:val="18"/>
                <w:lang w:val="en-US" w:eastAsia="zh-CN"/>
              </w:rPr>
              <w:t>1100*2100</w:t>
            </w:r>
          </w:p>
        </w:tc>
        <w:tc>
          <w:tcPr>
            <w:tcW w:w="2301" w:type="dxa"/>
            <w:vAlign w:val="center"/>
          </w:tcPr>
          <w:p w14:paraId="107E8B00">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pacing w:val="-3"/>
                <w:sz w:val="18"/>
                <w:szCs w:val="18"/>
              </w:rPr>
            </w:pPr>
          </w:p>
        </w:tc>
      </w:tr>
      <w:tr w14:paraId="10F662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7" w:hRule="atLeast"/>
        </w:trPr>
        <w:tc>
          <w:tcPr>
            <w:tcW w:w="792" w:type="dxa"/>
            <w:vMerge w:val="continue"/>
            <w:tcBorders>
              <w:top w:val="nil"/>
              <w:bottom w:val="nil"/>
            </w:tcBorders>
            <w:vAlign w:val="center"/>
          </w:tcPr>
          <w:p w14:paraId="5DDCB01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tc>
        <w:tc>
          <w:tcPr>
            <w:tcW w:w="1467" w:type="dxa"/>
            <w:vAlign w:val="center"/>
          </w:tcPr>
          <w:p w14:paraId="6F2E3F6A">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position w:val="1"/>
              </w:rPr>
              <w:t>DT</w:t>
            </w:r>
            <w:r>
              <w:rPr>
                <w:color w:val="auto"/>
                <w:spacing w:val="12"/>
                <w:position w:val="1"/>
              </w:rPr>
              <w:t>3</w:t>
            </w:r>
          </w:p>
          <w:p w14:paraId="3C18AA4B">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6"/>
              </w:rPr>
              <w:t>（无障碍功能）</w:t>
            </w:r>
          </w:p>
        </w:tc>
        <w:tc>
          <w:tcPr>
            <w:tcW w:w="660" w:type="dxa"/>
            <w:vAlign w:val="center"/>
          </w:tcPr>
          <w:p w14:paraId="58C1B43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26E57F8A">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rPr>
              <w:t>否</w:t>
            </w:r>
          </w:p>
        </w:tc>
        <w:tc>
          <w:tcPr>
            <w:tcW w:w="613" w:type="dxa"/>
            <w:vAlign w:val="center"/>
          </w:tcPr>
          <w:p w14:paraId="3F737D9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77AD6FC0">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position w:val="1"/>
              </w:rPr>
              <w:t>1</w:t>
            </w:r>
          </w:p>
        </w:tc>
        <w:tc>
          <w:tcPr>
            <w:tcW w:w="768" w:type="dxa"/>
            <w:vAlign w:val="center"/>
          </w:tcPr>
          <w:p w14:paraId="3DF8D680">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5"/>
                <w:sz w:val="18"/>
                <w:szCs w:val="18"/>
              </w:rPr>
              <w:t>1600</w:t>
            </w:r>
          </w:p>
        </w:tc>
        <w:tc>
          <w:tcPr>
            <w:tcW w:w="768" w:type="dxa"/>
            <w:vAlign w:val="center"/>
          </w:tcPr>
          <w:p w14:paraId="47A46B64">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7"/>
                <w:sz w:val="18"/>
                <w:szCs w:val="18"/>
              </w:rPr>
              <w:t>1.5</w:t>
            </w:r>
          </w:p>
        </w:tc>
        <w:tc>
          <w:tcPr>
            <w:tcW w:w="969" w:type="dxa"/>
            <w:vAlign w:val="center"/>
          </w:tcPr>
          <w:p w14:paraId="1DABB35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0A37FF0A">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2"/>
              </w:rPr>
              <w:t>5/5/5</w:t>
            </w:r>
          </w:p>
        </w:tc>
        <w:tc>
          <w:tcPr>
            <w:tcW w:w="1009" w:type="dxa"/>
            <w:vAlign w:val="center"/>
          </w:tcPr>
          <w:p w14:paraId="134D2ED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1194CC77">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position w:val="1"/>
              </w:rPr>
              <w:t>1F-5F</w:t>
            </w:r>
          </w:p>
        </w:tc>
        <w:tc>
          <w:tcPr>
            <w:tcW w:w="1171" w:type="dxa"/>
            <w:vAlign w:val="center"/>
          </w:tcPr>
          <w:p w14:paraId="2A7F101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56FAE7CE">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position w:val="1"/>
              </w:rPr>
              <w:t>2800*2500</w:t>
            </w:r>
          </w:p>
        </w:tc>
        <w:tc>
          <w:tcPr>
            <w:tcW w:w="838" w:type="dxa"/>
            <w:vAlign w:val="center"/>
          </w:tcPr>
          <w:p w14:paraId="160A8D5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70B9C95B">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1"/>
                <w:position w:val="1"/>
              </w:rPr>
              <w:t>19.2</w:t>
            </w:r>
          </w:p>
        </w:tc>
        <w:tc>
          <w:tcPr>
            <w:tcW w:w="554" w:type="dxa"/>
            <w:vAlign w:val="center"/>
          </w:tcPr>
          <w:p w14:paraId="73295F0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7B686F79">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position w:val="1"/>
              </w:rPr>
              <w:t>1.7</w:t>
            </w:r>
          </w:p>
        </w:tc>
        <w:tc>
          <w:tcPr>
            <w:tcW w:w="853" w:type="dxa"/>
            <w:vAlign w:val="center"/>
          </w:tcPr>
          <w:p w14:paraId="31264777">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3"/>
                <w:sz w:val="18"/>
                <w:szCs w:val="18"/>
              </w:rPr>
              <w:t>无机房</w:t>
            </w:r>
          </w:p>
        </w:tc>
        <w:tc>
          <w:tcPr>
            <w:tcW w:w="1433" w:type="dxa"/>
            <w:vAlign w:val="center"/>
          </w:tcPr>
          <w:p w14:paraId="18DAF683">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pacing w:val="-3"/>
                <w:sz w:val="18"/>
                <w:szCs w:val="18"/>
              </w:rPr>
            </w:pPr>
            <w:r>
              <w:rPr>
                <w:rFonts w:hint="eastAsia"/>
                <w:color w:val="auto"/>
                <w:spacing w:val="-3"/>
                <w:sz w:val="18"/>
                <w:szCs w:val="18"/>
                <w:lang w:val="en-US" w:eastAsia="zh-CN"/>
              </w:rPr>
              <w:t>2000*1700</w:t>
            </w:r>
          </w:p>
        </w:tc>
        <w:tc>
          <w:tcPr>
            <w:tcW w:w="1267" w:type="dxa"/>
            <w:vAlign w:val="center"/>
          </w:tcPr>
          <w:p w14:paraId="7B7F524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pacing w:val="-3"/>
                <w:sz w:val="18"/>
                <w:szCs w:val="18"/>
              </w:rPr>
            </w:pPr>
            <w:r>
              <w:rPr>
                <w:rFonts w:hint="eastAsia"/>
                <w:color w:val="auto"/>
                <w:spacing w:val="-3"/>
                <w:sz w:val="18"/>
                <w:szCs w:val="18"/>
                <w:lang w:val="en-US" w:eastAsia="zh-CN"/>
              </w:rPr>
              <w:t>1100*2100</w:t>
            </w:r>
          </w:p>
        </w:tc>
        <w:tc>
          <w:tcPr>
            <w:tcW w:w="2301" w:type="dxa"/>
            <w:vAlign w:val="center"/>
          </w:tcPr>
          <w:p w14:paraId="525A3EBB">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pacing w:val="-3"/>
                <w:sz w:val="18"/>
                <w:szCs w:val="18"/>
              </w:rPr>
            </w:pPr>
          </w:p>
        </w:tc>
      </w:tr>
      <w:tr w14:paraId="0FF4DB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7" w:hRule="atLeast"/>
        </w:trPr>
        <w:tc>
          <w:tcPr>
            <w:tcW w:w="792" w:type="dxa"/>
            <w:vMerge w:val="continue"/>
            <w:tcBorders>
              <w:top w:val="nil"/>
            </w:tcBorders>
            <w:vAlign w:val="center"/>
          </w:tcPr>
          <w:p w14:paraId="11E542A7">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tc>
        <w:tc>
          <w:tcPr>
            <w:tcW w:w="1467" w:type="dxa"/>
            <w:vAlign w:val="center"/>
          </w:tcPr>
          <w:p w14:paraId="678505B9">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position w:val="1"/>
              </w:rPr>
              <w:t>DT</w:t>
            </w:r>
            <w:r>
              <w:rPr>
                <w:color w:val="auto"/>
                <w:spacing w:val="12"/>
                <w:position w:val="1"/>
              </w:rPr>
              <w:t>4</w:t>
            </w:r>
          </w:p>
          <w:p w14:paraId="47801638">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6"/>
              </w:rPr>
              <w:t>（无障碍功能）</w:t>
            </w:r>
          </w:p>
        </w:tc>
        <w:tc>
          <w:tcPr>
            <w:tcW w:w="660" w:type="dxa"/>
            <w:vAlign w:val="center"/>
          </w:tcPr>
          <w:p w14:paraId="3CB4AE2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04541ECF">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rPr>
              <w:t>否</w:t>
            </w:r>
          </w:p>
        </w:tc>
        <w:tc>
          <w:tcPr>
            <w:tcW w:w="613" w:type="dxa"/>
            <w:vAlign w:val="center"/>
          </w:tcPr>
          <w:p w14:paraId="5BC6E02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2592A4CF">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position w:val="1"/>
              </w:rPr>
              <w:t>1</w:t>
            </w:r>
          </w:p>
        </w:tc>
        <w:tc>
          <w:tcPr>
            <w:tcW w:w="768" w:type="dxa"/>
            <w:vAlign w:val="center"/>
          </w:tcPr>
          <w:p w14:paraId="35FFBDF2">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5"/>
                <w:sz w:val="18"/>
                <w:szCs w:val="18"/>
              </w:rPr>
              <w:t>1600</w:t>
            </w:r>
          </w:p>
        </w:tc>
        <w:tc>
          <w:tcPr>
            <w:tcW w:w="768" w:type="dxa"/>
            <w:vAlign w:val="center"/>
          </w:tcPr>
          <w:p w14:paraId="724BE03E">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7"/>
                <w:sz w:val="18"/>
                <w:szCs w:val="18"/>
              </w:rPr>
              <w:t>1.5</w:t>
            </w:r>
          </w:p>
        </w:tc>
        <w:tc>
          <w:tcPr>
            <w:tcW w:w="969" w:type="dxa"/>
            <w:vAlign w:val="center"/>
          </w:tcPr>
          <w:p w14:paraId="760BDA1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7DC039B0">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2"/>
              </w:rPr>
              <w:t>5/5/5</w:t>
            </w:r>
          </w:p>
        </w:tc>
        <w:tc>
          <w:tcPr>
            <w:tcW w:w="1009" w:type="dxa"/>
            <w:vAlign w:val="center"/>
          </w:tcPr>
          <w:p w14:paraId="13A2657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7F7D678D">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position w:val="1"/>
              </w:rPr>
              <w:t>1F-5F</w:t>
            </w:r>
          </w:p>
        </w:tc>
        <w:tc>
          <w:tcPr>
            <w:tcW w:w="1171" w:type="dxa"/>
            <w:vAlign w:val="center"/>
          </w:tcPr>
          <w:p w14:paraId="5D14CEE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4240E837">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position w:val="1"/>
              </w:rPr>
              <w:t>2800*2500</w:t>
            </w:r>
          </w:p>
        </w:tc>
        <w:tc>
          <w:tcPr>
            <w:tcW w:w="838" w:type="dxa"/>
            <w:vAlign w:val="center"/>
          </w:tcPr>
          <w:p w14:paraId="473F6C0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734A2C67">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1"/>
                <w:position w:val="1"/>
              </w:rPr>
              <w:t>19.2</w:t>
            </w:r>
          </w:p>
        </w:tc>
        <w:tc>
          <w:tcPr>
            <w:tcW w:w="554" w:type="dxa"/>
            <w:vAlign w:val="center"/>
          </w:tcPr>
          <w:p w14:paraId="29BEF68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ascii="Arial"/>
                <w:color w:val="auto"/>
                <w:sz w:val="21"/>
              </w:rPr>
            </w:pPr>
          </w:p>
          <w:p w14:paraId="5D72B526">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position w:val="1"/>
              </w:rPr>
              <w:t>1.7</w:t>
            </w:r>
          </w:p>
        </w:tc>
        <w:tc>
          <w:tcPr>
            <w:tcW w:w="853" w:type="dxa"/>
            <w:vAlign w:val="center"/>
          </w:tcPr>
          <w:p w14:paraId="30E47342">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3"/>
                <w:sz w:val="18"/>
                <w:szCs w:val="18"/>
              </w:rPr>
              <w:t>无机房</w:t>
            </w:r>
          </w:p>
        </w:tc>
        <w:tc>
          <w:tcPr>
            <w:tcW w:w="1433" w:type="dxa"/>
            <w:vAlign w:val="center"/>
          </w:tcPr>
          <w:p w14:paraId="3552C997">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pacing w:val="-3"/>
                <w:sz w:val="18"/>
                <w:szCs w:val="18"/>
              </w:rPr>
            </w:pPr>
            <w:r>
              <w:rPr>
                <w:rFonts w:hint="eastAsia"/>
                <w:color w:val="auto"/>
                <w:spacing w:val="-3"/>
                <w:sz w:val="18"/>
                <w:szCs w:val="18"/>
                <w:lang w:val="en-US" w:eastAsia="zh-CN"/>
              </w:rPr>
              <w:t>2000*1700</w:t>
            </w:r>
          </w:p>
        </w:tc>
        <w:tc>
          <w:tcPr>
            <w:tcW w:w="1267" w:type="dxa"/>
            <w:vAlign w:val="center"/>
          </w:tcPr>
          <w:p w14:paraId="2CC1A61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pacing w:val="-3"/>
                <w:sz w:val="18"/>
                <w:szCs w:val="18"/>
              </w:rPr>
            </w:pPr>
            <w:r>
              <w:rPr>
                <w:rFonts w:hint="eastAsia"/>
                <w:color w:val="auto"/>
                <w:spacing w:val="-3"/>
                <w:sz w:val="18"/>
                <w:szCs w:val="18"/>
                <w:lang w:val="en-US" w:eastAsia="zh-CN"/>
              </w:rPr>
              <w:t>1100*2100</w:t>
            </w:r>
          </w:p>
        </w:tc>
        <w:tc>
          <w:tcPr>
            <w:tcW w:w="2301" w:type="dxa"/>
            <w:vAlign w:val="center"/>
          </w:tcPr>
          <w:p w14:paraId="04C0170C">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pacing w:val="-3"/>
                <w:sz w:val="18"/>
                <w:szCs w:val="18"/>
              </w:rPr>
            </w:pPr>
          </w:p>
        </w:tc>
      </w:tr>
      <w:tr w14:paraId="0C8CB2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792" w:type="dxa"/>
            <w:vAlign w:val="center"/>
          </w:tcPr>
          <w:p w14:paraId="2F624B69">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1"/>
                <w:position w:val="1"/>
              </w:rPr>
              <w:t>1#-12#</w:t>
            </w:r>
          </w:p>
        </w:tc>
        <w:tc>
          <w:tcPr>
            <w:tcW w:w="1467" w:type="dxa"/>
            <w:vAlign w:val="center"/>
          </w:tcPr>
          <w:p w14:paraId="461AD14D">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7"/>
              </w:rPr>
              <w:t>无机房货梯</w:t>
            </w:r>
          </w:p>
        </w:tc>
        <w:tc>
          <w:tcPr>
            <w:tcW w:w="660" w:type="dxa"/>
            <w:vAlign w:val="center"/>
          </w:tcPr>
          <w:p w14:paraId="470B68EB">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rPr>
              <w:t>否</w:t>
            </w:r>
          </w:p>
        </w:tc>
        <w:tc>
          <w:tcPr>
            <w:tcW w:w="613" w:type="dxa"/>
            <w:vAlign w:val="center"/>
          </w:tcPr>
          <w:p w14:paraId="0A0203AA">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7"/>
                <w:position w:val="1"/>
              </w:rPr>
              <w:t>12</w:t>
            </w:r>
          </w:p>
        </w:tc>
        <w:tc>
          <w:tcPr>
            <w:tcW w:w="768" w:type="dxa"/>
            <w:vAlign w:val="center"/>
          </w:tcPr>
          <w:p w14:paraId="6857AE90">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3"/>
                <w:sz w:val="18"/>
                <w:szCs w:val="18"/>
              </w:rPr>
              <w:t>3000</w:t>
            </w:r>
          </w:p>
        </w:tc>
        <w:tc>
          <w:tcPr>
            <w:tcW w:w="768" w:type="dxa"/>
            <w:vAlign w:val="center"/>
          </w:tcPr>
          <w:p w14:paraId="4204B2B2">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2"/>
                <w:sz w:val="18"/>
                <w:szCs w:val="18"/>
              </w:rPr>
              <w:t>0.</w:t>
            </w:r>
            <w:r>
              <w:rPr>
                <w:rFonts w:hint="eastAsia"/>
                <w:color w:val="auto"/>
                <w:spacing w:val="-2"/>
                <w:sz w:val="18"/>
                <w:szCs w:val="18"/>
                <w:lang w:val="en-US" w:eastAsia="zh-CN"/>
              </w:rPr>
              <w:t>5</w:t>
            </w:r>
          </w:p>
        </w:tc>
        <w:tc>
          <w:tcPr>
            <w:tcW w:w="969" w:type="dxa"/>
            <w:vAlign w:val="center"/>
          </w:tcPr>
          <w:p w14:paraId="511CA37E">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2"/>
              </w:rPr>
              <w:t>3/3/3</w:t>
            </w:r>
          </w:p>
        </w:tc>
        <w:tc>
          <w:tcPr>
            <w:tcW w:w="1009" w:type="dxa"/>
            <w:vAlign w:val="center"/>
          </w:tcPr>
          <w:p w14:paraId="05B88631">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position w:val="1"/>
              </w:rPr>
              <w:t>1F-3F</w:t>
            </w:r>
          </w:p>
        </w:tc>
        <w:tc>
          <w:tcPr>
            <w:tcW w:w="1171" w:type="dxa"/>
            <w:vAlign w:val="center"/>
          </w:tcPr>
          <w:p w14:paraId="1DCA56B6">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position w:val="1"/>
              </w:rPr>
              <w:t>3700*4200</w:t>
            </w:r>
          </w:p>
        </w:tc>
        <w:tc>
          <w:tcPr>
            <w:tcW w:w="838" w:type="dxa"/>
            <w:vAlign w:val="center"/>
          </w:tcPr>
          <w:p w14:paraId="3339EDA7">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1"/>
                <w:position w:val="1"/>
              </w:rPr>
              <w:t>15.6</w:t>
            </w:r>
          </w:p>
        </w:tc>
        <w:tc>
          <w:tcPr>
            <w:tcW w:w="554" w:type="dxa"/>
            <w:vAlign w:val="center"/>
          </w:tcPr>
          <w:p w14:paraId="25E716CF">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1"/>
                <w:position w:val="1"/>
              </w:rPr>
              <w:t>2.1</w:t>
            </w:r>
          </w:p>
        </w:tc>
        <w:tc>
          <w:tcPr>
            <w:tcW w:w="853" w:type="dxa"/>
            <w:vAlign w:val="center"/>
          </w:tcPr>
          <w:p w14:paraId="5E80BE65">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3"/>
                <w:sz w:val="18"/>
                <w:szCs w:val="18"/>
              </w:rPr>
              <w:t>无机房</w:t>
            </w:r>
          </w:p>
        </w:tc>
        <w:tc>
          <w:tcPr>
            <w:tcW w:w="1433" w:type="dxa"/>
            <w:vAlign w:val="center"/>
          </w:tcPr>
          <w:p w14:paraId="12DE134A">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eastAsia="宋体"/>
                <w:color w:val="auto"/>
                <w:spacing w:val="-3"/>
                <w:sz w:val="18"/>
                <w:szCs w:val="18"/>
                <w:lang w:val="en-US" w:eastAsia="zh-CN"/>
              </w:rPr>
            </w:pPr>
            <w:r>
              <w:rPr>
                <w:rFonts w:hint="eastAsia"/>
                <w:color w:val="auto"/>
                <w:spacing w:val="-3"/>
                <w:sz w:val="18"/>
                <w:szCs w:val="18"/>
                <w:lang w:val="en-US" w:eastAsia="zh-CN"/>
              </w:rPr>
              <w:t>2100*2600</w:t>
            </w:r>
          </w:p>
        </w:tc>
        <w:tc>
          <w:tcPr>
            <w:tcW w:w="1267" w:type="dxa"/>
            <w:vAlign w:val="center"/>
          </w:tcPr>
          <w:p w14:paraId="1DD0C638">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eastAsia="宋体"/>
                <w:color w:val="auto"/>
                <w:spacing w:val="-3"/>
                <w:sz w:val="18"/>
                <w:szCs w:val="18"/>
                <w:lang w:val="en-US" w:eastAsia="zh-CN"/>
              </w:rPr>
            </w:pPr>
            <w:r>
              <w:rPr>
                <w:rFonts w:hint="eastAsia"/>
                <w:color w:val="auto"/>
                <w:spacing w:val="-3"/>
                <w:sz w:val="18"/>
                <w:szCs w:val="18"/>
                <w:lang w:val="en-US" w:eastAsia="zh-CN"/>
              </w:rPr>
              <w:t>2000*2100</w:t>
            </w:r>
          </w:p>
        </w:tc>
        <w:tc>
          <w:tcPr>
            <w:tcW w:w="2301" w:type="dxa"/>
            <w:vAlign w:val="center"/>
          </w:tcPr>
          <w:p w14:paraId="1D9F2039">
            <w:pPr>
              <w:pStyle w:val="6"/>
              <w:keepNext w:val="0"/>
              <w:keepLines w:val="0"/>
              <w:pageBreakBefore w:val="0"/>
              <w:widowControl/>
              <w:numPr>
                <w:ilvl w:val="0"/>
                <w:numId w:val="1"/>
              </w:numPr>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color w:val="auto"/>
                <w:spacing w:val="-3"/>
                <w:sz w:val="18"/>
                <w:szCs w:val="18"/>
                <w:lang w:val="en-US" w:eastAsia="zh-CN"/>
              </w:rPr>
            </w:pPr>
            <w:r>
              <w:rPr>
                <w:rFonts w:hint="eastAsia"/>
                <w:color w:val="auto"/>
                <w:spacing w:val="-3"/>
                <w:sz w:val="18"/>
                <w:szCs w:val="18"/>
                <w:lang w:val="en-US" w:eastAsia="zh-CN"/>
              </w:rPr>
              <w:t>市场主流货梯运行速度按0.5m/s设计</w:t>
            </w:r>
          </w:p>
          <w:p w14:paraId="7197D6A6">
            <w:pPr>
              <w:pStyle w:val="6"/>
              <w:keepNext w:val="0"/>
              <w:keepLines w:val="0"/>
              <w:pageBreakBefore w:val="0"/>
              <w:widowControl/>
              <w:numPr>
                <w:ilvl w:val="0"/>
                <w:numId w:val="1"/>
              </w:numPr>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color w:val="auto"/>
                <w:spacing w:val="-3"/>
                <w:sz w:val="18"/>
                <w:szCs w:val="18"/>
                <w:lang w:val="en-US" w:eastAsia="zh-CN"/>
              </w:rPr>
            </w:pPr>
            <w:r>
              <w:rPr>
                <w:rFonts w:hint="eastAsia"/>
                <w:color w:val="auto"/>
                <w:spacing w:val="-3"/>
                <w:sz w:val="18"/>
                <w:szCs w:val="18"/>
                <w:lang w:val="en-US" w:eastAsia="zh-CN"/>
              </w:rPr>
              <w:t>基坑深度可缩小为1.7米</w:t>
            </w:r>
          </w:p>
        </w:tc>
      </w:tr>
      <w:tr w14:paraId="42A78C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792" w:type="dxa"/>
            <w:vAlign w:val="center"/>
          </w:tcPr>
          <w:p w14:paraId="189FC416">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2"/>
                <w:sz w:val="18"/>
                <w:szCs w:val="18"/>
              </w:rPr>
              <w:t>26-27#</w:t>
            </w:r>
          </w:p>
        </w:tc>
        <w:tc>
          <w:tcPr>
            <w:tcW w:w="1467" w:type="dxa"/>
            <w:vAlign w:val="center"/>
          </w:tcPr>
          <w:p w14:paraId="49FAB3EA">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7"/>
              </w:rPr>
              <w:t>无机房货梯</w:t>
            </w:r>
          </w:p>
        </w:tc>
        <w:tc>
          <w:tcPr>
            <w:tcW w:w="660" w:type="dxa"/>
            <w:vAlign w:val="center"/>
          </w:tcPr>
          <w:p w14:paraId="36B49CD9">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rPr>
              <w:t>否</w:t>
            </w:r>
          </w:p>
        </w:tc>
        <w:tc>
          <w:tcPr>
            <w:tcW w:w="613" w:type="dxa"/>
            <w:vAlign w:val="center"/>
          </w:tcPr>
          <w:p w14:paraId="157FD9C2">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7"/>
                <w:position w:val="1"/>
              </w:rPr>
              <w:t>12</w:t>
            </w:r>
          </w:p>
        </w:tc>
        <w:tc>
          <w:tcPr>
            <w:tcW w:w="768" w:type="dxa"/>
            <w:vAlign w:val="center"/>
          </w:tcPr>
          <w:p w14:paraId="31C3727D">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3"/>
                <w:sz w:val="18"/>
                <w:szCs w:val="18"/>
              </w:rPr>
              <w:t>5000</w:t>
            </w:r>
          </w:p>
        </w:tc>
        <w:tc>
          <w:tcPr>
            <w:tcW w:w="768" w:type="dxa"/>
            <w:vAlign w:val="center"/>
          </w:tcPr>
          <w:p w14:paraId="0131138D">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2"/>
                <w:sz w:val="18"/>
                <w:szCs w:val="18"/>
              </w:rPr>
              <w:t>0.</w:t>
            </w:r>
            <w:r>
              <w:rPr>
                <w:rFonts w:hint="eastAsia"/>
                <w:color w:val="auto"/>
                <w:spacing w:val="-2"/>
                <w:sz w:val="18"/>
                <w:szCs w:val="18"/>
                <w:lang w:val="en-US" w:eastAsia="zh-CN"/>
              </w:rPr>
              <w:t>5</w:t>
            </w:r>
          </w:p>
        </w:tc>
        <w:tc>
          <w:tcPr>
            <w:tcW w:w="969" w:type="dxa"/>
            <w:vAlign w:val="center"/>
          </w:tcPr>
          <w:p w14:paraId="5B30F87E">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rPr>
              <w:t>2/2/2</w:t>
            </w:r>
          </w:p>
        </w:tc>
        <w:tc>
          <w:tcPr>
            <w:tcW w:w="1009" w:type="dxa"/>
            <w:vAlign w:val="center"/>
          </w:tcPr>
          <w:p w14:paraId="7B98643F">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position w:val="1"/>
              </w:rPr>
              <w:t>1F-2F</w:t>
            </w:r>
          </w:p>
        </w:tc>
        <w:tc>
          <w:tcPr>
            <w:tcW w:w="1171" w:type="dxa"/>
            <w:vAlign w:val="center"/>
          </w:tcPr>
          <w:p w14:paraId="11696FDC">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3"/>
                <w:position w:val="1"/>
              </w:rPr>
              <w:t>3700*4100</w:t>
            </w:r>
          </w:p>
        </w:tc>
        <w:tc>
          <w:tcPr>
            <w:tcW w:w="838" w:type="dxa"/>
            <w:vAlign w:val="center"/>
          </w:tcPr>
          <w:p w14:paraId="0810AED0">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2"/>
                <w:position w:val="1"/>
              </w:rPr>
              <w:t>9.6</w:t>
            </w:r>
          </w:p>
        </w:tc>
        <w:tc>
          <w:tcPr>
            <w:tcW w:w="554" w:type="dxa"/>
            <w:vAlign w:val="center"/>
          </w:tcPr>
          <w:p w14:paraId="53029B80">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color w:val="auto"/>
                <w:spacing w:val="1"/>
                <w:position w:val="1"/>
              </w:rPr>
              <w:t>2.1</w:t>
            </w:r>
          </w:p>
        </w:tc>
        <w:tc>
          <w:tcPr>
            <w:tcW w:w="853" w:type="dxa"/>
            <w:vAlign w:val="center"/>
          </w:tcPr>
          <w:p w14:paraId="74B1E7CA">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z w:val="18"/>
                <w:szCs w:val="18"/>
              </w:rPr>
            </w:pPr>
            <w:r>
              <w:rPr>
                <w:color w:val="auto"/>
                <w:spacing w:val="-3"/>
                <w:sz w:val="18"/>
                <w:szCs w:val="18"/>
              </w:rPr>
              <w:t>无机房</w:t>
            </w:r>
          </w:p>
        </w:tc>
        <w:tc>
          <w:tcPr>
            <w:tcW w:w="1433" w:type="dxa"/>
            <w:vAlign w:val="center"/>
          </w:tcPr>
          <w:p w14:paraId="35B9E340">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color w:val="auto"/>
                <w:spacing w:val="-3"/>
                <w:sz w:val="18"/>
                <w:szCs w:val="18"/>
              </w:rPr>
            </w:pPr>
            <w:r>
              <w:rPr>
                <w:rFonts w:hint="eastAsia"/>
                <w:color w:val="auto"/>
                <w:spacing w:val="-3"/>
                <w:sz w:val="18"/>
                <w:szCs w:val="18"/>
                <w:lang w:val="en-US" w:eastAsia="zh-CN"/>
              </w:rPr>
              <w:t>2000*3600</w:t>
            </w:r>
          </w:p>
        </w:tc>
        <w:tc>
          <w:tcPr>
            <w:tcW w:w="1267" w:type="dxa"/>
            <w:vAlign w:val="center"/>
          </w:tcPr>
          <w:p w14:paraId="382B2D9D">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color w:val="auto"/>
                <w:spacing w:val="-3"/>
                <w:sz w:val="18"/>
                <w:szCs w:val="18"/>
              </w:rPr>
            </w:pPr>
            <w:r>
              <w:rPr>
                <w:rFonts w:hint="eastAsia"/>
                <w:color w:val="auto"/>
                <w:spacing w:val="-3"/>
                <w:sz w:val="18"/>
                <w:szCs w:val="18"/>
                <w:lang w:val="en-US" w:eastAsia="zh-CN"/>
              </w:rPr>
              <w:t>2000*23000</w:t>
            </w:r>
          </w:p>
        </w:tc>
        <w:tc>
          <w:tcPr>
            <w:tcW w:w="2301" w:type="dxa"/>
            <w:vAlign w:val="center"/>
          </w:tcPr>
          <w:p w14:paraId="0BE5048E">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color w:val="auto"/>
                <w:spacing w:val="-3"/>
                <w:sz w:val="18"/>
                <w:szCs w:val="18"/>
                <w:lang w:val="en-US" w:eastAsia="zh-CN"/>
              </w:rPr>
            </w:pPr>
            <w:r>
              <w:rPr>
                <w:rFonts w:hint="eastAsia" w:ascii="宋体" w:hAnsi="宋体" w:eastAsia="宋体" w:cs="宋体"/>
                <w:snapToGrid w:val="0"/>
                <w:color w:val="auto"/>
                <w:spacing w:val="-3"/>
                <w:kern w:val="0"/>
                <w:sz w:val="18"/>
                <w:szCs w:val="18"/>
                <w:lang w:val="en-US" w:eastAsia="zh-CN" w:bidi="ar-SA"/>
              </w:rPr>
              <w:t>1、</w:t>
            </w:r>
            <w:r>
              <w:rPr>
                <w:rFonts w:hint="eastAsia"/>
                <w:color w:val="auto"/>
                <w:spacing w:val="-3"/>
                <w:sz w:val="18"/>
                <w:szCs w:val="18"/>
                <w:lang w:val="en-US" w:eastAsia="zh-CN"/>
              </w:rPr>
              <w:t>市场主流货梯运行速度按0.5m/s设计</w:t>
            </w:r>
          </w:p>
          <w:p w14:paraId="013AF3E4">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color w:val="auto"/>
                <w:spacing w:val="-3"/>
                <w:sz w:val="18"/>
                <w:szCs w:val="18"/>
                <w:lang w:val="en-US" w:eastAsia="zh-CN"/>
              </w:rPr>
            </w:pPr>
            <w:r>
              <w:rPr>
                <w:rFonts w:hint="default" w:ascii="宋体" w:hAnsi="宋体" w:eastAsia="宋体" w:cs="宋体"/>
                <w:snapToGrid w:val="0"/>
                <w:color w:val="auto"/>
                <w:spacing w:val="-3"/>
                <w:kern w:val="0"/>
                <w:sz w:val="18"/>
                <w:szCs w:val="18"/>
                <w:lang w:val="en-US" w:eastAsia="zh-CN" w:bidi="ar-SA"/>
              </w:rPr>
              <w:t>2、</w:t>
            </w:r>
            <w:r>
              <w:rPr>
                <w:rFonts w:hint="eastAsia"/>
                <w:color w:val="auto"/>
                <w:spacing w:val="-3"/>
                <w:sz w:val="18"/>
                <w:szCs w:val="18"/>
                <w:lang w:val="en-US" w:eastAsia="zh-CN"/>
              </w:rPr>
              <w:t>5吨货梯现有井道尺寸偏小，建议增加井道宽度约500mm</w:t>
            </w:r>
          </w:p>
          <w:p w14:paraId="17053326">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color w:val="auto"/>
                <w:spacing w:val="-3"/>
                <w:sz w:val="18"/>
                <w:szCs w:val="18"/>
                <w:lang w:val="en-US" w:eastAsia="zh-CN"/>
              </w:rPr>
            </w:pPr>
            <w:r>
              <w:rPr>
                <w:rFonts w:hint="eastAsia"/>
                <w:color w:val="auto"/>
                <w:spacing w:val="-3"/>
                <w:sz w:val="18"/>
                <w:szCs w:val="18"/>
                <w:lang w:val="en-US" w:eastAsia="zh-CN"/>
              </w:rPr>
              <w:t>3、基坑深度可缩小为1.7米</w:t>
            </w:r>
          </w:p>
        </w:tc>
      </w:tr>
      <w:tr w14:paraId="15A5A2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259" w:type="dxa"/>
            <w:gridSpan w:val="2"/>
            <w:vAlign w:val="center"/>
          </w:tcPr>
          <w:p w14:paraId="15FCD60F">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pacing w:val="7"/>
              </w:rPr>
            </w:pPr>
            <w:r>
              <w:rPr>
                <w:b/>
                <w:bCs/>
                <w:color w:val="auto"/>
                <w:spacing w:val="6"/>
                <w:sz w:val="20"/>
                <w:szCs w:val="20"/>
              </w:rPr>
              <w:t>扶梯编号</w:t>
            </w:r>
          </w:p>
        </w:tc>
        <w:tc>
          <w:tcPr>
            <w:tcW w:w="660" w:type="dxa"/>
            <w:vAlign w:val="center"/>
          </w:tcPr>
          <w:p w14:paraId="426F97BC">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rPr>
            </w:pPr>
            <w:r>
              <w:rPr>
                <w:b/>
                <w:bCs/>
                <w:color w:val="auto"/>
                <w:spacing w:val="4"/>
                <w:sz w:val="20"/>
                <w:szCs w:val="20"/>
              </w:rPr>
              <w:t>楼层</w:t>
            </w:r>
          </w:p>
        </w:tc>
        <w:tc>
          <w:tcPr>
            <w:tcW w:w="613" w:type="dxa"/>
            <w:vAlign w:val="center"/>
          </w:tcPr>
          <w:p w14:paraId="53F90398">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pacing w:val="-7"/>
                <w:position w:val="1"/>
              </w:rPr>
            </w:pPr>
            <w:r>
              <w:rPr>
                <w:b/>
                <w:bCs/>
                <w:color w:val="auto"/>
                <w:spacing w:val="3"/>
                <w:sz w:val="20"/>
                <w:szCs w:val="20"/>
              </w:rPr>
              <w:t>数量</w:t>
            </w:r>
          </w:p>
        </w:tc>
        <w:tc>
          <w:tcPr>
            <w:tcW w:w="1536" w:type="dxa"/>
            <w:gridSpan w:val="2"/>
            <w:vAlign w:val="center"/>
          </w:tcPr>
          <w:p w14:paraId="763BE4D9">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pacing w:val="-2"/>
                <w:sz w:val="18"/>
                <w:szCs w:val="18"/>
              </w:rPr>
            </w:pPr>
            <w:r>
              <w:rPr>
                <w:b/>
                <w:bCs/>
                <w:color w:val="auto"/>
                <w:spacing w:val="6"/>
                <w:sz w:val="20"/>
                <w:szCs w:val="20"/>
              </w:rPr>
              <w:t>额定速度</w:t>
            </w:r>
            <w:r>
              <w:rPr>
                <w:b/>
                <w:bCs/>
                <w:color w:val="auto"/>
                <w:spacing w:val="-1"/>
                <w:sz w:val="20"/>
                <w:szCs w:val="20"/>
              </w:rPr>
              <w:t>（m/s）</w:t>
            </w:r>
          </w:p>
        </w:tc>
        <w:tc>
          <w:tcPr>
            <w:tcW w:w="969" w:type="dxa"/>
            <w:vAlign w:val="center"/>
          </w:tcPr>
          <w:p w14:paraId="364AF717">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pacing w:val="3"/>
              </w:rPr>
            </w:pPr>
            <w:r>
              <w:rPr>
                <w:b/>
                <w:bCs/>
                <w:color w:val="auto"/>
                <w:spacing w:val="2"/>
                <w:sz w:val="20"/>
                <w:szCs w:val="20"/>
              </w:rPr>
              <w:t>角度</w:t>
            </w:r>
          </w:p>
        </w:tc>
        <w:tc>
          <w:tcPr>
            <w:tcW w:w="2180" w:type="dxa"/>
            <w:gridSpan w:val="2"/>
            <w:vAlign w:val="center"/>
          </w:tcPr>
          <w:p w14:paraId="2A359CFA">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color w:val="auto"/>
                <w:spacing w:val="3"/>
                <w:position w:val="1"/>
              </w:rPr>
            </w:pPr>
            <w:r>
              <w:rPr>
                <w:b/>
                <w:bCs/>
                <w:color w:val="auto"/>
                <w:spacing w:val="6"/>
                <w:sz w:val="20"/>
                <w:szCs w:val="20"/>
              </w:rPr>
              <w:t>提升高度</w:t>
            </w:r>
            <w:r>
              <w:rPr>
                <w:b/>
                <w:bCs/>
                <w:color w:val="auto"/>
                <w:spacing w:val="-11"/>
                <w:sz w:val="20"/>
                <w:szCs w:val="20"/>
              </w:rPr>
              <w:t>(米)</w:t>
            </w:r>
          </w:p>
        </w:tc>
        <w:tc>
          <w:tcPr>
            <w:tcW w:w="4945" w:type="dxa"/>
            <w:gridSpan w:val="5"/>
            <w:vAlign w:val="center"/>
          </w:tcPr>
          <w:p w14:paraId="2DF77927">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color w:val="auto"/>
                <w:spacing w:val="-3"/>
                <w:sz w:val="18"/>
                <w:szCs w:val="18"/>
                <w:lang w:val="en-US" w:eastAsia="zh-CN"/>
              </w:rPr>
            </w:pPr>
            <w:r>
              <w:rPr>
                <w:b/>
                <w:bCs/>
                <w:color w:val="auto"/>
                <w:spacing w:val="6"/>
                <w:sz w:val="20"/>
                <w:szCs w:val="20"/>
              </w:rPr>
              <w:t>最大理论输送</w:t>
            </w:r>
            <w:r>
              <w:rPr>
                <w:b/>
                <w:bCs/>
                <w:color w:val="auto"/>
                <w:spacing w:val="3"/>
                <w:sz w:val="20"/>
                <w:szCs w:val="20"/>
              </w:rPr>
              <w:t>能力（人/h）</w:t>
            </w:r>
          </w:p>
        </w:tc>
        <w:tc>
          <w:tcPr>
            <w:tcW w:w="2301" w:type="dxa"/>
            <w:vAlign w:val="center"/>
          </w:tcPr>
          <w:p w14:paraId="4FEA403E">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color w:val="auto"/>
                <w:spacing w:val="-3"/>
                <w:sz w:val="18"/>
                <w:szCs w:val="18"/>
                <w:lang w:val="en-US" w:eastAsia="zh-CN"/>
              </w:rPr>
            </w:pPr>
            <w:r>
              <w:rPr>
                <w:b/>
                <w:bCs/>
                <w:color w:val="auto"/>
                <w:spacing w:val="2"/>
                <w:sz w:val="20"/>
                <w:szCs w:val="20"/>
              </w:rPr>
              <w:t>备注</w:t>
            </w:r>
          </w:p>
        </w:tc>
      </w:tr>
      <w:tr w14:paraId="7618DA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259" w:type="dxa"/>
            <w:gridSpan w:val="2"/>
            <w:vAlign w:val="top"/>
          </w:tcPr>
          <w:p w14:paraId="36979891">
            <w:pPr>
              <w:pStyle w:val="6"/>
              <w:keepNext w:val="0"/>
              <w:keepLines w:val="0"/>
              <w:pageBreakBefore w:val="0"/>
              <w:widowControl/>
              <w:kinsoku w:val="0"/>
              <w:wordWrap/>
              <w:overflowPunct/>
              <w:topLinePunct w:val="0"/>
              <w:autoSpaceDE w:val="0"/>
              <w:autoSpaceDN w:val="0"/>
              <w:bidi w:val="0"/>
              <w:adjustRightInd w:val="0"/>
              <w:snapToGrid w:val="0"/>
              <w:spacing w:before="187" w:line="240" w:lineRule="auto"/>
              <w:ind w:left="0" w:leftChars="0"/>
              <w:jc w:val="center"/>
              <w:textAlignment w:val="baseline"/>
              <w:rPr>
                <w:b w:val="0"/>
                <w:bCs w:val="0"/>
                <w:color w:val="auto"/>
                <w:spacing w:val="6"/>
                <w:sz w:val="20"/>
                <w:szCs w:val="20"/>
              </w:rPr>
            </w:pPr>
            <w:r>
              <w:rPr>
                <w:b w:val="0"/>
                <w:bCs w:val="0"/>
                <w:color w:val="auto"/>
                <w:position w:val="1"/>
                <w:sz w:val="20"/>
                <w:szCs w:val="20"/>
              </w:rPr>
              <w:t>FT</w:t>
            </w:r>
            <w:r>
              <w:rPr>
                <w:b w:val="0"/>
                <w:bCs w:val="0"/>
                <w:color w:val="auto"/>
                <w:spacing w:val="6"/>
                <w:position w:val="1"/>
                <w:sz w:val="20"/>
                <w:szCs w:val="20"/>
              </w:rPr>
              <w:t>1-2</w:t>
            </w:r>
          </w:p>
        </w:tc>
        <w:tc>
          <w:tcPr>
            <w:tcW w:w="660" w:type="dxa"/>
            <w:vAlign w:val="center"/>
          </w:tcPr>
          <w:p w14:paraId="5E29E18F">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b w:val="0"/>
                <w:bCs w:val="0"/>
                <w:color w:val="auto"/>
                <w:spacing w:val="4"/>
                <w:sz w:val="20"/>
                <w:szCs w:val="20"/>
              </w:rPr>
            </w:pPr>
            <w:r>
              <w:rPr>
                <w:b w:val="0"/>
                <w:bCs w:val="0"/>
                <w:color w:val="auto"/>
                <w:position w:val="1"/>
                <w:sz w:val="20"/>
                <w:szCs w:val="20"/>
              </w:rPr>
              <w:t>1F-2F</w:t>
            </w:r>
          </w:p>
        </w:tc>
        <w:tc>
          <w:tcPr>
            <w:tcW w:w="613" w:type="dxa"/>
            <w:vAlign w:val="center"/>
          </w:tcPr>
          <w:p w14:paraId="13275704">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eastAsia="宋体"/>
                <w:b w:val="0"/>
                <w:bCs w:val="0"/>
                <w:color w:val="auto"/>
                <w:spacing w:val="3"/>
                <w:sz w:val="20"/>
                <w:szCs w:val="20"/>
                <w:lang w:val="en-US" w:eastAsia="zh-CN"/>
              </w:rPr>
            </w:pPr>
            <w:r>
              <w:rPr>
                <w:rFonts w:hint="eastAsia"/>
                <w:b w:val="0"/>
                <w:bCs w:val="0"/>
                <w:color w:val="auto"/>
                <w:spacing w:val="3"/>
                <w:sz w:val="20"/>
                <w:szCs w:val="20"/>
                <w:lang w:val="en-US" w:eastAsia="zh-CN"/>
              </w:rPr>
              <w:t>2</w:t>
            </w:r>
          </w:p>
        </w:tc>
        <w:tc>
          <w:tcPr>
            <w:tcW w:w="1536" w:type="dxa"/>
            <w:gridSpan w:val="2"/>
            <w:vAlign w:val="center"/>
          </w:tcPr>
          <w:p w14:paraId="73740655">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b w:val="0"/>
                <w:bCs w:val="0"/>
                <w:color w:val="auto"/>
                <w:spacing w:val="6"/>
                <w:sz w:val="20"/>
                <w:szCs w:val="20"/>
              </w:rPr>
            </w:pPr>
            <w:r>
              <w:rPr>
                <w:b w:val="0"/>
                <w:bCs w:val="0"/>
                <w:color w:val="auto"/>
                <w:spacing w:val="1"/>
                <w:position w:val="1"/>
                <w:sz w:val="20"/>
                <w:szCs w:val="20"/>
              </w:rPr>
              <w:t>0.5</w:t>
            </w:r>
          </w:p>
        </w:tc>
        <w:tc>
          <w:tcPr>
            <w:tcW w:w="969" w:type="dxa"/>
            <w:vAlign w:val="center"/>
          </w:tcPr>
          <w:p w14:paraId="6CB0CAAA">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b w:val="0"/>
                <w:bCs w:val="0"/>
                <w:color w:val="auto"/>
                <w:spacing w:val="2"/>
                <w:sz w:val="20"/>
                <w:szCs w:val="20"/>
              </w:rPr>
            </w:pPr>
            <w:r>
              <w:rPr>
                <w:b w:val="0"/>
                <w:bCs w:val="0"/>
                <w:color w:val="auto"/>
                <w:spacing w:val="-1"/>
                <w:position w:val="1"/>
                <w:sz w:val="20"/>
                <w:szCs w:val="20"/>
              </w:rPr>
              <w:t>30</w:t>
            </w:r>
            <w:r>
              <w:rPr>
                <w:b w:val="0"/>
                <w:bCs w:val="0"/>
                <w:color w:val="auto"/>
                <w:spacing w:val="-72"/>
                <w:position w:val="1"/>
                <w:sz w:val="20"/>
                <w:szCs w:val="20"/>
              </w:rPr>
              <w:t xml:space="preserve"> </w:t>
            </w:r>
            <w:r>
              <w:rPr>
                <w:b w:val="0"/>
                <w:bCs w:val="0"/>
                <w:color w:val="auto"/>
                <w:spacing w:val="-1"/>
                <w:position w:val="1"/>
                <w:sz w:val="20"/>
                <w:szCs w:val="20"/>
              </w:rPr>
              <w:t>°</w:t>
            </w:r>
          </w:p>
        </w:tc>
        <w:tc>
          <w:tcPr>
            <w:tcW w:w="2180" w:type="dxa"/>
            <w:gridSpan w:val="2"/>
            <w:vAlign w:val="center"/>
          </w:tcPr>
          <w:p w14:paraId="62504A4A">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b w:val="0"/>
                <w:bCs w:val="0"/>
                <w:color w:val="auto"/>
                <w:spacing w:val="6"/>
                <w:sz w:val="20"/>
                <w:szCs w:val="20"/>
              </w:rPr>
            </w:pPr>
            <w:r>
              <w:rPr>
                <w:b w:val="0"/>
                <w:bCs w:val="0"/>
                <w:color w:val="auto"/>
                <w:spacing w:val="1"/>
                <w:position w:val="1"/>
                <w:sz w:val="20"/>
                <w:szCs w:val="20"/>
              </w:rPr>
              <w:t>5.6</w:t>
            </w:r>
          </w:p>
        </w:tc>
        <w:tc>
          <w:tcPr>
            <w:tcW w:w="4945" w:type="dxa"/>
            <w:gridSpan w:val="5"/>
            <w:vAlign w:val="center"/>
          </w:tcPr>
          <w:p w14:paraId="526D8ABA">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default" w:eastAsia="宋体"/>
                <w:b w:val="0"/>
                <w:bCs w:val="0"/>
                <w:color w:val="auto"/>
                <w:spacing w:val="6"/>
                <w:sz w:val="20"/>
                <w:szCs w:val="20"/>
                <w:lang w:val="en-US" w:eastAsia="zh-CN"/>
              </w:rPr>
            </w:pPr>
            <w:r>
              <w:rPr>
                <w:rFonts w:hint="eastAsia"/>
                <w:b w:val="0"/>
                <w:bCs w:val="0"/>
                <w:color w:val="auto"/>
                <w:spacing w:val="6"/>
                <w:sz w:val="20"/>
                <w:szCs w:val="20"/>
                <w:lang w:val="en-US" w:eastAsia="zh-CN"/>
              </w:rPr>
              <w:t>9000</w:t>
            </w:r>
          </w:p>
        </w:tc>
        <w:tc>
          <w:tcPr>
            <w:tcW w:w="2301" w:type="dxa"/>
            <w:vAlign w:val="top"/>
          </w:tcPr>
          <w:p w14:paraId="43D62F49">
            <w:pPr>
              <w:pStyle w:val="6"/>
              <w:keepNext w:val="0"/>
              <w:keepLines w:val="0"/>
              <w:pageBreakBefore w:val="0"/>
              <w:widowControl/>
              <w:kinsoku w:val="0"/>
              <w:wordWrap/>
              <w:overflowPunct/>
              <w:topLinePunct w:val="0"/>
              <w:autoSpaceDE w:val="0"/>
              <w:autoSpaceDN w:val="0"/>
              <w:bidi w:val="0"/>
              <w:adjustRightInd w:val="0"/>
              <w:snapToGrid w:val="0"/>
              <w:spacing w:before="186" w:line="240" w:lineRule="auto"/>
              <w:ind w:left="0" w:leftChars="0"/>
              <w:jc w:val="center"/>
              <w:textAlignment w:val="baseline"/>
              <w:rPr>
                <w:b w:val="0"/>
                <w:bCs w:val="0"/>
                <w:color w:val="auto"/>
                <w:spacing w:val="2"/>
                <w:sz w:val="20"/>
                <w:szCs w:val="20"/>
              </w:rPr>
            </w:pPr>
            <w:r>
              <w:rPr>
                <w:b w:val="0"/>
                <w:bCs w:val="0"/>
                <w:color w:val="auto"/>
                <w:spacing w:val="9"/>
                <w:sz w:val="20"/>
                <w:szCs w:val="20"/>
              </w:rPr>
              <w:t>梯级和扶手带夜晚带照明</w:t>
            </w:r>
          </w:p>
        </w:tc>
      </w:tr>
      <w:tr w14:paraId="16B922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2259" w:type="dxa"/>
            <w:gridSpan w:val="2"/>
            <w:vAlign w:val="top"/>
          </w:tcPr>
          <w:p w14:paraId="296C062B">
            <w:pPr>
              <w:pStyle w:val="6"/>
              <w:keepNext w:val="0"/>
              <w:keepLines w:val="0"/>
              <w:pageBreakBefore w:val="0"/>
              <w:widowControl/>
              <w:kinsoku w:val="0"/>
              <w:wordWrap/>
              <w:overflowPunct/>
              <w:topLinePunct w:val="0"/>
              <w:autoSpaceDE w:val="0"/>
              <w:autoSpaceDN w:val="0"/>
              <w:bidi w:val="0"/>
              <w:adjustRightInd w:val="0"/>
              <w:snapToGrid w:val="0"/>
              <w:spacing w:before="181" w:line="240" w:lineRule="auto"/>
              <w:ind w:left="0" w:leftChars="0"/>
              <w:jc w:val="center"/>
              <w:textAlignment w:val="baseline"/>
              <w:rPr>
                <w:b w:val="0"/>
                <w:bCs w:val="0"/>
                <w:color w:val="auto"/>
                <w:spacing w:val="6"/>
                <w:sz w:val="20"/>
                <w:szCs w:val="20"/>
              </w:rPr>
            </w:pPr>
            <w:r>
              <w:rPr>
                <w:b w:val="0"/>
                <w:bCs w:val="0"/>
                <w:color w:val="auto"/>
                <w:position w:val="1"/>
                <w:sz w:val="20"/>
                <w:szCs w:val="20"/>
              </w:rPr>
              <w:t>FT</w:t>
            </w:r>
            <w:r>
              <w:rPr>
                <w:b w:val="0"/>
                <w:bCs w:val="0"/>
                <w:color w:val="auto"/>
                <w:spacing w:val="6"/>
                <w:position w:val="1"/>
                <w:sz w:val="20"/>
                <w:szCs w:val="20"/>
              </w:rPr>
              <w:t>3-4</w:t>
            </w:r>
          </w:p>
        </w:tc>
        <w:tc>
          <w:tcPr>
            <w:tcW w:w="660" w:type="dxa"/>
            <w:vAlign w:val="center"/>
          </w:tcPr>
          <w:p w14:paraId="56D6FD9D">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b w:val="0"/>
                <w:bCs w:val="0"/>
                <w:color w:val="auto"/>
                <w:spacing w:val="4"/>
                <w:sz w:val="20"/>
                <w:szCs w:val="20"/>
              </w:rPr>
            </w:pPr>
            <w:r>
              <w:rPr>
                <w:b w:val="0"/>
                <w:bCs w:val="0"/>
                <w:color w:val="auto"/>
                <w:spacing w:val="2"/>
                <w:position w:val="1"/>
                <w:sz w:val="20"/>
                <w:szCs w:val="20"/>
              </w:rPr>
              <w:t>2F-3F</w:t>
            </w:r>
          </w:p>
        </w:tc>
        <w:tc>
          <w:tcPr>
            <w:tcW w:w="613" w:type="dxa"/>
            <w:vAlign w:val="center"/>
          </w:tcPr>
          <w:p w14:paraId="288F5FBE">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eastAsia="宋体"/>
                <w:b w:val="0"/>
                <w:bCs w:val="0"/>
                <w:color w:val="auto"/>
                <w:spacing w:val="3"/>
                <w:sz w:val="20"/>
                <w:szCs w:val="20"/>
                <w:lang w:val="en-US" w:eastAsia="zh-CN"/>
              </w:rPr>
            </w:pPr>
            <w:r>
              <w:rPr>
                <w:rFonts w:hint="eastAsia"/>
                <w:b w:val="0"/>
                <w:bCs w:val="0"/>
                <w:color w:val="auto"/>
                <w:spacing w:val="3"/>
                <w:sz w:val="20"/>
                <w:szCs w:val="20"/>
                <w:lang w:val="en-US" w:eastAsia="zh-CN"/>
              </w:rPr>
              <w:t>2</w:t>
            </w:r>
          </w:p>
        </w:tc>
        <w:tc>
          <w:tcPr>
            <w:tcW w:w="1536" w:type="dxa"/>
            <w:gridSpan w:val="2"/>
            <w:vAlign w:val="center"/>
          </w:tcPr>
          <w:p w14:paraId="5E2EF576">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b w:val="0"/>
                <w:bCs w:val="0"/>
                <w:color w:val="auto"/>
                <w:spacing w:val="6"/>
                <w:sz w:val="20"/>
                <w:szCs w:val="20"/>
              </w:rPr>
            </w:pPr>
            <w:r>
              <w:rPr>
                <w:b w:val="0"/>
                <w:bCs w:val="0"/>
                <w:color w:val="auto"/>
                <w:spacing w:val="1"/>
                <w:position w:val="1"/>
                <w:sz w:val="20"/>
                <w:szCs w:val="20"/>
              </w:rPr>
              <w:t>0.5</w:t>
            </w:r>
          </w:p>
        </w:tc>
        <w:tc>
          <w:tcPr>
            <w:tcW w:w="969" w:type="dxa"/>
            <w:vAlign w:val="center"/>
          </w:tcPr>
          <w:p w14:paraId="0631B89C">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b w:val="0"/>
                <w:bCs w:val="0"/>
                <w:color w:val="auto"/>
                <w:spacing w:val="2"/>
                <w:sz w:val="20"/>
                <w:szCs w:val="20"/>
              </w:rPr>
            </w:pPr>
            <w:r>
              <w:rPr>
                <w:b w:val="0"/>
                <w:bCs w:val="0"/>
                <w:color w:val="auto"/>
                <w:spacing w:val="-1"/>
                <w:position w:val="1"/>
                <w:sz w:val="20"/>
                <w:szCs w:val="20"/>
              </w:rPr>
              <w:t>30</w:t>
            </w:r>
            <w:r>
              <w:rPr>
                <w:b w:val="0"/>
                <w:bCs w:val="0"/>
                <w:color w:val="auto"/>
                <w:spacing w:val="-72"/>
                <w:position w:val="1"/>
                <w:sz w:val="20"/>
                <w:szCs w:val="20"/>
              </w:rPr>
              <w:t xml:space="preserve"> </w:t>
            </w:r>
            <w:r>
              <w:rPr>
                <w:b w:val="0"/>
                <w:bCs w:val="0"/>
                <w:color w:val="auto"/>
                <w:spacing w:val="-1"/>
                <w:position w:val="1"/>
                <w:sz w:val="20"/>
                <w:szCs w:val="20"/>
              </w:rPr>
              <w:t>°</w:t>
            </w:r>
          </w:p>
        </w:tc>
        <w:tc>
          <w:tcPr>
            <w:tcW w:w="2180" w:type="dxa"/>
            <w:gridSpan w:val="2"/>
            <w:vAlign w:val="center"/>
          </w:tcPr>
          <w:p w14:paraId="34BEC3C4">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eastAsia="宋体"/>
                <w:b w:val="0"/>
                <w:bCs w:val="0"/>
                <w:color w:val="auto"/>
                <w:spacing w:val="6"/>
                <w:sz w:val="20"/>
                <w:szCs w:val="20"/>
                <w:lang w:val="en-US" w:eastAsia="zh-CN"/>
              </w:rPr>
            </w:pPr>
            <w:r>
              <w:rPr>
                <w:rFonts w:hint="eastAsia"/>
                <w:b w:val="0"/>
                <w:bCs w:val="0"/>
                <w:color w:val="auto"/>
                <w:spacing w:val="6"/>
                <w:sz w:val="20"/>
                <w:szCs w:val="20"/>
                <w:lang w:val="en-US" w:eastAsia="zh-CN"/>
              </w:rPr>
              <w:t>4.8</w:t>
            </w:r>
          </w:p>
        </w:tc>
        <w:tc>
          <w:tcPr>
            <w:tcW w:w="4945" w:type="dxa"/>
            <w:gridSpan w:val="5"/>
            <w:vAlign w:val="center"/>
          </w:tcPr>
          <w:p w14:paraId="636A157B">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b w:val="0"/>
                <w:bCs w:val="0"/>
                <w:color w:val="auto"/>
                <w:spacing w:val="6"/>
                <w:sz w:val="20"/>
                <w:szCs w:val="20"/>
              </w:rPr>
            </w:pPr>
            <w:r>
              <w:rPr>
                <w:rFonts w:hint="eastAsia"/>
                <w:b w:val="0"/>
                <w:bCs w:val="0"/>
                <w:color w:val="auto"/>
                <w:spacing w:val="6"/>
                <w:sz w:val="20"/>
                <w:szCs w:val="20"/>
                <w:lang w:val="en-US" w:eastAsia="zh-CN"/>
              </w:rPr>
              <w:t>9000</w:t>
            </w:r>
          </w:p>
        </w:tc>
        <w:tc>
          <w:tcPr>
            <w:tcW w:w="2301" w:type="dxa"/>
            <w:vAlign w:val="top"/>
          </w:tcPr>
          <w:p w14:paraId="1215F928">
            <w:pPr>
              <w:pStyle w:val="6"/>
              <w:keepNext w:val="0"/>
              <w:keepLines w:val="0"/>
              <w:pageBreakBefore w:val="0"/>
              <w:widowControl/>
              <w:kinsoku w:val="0"/>
              <w:wordWrap/>
              <w:overflowPunct/>
              <w:topLinePunct w:val="0"/>
              <w:autoSpaceDE w:val="0"/>
              <w:autoSpaceDN w:val="0"/>
              <w:bidi w:val="0"/>
              <w:adjustRightInd w:val="0"/>
              <w:snapToGrid w:val="0"/>
              <w:spacing w:before="181" w:line="240" w:lineRule="auto"/>
              <w:ind w:left="0" w:leftChars="0"/>
              <w:jc w:val="center"/>
              <w:textAlignment w:val="baseline"/>
              <w:rPr>
                <w:b w:val="0"/>
                <w:bCs w:val="0"/>
                <w:color w:val="auto"/>
                <w:spacing w:val="2"/>
                <w:sz w:val="20"/>
                <w:szCs w:val="20"/>
              </w:rPr>
            </w:pPr>
            <w:r>
              <w:rPr>
                <w:b w:val="0"/>
                <w:bCs w:val="0"/>
                <w:color w:val="auto"/>
                <w:spacing w:val="9"/>
                <w:sz w:val="20"/>
                <w:szCs w:val="20"/>
              </w:rPr>
              <w:t>梯级和扶手带夜晚带照明</w:t>
            </w:r>
          </w:p>
        </w:tc>
      </w:tr>
    </w:tbl>
    <w:p w14:paraId="1E579E7D">
      <w:pPr>
        <w:keepNext w:val="0"/>
        <w:keepLines w:val="0"/>
        <w:pageBreakBefore w:val="0"/>
        <w:widowControl/>
        <w:kinsoku w:val="0"/>
        <w:wordWrap/>
        <w:overflowPunct/>
        <w:topLinePunct w:val="0"/>
        <w:autoSpaceDE w:val="0"/>
        <w:autoSpaceDN w:val="0"/>
        <w:bidi w:val="0"/>
        <w:adjustRightInd w:val="0"/>
        <w:snapToGrid w:val="0"/>
        <w:spacing w:before="10"/>
        <w:textAlignment w:val="baseline"/>
        <w:rPr>
          <w:rFonts w:hint="default" w:eastAsia="宋体"/>
          <w:b/>
          <w:bCs/>
          <w:color w:val="auto"/>
          <w:lang w:val="en-US" w:eastAsia="zh-CN"/>
        </w:rPr>
      </w:pPr>
      <w:bookmarkStart w:id="0" w:name="_GoBack"/>
      <w:r>
        <w:rPr>
          <w:rFonts w:hint="eastAsia" w:eastAsia="宋体"/>
          <w:b/>
          <w:bCs/>
          <w:color w:val="auto"/>
          <w:lang w:val="en-US" w:eastAsia="zh-CN"/>
        </w:rPr>
        <w:t>注：后续优化内容另行确认，所有费用已包含在投标报价内，请各投标人自行报价。</w:t>
      </w:r>
    </w:p>
    <w:bookmarkEnd w:id="0"/>
    <w:p w14:paraId="70F23887">
      <w:pPr>
        <w:keepNext w:val="0"/>
        <w:keepLines w:val="0"/>
        <w:pageBreakBefore w:val="0"/>
        <w:widowControl/>
        <w:kinsoku w:val="0"/>
        <w:wordWrap/>
        <w:overflowPunct/>
        <w:topLinePunct w:val="0"/>
        <w:autoSpaceDE w:val="0"/>
        <w:autoSpaceDN w:val="0"/>
        <w:bidi w:val="0"/>
        <w:adjustRightInd w:val="0"/>
        <w:snapToGrid w:val="0"/>
        <w:spacing w:before="10"/>
        <w:textAlignment w:val="baseline"/>
        <w:rPr>
          <w:rFonts w:hint="default" w:eastAsia="宋体"/>
          <w:b/>
          <w:bCs/>
          <w:color w:val="auto"/>
          <w:lang w:val="en-US" w:eastAsia="zh-CN"/>
        </w:rPr>
      </w:pPr>
    </w:p>
    <w:p w14:paraId="6D80E9FE">
      <w:pPr>
        <w:keepNext w:val="0"/>
        <w:keepLines w:val="0"/>
        <w:pageBreakBefore w:val="0"/>
        <w:widowControl/>
        <w:kinsoku w:val="0"/>
        <w:wordWrap/>
        <w:overflowPunct/>
        <w:topLinePunct w:val="0"/>
        <w:autoSpaceDE w:val="0"/>
        <w:autoSpaceDN w:val="0"/>
        <w:bidi w:val="0"/>
        <w:adjustRightInd w:val="0"/>
        <w:snapToGrid w:val="0"/>
        <w:spacing w:before="10"/>
        <w:textAlignment w:val="baseline"/>
        <w:rPr>
          <w:rFonts w:hint="default" w:eastAsia="宋体"/>
          <w:b/>
          <w:bCs/>
          <w:color w:val="auto"/>
          <w:lang w:val="en-US" w:eastAsia="zh-CN"/>
        </w:rPr>
        <w:sectPr>
          <w:pgSz w:w="16840" w:h="11907" w:orient="landscape"/>
          <w:pgMar w:top="130" w:right="624" w:bottom="130" w:left="590" w:header="0" w:footer="992" w:gutter="0"/>
          <w:cols w:space="0" w:num="1"/>
          <w:rtlGutter w:val="0"/>
          <w:docGrid w:linePitch="0" w:charSpace="0"/>
        </w:sectPr>
      </w:pPr>
    </w:p>
    <w:p w14:paraId="142D9B22">
      <w:pPr>
        <w:numPr>
          <w:ilvl w:val="0"/>
          <w:numId w:val="2"/>
        </w:numPr>
        <w:spacing w:before="55" w:line="217" w:lineRule="auto"/>
        <w:rPr>
          <w:rFonts w:hint="eastAsia" w:ascii="宋体" w:hAnsi="宋体" w:eastAsia="宋体" w:cs="宋体"/>
          <w:b/>
          <w:bCs/>
          <w:color w:val="auto"/>
          <w:spacing w:val="-6"/>
          <w:sz w:val="28"/>
          <w:szCs w:val="28"/>
          <w:lang w:val="en-US" w:eastAsia="zh-CN"/>
        </w:rPr>
      </w:pPr>
      <w:r>
        <w:rPr>
          <w:rFonts w:hint="eastAsia" w:ascii="宋体" w:hAnsi="宋体" w:eastAsia="宋体" w:cs="宋体"/>
          <w:b/>
          <w:bCs/>
          <w:color w:val="auto"/>
          <w:spacing w:val="-6"/>
          <w:sz w:val="28"/>
          <w:szCs w:val="28"/>
          <w:lang w:val="en-US" w:eastAsia="zh-CN"/>
        </w:rPr>
        <w:t>技术规格</w:t>
      </w:r>
    </w:p>
    <w:p w14:paraId="5B564149">
      <w:pPr>
        <w:spacing w:line="360" w:lineRule="auto"/>
        <w:ind w:firstLine="482" w:firstLineChars="200"/>
        <w:rPr>
          <w:rFonts w:ascii="宋体" w:hAnsi="宋体" w:eastAsia="宋体" w:cs="宋体"/>
          <w:b/>
          <w:bCs/>
          <w:color w:val="auto"/>
          <w:sz w:val="24"/>
          <w:szCs w:val="24"/>
        </w:rPr>
      </w:pPr>
      <w:r>
        <w:rPr>
          <w:rFonts w:hint="eastAsia" w:ascii="宋体" w:hAnsi="宋体" w:eastAsia="宋体" w:cs="宋体"/>
          <w:b/>
          <w:bCs/>
          <w:color w:val="auto"/>
          <w:sz w:val="24"/>
          <w:szCs w:val="24"/>
          <w:lang w:val="en-US" w:eastAsia="zh-CN"/>
        </w:rPr>
        <w:t>（一</w:t>
      </w:r>
      <w:r>
        <w:rPr>
          <w:rFonts w:hint="eastAsia" w:ascii="宋体" w:hAnsi="宋体" w:eastAsia="宋体" w:cs="宋体"/>
          <w:b/>
          <w:bCs/>
          <w:color w:val="auto"/>
          <w:sz w:val="24"/>
          <w:szCs w:val="24"/>
        </w:rPr>
        <w:t>）、环境和工作条件</w:t>
      </w:r>
    </w:p>
    <w:p w14:paraId="5587A0BB">
      <w:pPr>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除技术规格中另有规定外，供应商提供的一切货物应能按下列条件运行：</w:t>
      </w:r>
    </w:p>
    <w:p w14:paraId="083D0829">
      <w:pPr>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1.电源：动力 380V</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、照明 220V(±7％)，50Hz。（三相五线制）</w:t>
      </w:r>
    </w:p>
    <w:p w14:paraId="19D97E1D">
      <w:pPr>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2.环境温度：-5℃~+40℃。</w:t>
      </w:r>
    </w:p>
    <w:p w14:paraId="34C5FC50">
      <w:pPr>
        <w:tabs>
          <w:tab w:val="left" w:pos="4168"/>
        </w:tabs>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3.工作环境湿度：0～85%RH。</w:t>
      </w:r>
      <w:r>
        <w:rPr>
          <w:rFonts w:hint="eastAsia" w:ascii="宋体" w:hAnsi="宋体" w:eastAsia="宋体" w:cs="宋体"/>
          <w:color w:val="auto"/>
          <w:sz w:val="24"/>
          <w:szCs w:val="24"/>
          <w:lang w:eastAsia="zh-CN"/>
        </w:rPr>
        <w:tab/>
      </w:r>
    </w:p>
    <w:p w14:paraId="046645B6">
      <w:pPr>
        <w:spacing w:line="360" w:lineRule="auto"/>
        <w:ind w:firstLine="482" w:firstLineChars="20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（二）、电梯</w:t>
      </w:r>
      <w:r>
        <w:rPr>
          <w:rFonts w:hint="eastAsia" w:ascii="宋体" w:hAnsi="宋体" w:eastAsia="宋体" w:cs="宋体"/>
          <w:b/>
          <w:bCs/>
          <w:color w:val="auto"/>
          <w:sz w:val="24"/>
          <w:szCs w:val="24"/>
          <w:lang w:val="en-US" w:eastAsia="zh-CN"/>
        </w:rPr>
        <w:t>主要部件</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客梯及货梯</w:t>
      </w:r>
      <w:r>
        <w:rPr>
          <w:rFonts w:hint="eastAsia" w:ascii="宋体" w:hAnsi="宋体" w:eastAsia="宋体" w:cs="宋体"/>
          <w:b/>
          <w:bCs/>
          <w:color w:val="auto"/>
          <w:sz w:val="24"/>
          <w:szCs w:val="24"/>
          <w:lang w:eastAsia="zh-CN"/>
        </w:rPr>
        <w:t>）</w:t>
      </w:r>
    </w:p>
    <w:p w14:paraId="48B67B60">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1、驱动主机：永磁同步无齿轮主机，与整梯同品牌；</w:t>
      </w:r>
    </w:p>
    <w:p w14:paraId="7BC5EA93">
      <w:pPr>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2、曳引介质：客梯优先推荐钢带，舒适性更好，免维护、使用寿命长于钢丝绳，低噪音等特征；货梯采用钢丝绳；</w:t>
      </w:r>
    </w:p>
    <w:p w14:paraId="5721F283">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3、控制系统：双32位微机控制，串行传输通讯网络系统</w:t>
      </w:r>
      <w:r>
        <w:rPr>
          <w:rFonts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zh-CN"/>
        </w:rPr>
        <w:t>满足电压±20%波动试验，-20℃~80℃温湿度老化试验要求，具备抗雷击能力，浪涌复合波测试电压不低于±20KV，与整梯同品牌；</w:t>
      </w:r>
    </w:p>
    <w:p w14:paraId="70ABD2AD">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4、门机及光幕系统：自动中分变频门机，门电机防水防尘等级IP54，具备2000万次开关门试验后门机正常运行，门安全光幕数量不低于150束，与整梯同品牌；</w:t>
      </w:r>
    </w:p>
    <w:p w14:paraId="0416EF94">
      <w:p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5、限速器、安全钳、缓冲器：满足国标并符合特种设备安全标准，具有模拟30年寿命测试试验，与整梯同品牌；</w:t>
      </w:r>
    </w:p>
    <w:p w14:paraId="5F9639BF">
      <w:pPr>
        <w:spacing w:line="360" w:lineRule="auto"/>
        <w:ind w:firstLine="480" w:firstLineChars="2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6、产品能效：满足行业A级能效标准ISO25745或VDI4707认证</w:t>
      </w:r>
    </w:p>
    <w:p w14:paraId="52F9966A">
      <w:p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扶梯主要部件：</w:t>
      </w:r>
    </w:p>
    <w:p w14:paraId="2AB7804F">
      <w:pPr>
        <w:numPr>
          <w:ilvl w:val="0"/>
          <w:numId w:val="3"/>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驱动主机：采用蜗轮蜗杆驱动主机，永磁同步电动机，与整梯同品牌；</w:t>
      </w:r>
    </w:p>
    <w:p w14:paraId="2CCB6CCF">
      <w:pPr>
        <w:numPr>
          <w:ilvl w:val="0"/>
          <w:numId w:val="3"/>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控制柜：采用微机一体化控制系统，配置雷达感应系统，具备待机变频运行功能，与整梯同品牌；</w:t>
      </w:r>
    </w:p>
    <w:p w14:paraId="0CEB97DD">
      <w:pPr>
        <w:numPr>
          <w:ilvl w:val="0"/>
          <w:numId w:val="3"/>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主桁架：采用矩形方管桁架结构</w:t>
      </w:r>
    </w:p>
    <w:p w14:paraId="632634C7">
      <w:pPr>
        <w:numPr>
          <w:ilvl w:val="0"/>
          <w:numId w:val="3"/>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梯级及围裙板材质：发纹不锈钢</w:t>
      </w:r>
    </w:p>
    <w:p w14:paraId="447C153E">
      <w:pPr>
        <w:numPr>
          <w:ilvl w:val="0"/>
          <w:numId w:val="3"/>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扶手带材质：黑色合成橡胶扶手带，扶手带导轨材质为304发纹不锈钢</w:t>
      </w:r>
    </w:p>
    <w:p w14:paraId="3B0EA211">
      <w:pPr>
        <w:numPr>
          <w:ilvl w:val="0"/>
          <w:numId w:val="3"/>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扶手栏板：10mm钢化玻璃，平层扶手高度930mm</w:t>
      </w:r>
    </w:p>
    <w:p w14:paraId="7DAD00C5">
      <w:pPr>
        <w:numPr>
          <w:ilvl w:val="0"/>
          <w:numId w:val="3"/>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前沿板、梳齿材质：本色铝合金</w:t>
      </w:r>
    </w:p>
    <w:p w14:paraId="7B889FAA">
      <w:pPr>
        <w:numPr>
          <w:ilvl w:val="0"/>
          <w:numId w:val="3"/>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扶手照明：LED</w:t>
      </w:r>
      <w:r>
        <w:rPr>
          <w:rFonts w:ascii="宋体" w:hAnsi="宋体" w:eastAsia="宋体" w:cs="宋体"/>
          <w:color w:val="auto"/>
          <w:sz w:val="24"/>
          <w:szCs w:val="24"/>
        </w:rPr>
        <w:t>侧置式暖白色</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多色可选</w:t>
      </w:r>
      <w:r>
        <w:rPr>
          <w:rFonts w:hint="eastAsia" w:ascii="宋体" w:hAnsi="宋体" w:eastAsia="宋体" w:cs="宋体"/>
          <w:color w:val="auto"/>
          <w:sz w:val="24"/>
          <w:szCs w:val="24"/>
          <w:lang w:eastAsia="zh-CN"/>
        </w:rPr>
        <w:t>）</w:t>
      </w:r>
    </w:p>
    <w:p w14:paraId="4F2154C5">
      <w:pPr>
        <w:numPr>
          <w:ilvl w:val="0"/>
          <w:numId w:val="3"/>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梯级照明：</w:t>
      </w:r>
      <w:r>
        <w:rPr>
          <w:rFonts w:ascii="宋体" w:hAnsi="宋体" w:eastAsia="宋体" w:cs="宋体"/>
          <w:color w:val="auto"/>
          <w:sz w:val="24"/>
          <w:szCs w:val="24"/>
        </w:rPr>
        <w:t>绿色梯级间隙照明</w:t>
      </w:r>
      <w:r>
        <w:rPr>
          <w:rFonts w:hint="eastAsia" w:ascii="宋体" w:hAnsi="宋体" w:eastAsia="宋体" w:cs="宋体"/>
          <w:color w:val="auto"/>
          <w:sz w:val="24"/>
          <w:szCs w:val="24"/>
          <w:lang w:val="en-US" w:eastAsia="zh-CN"/>
        </w:rPr>
        <w:t>并具备交通流量灯</w:t>
      </w:r>
    </w:p>
    <w:p w14:paraId="651745BC">
      <w:pPr>
        <w:numPr>
          <w:ilvl w:val="0"/>
          <w:numId w:val="3"/>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扶梯装潢：外框架不低于1.2mm发纹不锈钢材质三面包覆</w:t>
      </w:r>
    </w:p>
    <w:p w14:paraId="48BE861E">
      <w:pPr>
        <w:numPr>
          <w:ilvl w:val="0"/>
          <w:numId w:val="3"/>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产品能效：满足行业A级能效标准ISO25745或VDI4707认证</w:t>
      </w:r>
    </w:p>
    <w:p w14:paraId="3E74B9ED">
      <w:pPr>
        <w:numPr>
          <w:ilvl w:val="0"/>
          <w:numId w:val="0"/>
        </w:numPr>
        <w:spacing w:line="360" w:lineRule="auto"/>
        <w:ind w:firstLine="482" w:firstLineChars="200"/>
        <w:rPr>
          <w:rFonts w:hint="eastAsia" w:ascii="宋体" w:hAnsi="宋体" w:eastAsia="宋体" w:cs="宋体"/>
          <w:color w:val="auto"/>
          <w:sz w:val="24"/>
          <w:szCs w:val="24"/>
          <w:lang w:val="en-US" w:eastAsia="zh-CN"/>
        </w:rPr>
      </w:pPr>
      <w:r>
        <w:rPr>
          <w:rFonts w:hint="eastAsia" w:ascii="宋体" w:hAnsi="宋体" w:eastAsia="宋体" w:cs="宋体"/>
          <w:b/>
          <w:bCs/>
          <w:snapToGrid w:val="0"/>
          <w:color w:val="auto"/>
          <w:kern w:val="0"/>
          <w:sz w:val="24"/>
          <w:szCs w:val="24"/>
          <w:lang w:val="en-US" w:eastAsia="zh-CN" w:bidi="ar-SA"/>
        </w:rPr>
        <w:t>（三）</w:t>
      </w:r>
      <w:r>
        <w:rPr>
          <w:rFonts w:hint="eastAsia" w:ascii="宋体" w:hAnsi="宋体" w:eastAsia="宋体" w:cs="宋体"/>
          <w:color w:val="auto"/>
          <w:sz w:val="24"/>
          <w:szCs w:val="24"/>
        </w:rPr>
        <w:t>、</w:t>
      </w:r>
      <w:r>
        <w:rPr>
          <w:rFonts w:hint="eastAsia" w:ascii="宋体" w:hAnsi="宋体" w:eastAsia="宋体" w:cs="宋体"/>
          <w:b/>
          <w:bCs/>
          <w:color w:val="auto"/>
          <w:sz w:val="24"/>
          <w:szCs w:val="24"/>
          <w:lang w:val="en-US" w:eastAsia="zh-CN"/>
        </w:rPr>
        <w:t>客梯及货梯装潢及配置</w:t>
      </w:r>
    </w:p>
    <w:p w14:paraId="7435FE2F">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客梯(28#楼）</w:t>
      </w:r>
    </w:p>
    <w:p w14:paraId="2FF8D725">
      <w:pPr>
        <w:numPr>
          <w:ilvl w:val="0"/>
          <w:numId w:val="4"/>
        </w:numPr>
        <w:spacing w:line="360" w:lineRule="auto"/>
        <w:ind w:firstLine="480" w:firstLineChars="20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轿厢材质：前壁采用1.5mm厚度古铜色抗指纹镜面不锈钢，侧壁1.5mm厚度条纹古铜色抗指纹镜面蚀刻不锈钢配圆形不锈钢扶手，后壁采用1.5mm厚度抗指纹白镜面不锈钢（不含贯通门电梯）</w:t>
      </w:r>
    </w:p>
    <w:p w14:paraId="32EF78DB">
      <w:pPr>
        <w:numPr>
          <w:ilvl w:val="0"/>
          <w:numId w:val="4"/>
        </w:numPr>
        <w:spacing w:line="360" w:lineRule="auto"/>
        <w:ind w:firstLine="480" w:firstLineChars="20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轿厢及开门：不低于2600mm，开门高度不低于2200mm（需结合设计井道数据）</w:t>
      </w:r>
    </w:p>
    <w:p w14:paraId="5BEE6CA7">
      <w:pPr>
        <w:numPr>
          <w:ilvl w:val="0"/>
          <w:numId w:val="4"/>
        </w:numPr>
        <w:spacing w:line="360" w:lineRule="auto"/>
        <w:ind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吊顶：古铜色抗指纹镜面不锈钢，大面积匀光LED光源，自动通风及照明</w:t>
      </w:r>
    </w:p>
    <w:p w14:paraId="6336B110">
      <w:pPr>
        <w:numPr>
          <w:ilvl w:val="0"/>
          <w:numId w:val="4"/>
        </w:numPr>
        <w:spacing w:line="360" w:lineRule="auto"/>
        <w:ind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地板：大理石地板材质</w:t>
      </w:r>
    </w:p>
    <w:p w14:paraId="5EEEB799">
      <w:pPr>
        <w:numPr>
          <w:ilvl w:val="0"/>
          <w:numId w:val="4"/>
        </w:numPr>
        <w:spacing w:line="360" w:lineRule="auto"/>
        <w:ind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厅门及轿门：采用1.5mm厚度古铜色抗指纹镜面不锈钢</w:t>
      </w:r>
    </w:p>
    <w:p w14:paraId="289B23AD">
      <w:pPr>
        <w:numPr>
          <w:ilvl w:val="0"/>
          <w:numId w:val="4"/>
        </w:numPr>
        <w:spacing w:line="360" w:lineRule="auto"/>
        <w:ind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大门套：采用1.2mm厚度304发纹不锈钢/黑钛金镜面不锈钢（考虑通顶安装）</w:t>
      </w:r>
    </w:p>
    <w:p w14:paraId="66D0BAB0">
      <w:pPr>
        <w:numPr>
          <w:ilvl w:val="0"/>
          <w:numId w:val="4"/>
        </w:numPr>
        <w:spacing w:line="360" w:lineRule="auto"/>
        <w:ind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轿内操纵箱：左右侧双一体式面板操纵箱，面板采用古铜色抗指纹镜面不锈钢，不低于15英寸显示屏，具备播放宣传动画、图片通知等功能</w:t>
      </w:r>
    </w:p>
    <w:p w14:paraId="374A45EB">
      <w:pPr>
        <w:numPr>
          <w:ilvl w:val="0"/>
          <w:numId w:val="4"/>
        </w:numPr>
        <w:spacing w:line="360" w:lineRule="auto"/>
        <w:ind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外呼面板：采用易维护玻璃面板材质，表贴式安装，每部电梯都配置独立外呼</w:t>
      </w:r>
    </w:p>
    <w:p w14:paraId="540F9ACA">
      <w:pPr>
        <w:numPr>
          <w:ilvl w:val="0"/>
          <w:numId w:val="4"/>
        </w:numPr>
        <w:spacing w:line="360" w:lineRule="auto"/>
        <w:ind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轿厢监控：预留视频电缆接口供弱电安装摄像头使用</w:t>
      </w:r>
    </w:p>
    <w:p w14:paraId="7DD02DB2">
      <w:pPr>
        <w:numPr>
          <w:ilvl w:val="0"/>
          <w:numId w:val="4"/>
        </w:numPr>
        <w:spacing w:line="360" w:lineRule="auto"/>
        <w:ind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轿厢空调：采用1.0匹单冷无水空调</w:t>
      </w:r>
    </w:p>
    <w:p w14:paraId="78C53DBB">
      <w:pPr>
        <w:numPr>
          <w:ilvl w:val="0"/>
          <w:numId w:val="4"/>
        </w:numPr>
        <w:spacing w:line="360" w:lineRule="auto"/>
        <w:ind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其他：预留RS485接口，后续可接入智能控梯系统</w:t>
      </w:r>
    </w:p>
    <w:p w14:paraId="378B33FF">
      <w:pPr>
        <w:numPr>
          <w:ilvl w:val="0"/>
          <w:numId w:val="0"/>
        </w:numPr>
        <w:spacing w:line="360" w:lineRule="auto"/>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备注：中标后需提供三种整梯装潢方案供业主免费选择。</w:t>
      </w:r>
    </w:p>
    <w:p w14:paraId="0FDB7913">
      <w:pPr>
        <w:numPr>
          <w:ilvl w:val="0"/>
          <w:numId w:val="0"/>
        </w:numPr>
        <w:spacing w:line="360" w:lineRule="auto"/>
        <w:ind w:left="0" w:leftChars="0" w:firstLine="422" w:firstLineChars="175"/>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货梯（1#~12#、14#~25#、26#~27#）：</w:t>
      </w:r>
    </w:p>
    <w:p w14:paraId="647FA52B">
      <w:pPr>
        <w:numPr>
          <w:ilvl w:val="0"/>
          <w:numId w:val="5"/>
        </w:numPr>
        <w:spacing w:line="360" w:lineRule="auto"/>
        <w:ind w:firstLine="480" w:firstLineChars="20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轿厢材质：轿壁采用1.5mm厚度喷涂钢板</w:t>
      </w:r>
    </w:p>
    <w:p w14:paraId="1CC1E2EF">
      <w:pPr>
        <w:numPr>
          <w:ilvl w:val="0"/>
          <w:numId w:val="5"/>
        </w:numPr>
        <w:spacing w:line="360" w:lineRule="auto"/>
        <w:ind w:firstLine="480" w:firstLineChars="200"/>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轿厢及开门：不低于2600mm，开门高度不低于2200mm（需结合设计井道数据）</w:t>
      </w:r>
    </w:p>
    <w:p w14:paraId="1A39C10B">
      <w:pPr>
        <w:numPr>
          <w:ilvl w:val="0"/>
          <w:numId w:val="5"/>
        </w:numPr>
        <w:spacing w:line="360" w:lineRule="auto"/>
        <w:ind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吊顶：LED光源，自动通风及照明，喷涂钢板</w:t>
      </w:r>
    </w:p>
    <w:p w14:paraId="5F2D762B">
      <w:pPr>
        <w:numPr>
          <w:ilvl w:val="0"/>
          <w:numId w:val="5"/>
        </w:numPr>
        <w:spacing w:line="360" w:lineRule="auto"/>
        <w:ind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地板：防滑耐磨花纹钢板</w:t>
      </w:r>
    </w:p>
    <w:p w14:paraId="1AE1F04C">
      <w:pPr>
        <w:numPr>
          <w:ilvl w:val="0"/>
          <w:numId w:val="5"/>
        </w:numPr>
        <w:spacing w:line="360" w:lineRule="auto"/>
        <w:ind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厅门及轿门：采用1.5mm厚度喷涂钢板</w:t>
      </w:r>
    </w:p>
    <w:p w14:paraId="0FF7618D">
      <w:pPr>
        <w:numPr>
          <w:ilvl w:val="0"/>
          <w:numId w:val="5"/>
        </w:numPr>
        <w:spacing w:line="360" w:lineRule="auto"/>
        <w:ind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大门套：采用1.5mm厚度喷涂钢板</w:t>
      </w:r>
    </w:p>
    <w:p w14:paraId="2964483F">
      <w:pPr>
        <w:numPr>
          <w:ilvl w:val="0"/>
          <w:numId w:val="5"/>
        </w:numPr>
        <w:spacing w:line="360" w:lineRule="auto"/>
        <w:ind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轿内操纵箱：常规6.4英寸显示屏，发纹不锈钢按钮，就有独立延时开关门按钮</w:t>
      </w:r>
    </w:p>
    <w:p w14:paraId="2B9AF987">
      <w:pPr>
        <w:numPr>
          <w:ilvl w:val="0"/>
          <w:numId w:val="5"/>
        </w:numPr>
        <w:spacing w:line="360" w:lineRule="auto"/>
        <w:ind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外呼面板：采用发纹不锈钢面板材质，表贴式安装，每部电梯都配置独立外呼</w:t>
      </w:r>
    </w:p>
    <w:p w14:paraId="21394EC1">
      <w:pPr>
        <w:numPr>
          <w:ilvl w:val="0"/>
          <w:numId w:val="5"/>
        </w:numPr>
        <w:spacing w:line="360" w:lineRule="auto"/>
        <w:ind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轿厢监控：预留视频电缆接口供弱电安装摄像头使用</w:t>
      </w:r>
    </w:p>
    <w:p w14:paraId="13A1DDC7">
      <w:pPr>
        <w:numPr>
          <w:ilvl w:val="0"/>
          <w:numId w:val="4"/>
        </w:numPr>
        <w:spacing w:line="360" w:lineRule="auto"/>
        <w:ind w:firstLine="480" w:firstLineChars="200"/>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其他：预留RS485接口，后续可接入智能控梯系统（AGV）</w:t>
      </w:r>
    </w:p>
    <w:p w14:paraId="05964523">
      <w:pPr>
        <w:numPr>
          <w:ilvl w:val="0"/>
          <w:numId w:val="0"/>
        </w:numPr>
        <w:spacing w:line="360" w:lineRule="auto"/>
        <w:rPr>
          <w:rFonts w:hint="default" w:ascii="宋体" w:hAnsi="宋体" w:eastAsia="宋体" w:cs="宋体"/>
          <w:b w:val="0"/>
          <w:bCs w:val="0"/>
          <w:color w:val="auto"/>
          <w:sz w:val="24"/>
          <w:szCs w:val="24"/>
          <w:lang w:val="en-US" w:eastAsia="zh-CN"/>
        </w:rPr>
      </w:pPr>
    </w:p>
    <w:p w14:paraId="31056501">
      <w:pPr>
        <w:numPr>
          <w:ilvl w:val="0"/>
          <w:numId w:val="0"/>
        </w:numPr>
        <w:spacing w:line="360" w:lineRule="auto"/>
        <w:rPr>
          <w:rFonts w:hint="default" w:ascii="宋体" w:hAnsi="宋体" w:eastAsia="宋体" w:cs="宋体"/>
          <w:b w:val="0"/>
          <w:bCs w:val="0"/>
          <w:color w:val="auto"/>
          <w:sz w:val="24"/>
          <w:szCs w:val="24"/>
          <w:lang w:val="en-US" w:eastAsia="zh-CN"/>
        </w:rPr>
      </w:pPr>
    </w:p>
    <w:p w14:paraId="60776416">
      <w:pPr>
        <w:spacing w:line="360" w:lineRule="auto"/>
        <w:rPr>
          <w:rFonts w:hint="eastAsia" w:ascii="宋体" w:hAnsi="宋体" w:eastAsia="宋体" w:cs="宋体"/>
          <w:color w:val="auto"/>
          <w:sz w:val="24"/>
          <w:szCs w:val="24"/>
          <w:lang w:val="en-US" w:eastAsia="zh-CN"/>
        </w:rPr>
      </w:pPr>
    </w:p>
    <w:tbl>
      <w:tblPr>
        <w:tblStyle w:val="3"/>
        <w:tblW w:w="95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0"/>
        <w:gridCol w:w="7514"/>
      </w:tblGrid>
      <w:tr w14:paraId="25E53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64" w:type="dxa"/>
            <w:gridSpan w:val="2"/>
            <w:noWrap w:val="0"/>
            <w:vAlign w:val="center"/>
          </w:tcPr>
          <w:p w14:paraId="6762C4D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b/>
                <w:bCs/>
                <w:i w:val="0"/>
                <w:iCs w:val="0"/>
                <w:color w:val="auto"/>
                <w:kern w:val="0"/>
                <w:sz w:val="22"/>
                <w:szCs w:val="22"/>
                <w:highlight w:val="none"/>
                <w:u w:val="none"/>
                <w:lang w:val="en-US" w:eastAsia="zh-CN" w:bidi="ar"/>
              </w:rPr>
              <w:t>客货电梯标准配置功能</w:t>
            </w:r>
          </w:p>
        </w:tc>
      </w:tr>
      <w:tr w14:paraId="7B28F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1A0D193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轿顶检修</w:t>
            </w:r>
          </w:p>
        </w:tc>
        <w:tc>
          <w:tcPr>
            <w:tcW w:w="7514" w:type="dxa"/>
            <w:noWrap w:val="0"/>
            <w:vAlign w:val="center"/>
          </w:tcPr>
          <w:p w14:paraId="6198332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电梯轿顶设有检修箱，使检修维护更为安全快捷，此时，机房检修开关无效。</w:t>
            </w:r>
          </w:p>
        </w:tc>
      </w:tr>
      <w:tr w14:paraId="54FFF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429642E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检修下可屏蔽抱闸检测</w:t>
            </w:r>
          </w:p>
        </w:tc>
        <w:tc>
          <w:tcPr>
            <w:tcW w:w="7514" w:type="dxa"/>
            <w:noWrap w:val="0"/>
            <w:vAlign w:val="center"/>
          </w:tcPr>
          <w:p w14:paraId="7CF3BDE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检修状态下可短时屏蔽抱闸检测，便于电梯的检修或救援。</w:t>
            </w:r>
          </w:p>
        </w:tc>
      </w:tr>
      <w:tr w14:paraId="3DB46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773918C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静态定位</w:t>
            </w:r>
          </w:p>
        </w:tc>
        <w:tc>
          <w:tcPr>
            <w:tcW w:w="7514" w:type="dxa"/>
            <w:noWrap w:val="0"/>
            <w:vAlign w:val="center"/>
          </w:tcPr>
          <w:p w14:paraId="04A1659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驱动器在断电、参数更改、发生故障的情况下，再次运行前会进行自动磁极捕捉，无需人为干预定位。</w:t>
            </w:r>
          </w:p>
        </w:tc>
      </w:tr>
      <w:tr w14:paraId="12DD0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48644E7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板载键盘操作</w:t>
            </w:r>
          </w:p>
        </w:tc>
        <w:tc>
          <w:tcPr>
            <w:tcW w:w="7514" w:type="dxa"/>
            <w:noWrap w:val="0"/>
            <w:vAlign w:val="center"/>
          </w:tcPr>
          <w:p w14:paraId="28358C6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可通过板载键盘实现UCMP、抱闸力矩检测等功能。</w:t>
            </w:r>
          </w:p>
        </w:tc>
      </w:tr>
      <w:tr w14:paraId="7897A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493B28D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故障代码显示</w:t>
            </w:r>
          </w:p>
        </w:tc>
        <w:tc>
          <w:tcPr>
            <w:tcW w:w="7514" w:type="dxa"/>
            <w:noWrap w:val="0"/>
            <w:vAlign w:val="center"/>
          </w:tcPr>
          <w:p w14:paraId="2BEC88F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主板数码管可循环显示当前的所有故障。</w:t>
            </w:r>
          </w:p>
        </w:tc>
      </w:tr>
      <w:tr w14:paraId="26932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3AFD30B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测试运行</w:t>
            </w:r>
          </w:p>
        </w:tc>
        <w:tc>
          <w:tcPr>
            <w:tcW w:w="7514" w:type="dxa"/>
            <w:noWrap w:val="0"/>
            <w:vAlign w:val="center"/>
          </w:tcPr>
          <w:p w14:paraId="1A5D484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测试运行包括新电梯的疲劳测试运行、禁止外召响应、禁止开关门等测试运行方法；无需内外召，电梯按照设定自动运行。</w:t>
            </w:r>
          </w:p>
        </w:tc>
      </w:tr>
      <w:tr w14:paraId="4BBB7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2955CBF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厅外呼梯切除开关</w:t>
            </w:r>
          </w:p>
        </w:tc>
        <w:tc>
          <w:tcPr>
            <w:tcW w:w="7514" w:type="dxa"/>
            <w:noWrap w:val="0"/>
            <w:vAlign w:val="center"/>
          </w:tcPr>
          <w:p w14:paraId="2533ABB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主板上设置开关，只需通过拨码，就可以取消外呼指令，方便调试、检修等专业人员操作。</w:t>
            </w:r>
          </w:p>
        </w:tc>
      </w:tr>
      <w:tr w14:paraId="0D5D4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17C304E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厅门自学习</w:t>
            </w:r>
          </w:p>
        </w:tc>
        <w:tc>
          <w:tcPr>
            <w:tcW w:w="7514" w:type="dxa"/>
            <w:noWrap w:val="0"/>
            <w:vAlign w:val="center"/>
          </w:tcPr>
          <w:p w14:paraId="700DBA1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当增加层站时，必须进行厅门自学习。确保安全后方可正常运行。</w:t>
            </w:r>
          </w:p>
        </w:tc>
      </w:tr>
      <w:tr w14:paraId="2073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6AE49FA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楼层间距自学习</w:t>
            </w:r>
          </w:p>
        </w:tc>
        <w:tc>
          <w:tcPr>
            <w:tcW w:w="7514" w:type="dxa"/>
            <w:noWrap w:val="0"/>
            <w:vAlign w:val="center"/>
          </w:tcPr>
          <w:p w14:paraId="1F641D7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有井道位置自学习功能，并存储井道位置信号，当电梯正常运行时实现直接停靠。</w:t>
            </w:r>
          </w:p>
        </w:tc>
      </w:tr>
      <w:tr w14:paraId="080D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02DADCF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司机服务</w:t>
            </w:r>
          </w:p>
        </w:tc>
        <w:tc>
          <w:tcPr>
            <w:tcW w:w="7514" w:type="dxa"/>
            <w:noWrap w:val="0"/>
            <w:vAlign w:val="center"/>
          </w:tcPr>
          <w:p w14:paraId="3FEB93DB">
            <w:pPr>
              <w:keepNext w:val="0"/>
              <w:keepLines w:val="0"/>
              <w:pageBreakBefore w:val="0"/>
              <w:widowControl/>
              <w:kinsoku/>
              <w:wordWrap/>
              <w:overflowPunct/>
              <w:topLinePunct w:val="0"/>
              <w:autoSpaceDE/>
              <w:autoSpaceDN/>
              <w:bidi w:val="0"/>
              <w:adjustRightInd/>
              <w:snapToGrid w:val="0"/>
              <w:jc w:val="both"/>
              <w:textAlignment w:val="auto"/>
              <w:rPr>
                <w:rFonts w:hint="eastAsia" w:ascii="微软雅黑" w:hAnsi="微软雅黑" w:eastAsia="微软雅黑" w:cs="微软雅黑"/>
                <w:color w:val="auto"/>
                <w:kern w:val="0"/>
                <w:sz w:val="20"/>
                <w:szCs w:val="20"/>
                <w:highlight w:val="none"/>
                <w:lang w:eastAsia="zh-CN"/>
              </w:rPr>
            </w:pPr>
            <w:r>
              <w:rPr>
                <w:rFonts w:hint="eastAsia" w:ascii="微软雅黑" w:hAnsi="微软雅黑" w:eastAsia="微软雅黑" w:cs="微软雅黑"/>
                <w:color w:val="auto"/>
                <w:kern w:val="0"/>
                <w:sz w:val="20"/>
                <w:szCs w:val="20"/>
                <w:highlight w:val="none"/>
              </w:rPr>
              <w:t>通过操作操纵箱内开关进入有司机操作状态，可由司机对轿厢乘客数量、厅外呼梯响应、开关门等进行管理</w:t>
            </w:r>
            <w:r>
              <w:rPr>
                <w:rFonts w:hint="eastAsia" w:ascii="微软雅黑" w:hAnsi="微软雅黑" w:eastAsia="微软雅黑" w:cs="微软雅黑"/>
                <w:color w:val="auto"/>
                <w:kern w:val="0"/>
                <w:sz w:val="20"/>
                <w:szCs w:val="20"/>
                <w:highlight w:val="none"/>
                <w:lang w:eastAsia="zh-CN"/>
              </w:rPr>
              <w:t>。</w:t>
            </w:r>
          </w:p>
        </w:tc>
      </w:tr>
      <w:tr w14:paraId="352A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521ACF9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锁梯开关</w:t>
            </w:r>
          </w:p>
        </w:tc>
        <w:tc>
          <w:tcPr>
            <w:tcW w:w="7514" w:type="dxa"/>
            <w:noWrap w:val="0"/>
            <w:vAlign w:val="center"/>
          </w:tcPr>
          <w:p w14:paraId="46C2360D">
            <w:pPr>
              <w:keepNext w:val="0"/>
              <w:keepLines w:val="0"/>
              <w:pageBreakBefore w:val="0"/>
              <w:widowControl/>
              <w:kinsoku/>
              <w:wordWrap/>
              <w:overflowPunct/>
              <w:topLinePunct w:val="0"/>
              <w:autoSpaceDE/>
              <w:autoSpaceDN/>
              <w:bidi w:val="0"/>
              <w:adjustRightInd/>
              <w:snapToGrid w:val="0"/>
              <w:jc w:val="both"/>
              <w:textAlignment w:val="auto"/>
              <w:rPr>
                <w:rFonts w:hint="eastAsia" w:ascii="微软雅黑" w:hAnsi="微软雅黑" w:eastAsia="微软雅黑" w:cs="微软雅黑"/>
                <w:color w:val="auto"/>
                <w:kern w:val="0"/>
                <w:sz w:val="20"/>
                <w:szCs w:val="20"/>
                <w:highlight w:val="none"/>
                <w:lang w:eastAsia="zh-CN"/>
              </w:rPr>
            </w:pPr>
            <w:r>
              <w:rPr>
                <w:rFonts w:hint="eastAsia" w:ascii="微软雅黑" w:hAnsi="微软雅黑" w:eastAsia="微软雅黑" w:cs="微软雅黑"/>
                <w:color w:val="auto"/>
                <w:kern w:val="0"/>
                <w:sz w:val="20"/>
                <w:szCs w:val="20"/>
                <w:highlight w:val="none"/>
              </w:rPr>
              <w:t>当设置在指定楼层的钥匙开关动作后，电梯将在应答完所有指令后返回指定层楼开门，重新关门后切断轿内照明和通风，并点亮厅外锁梯指示灯</w:t>
            </w:r>
            <w:r>
              <w:rPr>
                <w:rFonts w:hint="eastAsia" w:ascii="微软雅黑" w:hAnsi="微软雅黑" w:eastAsia="微软雅黑" w:cs="微软雅黑"/>
                <w:color w:val="auto"/>
                <w:kern w:val="0"/>
                <w:sz w:val="20"/>
                <w:szCs w:val="20"/>
                <w:highlight w:val="none"/>
                <w:lang w:eastAsia="zh-CN"/>
              </w:rPr>
              <w:t>。</w:t>
            </w:r>
          </w:p>
        </w:tc>
      </w:tr>
      <w:tr w14:paraId="345F4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2E4FB97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独立服务</w:t>
            </w:r>
          </w:p>
        </w:tc>
        <w:tc>
          <w:tcPr>
            <w:tcW w:w="7514" w:type="dxa"/>
            <w:noWrap w:val="0"/>
            <w:vAlign w:val="center"/>
          </w:tcPr>
          <w:p w14:paraId="171C3575">
            <w:pPr>
              <w:keepNext w:val="0"/>
              <w:keepLines w:val="0"/>
              <w:pageBreakBefore w:val="0"/>
              <w:widowControl/>
              <w:kinsoku/>
              <w:wordWrap/>
              <w:overflowPunct/>
              <w:topLinePunct w:val="0"/>
              <w:autoSpaceDE/>
              <w:autoSpaceDN/>
              <w:bidi w:val="0"/>
              <w:adjustRightInd/>
              <w:snapToGrid w:val="0"/>
              <w:jc w:val="both"/>
              <w:textAlignment w:val="auto"/>
              <w:rPr>
                <w:rFonts w:hint="eastAsia" w:ascii="微软雅黑" w:hAnsi="微软雅黑" w:eastAsia="微软雅黑" w:cs="微软雅黑"/>
                <w:color w:val="auto"/>
                <w:kern w:val="0"/>
                <w:sz w:val="20"/>
                <w:szCs w:val="20"/>
                <w:highlight w:val="none"/>
                <w:lang w:eastAsia="zh-CN"/>
              </w:rPr>
            </w:pPr>
            <w:r>
              <w:rPr>
                <w:rFonts w:hint="eastAsia" w:ascii="微软雅黑" w:hAnsi="微软雅黑" w:eastAsia="微软雅黑" w:cs="微软雅黑"/>
                <w:color w:val="auto"/>
                <w:kern w:val="0"/>
                <w:sz w:val="20"/>
                <w:szCs w:val="20"/>
                <w:highlight w:val="none"/>
              </w:rPr>
              <w:t>为满足客户的特殊需要，设计的独立服务状态，进入独立服务后，电梯不再应答厅外召唤信号而只能由人工控制开关门和运行</w:t>
            </w:r>
            <w:r>
              <w:rPr>
                <w:rFonts w:hint="eastAsia" w:ascii="微软雅黑" w:hAnsi="微软雅黑" w:eastAsia="微软雅黑" w:cs="微软雅黑"/>
                <w:color w:val="auto"/>
                <w:kern w:val="0"/>
                <w:sz w:val="20"/>
                <w:szCs w:val="20"/>
                <w:highlight w:val="none"/>
                <w:lang w:eastAsia="zh-CN"/>
              </w:rPr>
              <w:t>。</w:t>
            </w:r>
          </w:p>
        </w:tc>
      </w:tr>
      <w:tr w14:paraId="2D033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7DB1628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抱闸力矩检测</w:t>
            </w:r>
          </w:p>
        </w:tc>
        <w:tc>
          <w:tcPr>
            <w:tcW w:w="7514" w:type="dxa"/>
            <w:noWrap w:val="0"/>
            <w:vAlign w:val="center"/>
          </w:tcPr>
          <w:p w14:paraId="4A34A3B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系统可自动或者手动检测制动器力矩的功能（同步机时）。</w:t>
            </w:r>
          </w:p>
        </w:tc>
      </w:tr>
      <w:tr w14:paraId="75E31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113C406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抱闸反馈检测</w:t>
            </w:r>
          </w:p>
        </w:tc>
        <w:tc>
          <w:tcPr>
            <w:tcW w:w="7514" w:type="dxa"/>
            <w:noWrap w:val="0"/>
            <w:vAlign w:val="center"/>
          </w:tcPr>
          <w:p w14:paraId="0646970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对抱闸继电器信号进行全程监控，当发现抱闸继电器的实际状态与始定的命令不符时，停止运行。</w:t>
            </w:r>
          </w:p>
        </w:tc>
      </w:tr>
      <w:tr w14:paraId="4B4EB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101490B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控制系统温度监测</w:t>
            </w:r>
          </w:p>
        </w:tc>
        <w:tc>
          <w:tcPr>
            <w:tcW w:w="7514" w:type="dxa"/>
            <w:noWrap w:val="0"/>
            <w:vAlign w:val="center"/>
          </w:tcPr>
          <w:p w14:paraId="6DD3AAF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实时监测控制系统温度情况，在检测出有过温趋势时，提前转入安全救助模式运行，防止停梯困人。</w:t>
            </w:r>
          </w:p>
        </w:tc>
      </w:tr>
      <w:tr w14:paraId="77452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5D0C365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接触器反馈检测</w:t>
            </w:r>
          </w:p>
        </w:tc>
        <w:tc>
          <w:tcPr>
            <w:tcW w:w="7514" w:type="dxa"/>
            <w:noWrap w:val="0"/>
            <w:vAlign w:val="center"/>
          </w:tcPr>
          <w:p w14:paraId="6EEE456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系统根据接触器控制命令状态检测主接触器、抱闸接触器的反馈，如发现异常，系统进入保护，电梯停止运行。</w:t>
            </w:r>
          </w:p>
        </w:tc>
      </w:tr>
      <w:tr w14:paraId="6E8EA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5AEB7E0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门锁短接检测</w:t>
            </w:r>
          </w:p>
        </w:tc>
        <w:tc>
          <w:tcPr>
            <w:tcW w:w="7514" w:type="dxa"/>
            <w:noWrap w:val="0"/>
            <w:vAlign w:val="center"/>
          </w:tcPr>
          <w:p w14:paraId="0C49DCE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系统可自动检测出门锁短接状态，并报故障保护，可设置检测到DLM后开门的次数。</w:t>
            </w:r>
          </w:p>
        </w:tc>
      </w:tr>
      <w:tr w14:paraId="29945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1016F7B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电网异常检测</w:t>
            </w:r>
          </w:p>
        </w:tc>
        <w:tc>
          <w:tcPr>
            <w:tcW w:w="7514" w:type="dxa"/>
            <w:noWrap w:val="0"/>
            <w:vAlign w:val="center"/>
          </w:tcPr>
          <w:p w14:paraId="1EE1A75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电网波动幅度超过一定的安全范围，错相（仅8642检测）、缺相时，系统进入保护状态，电梯停止运行。</w:t>
            </w:r>
          </w:p>
        </w:tc>
      </w:tr>
      <w:tr w14:paraId="7B6E2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265C9B5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速度反馈检测</w:t>
            </w:r>
          </w:p>
        </w:tc>
        <w:tc>
          <w:tcPr>
            <w:tcW w:w="7514" w:type="dxa"/>
            <w:noWrap w:val="0"/>
            <w:vAlign w:val="center"/>
          </w:tcPr>
          <w:p w14:paraId="60D1112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系统通过对编码器反馈信号与系统给定速度进行比较，对电梯运行速度进行控制，一旦两者偏差超出系统允许的范围，系统进入保护，电梯停止运行。</w:t>
            </w:r>
          </w:p>
        </w:tc>
      </w:tr>
      <w:tr w14:paraId="170A5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238A882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终端楼层保护</w:t>
            </w:r>
          </w:p>
        </w:tc>
        <w:tc>
          <w:tcPr>
            <w:tcW w:w="7514" w:type="dxa"/>
            <w:noWrap w:val="0"/>
            <w:vAlign w:val="center"/>
          </w:tcPr>
          <w:p w14:paraId="4549D83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当电梯运行到终端楼层，速度未减至预设值时，系统将强迫减速，保护电梯的安全运行。</w:t>
            </w:r>
          </w:p>
        </w:tc>
      </w:tr>
      <w:tr w14:paraId="1A296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3431B49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自动校正运行</w:t>
            </w:r>
          </w:p>
        </w:tc>
        <w:tc>
          <w:tcPr>
            <w:tcW w:w="7514" w:type="dxa"/>
            <w:noWrap w:val="0"/>
            <w:vAlign w:val="center"/>
          </w:tcPr>
          <w:p w14:paraId="30572C3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电梯因故障或者检修运行停止在非平层区域时，故障复位或由检修转入正常状态，此时只要符合起动的安全要求，电梯将以慢速进行校正运行。</w:t>
            </w:r>
          </w:p>
        </w:tc>
      </w:tr>
      <w:tr w14:paraId="7AA85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59CF3EB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驱动设备过热保护</w:t>
            </w:r>
          </w:p>
        </w:tc>
        <w:tc>
          <w:tcPr>
            <w:tcW w:w="7514" w:type="dxa"/>
            <w:noWrap w:val="0"/>
            <w:vAlign w:val="center"/>
          </w:tcPr>
          <w:p w14:paraId="07D35FF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由于机房温度过高或运行发热，电动机温度超过预设值时，电梯将自动进入保护状态。就近停靠，开门安全疏散乘客并关闭轿内照明和电扇，温度正常后，电梯恢复正常运行。</w:t>
            </w:r>
          </w:p>
        </w:tc>
      </w:tr>
      <w:tr w14:paraId="1BEBE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4E6CC7C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default"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UCMP</w:t>
            </w:r>
          </w:p>
        </w:tc>
        <w:tc>
          <w:tcPr>
            <w:tcW w:w="7514" w:type="dxa"/>
            <w:noWrap w:val="0"/>
            <w:vAlign w:val="center"/>
          </w:tcPr>
          <w:p w14:paraId="3297F1F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防止轿厢在开锁区域内且开门状态下无指令意外移动的保护功能。</w:t>
            </w:r>
          </w:p>
        </w:tc>
      </w:tr>
      <w:tr w14:paraId="58DCA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68C679A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故障历史记录</w:t>
            </w:r>
          </w:p>
        </w:tc>
        <w:tc>
          <w:tcPr>
            <w:tcW w:w="7514" w:type="dxa"/>
            <w:noWrap w:val="0"/>
            <w:vAlign w:val="center"/>
          </w:tcPr>
          <w:p w14:paraId="6047351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系统可存储故障记录，包括故障产生的时间与楼层等信息。</w:t>
            </w:r>
          </w:p>
        </w:tc>
      </w:tr>
      <w:tr w14:paraId="4723C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4F684FD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lang w:val="en-US" w:eastAsia="zh-CN" w:bidi="ar-SA"/>
              </w:rPr>
            </w:pPr>
            <w:r>
              <w:rPr>
                <w:rFonts w:hint="eastAsia" w:ascii="微软雅黑" w:hAnsi="微软雅黑" w:eastAsia="微软雅黑" w:cs="微软雅黑"/>
                <w:i w:val="0"/>
                <w:iCs w:val="0"/>
                <w:color w:val="auto"/>
                <w:kern w:val="0"/>
                <w:sz w:val="20"/>
                <w:szCs w:val="20"/>
                <w:highlight w:val="none"/>
                <w:u w:val="none"/>
                <w:lang w:val="en-US" w:eastAsia="zh-CN" w:bidi="ar"/>
              </w:rPr>
              <w:t>门旁路装置</w:t>
            </w:r>
          </w:p>
        </w:tc>
        <w:tc>
          <w:tcPr>
            <w:tcW w:w="7514" w:type="dxa"/>
            <w:noWrap w:val="0"/>
            <w:vAlign w:val="center"/>
          </w:tcPr>
          <w:p w14:paraId="559A6DC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为了配合电梯检修需要，可通过特有的旁路装置短接厅门锁或者轿门锁，短接后电梯仅能检修操作或紧急电动运行，且运行时有声光报警系统提示。</w:t>
            </w:r>
          </w:p>
        </w:tc>
      </w:tr>
      <w:tr w14:paraId="3742A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5DBD3BE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五方对讲</w:t>
            </w:r>
          </w:p>
        </w:tc>
        <w:tc>
          <w:tcPr>
            <w:tcW w:w="7514" w:type="dxa"/>
            <w:noWrap w:val="0"/>
            <w:vAlign w:val="center"/>
          </w:tcPr>
          <w:p w14:paraId="2B4783F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用于在特殊情况下通过设置在轿厢操纵面板、轿顶、轿底上的对讲装置保持与机房及监控中心的语音联系。</w:t>
            </w:r>
          </w:p>
        </w:tc>
      </w:tr>
      <w:tr w14:paraId="0957D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45AC46B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光幕保护</w:t>
            </w:r>
          </w:p>
        </w:tc>
        <w:tc>
          <w:tcPr>
            <w:tcW w:w="7514" w:type="dxa"/>
            <w:noWrap w:val="0"/>
            <w:vAlign w:val="center"/>
          </w:tcPr>
          <w:p w14:paraId="7011A9B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利用红外光束对射的原理，对乘客出入轿厢进行检测，提供关门的安全保障。</w:t>
            </w:r>
          </w:p>
        </w:tc>
      </w:tr>
      <w:tr w14:paraId="13FEA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53CBD3B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超载保护</w:t>
            </w:r>
          </w:p>
        </w:tc>
        <w:tc>
          <w:tcPr>
            <w:tcW w:w="7514" w:type="dxa"/>
            <w:noWrap w:val="0"/>
            <w:vAlign w:val="center"/>
          </w:tcPr>
          <w:p w14:paraId="620205C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当轿厢的载重量超出额定允许的载重时，会发出超载报警信号。此时显示超载，取消已登记轿内指令，轿厢不关门，电梯不能起动。</w:t>
            </w:r>
          </w:p>
        </w:tc>
      </w:tr>
      <w:tr w14:paraId="32DA2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788BF0A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轿厢开门保护</w:t>
            </w:r>
          </w:p>
        </w:tc>
        <w:tc>
          <w:tcPr>
            <w:tcW w:w="7514" w:type="dxa"/>
            <w:noWrap w:val="0"/>
            <w:vAlign w:val="center"/>
          </w:tcPr>
          <w:p w14:paraId="117BE98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当电梯由于机械卡阻等原因导致不能开门到位超过预定时间时，内外呼信号会自动取消，驶向相邻层楼开门并释放乘客。</w:t>
            </w:r>
          </w:p>
        </w:tc>
      </w:tr>
      <w:tr w14:paraId="6CDE9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63936E0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关门力矩保护</w:t>
            </w:r>
          </w:p>
        </w:tc>
        <w:tc>
          <w:tcPr>
            <w:tcW w:w="7514" w:type="dxa"/>
            <w:noWrap w:val="0"/>
            <w:vAlign w:val="center"/>
          </w:tcPr>
          <w:p w14:paraId="35CBE80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如轿厢门关闭时发生机械卡阻，当力矩超过预定值时，电梯门将重新打开。</w:t>
            </w:r>
          </w:p>
        </w:tc>
      </w:tr>
      <w:tr w14:paraId="35D15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122E034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轿厢关门延迟保护</w:t>
            </w:r>
          </w:p>
        </w:tc>
        <w:tc>
          <w:tcPr>
            <w:tcW w:w="7514" w:type="dxa"/>
            <w:noWrap w:val="0"/>
            <w:vAlign w:val="center"/>
          </w:tcPr>
          <w:p w14:paraId="47C8F74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当电梯开门时间由于外呼按钮被按住或其他因素而超过预定时间时，电梯会强迫关门来应答其他信号。当电梯强迫关门重复几次仍未关紧，电梯将停止运转并开门，内外呼信号会自动取消。当电梯监测到门已正常关闭时，电梯恢复正常操作。</w:t>
            </w:r>
          </w:p>
        </w:tc>
      </w:tr>
      <w:tr w14:paraId="024C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6E519A6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轿厢内应急照明</w:t>
            </w:r>
          </w:p>
        </w:tc>
        <w:tc>
          <w:tcPr>
            <w:tcW w:w="7514" w:type="dxa"/>
            <w:noWrap w:val="0"/>
            <w:vAlign w:val="center"/>
          </w:tcPr>
          <w:p w14:paraId="4B233D3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在轿内设置的紧急照明装置，停电时启用。</w:t>
            </w:r>
          </w:p>
        </w:tc>
      </w:tr>
      <w:tr w14:paraId="71FEC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3163A83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机房紧急电动运行</w:t>
            </w:r>
          </w:p>
        </w:tc>
        <w:tc>
          <w:tcPr>
            <w:tcW w:w="7514" w:type="dxa"/>
            <w:noWrap w:val="0"/>
            <w:vAlign w:val="center"/>
          </w:tcPr>
          <w:p w14:paraId="40B129B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电梯机房的控制柜或紧急操作盒内设有紧急电动操作装置，可用于紧急情况时的救援。</w:t>
            </w:r>
          </w:p>
        </w:tc>
      </w:tr>
      <w:tr w14:paraId="00F7B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40C668B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安全救助</w:t>
            </w:r>
          </w:p>
        </w:tc>
        <w:tc>
          <w:tcPr>
            <w:tcW w:w="7514" w:type="dxa"/>
            <w:noWrap w:val="0"/>
            <w:vAlign w:val="center"/>
          </w:tcPr>
          <w:p w14:paraId="4178DB4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当电梯监测到异常时，在保证安全的前提下，进入安全救助运行模式，发出语音安抚和提示，并就近楼层停靠开门释放乘客，释放乘客后根据实际情况智能判断电梯是否可再运行。</w:t>
            </w:r>
          </w:p>
        </w:tc>
      </w:tr>
      <w:tr w14:paraId="43CB4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2050" w:type="dxa"/>
            <w:noWrap w:val="0"/>
            <w:vAlign w:val="center"/>
          </w:tcPr>
          <w:p w14:paraId="7893879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就近平层</w:t>
            </w:r>
          </w:p>
        </w:tc>
        <w:tc>
          <w:tcPr>
            <w:tcW w:w="7514" w:type="dxa"/>
            <w:noWrap w:val="0"/>
            <w:vAlign w:val="center"/>
          </w:tcPr>
          <w:p w14:paraId="396F8D5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开启复位救援，当电梯因电源中断、故障或检修运行停在非平层区域，电源恢复、故障复位或由检修转入正常状态，此时只要符合启动的安全要求，电梯将以慢速就近平层重新寻找位置；复位救援未开启时，电梯将驶向端站寻找位置。定位后位置显示器显示电梯所在的层楼位置，并恢复正常运行。</w:t>
            </w:r>
          </w:p>
        </w:tc>
      </w:tr>
      <w:tr w14:paraId="18A86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36F0395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消防返回</w:t>
            </w:r>
          </w:p>
        </w:tc>
        <w:tc>
          <w:tcPr>
            <w:tcW w:w="7514" w:type="dxa"/>
            <w:noWrap w:val="0"/>
            <w:vAlign w:val="center"/>
          </w:tcPr>
          <w:p w14:paraId="779F44C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消防返基站后可关闭轿内照明，等待消防员进入后再点亮。</w:t>
            </w:r>
          </w:p>
        </w:tc>
      </w:tr>
      <w:tr w14:paraId="38177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3E34418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紧急消防返基站</w:t>
            </w:r>
          </w:p>
        </w:tc>
        <w:tc>
          <w:tcPr>
            <w:tcW w:w="7514" w:type="dxa"/>
            <w:noWrap w:val="0"/>
            <w:vAlign w:val="center"/>
          </w:tcPr>
          <w:p w14:paraId="248CD84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大楼发生火警时，系统在接收到火警信号后，将取消所有指令和召唤信号，驱动电梯直接返回消防层，开门疏散乘客。</w:t>
            </w:r>
          </w:p>
        </w:tc>
      </w:tr>
      <w:tr w14:paraId="14BA6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17EA850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语音安抚</w:t>
            </w:r>
          </w:p>
        </w:tc>
        <w:tc>
          <w:tcPr>
            <w:tcW w:w="7514" w:type="dxa"/>
            <w:noWrap w:val="0"/>
            <w:vAlign w:val="center"/>
          </w:tcPr>
          <w:p w14:paraId="07757B8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在电梯处于特殊状态时,以语音的方式对轿厢内乘客进行安抚。</w:t>
            </w:r>
          </w:p>
        </w:tc>
      </w:tr>
      <w:tr w14:paraId="7B475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09ECE5F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静音模式</w:t>
            </w:r>
          </w:p>
        </w:tc>
        <w:tc>
          <w:tcPr>
            <w:tcW w:w="7514" w:type="dxa"/>
            <w:noWrap w:val="0"/>
            <w:vAlign w:val="center"/>
          </w:tcPr>
          <w:p w14:paraId="5D4E5FD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针对酒店、公寓等场所设计，可以在特定的时间段（例如夜晚），自动关闭到站钟等发生装置的声音，为楼宇住户提供安静的休息空间；其它时间段，到站钟等发生装置自动恢复声音，为电梯使用者提供声音提醒。</w:t>
            </w:r>
          </w:p>
        </w:tc>
      </w:tr>
      <w:tr w14:paraId="3305A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3EF46C7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智能舒适运行</w:t>
            </w:r>
          </w:p>
        </w:tc>
        <w:tc>
          <w:tcPr>
            <w:tcW w:w="7514" w:type="dxa"/>
            <w:noWrap w:val="0"/>
            <w:vAlign w:val="center"/>
          </w:tcPr>
          <w:p w14:paraId="55DADD7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控制系统根据不同目的层间距自动计算最优运行曲线，使电梯平稳舒适运行。</w:t>
            </w:r>
          </w:p>
        </w:tc>
      </w:tr>
      <w:tr w14:paraId="57067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7FA7F4B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平层微调</w:t>
            </w:r>
          </w:p>
        </w:tc>
        <w:tc>
          <w:tcPr>
            <w:tcW w:w="7514" w:type="dxa"/>
            <w:noWrap w:val="0"/>
            <w:vAlign w:val="center"/>
          </w:tcPr>
          <w:p w14:paraId="7C950D7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可通过相关参数的调整，对平层精度进行微调，支持平层精度分层调节。</w:t>
            </w:r>
          </w:p>
        </w:tc>
      </w:tr>
      <w:tr w14:paraId="4AF27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1E9C14C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斜线撤电流</w:t>
            </w:r>
          </w:p>
        </w:tc>
        <w:tc>
          <w:tcPr>
            <w:tcW w:w="7514" w:type="dxa"/>
            <w:noWrap w:val="0"/>
            <w:vAlign w:val="center"/>
          </w:tcPr>
          <w:p w14:paraId="22EF3EB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在永磁同步电动机应用现场中，电梯运行减速停车后，电动机的维持电流通过斜坡的方式撤除，避免这个过程中电动机的异常噪声，提高舒适感。</w:t>
            </w:r>
          </w:p>
        </w:tc>
      </w:tr>
      <w:tr w14:paraId="61102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0E00C9A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免称重力矩补偿</w:t>
            </w:r>
          </w:p>
        </w:tc>
        <w:tc>
          <w:tcPr>
            <w:tcW w:w="7514" w:type="dxa"/>
            <w:noWrap w:val="0"/>
            <w:vAlign w:val="center"/>
          </w:tcPr>
          <w:p w14:paraId="67EF1A9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电梯启动时，不需要增加称重开关，系统自动根据轿厢当前的重量，进行力矩补偿，达到良好的启动舒适感。</w:t>
            </w:r>
          </w:p>
        </w:tc>
      </w:tr>
      <w:tr w14:paraId="3C25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5EF5ECA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厅外、轿内开门时间分别控制</w:t>
            </w:r>
          </w:p>
        </w:tc>
        <w:tc>
          <w:tcPr>
            <w:tcW w:w="7514" w:type="dxa"/>
            <w:noWrap w:val="0"/>
            <w:vAlign w:val="center"/>
          </w:tcPr>
          <w:p w14:paraId="1182C84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经过统计由厅外召唤引起的开门等待时间会比由轿内指令引起的开门等待时间要长，此功能通过独立调整电梯在响应召唤和轿内指令时的开门保持时间，来提高整体的运行效率。</w:t>
            </w:r>
          </w:p>
        </w:tc>
      </w:tr>
      <w:tr w14:paraId="2A5EF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2B6F2DF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按钮微亮</w:t>
            </w:r>
          </w:p>
        </w:tc>
        <w:tc>
          <w:tcPr>
            <w:tcW w:w="7514" w:type="dxa"/>
            <w:noWrap w:val="0"/>
            <w:vAlign w:val="center"/>
          </w:tcPr>
          <w:p w14:paraId="1C81021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轿厢内指令按钮未登记时微亮（约全亮的10%），登记指令后全亮。电梯按钮清晰明亮。</w:t>
            </w:r>
          </w:p>
        </w:tc>
      </w:tr>
      <w:tr w14:paraId="48A64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2445790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开关门按钮灯</w:t>
            </w:r>
          </w:p>
        </w:tc>
        <w:tc>
          <w:tcPr>
            <w:tcW w:w="7514" w:type="dxa"/>
            <w:noWrap w:val="0"/>
            <w:vAlign w:val="center"/>
          </w:tcPr>
          <w:p w14:paraId="00CE849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按下开、关门按钮的同时将点亮按钮灯以提示成功应答。</w:t>
            </w:r>
          </w:p>
        </w:tc>
      </w:tr>
      <w:tr w14:paraId="6350A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66F0D55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关门等待取消</w:t>
            </w:r>
          </w:p>
        </w:tc>
        <w:tc>
          <w:tcPr>
            <w:tcW w:w="7514" w:type="dxa"/>
            <w:noWrap w:val="0"/>
            <w:vAlign w:val="center"/>
          </w:tcPr>
          <w:p w14:paraId="2C675F3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自动状态下，在门保持全开状态并且处于开门延时阶段时，按关门按钮可立即执行提前关门。</w:t>
            </w:r>
          </w:p>
        </w:tc>
      </w:tr>
      <w:tr w14:paraId="1ED76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479CA5F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错误指令取消</w:t>
            </w:r>
          </w:p>
        </w:tc>
        <w:tc>
          <w:tcPr>
            <w:tcW w:w="7514" w:type="dxa"/>
            <w:noWrap w:val="0"/>
            <w:vAlign w:val="center"/>
          </w:tcPr>
          <w:p w14:paraId="1DC4C82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乘客在轿厢内可以采用连续按动操纵箱身上的指令按钮两次的方法来取消上次错误登记的指令。</w:t>
            </w:r>
          </w:p>
        </w:tc>
      </w:tr>
      <w:tr w14:paraId="15FF8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244ECF3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防捣乱保护</w:t>
            </w:r>
          </w:p>
        </w:tc>
        <w:tc>
          <w:tcPr>
            <w:tcW w:w="7514" w:type="dxa"/>
            <w:noWrap w:val="0"/>
            <w:vAlign w:val="center"/>
          </w:tcPr>
          <w:p w14:paraId="206AAE0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为避免空梯运行，系统通过对载重量进行逻辑判断把不正常的指令作消号处理。此功能可避免恶作剧和错误的轿内指令（如同时按下三个及以上按钮）。</w:t>
            </w:r>
          </w:p>
        </w:tc>
      </w:tr>
      <w:tr w14:paraId="5C3BB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35B7D9B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外召按钮粘连识别</w:t>
            </w:r>
          </w:p>
        </w:tc>
        <w:tc>
          <w:tcPr>
            <w:tcW w:w="7514" w:type="dxa"/>
            <w:noWrap w:val="0"/>
            <w:vAlign w:val="center"/>
          </w:tcPr>
          <w:p w14:paraId="32CB15A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系统可以识别出厅外召唤按钮的粘连情况，自动去除该粘连的召唤，避免电梯由于外召按钮的粘连情况而无法关门运行。可根据实际情况选择是否关闭。</w:t>
            </w:r>
          </w:p>
        </w:tc>
      </w:tr>
      <w:tr w14:paraId="083FE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718BA4F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本层厅外重开门</w:t>
            </w:r>
          </w:p>
        </w:tc>
        <w:tc>
          <w:tcPr>
            <w:tcW w:w="7514" w:type="dxa"/>
            <w:noWrap w:val="0"/>
            <w:vAlign w:val="center"/>
          </w:tcPr>
          <w:p w14:paraId="510B40B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当电梯在本层时，可以通过按下电梯运行方向同向的外召按钮，使电梯重新开门。</w:t>
            </w:r>
          </w:p>
        </w:tc>
      </w:tr>
      <w:tr w14:paraId="210B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2BEDA10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厅外显示</w:t>
            </w:r>
          </w:p>
        </w:tc>
        <w:tc>
          <w:tcPr>
            <w:tcW w:w="7514" w:type="dxa"/>
            <w:noWrap w:val="0"/>
            <w:vAlign w:val="center"/>
          </w:tcPr>
          <w:p w14:paraId="0FB3E56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在每层楼的大厅召唤盒上显示电梯所在层站，以方便乘客了解电梯当前运行位置。</w:t>
            </w:r>
          </w:p>
        </w:tc>
      </w:tr>
      <w:tr w14:paraId="5890F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38B925B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轿内显示</w:t>
            </w:r>
          </w:p>
        </w:tc>
        <w:tc>
          <w:tcPr>
            <w:tcW w:w="7514" w:type="dxa"/>
            <w:noWrap w:val="0"/>
            <w:vAlign w:val="center"/>
          </w:tcPr>
          <w:p w14:paraId="130A2C5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在轿内的操纵面板显示电梯所在层站，以方便乘客了解电梯当前运行位置。</w:t>
            </w:r>
          </w:p>
        </w:tc>
      </w:tr>
      <w:tr w14:paraId="4CADD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0108846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厅外及轿内方向指示</w:t>
            </w:r>
          </w:p>
        </w:tc>
        <w:tc>
          <w:tcPr>
            <w:tcW w:w="7514" w:type="dxa"/>
            <w:noWrap w:val="0"/>
            <w:vAlign w:val="center"/>
          </w:tcPr>
          <w:p w14:paraId="069B3F0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为方便乘客了解电梯的运行方向，在轿内操纵面板和厅外召唤面板上有箭头状指示灯提示运行方向。</w:t>
            </w:r>
          </w:p>
        </w:tc>
      </w:tr>
      <w:tr w14:paraId="0BE2E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76BC895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厅外到站提醒</w:t>
            </w:r>
          </w:p>
        </w:tc>
        <w:tc>
          <w:tcPr>
            <w:tcW w:w="7514" w:type="dxa"/>
            <w:noWrap w:val="0"/>
            <w:vAlign w:val="center"/>
          </w:tcPr>
          <w:p w14:paraId="71ABAA3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轿厢运行时，外召箭头闪烁，提示轿厢正在运行。</w:t>
            </w:r>
          </w:p>
        </w:tc>
      </w:tr>
      <w:tr w14:paraId="79E97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43FEE5D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末站换向预指示</w:t>
            </w:r>
          </w:p>
        </w:tc>
        <w:tc>
          <w:tcPr>
            <w:tcW w:w="7514" w:type="dxa"/>
            <w:noWrap w:val="0"/>
            <w:vAlign w:val="center"/>
          </w:tcPr>
          <w:p w14:paraId="17B5BF0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电梯运行至目的层之前，计算得知响应完该目的层后，已无相同方向的指令和方向时，显示方向提前换向。</w:t>
            </w:r>
          </w:p>
        </w:tc>
      </w:tr>
      <w:tr w14:paraId="15BE5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6AE59FD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lang w:val="en-US" w:eastAsia="zh-CN" w:bidi="ar-SA"/>
              </w:rPr>
            </w:pPr>
            <w:r>
              <w:rPr>
                <w:rFonts w:hint="eastAsia" w:ascii="微软雅黑" w:hAnsi="微软雅黑" w:eastAsia="微软雅黑" w:cs="微软雅黑"/>
                <w:i w:val="0"/>
                <w:iCs w:val="0"/>
                <w:color w:val="auto"/>
                <w:kern w:val="0"/>
                <w:sz w:val="20"/>
                <w:szCs w:val="20"/>
                <w:highlight w:val="none"/>
                <w:u w:val="none"/>
                <w:lang w:val="en-US" w:eastAsia="zh-CN" w:bidi="ar"/>
              </w:rPr>
              <w:t>个性化楼层显示设置</w:t>
            </w:r>
          </w:p>
        </w:tc>
        <w:tc>
          <w:tcPr>
            <w:tcW w:w="7514" w:type="dxa"/>
            <w:noWrap w:val="0"/>
            <w:vAlign w:val="center"/>
          </w:tcPr>
          <w:p w14:paraId="76745F0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可以根据客户的需求，设置不同的楼层显示信息，该信息可设0-9，A-Z或者任意两个字符的组合，也可以是3位显示。注：0与O，5与S，不能区分。</w:t>
            </w:r>
          </w:p>
        </w:tc>
      </w:tr>
      <w:tr w14:paraId="7C36F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0378A6D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lang w:val="en-US" w:eastAsia="zh-CN" w:bidi="ar-SA"/>
              </w:rPr>
            </w:pPr>
            <w:r>
              <w:rPr>
                <w:rFonts w:hint="eastAsia" w:ascii="微软雅黑" w:hAnsi="微软雅黑" w:eastAsia="微软雅黑" w:cs="微软雅黑"/>
                <w:i w:val="0"/>
                <w:iCs w:val="0"/>
                <w:color w:val="auto"/>
                <w:kern w:val="0"/>
                <w:sz w:val="20"/>
                <w:szCs w:val="20"/>
                <w:highlight w:val="none"/>
                <w:u w:val="none"/>
                <w:lang w:val="en-US" w:eastAsia="zh-CN" w:bidi="ar"/>
              </w:rPr>
              <w:t>轿厢到站钟</w:t>
            </w:r>
          </w:p>
        </w:tc>
        <w:tc>
          <w:tcPr>
            <w:tcW w:w="7514" w:type="dxa"/>
            <w:noWrap w:val="0"/>
            <w:vAlign w:val="center"/>
          </w:tcPr>
          <w:p w14:paraId="5332420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当电梯到达停靠楼层时，操纵箱将发出清脆的铃声提示乘客已到站。</w:t>
            </w:r>
          </w:p>
        </w:tc>
      </w:tr>
      <w:tr w14:paraId="456FD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07E8E28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lang w:val="en-US" w:eastAsia="zh-CN" w:bidi="ar-SA"/>
              </w:rPr>
            </w:pPr>
            <w:r>
              <w:rPr>
                <w:rFonts w:hint="eastAsia" w:ascii="微软雅黑" w:hAnsi="微软雅黑" w:eastAsia="微软雅黑" w:cs="微软雅黑"/>
                <w:i w:val="0"/>
                <w:iCs w:val="0"/>
                <w:color w:val="auto"/>
                <w:kern w:val="0"/>
                <w:sz w:val="20"/>
                <w:szCs w:val="20"/>
                <w:highlight w:val="none"/>
                <w:u w:val="none"/>
                <w:lang w:val="en-US" w:eastAsia="zh-CN" w:bidi="ar"/>
              </w:rPr>
              <w:t>轿厢警铃</w:t>
            </w:r>
          </w:p>
        </w:tc>
        <w:tc>
          <w:tcPr>
            <w:tcW w:w="7514" w:type="dxa"/>
            <w:noWrap w:val="0"/>
            <w:vAlign w:val="center"/>
          </w:tcPr>
          <w:p w14:paraId="4BE9125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供在特殊情况下乘客通过按动轿厢内报警按钮，及时通知外界。</w:t>
            </w:r>
          </w:p>
        </w:tc>
      </w:tr>
      <w:tr w14:paraId="689CD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0421887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lang w:val="en-US" w:eastAsia="zh-CN" w:bidi="ar-SA"/>
              </w:rPr>
            </w:pPr>
            <w:r>
              <w:rPr>
                <w:rFonts w:hint="eastAsia" w:ascii="微软雅黑" w:hAnsi="微软雅黑" w:eastAsia="微软雅黑" w:cs="微软雅黑"/>
                <w:i w:val="0"/>
                <w:iCs w:val="0"/>
                <w:color w:val="auto"/>
                <w:kern w:val="0"/>
                <w:sz w:val="20"/>
                <w:szCs w:val="20"/>
                <w:highlight w:val="none"/>
                <w:u w:val="none"/>
                <w:lang w:val="en-US" w:eastAsia="zh-CN" w:bidi="ar"/>
              </w:rPr>
              <w:t>轿内消防状态提醒显示</w:t>
            </w:r>
          </w:p>
        </w:tc>
        <w:tc>
          <w:tcPr>
            <w:tcW w:w="7514" w:type="dxa"/>
            <w:noWrap w:val="0"/>
            <w:vAlign w:val="center"/>
          </w:tcPr>
          <w:p w14:paraId="2860476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进入消防状态时，在轿内显示提示信息并伴有蜂鸣，提醒乘客退出电梯、不要乘坐电梯。</w:t>
            </w:r>
          </w:p>
        </w:tc>
      </w:tr>
      <w:tr w14:paraId="0E8F5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7AA6390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lang w:val="en-US" w:eastAsia="zh-CN" w:bidi="ar-SA"/>
              </w:rPr>
            </w:pPr>
            <w:r>
              <w:rPr>
                <w:rFonts w:hint="eastAsia" w:ascii="微软雅黑" w:hAnsi="微软雅黑" w:eastAsia="微软雅黑" w:cs="微软雅黑"/>
                <w:i w:val="0"/>
                <w:iCs w:val="0"/>
                <w:color w:val="auto"/>
                <w:kern w:val="0"/>
                <w:sz w:val="20"/>
                <w:szCs w:val="20"/>
                <w:highlight w:val="none"/>
                <w:u w:val="none"/>
                <w:lang w:val="en-US" w:eastAsia="zh-CN" w:bidi="ar"/>
              </w:rPr>
              <w:t>司机友好提醒</w:t>
            </w:r>
          </w:p>
        </w:tc>
        <w:tc>
          <w:tcPr>
            <w:tcW w:w="7514" w:type="dxa"/>
            <w:noWrap w:val="0"/>
            <w:vAlign w:val="center"/>
          </w:tcPr>
          <w:p w14:paraId="27F251B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当电梯处于司机状态，外部有召唤登记时操纵箱内蜂鸣会响，所对应的轿内按钮灯闪烁，友好提醒司机。</w:t>
            </w:r>
          </w:p>
        </w:tc>
      </w:tr>
      <w:tr w14:paraId="1BFD7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49CA377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显示节能</w:t>
            </w:r>
          </w:p>
        </w:tc>
        <w:tc>
          <w:tcPr>
            <w:tcW w:w="7514" w:type="dxa"/>
            <w:noWrap w:val="0"/>
            <w:vAlign w:val="center"/>
          </w:tcPr>
          <w:p w14:paraId="672B478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当长时间没有呼梯信号显示屏将自动进入节能模式。</w:t>
            </w:r>
          </w:p>
        </w:tc>
      </w:tr>
      <w:tr w14:paraId="52E5D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221478E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轿内照明风扇自动控制</w:t>
            </w:r>
          </w:p>
        </w:tc>
        <w:tc>
          <w:tcPr>
            <w:tcW w:w="7514" w:type="dxa"/>
            <w:noWrap w:val="0"/>
            <w:vAlign w:val="center"/>
          </w:tcPr>
          <w:p w14:paraId="4AC10D5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在没有接到任何操作指令的情况下，电梯在关门后的预定时间内，将进入节能模式，关闭轿内的照明和风扇。</w:t>
            </w:r>
          </w:p>
        </w:tc>
      </w:tr>
      <w:tr w14:paraId="24744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114BF19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全集选</w:t>
            </w:r>
          </w:p>
        </w:tc>
        <w:tc>
          <w:tcPr>
            <w:tcW w:w="7514" w:type="dxa"/>
            <w:noWrap w:val="0"/>
            <w:vAlign w:val="center"/>
          </w:tcPr>
          <w:p w14:paraId="0E8B7BC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电梯对大楼内上、下召唤信号、轿内选层指令及各种信号进行综合分析判断后，将自动优选与电梯运行方向一致的信号进行依次应答。</w:t>
            </w:r>
          </w:p>
        </w:tc>
      </w:tr>
      <w:tr w14:paraId="2F1E0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4C5879F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自动返回基站</w:t>
            </w:r>
          </w:p>
        </w:tc>
        <w:tc>
          <w:tcPr>
            <w:tcW w:w="7514" w:type="dxa"/>
            <w:noWrap w:val="0"/>
            <w:vAlign w:val="center"/>
          </w:tcPr>
          <w:p w14:paraId="0CF14AD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单台电梯时，可根据大楼实际需求设定运行基站，在设定时间内如果没有召唤或指令登记，轿厢将自动返回基站，关门待机，基站一般设在交通流量大的楼层或一楼大厅。</w:t>
            </w:r>
          </w:p>
        </w:tc>
      </w:tr>
      <w:tr w14:paraId="05E7E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6880512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满载直驶</w:t>
            </w:r>
          </w:p>
        </w:tc>
        <w:tc>
          <w:tcPr>
            <w:tcW w:w="7514" w:type="dxa"/>
            <w:noWrap w:val="0"/>
            <w:vAlign w:val="center"/>
          </w:tcPr>
          <w:p w14:paraId="36E7E26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当轿厢内载荷达到满载预设值时，即进入满载直驶状态，电梯将不再应答厅外召唤而直接响应轿内指令直达指定楼层。</w:t>
            </w:r>
          </w:p>
        </w:tc>
      </w:tr>
      <w:tr w14:paraId="2BC15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7D3D0E5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自动泊梯</w:t>
            </w:r>
          </w:p>
        </w:tc>
        <w:tc>
          <w:tcPr>
            <w:tcW w:w="7514" w:type="dxa"/>
            <w:noWrap w:val="0"/>
            <w:vAlign w:val="center"/>
          </w:tcPr>
          <w:p w14:paraId="34C68F2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群控组内电梯在大楼内所有电梯均处于空闲状态时，会自动停泊于大楼的不同层楼以提高电梯组对召唤的响应速度。</w:t>
            </w:r>
          </w:p>
        </w:tc>
      </w:tr>
      <w:tr w14:paraId="4A0BE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4F49B5C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本层厅外开门</w:t>
            </w:r>
          </w:p>
        </w:tc>
        <w:tc>
          <w:tcPr>
            <w:tcW w:w="7514" w:type="dxa"/>
            <w:noWrap w:val="0"/>
            <w:vAlign w:val="center"/>
          </w:tcPr>
          <w:p w14:paraId="2269630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在无其它指令或者外召的情况下，若轿厢停靠在某一层站，按下该层站外的召唤按钮后，轿厢门自动打开。</w:t>
            </w:r>
          </w:p>
        </w:tc>
      </w:tr>
      <w:tr w14:paraId="74987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2EE02C6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开门保持时间智能调节</w:t>
            </w:r>
          </w:p>
        </w:tc>
        <w:tc>
          <w:tcPr>
            <w:tcW w:w="7514" w:type="dxa"/>
            <w:noWrap w:val="0"/>
            <w:vAlign w:val="center"/>
          </w:tcPr>
          <w:p w14:paraId="333756A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电梯系统根据层站出入口人流情况，以及按照轿内指令、厅外指令的不同自动对开门保持时间进行自动调整。</w:t>
            </w:r>
          </w:p>
        </w:tc>
      </w:tr>
      <w:tr w14:paraId="6D77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5FC8988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层站召唤智能登记</w:t>
            </w:r>
          </w:p>
        </w:tc>
        <w:tc>
          <w:tcPr>
            <w:tcW w:w="7514" w:type="dxa"/>
            <w:noWrap w:val="0"/>
            <w:vAlign w:val="center"/>
          </w:tcPr>
          <w:p w14:paraId="78D9573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群控模式下，当一台电梯未能接走所有等待的乘客，该层站按钮将自动再登记并保持呼梯状态，系统将自动派遣另一台电梯来服务。</w:t>
            </w:r>
          </w:p>
        </w:tc>
      </w:tr>
      <w:tr w14:paraId="70362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50" w:type="dxa"/>
            <w:noWrap w:val="0"/>
            <w:vAlign w:val="center"/>
          </w:tcPr>
          <w:p w14:paraId="5DD7321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并联群控</w:t>
            </w:r>
          </w:p>
        </w:tc>
        <w:tc>
          <w:tcPr>
            <w:tcW w:w="7514" w:type="dxa"/>
            <w:noWrap w:val="0"/>
            <w:vAlign w:val="center"/>
          </w:tcPr>
          <w:p w14:paraId="612E012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color w:val="auto"/>
                <w:kern w:val="0"/>
                <w:sz w:val="20"/>
                <w:szCs w:val="20"/>
                <w:highlight w:val="none"/>
              </w:rPr>
            </w:pPr>
            <w:r>
              <w:rPr>
                <w:rFonts w:hint="eastAsia" w:ascii="微软雅黑" w:hAnsi="微软雅黑" w:eastAsia="微软雅黑" w:cs="微软雅黑"/>
                <w:i w:val="0"/>
                <w:iCs w:val="0"/>
                <w:color w:val="auto"/>
                <w:kern w:val="0"/>
                <w:sz w:val="20"/>
                <w:szCs w:val="20"/>
                <w:highlight w:val="none"/>
                <w:u w:val="none"/>
                <w:lang w:val="en-US" w:eastAsia="zh-CN" w:bidi="ar"/>
              </w:rPr>
              <w:t>该功能用于两台或两台以上同型号电梯成组控制时使用，使梯群能自动选择最合适的应答，避免电梯重复停梯，缩短乘客候梯时间，提高运行效率。</w:t>
            </w:r>
          </w:p>
        </w:tc>
      </w:tr>
    </w:tbl>
    <w:p w14:paraId="0E3702FB">
      <w:pPr>
        <w:spacing w:line="360" w:lineRule="auto"/>
        <w:ind w:firstLine="480" w:firstLineChars="200"/>
        <w:rPr>
          <w:rFonts w:hint="default" w:ascii="宋体" w:hAnsi="宋体" w:eastAsia="宋体" w:cs="宋体"/>
          <w:color w:val="auto"/>
          <w:sz w:val="24"/>
          <w:szCs w:val="24"/>
          <w:lang w:val="en-US" w:eastAsia="zh-CN"/>
        </w:rPr>
      </w:pPr>
    </w:p>
    <w:p w14:paraId="53A9608D">
      <w:pPr>
        <w:numPr>
          <w:ilvl w:val="0"/>
          <w:numId w:val="0"/>
        </w:numPr>
        <w:kinsoku w:val="0"/>
        <w:autoSpaceDE w:val="0"/>
        <w:autoSpaceDN w:val="0"/>
        <w:adjustRightInd w:val="0"/>
        <w:snapToGrid w:val="0"/>
        <w:spacing w:before="55" w:line="217" w:lineRule="auto"/>
        <w:jc w:val="left"/>
        <w:textAlignment w:val="baseline"/>
        <w:rPr>
          <w:rFonts w:hint="default" w:ascii="宋体" w:hAnsi="宋体" w:eastAsia="宋体" w:cs="宋体"/>
          <w:b/>
          <w:bCs/>
          <w:color w:val="auto"/>
          <w:spacing w:val="-6"/>
          <w:sz w:val="28"/>
          <w:szCs w:val="28"/>
          <w:lang w:val="en-US" w:eastAsia="zh-CN"/>
        </w:rPr>
      </w:pPr>
    </w:p>
    <w:tbl>
      <w:tblPr>
        <w:tblStyle w:val="3"/>
        <w:tblW w:w="9523" w:type="dxa"/>
        <w:jc w:val="center"/>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Layout w:type="autofit"/>
        <w:tblCellMar>
          <w:top w:w="0" w:type="dxa"/>
          <w:left w:w="108" w:type="dxa"/>
          <w:bottom w:w="0" w:type="dxa"/>
          <w:right w:w="108" w:type="dxa"/>
        </w:tblCellMar>
      </w:tblPr>
      <w:tblGrid>
        <w:gridCol w:w="1582"/>
        <w:gridCol w:w="7941"/>
      </w:tblGrid>
      <w:tr w14:paraId="4C13E6E7">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600" w:hRule="atLeast"/>
          <w:jc w:val="center"/>
        </w:trPr>
        <w:tc>
          <w:tcPr>
            <w:tcW w:w="9523" w:type="dxa"/>
            <w:gridSpan w:val="2"/>
            <w:tcBorders>
              <w:top w:val="single" w:color="auto" w:sz="4" w:space="0"/>
              <w:left w:val="single" w:color="auto" w:sz="4" w:space="0"/>
              <w:bottom w:val="single" w:color="auto" w:sz="4" w:space="0"/>
              <w:right w:val="single" w:color="auto" w:sz="4" w:space="0"/>
            </w:tcBorders>
            <w:noWrap w:val="0"/>
            <w:vAlign w:val="center"/>
          </w:tcPr>
          <w:p w14:paraId="6EE81BE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b/>
                <w:bCs/>
                <w:i w:val="0"/>
                <w:iCs w:val="0"/>
                <w:color w:val="auto"/>
                <w:kern w:val="0"/>
                <w:sz w:val="22"/>
                <w:szCs w:val="22"/>
                <w:highlight w:val="none"/>
                <w:u w:val="none"/>
                <w:lang w:val="en-US" w:eastAsia="zh-CN" w:bidi="ar"/>
              </w:rPr>
              <w:t>自动扶梯标准配置功能</w:t>
            </w:r>
          </w:p>
        </w:tc>
      </w:tr>
      <w:tr w14:paraId="6CC45F55">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6374FEF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自动润滑</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39F57EC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油泵每隔一定时间间隔会自动加油一次，取代了国内大多数厂家专职人员手动加油的方式，从而避免加油量难以控制或达不到预期润滑效果的风险。</w:t>
            </w:r>
          </w:p>
        </w:tc>
      </w:tr>
      <w:tr w14:paraId="3F8B84F2">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37D8789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扶梯速度保护</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5D0EBF6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为保证乘客的安全，当扶梯运行速度超过额定速度的20%时，扶梯将自动停止运行，且需专业人员处理后才能启动运行。</w:t>
            </w:r>
          </w:p>
        </w:tc>
      </w:tr>
      <w:tr w14:paraId="17EF6C55">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0B290427">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扶手速度监测</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24DC35F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控制系统通过传感器信号实施监测扶手带相对梯级或踏板的运行速度偏差，当偏差超过±15%且持续时间超过15s，自动扶梯或人行道自动切断电源停梯。</w:t>
            </w:r>
          </w:p>
        </w:tc>
      </w:tr>
      <w:tr w14:paraId="72098B86">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4AE9CE7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扶手带防静电刷</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64532A5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扶手带通过铜环接地，将静电释放。</w:t>
            </w:r>
          </w:p>
        </w:tc>
      </w:tr>
      <w:tr w14:paraId="09867AD9">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0D337A8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扶手入口保护装置（扶手带进出口处开关）</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236CEE9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在扶梯上下头部的两侧的扶手入口处都装有扶手入口保护装置。当一个物体被夹在扶手带和橡胶保护装置的中间时，它在推动橡胶保护装置的同时会使接触器动作，使扶梯停止运转。</w:t>
            </w:r>
          </w:p>
        </w:tc>
      </w:tr>
      <w:tr w14:paraId="71FC051A">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17D4CA6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急停开关</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134A379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位于上下平层扶梯入口处的围裙板上，在紧急情况下，可供人员使用使扶梯紧急制停</w:t>
            </w:r>
          </w:p>
        </w:tc>
      </w:tr>
      <w:tr w14:paraId="34B05F97">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257EA99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工作制动器（制动器监控）</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1BDB06C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自动扶梯配置一个工作制动器，正常情况下，按动集团开关，工作制动器工作，自动扶梯制停。</w:t>
            </w:r>
          </w:p>
        </w:tc>
      </w:tr>
      <w:tr w14:paraId="5D1CBA31">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787EC16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梳齿安全保护装置（梳齿板触点）</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17F439B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如果有异物卡进梳齿和踏板之间，梳齿会发生上抬现象，这时会触发安全开关动作并停止扶梯运行。</w:t>
            </w:r>
          </w:p>
        </w:tc>
      </w:tr>
      <w:tr w14:paraId="7CF22051">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4CA9AB3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错缺相保护装置（断相错相保护）</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21F880E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整合在控制柜中，这个保护装置可以在U、V、W 三相主动力电源缺相或者错相或者低电压时使自动扶梯或自动人行道停止运行。</w:t>
            </w:r>
          </w:p>
        </w:tc>
      </w:tr>
      <w:tr w14:paraId="68AB5D6B">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1E65314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梯级安全保护装置（梯级下陷监控）</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53488A5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控制系统通过梯级安全保护装置中的安全开关监测是否发生了梯级塌陷和滚轮破碎危险，控制系统一旦检测到安全开关状态发生变化，安全回路断开，使主机断电停止运行。</w:t>
            </w:r>
          </w:p>
        </w:tc>
      </w:tr>
      <w:tr w14:paraId="26692CF3">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2467F48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梯级防静电刷</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66FC6C5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通过静电毛刷，在扶梯运行过程中将梯级或踏板上的静电释放。</w:t>
            </w:r>
          </w:p>
        </w:tc>
      </w:tr>
      <w:tr w14:paraId="220D7589">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43E2790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梯级丢失检测/ 梯级丢失保护</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3DB7411A">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为防止扶梯梯级意外缺失，采用上下头部各安装一个传感器，正常运行过程中控制系统实时监测梯级或踏板的运行状态，确保扶梯梯级完好无缺的情况下运行，保护乘客和维修人员的安全。</w:t>
            </w:r>
          </w:p>
        </w:tc>
      </w:tr>
      <w:tr w14:paraId="310CCFF5">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07B595E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default"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梯级传送链保护装置（梯级链断链装置）</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149F8A4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如果梯级链过分伸长或缩短会触发安全开关动作并停止扶梯运行。</w:t>
            </w:r>
          </w:p>
        </w:tc>
      </w:tr>
      <w:tr w14:paraId="0383A8F8">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163C8CA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主回路断路器</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38FBA23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位于桁架的上机房内，可以切断扶梯的供电（不包含插座和照明用电）。</w:t>
            </w:r>
          </w:p>
        </w:tc>
      </w:tr>
      <w:tr w14:paraId="7C373DFC">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1F7341E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电子式超速和防逆转保护</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6D5CCD5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两个传感器安装在主驱动齿轮的对侧，通过非接触的接近开关，传感器信号监测自动扶梯或自动人行道的运行方向。如果自动扶梯或自动人行道发生逆转或超速，控制系统会立即发出指令使制动系统包括主机和附加制动器(如果有)同时动作。</w:t>
            </w:r>
          </w:p>
        </w:tc>
      </w:tr>
      <w:tr w14:paraId="004526E8">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14DEB638">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电机过热保护</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7379E21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如果电机线圈温度超过130°C，扶梯就会被停止。</w:t>
            </w:r>
          </w:p>
        </w:tc>
      </w:tr>
      <w:tr w14:paraId="62AA8A53">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2F3D402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手提行灯及插座</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546F8B5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扶梯配有手提式检修灯， 上机房和下部维修站均配置有插座。</w:t>
            </w:r>
          </w:p>
        </w:tc>
      </w:tr>
      <w:tr w14:paraId="7D124FA7">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0D5D456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检修点动/检修运行</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55C6594F">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为了方便扶梯的维护和维修，扶梯设有检修点动功能。把检修插头插入到上下机房的任何一个检修插座上，扶梯即进入检修状态。扶梯在检修状态下所有的安全开关与正常运行时一样起作用。</w:t>
            </w:r>
          </w:p>
        </w:tc>
      </w:tr>
      <w:tr w14:paraId="64CB911C">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57497CE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主机抱闸打开监测/制动臂开启监控</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3FB717F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自动扶梯主机标配抱闸打开检测装置，控制系统实时监控抱闸状态，一旦检测到开梯时抱闸未抬起或停梯时抱闸未落下，自动扶梯和自动人行道会在设定时间内自动停梯，在故障未手动复位前无法重新开梯。</w:t>
            </w:r>
          </w:p>
        </w:tc>
      </w:tr>
      <w:tr w14:paraId="30C4AC21">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569E482D">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围裙板防夹装置</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460EDC5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安装在围裙板两侧，当用户人员距围裙板过近时会接触到毛刷，提到警示乘梯人的作用。</w:t>
            </w:r>
          </w:p>
        </w:tc>
      </w:tr>
      <w:tr w14:paraId="39A0EBD9">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29CBE0A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星三角转换</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1A0BC86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扶梯启动动时电机以Y 星接线方式启动，减少启动电流，设定时间后切换到三角形运行</w:t>
            </w:r>
          </w:p>
        </w:tc>
      </w:tr>
      <w:tr w14:paraId="16D77370">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40251EC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前沿板打开检测开关</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74BF59F0">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防止扶梯在前沿板未盖好的情况下使用，当前沿板没有完整安装好之前扶梯只能做检修动作，保护乘客和维修人员的安全。当前沿板被完整安装好之后才能用钥匙开梯，正常运行过程中一旦检测到前沿板被打开，自动扶梯或人行道立即停止运行</w:t>
            </w:r>
          </w:p>
        </w:tc>
      </w:tr>
      <w:tr w14:paraId="5B3080D8">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316167C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主驱动链断链保护</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5421586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主驱动传感器时刻监测扶梯速度，当主驱动链发生意外断链时，控制系统监测到异常后会立即发出指令使制动系统动作，自动扶梯停止运行</w:t>
            </w:r>
          </w:p>
        </w:tc>
      </w:tr>
      <w:tr w14:paraId="389DC87C">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14B262C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主驱动链条涨紧</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00613BAE">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当驱动链过度伸长时，自动扶梯将停梯保护</w:t>
            </w:r>
          </w:p>
        </w:tc>
      </w:tr>
      <w:tr w14:paraId="44A98E9B">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52A5B1B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启动前示警</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412CB629">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检修操作或正常运行启动前示警，先电铃响3秒钟，然后Y型启动，3秒钟后，△型正常运行，铃声消失。启动前后如有异常情况，可以按操纵面板的急停按钮，终止启动</w:t>
            </w:r>
          </w:p>
        </w:tc>
      </w:tr>
      <w:tr w14:paraId="08275BE2">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41AA5994">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开停机钥匙</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6EB18A05">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在扶梯的入口处的裙板上，设有一个钥匙开关盒，可以开上行或下行，还设有一个红色停止按钮。</w:t>
            </w:r>
          </w:p>
        </w:tc>
      </w:tr>
      <w:tr w14:paraId="6F9770BE">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6970E921">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接地保护系统</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1235276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扶手带静电释放、梯级静电毛刷、控制柜接地保护。</w:t>
            </w:r>
          </w:p>
        </w:tc>
      </w:tr>
      <w:tr w14:paraId="49F1FD78">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68FE42D2">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自动故障显示</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3FBA599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由微机系统控制的安全开关遍布扶梯的各个关键部分。对整机的运行状态保持不断的监控，（在某部位出现了故障或可能导致事故的不正常现象时，控制系统将自动切断动力电源并刹车，然后会跳出故障代码，这使维修人员能够立即找到故障部位，方便了维修，减少了因故停机的时间）</w:t>
            </w:r>
          </w:p>
        </w:tc>
      </w:tr>
      <w:tr w14:paraId="107D94D1">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108" w:type="dxa"/>
            <w:bottom w:w="0" w:type="dxa"/>
            <w:right w:w="108" w:type="dxa"/>
          </w:tblCellMar>
        </w:tblPrEx>
        <w:trPr>
          <w:trHeight w:val="0" w:hRule="atLeast"/>
          <w:jc w:val="center"/>
        </w:trPr>
        <w:tc>
          <w:tcPr>
            <w:tcW w:w="1582" w:type="dxa"/>
            <w:tcBorders>
              <w:top w:val="single" w:color="auto" w:sz="4" w:space="0"/>
              <w:left w:val="single" w:color="auto" w:sz="4" w:space="0"/>
              <w:bottom w:val="single" w:color="auto" w:sz="4" w:space="0"/>
              <w:right w:val="single" w:color="auto" w:sz="4" w:space="0"/>
            </w:tcBorders>
            <w:noWrap w:val="0"/>
            <w:vAlign w:val="center"/>
          </w:tcPr>
          <w:p w14:paraId="4384F9DB">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警示标签</w:t>
            </w:r>
          </w:p>
        </w:tc>
        <w:tc>
          <w:tcPr>
            <w:tcW w:w="7941" w:type="dxa"/>
            <w:tcBorders>
              <w:top w:val="single" w:color="auto" w:sz="4" w:space="0"/>
              <w:left w:val="single" w:color="auto" w:sz="4" w:space="0"/>
              <w:bottom w:val="single" w:color="auto" w:sz="4" w:space="0"/>
              <w:right w:val="single" w:color="auto" w:sz="4" w:space="0"/>
            </w:tcBorders>
            <w:noWrap w:val="0"/>
            <w:vAlign w:val="center"/>
          </w:tcPr>
          <w:p w14:paraId="4FF42BDC">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微软雅黑" w:hAnsi="微软雅黑" w:eastAsia="微软雅黑" w:cs="微软雅黑"/>
                <w:i w:val="0"/>
                <w:iCs w:val="0"/>
                <w:color w:val="auto"/>
                <w:kern w:val="0"/>
                <w:sz w:val="20"/>
                <w:szCs w:val="20"/>
                <w:highlight w:val="none"/>
                <w:u w:val="none"/>
                <w:lang w:val="en-US" w:eastAsia="zh-CN" w:bidi="ar"/>
              </w:rPr>
            </w:pPr>
            <w:r>
              <w:rPr>
                <w:rFonts w:hint="eastAsia" w:ascii="微软雅黑" w:hAnsi="微软雅黑" w:eastAsia="微软雅黑" w:cs="微软雅黑"/>
                <w:i w:val="0"/>
                <w:iCs w:val="0"/>
                <w:color w:val="auto"/>
                <w:kern w:val="0"/>
                <w:sz w:val="20"/>
                <w:szCs w:val="20"/>
                <w:highlight w:val="none"/>
                <w:u w:val="none"/>
                <w:lang w:val="en-US" w:eastAsia="zh-CN" w:bidi="ar"/>
              </w:rPr>
              <w:t>包括： 挂牌上锁标签、电压标签、触电危险标签、确保安全护栏在合适位置、电机高温警示标签、电机运转方向标签、控制柜提升标签。</w:t>
            </w:r>
          </w:p>
        </w:tc>
      </w:tr>
    </w:tbl>
    <w:p w14:paraId="48A96F61">
      <w:pPr>
        <w:numPr>
          <w:ilvl w:val="0"/>
          <w:numId w:val="0"/>
        </w:numPr>
        <w:kinsoku w:val="0"/>
        <w:autoSpaceDE w:val="0"/>
        <w:autoSpaceDN w:val="0"/>
        <w:adjustRightInd w:val="0"/>
        <w:snapToGrid w:val="0"/>
        <w:spacing w:before="55" w:line="217" w:lineRule="auto"/>
        <w:jc w:val="left"/>
        <w:textAlignment w:val="baseline"/>
        <w:rPr>
          <w:rFonts w:hint="default" w:ascii="宋体" w:hAnsi="宋体" w:eastAsia="宋体" w:cs="宋体"/>
          <w:b/>
          <w:bCs/>
          <w:color w:val="auto"/>
          <w:spacing w:val="-6"/>
          <w:sz w:val="28"/>
          <w:szCs w:val="28"/>
          <w:lang w:val="en-US" w:eastAsia="zh-CN"/>
        </w:rPr>
      </w:pPr>
    </w:p>
    <w:p w14:paraId="6BC43F39">
      <w:pPr>
        <w:numPr>
          <w:ilvl w:val="0"/>
          <w:numId w:val="0"/>
        </w:numPr>
        <w:kinsoku w:val="0"/>
        <w:autoSpaceDE w:val="0"/>
        <w:autoSpaceDN w:val="0"/>
        <w:adjustRightInd w:val="0"/>
        <w:snapToGrid w:val="0"/>
        <w:spacing w:before="55" w:line="217" w:lineRule="auto"/>
        <w:jc w:val="left"/>
        <w:textAlignment w:val="baseline"/>
        <w:rPr>
          <w:rFonts w:hint="default" w:ascii="宋体" w:hAnsi="宋体" w:eastAsia="宋体" w:cs="宋体"/>
          <w:b/>
          <w:bCs/>
          <w:color w:val="auto"/>
          <w:spacing w:val="-6"/>
          <w:sz w:val="28"/>
          <w:szCs w:val="28"/>
          <w:lang w:val="en-US" w:eastAsia="zh-CN"/>
        </w:rPr>
      </w:pPr>
    </w:p>
    <w:p w14:paraId="06C09B4B">
      <w:pPr>
        <w:numPr>
          <w:ilvl w:val="0"/>
          <w:numId w:val="0"/>
        </w:numPr>
        <w:kinsoku w:val="0"/>
        <w:autoSpaceDE w:val="0"/>
        <w:autoSpaceDN w:val="0"/>
        <w:adjustRightInd w:val="0"/>
        <w:snapToGrid w:val="0"/>
        <w:spacing w:before="55" w:line="217" w:lineRule="auto"/>
        <w:jc w:val="left"/>
        <w:textAlignment w:val="baseline"/>
        <w:rPr>
          <w:rFonts w:hint="default" w:ascii="宋体" w:hAnsi="宋体" w:eastAsia="宋体" w:cs="宋体"/>
          <w:b/>
          <w:bCs/>
          <w:color w:val="auto"/>
          <w:spacing w:val="-6"/>
          <w:sz w:val="28"/>
          <w:szCs w:val="28"/>
          <w:lang w:val="en-US" w:eastAsia="zh-CN"/>
        </w:rPr>
      </w:pPr>
    </w:p>
    <w:p w14:paraId="1293CD62">
      <w:pPr>
        <w:numPr>
          <w:ilvl w:val="0"/>
          <w:numId w:val="0"/>
        </w:numPr>
        <w:kinsoku w:val="0"/>
        <w:autoSpaceDE w:val="0"/>
        <w:autoSpaceDN w:val="0"/>
        <w:adjustRightInd w:val="0"/>
        <w:snapToGrid w:val="0"/>
        <w:spacing w:before="55" w:line="217" w:lineRule="auto"/>
        <w:jc w:val="left"/>
        <w:textAlignment w:val="baseline"/>
        <w:rPr>
          <w:rFonts w:hint="default" w:ascii="宋体" w:hAnsi="宋体" w:eastAsia="宋体" w:cs="宋体"/>
          <w:b/>
          <w:bCs/>
          <w:color w:val="auto"/>
          <w:spacing w:val="-6"/>
          <w:sz w:val="28"/>
          <w:szCs w:val="28"/>
          <w:lang w:val="en-US" w:eastAsia="zh-CN"/>
        </w:rPr>
      </w:pPr>
    </w:p>
    <w:p w14:paraId="3C41E915">
      <w:pPr>
        <w:spacing w:line="119" w:lineRule="exact"/>
        <w:rPr>
          <w:rFonts w:ascii="Arial"/>
          <w:color w:val="auto"/>
          <w:sz w:val="10"/>
        </w:rPr>
      </w:pPr>
    </w:p>
    <w:sectPr>
      <w:footerReference r:id="rId5" w:type="default"/>
      <w:pgSz w:w="11907" w:h="16840"/>
      <w:pgMar w:top="1431" w:right="1120" w:bottom="1159" w:left="1120" w:header="0" w:footer="99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69121">
    <w:pPr>
      <w:spacing w:line="169" w:lineRule="auto"/>
      <w:ind w:left="4798"/>
      <w:rPr>
        <w:rFonts w:ascii="Calibri" w:hAnsi="Calibri" w:eastAsia="Calibri" w:cs="Calibri"/>
        <w:sz w:val="18"/>
        <w:szCs w:val="18"/>
      </w:rPr>
    </w:pPr>
    <w:r>
      <w:rPr>
        <w:rFonts w:ascii="Calibri" w:hAnsi="Calibri" w:eastAsia="Calibri" w:cs="Calibri"/>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9E69EA"/>
    <w:multiLevelType w:val="singleLevel"/>
    <w:tmpl w:val="959E69EA"/>
    <w:lvl w:ilvl="0" w:tentative="0">
      <w:start w:val="1"/>
      <w:numFmt w:val="decimal"/>
      <w:suff w:val="nothing"/>
      <w:lvlText w:val="%1、"/>
      <w:lvlJc w:val="left"/>
      <w:rPr>
        <w:rFonts w:hint="default"/>
        <w:color w:val="000000" w:themeColor="text1"/>
        <w14:textFill>
          <w14:solidFill>
            <w14:schemeClr w14:val="tx1"/>
          </w14:solidFill>
        </w14:textFill>
      </w:rPr>
    </w:lvl>
  </w:abstractNum>
  <w:abstractNum w:abstractNumId="1">
    <w:nsid w:val="DD247825"/>
    <w:multiLevelType w:val="singleLevel"/>
    <w:tmpl w:val="DD247825"/>
    <w:lvl w:ilvl="0" w:tentative="0">
      <w:start w:val="1"/>
      <w:numFmt w:val="decimal"/>
      <w:suff w:val="nothing"/>
      <w:lvlText w:val="%1、"/>
      <w:lvlJc w:val="left"/>
    </w:lvl>
  </w:abstractNum>
  <w:abstractNum w:abstractNumId="2">
    <w:nsid w:val="113B6E04"/>
    <w:multiLevelType w:val="singleLevel"/>
    <w:tmpl w:val="113B6E04"/>
    <w:lvl w:ilvl="0" w:tentative="0">
      <w:start w:val="2"/>
      <w:numFmt w:val="chineseCounting"/>
      <w:suff w:val="nothing"/>
      <w:lvlText w:val="%1、"/>
      <w:lvlJc w:val="left"/>
      <w:rPr>
        <w:rFonts w:hint="eastAsia"/>
      </w:rPr>
    </w:lvl>
  </w:abstractNum>
  <w:abstractNum w:abstractNumId="3">
    <w:nsid w:val="21E2C082"/>
    <w:multiLevelType w:val="singleLevel"/>
    <w:tmpl w:val="21E2C082"/>
    <w:lvl w:ilvl="0" w:tentative="0">
      <w:start w:val="1"/>
      <w:numFmt w:val="decimal"/>
      <w:suff w:val="nothing"/>
      <w:lvlText w:val="%1、"/>
      <w:lvlJc w:val="left"/>
      <w:rPr>
        <w:rFonts w:hint="default"/>
        <w:color w:val="000000" w:themeColor="text1"/>
        <w14:textFill>
          <w14:solidFill>
            <w14:schemeClr w14:val="tx1"/>
          </w14:solidFill>
        </w14:textFill>
      </w:rPr>
    </w:lvl>
  </w:abstractNum>
  <w:abstractNum w:abstractNumId="4">
    <w:nsid w:val="3E0D96F4"/>
    <w:multiLevelType w:val="singleLevel"/>
    <w:tmpl w:val="3E0D96F4"/>
    <w:lvl w:ilvl="0" w:tentative="0">
      <w:start w:val="1"/>
      <w:numFmt w:val="decimal"/>
      <w:suff w:val="nothing"/>
      <w:lvlText w:val="%1、"/>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285085"/>
    <w:rsid w:val="01110546"/>
    <w:rsid w:val="01A06F09"/>
    <w:rsid w:val="01C04E49"/>
    <w:rsid w:val="01CD5273"/>
    <w:rsid w:val="022B3ED9"/>
    <w:rsid w:val="02D0730E"/>
    <w:rsid w:val="03101E00"/>
    <w:rsid w:val="04C02EFB"/>
    <w:rsid w:val="052D0A47"/>
    <w:rsid w:val="053579F4"/>
    <w:rsid w:val="054F6C10"/>
    <w:rsid w:val="05F144A2"/>
    <w:rsid w:val="05FB0B46"/>
    <w:rsid w:val="06A44D39"/>
    <w:rsid w:val="07911761"/>
    <w:rsid w:val="086D16B2"/>
    <w:rsid w:val="086F1377"/>
    <w:rsid w:val="08D833C0"/>
    <w:rsid w:val="0A2148F3"/>
    <w:rsid w:val="0AA572D2"/>
    <w:rsid w:val="0AE41BA8"/>
    <w:rsid w:val="0AF0230F"/>
    <w:rsid w:val="0B9510F4"/>
    <w:rsid w:val="0C02161A"/>
    <w:rsid w:val="0C542D5E"/>
    <w:rsid w:val="0C8A677F"/>
    <w:rsid w:val="0C9413AC"/>
    <w:rsid w:val="0D7C256C"/>
    <w:rsid w:val="0DB77A48"/>
    <w:rsid w:val="0E5232CD"/>
    <w:rsid w:val="0F096081"/>
    <w:rsid w:val="0F1B7B63"/>
    <w:rsid w:val="0F3133CB"/>
    <w:rsid w:val="0FBF29A1"/>
    <w:rsid w:val="101640CC"/>
    <w:rsid w:val="119F34C9"/>
    <w:rsid w:val="11B83503"/>
    <w:rsid w:val="11CE65C3"/>
    <w:rsid w:val="12025ACB"/>
    <w:rsid w:val="127203E1"/>
    <w:rsid w:val="12CA3857"/>
    <w:rsid w:val="13054DB2"/>
    <w:rsid w:val="13AC1A64"/>
    <w:rsid w:val="13B10A95"/>
    <w:rsid w:val="141352AC"/>
    <w:rsid w:val="14F90946"/>
    <w:rsid w:val="15073D43"/>
    <w:rsid w:val="15AB0794"/>
    <w:rsid w:val="15BA08CE"/>
    <w:rsid w:val="15C70A44"/>
    <w:rsid w:val="164C1164"/>
    <w:rsid w:val="16A91EF8"/>
    <w:rsid w:val="16D056D6"/>
    <w:rsid w:val="16E42F30"/>
    <w:rsid w:val="19255BB9"/>
    <w:rsid w:val="193E6D6D"/>
    <w:rsid w:val="19CF6906"/>
    <w:rsid w:val="1C1E6EE4"/>
    <w:rsid w:val="1C8E057A"/>
    <w:rsid w:val="1C9C6787"/>
    <w:rsid w:val="1E772002"/>
    <w:rsid w:val="1EF74148"/>
    <w:rsid w:val="1FF75739"/>
    <w:rsid w:val="2000527E"/>
    <w:rsid w:val="200F7270"/>
    <w:rsid w:val="20BE47F2"/>
    <w:rsid w:val="210112AE"/>
    <w:rsid w:val="21CB3A79"/>
    <w:rsid w:val="22A46395"/>
    <w:rsid w:val="231D1CA3"/>
    <w:rsid w:val="23B71E72"/>
    <w:rsid w:val="24636F51"/>
    <w:rsid w:val="24CA5E5B"/>
    <w:rsid w:val="24E76A0D"/>
    <w:rsid w:val="25DA20CE"/>
    <w:rsid w:val="25FE0DD7"/>
    <w:rsid w:val="261A071C"/>
    <w:rsid w:val="26487037"/>
    <w:rsid w:val="26C62652"/>
    <w:rsid w:val="28D154D1"/>
    <w:rsid w:val="29966703"/>
    <w:rsid w:val="29DB01C2"/>
    <w:rsid w:val="2A007C29"/>
    <w:rsid w:val="2A187669"/>
    <w:rsid w:val="2A36189D"/>
    <w:rsid w:val="2AC1560A"/>
    <w:rsid w:val="2B1442A4"/>
    <w:rsid w:val="2BFC132B"/>
    <w:rsid w:val="2C2F0132"/>
    <w:rsid w:val="2C9A4365"/>
    <w:rsid w:val="2C9F3729"/>
    <w:rsid w:val="2E5C3FC8"/>
    <w:rsid w:val="2E6D7F83"/>
    <w:rsid w:val="2E957790"/>
    <w:rsid w:val="2EC6413A"/>
    <w:rsid w:val="2F560A17"/>
    <w:rsid w:val="2F9C21A2"/>
    <w:rsid w:val="2FAF2808"/>
    <w:rsid w:val="2FE029D7"/>
    <w:rsid w:val="306C6942"/>
    <w:rsid w:val="31A6555A"/>
    <w:rsid w:val="31AF2660"/>
    <w:rsid w:val="31EA04A2"/>
    <w:rsid w:val="322855F2"/>
    <w:rsid w:val="32AF2435"/>
    <w:rsid w:val="32BD0DAD"/>
    <w:rsid w:val="32F83B93"/>
    <w:rsid w:val="33F24A86"/>
    <w:rsid w:val="34040BC2"/>
    <w:rsid w:val="34452917"/>
    <w:rsid w:val="35AD335B"/>
    <w:rsid w:val="36637F57"/>
    <w:rsid w:val="37CC68E9"/>
    <w:rsid w:val="38E2156D"/>
    <w:rsid w:val="398048E2"/>
    <w:rsid w:val="3A4122C4"/>
    <w:rsid w:val="3A9D7158"/>
    <w:rsid w:val="3AAF36D1"/>
    <w:rsid w:val="3BF13876"/>
    <w:rsid w:val="3C3D6ABB"/>
    <w:rsid w:val="3C5462DE"/>
    <w:rsid w:val="3CD73064"/>
    <w:rsid w:val="3DA05553"/>
    <w:rsid w:val="3DC76ACC"/>
    <w:rsid w:val="3F3E5024"/>
    <w:rsid w:val="3F9115F7"/>
    <w:rsid w:val="402C4C55"/>
    <w:rsid w:val="408D0011"/>
    <w:rsid w:val="40C536CD"/>
    <w:rsid w:val="40D20119"/>
    <w:rsid w:val="411D5753"/>
    <w:rsid w:val="42D40179"/>
    <w:rsid w:val="43022B82"/>
    <w:rsid w:val="434C41B3"/>
    <w:rsid w:val="44872FC9"/>
    <w:rsid w:val="449C4CC6"/>
    <w:rsid w:val="45A83C60"/>
    <w:rsid w:val="45D264C6"/>
    <w:rsid w:val="461E170B"/>
    <w:rsid w:val="46616C51"/>
    <w:rsid w:val="470449C0"/>
    <w:rsid w:val="47E250E6"/>
    <w:rsid w:val="48E44E8E"/>
    <w:rsid w:val="48E7246E"/>
    <w:rsid w:val="48F55145"/>
    <w:rsid w:val="491F7C74"/>
    <w:rsid w:val="49A563CB"/>
    <w:rsid w:val="49B02FC2"/>
    <w:rsid w:val="49CD147E"/>
    <w:rsid w:val="4A266DE0"/>
    <w:rsid w:val="4C2630C7"/>
    <w:rsid w:val="4C9303D6"/>
    <w:rsid w:val="4D22639D"/>
    <w:rsid w:val="4D44414D"/>
    <w:rsid w:val="4DD454D1"/>
    <w:rsid w:val="4E8642F1"/>
    <w:rsid w:val="4EB1136E"/>
    <w:rsid w:val="4FC7120E"/>
    <w:rsid w:val="501317B3"/>
    <w:rsid w:val="5032028D"/>
    <w:rsid w:val="51B318A1"/>
    <w:rsid w:val="51B539B5"/>
    <w:rsid w:val="51CF6E23"/>
    <w:rsid w:val="523522B6"/>
    <w:rsid w:val="52D97031"/>
    <w:rsid w:val="52E00474"/>
    <w:rsid w:val="5325232B"/>
    <w:rsid w:val="53865080"/>
    <w:rsid w:val="53A2397B"/>
    <w:rsid w:val="554A7E27"/>
    <w:rsid w:val="562604DD"/>
    <w:rsid w:val="58B008E9"/>
    <w:rsid w:val="59A87812"/>
    <w:rsid w:val="5AD64505"/>
    <w:rsid w:val="5BC13306"/>
    <w:rsid w:val="5C0916B2"/>
    <w:rsid w:val="5C341831"/>
    <w:rsid w:val="5C6E4D42"/>
    <w:rsid w:val="5D1A27D4"/>
    <w:rsid w:val="5D204925"/>
    <w:rsid w:val="5DEC23C3"/>
    <w:rsid w:val="5DFE5C52"/>
    <w:rsid w:val="5ED370DF"/>
    <w:rsid w:val="5F3B6A32"/>
    <w:rsid w:val="604C0EF7"/>
    <w:rsid w:val="60660F80"/>
    <w:rsid w:val="606721D5"/>
    <w:rsid w:val="613025C6"/>
    <w:rsid w:val="61363955"/>
    <w:rsid w:val="61A905CB"/>
    <w:rsid w:val="62FC4F4D"/>
    <w:rsid w:val="653E102A"/>
    <w:rsid w:val="65402FF4"/>
    <w:rsid w:val="662841B4"/>
    <w:rsid w:val="66B27F22"/>
    <w:rsid w:val="66B5531C"/>
    <w:rsid w:val="66EC6F90"/>
    <w:rsid w:val="66F13742"/>
    <w:rsid w:val="673E00C0"/>
    <w:rsid w:val="67CD1BF1"/>
    <w:rsid w:val="68637725"/>
    <w:rsid w:val="68925915"/>
    <w:rsid w:val="68BE670A"/>
    <w:rsid w:val="69127D04"/>
    <w:rsid w:val="6A3D12D9"/>
    <w:rsid w:val="6A52377C"/>
    <w:rsid w:val="6BB562F5"/>
    <w:rsid w:val="6BB80B1D"/>
    <w:rsid w:val="6D036DE1"/>
    <w:rsid w:val="6DEF7BDA"/>
    <w:rsid w:val="6F0B01CF"/>
    <w:rsid w:val="6FDF4DD7"/>
    <w:rsid w:val="70884A55"/>
    <w:rsid w:val="70F033BE"/>
    <w:rsid w:val="7265370E"/>
    <w:rsid w:val="72A44B1A"/>
    <w:rsid w:val="72DF63A4"/>
    <w:rsid w:val="747D183A"/>
    <w:rsid w:val="74D73C60"/>
    <w:rsid w:val="764305E5"/>
    <w:rsid w:val="76606B9F"/>
    <w:rsid w:val="76BE0607"/>
    <w:rsid w:val="774D53F2"/>
    <w:rsid w:val="77A17922"/>
    <w:rsid w:val="7840483B"/>
    <w:rsid w:val="785C7CED"/>
    <w:rsid w:val="78623556"/>
    <w:rsid w:val="78760DAF"/>
    <w:rsid w:val="78850FF2"/>
    <w:rsid w:val="78911745"/>
    <w:rsid w:val="78B35B5F"/>
    <w:rsid w:val="79907C4E"/>
    <w:rsid w:val="79E306C6"/>
    <w:rsid w:val="7A3C1B84"/>
    <w:rsid w:val="7A7F4325"/>
    <w:rsid w:val="7AA03EC1"/>
    <w:rsid w:val="7B11461F"/>
    <w:rsid w:val="7BC84A63"/>
    <w:rsid w:val="7C354ADD"/>
    <w:rsid w:val="7C8E3D96"/>
    <w:rsid w:val="7CBC6FAC"/>
    <w:rsid w:val="7D89728A"/>
    <w:rsid w:val="7DA12416"/>
    <w:rsid w:val="7DA41F1A"/>
    <w:rsid w:val="7DF11B13"/>
    <w:rsid w:val="7E6B6E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1914</Words>
  <Characters>2570</Characters>
  <TotalTime>21</TotalTime>
  <ScaleCrop>false</ScaleCrop>
  <LinksUpToDate>false</LinksUpToDate>
  <CharactersWithSpaces>2587</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2025-12-04T18:13:00Z</dcterms:created>
  <dc:creator>Y</dc:creator>
  <cp:lastModifiedBy>韦韦</cp:lastModifiedBy>
  <dcterms:modified xsi:type="dcterms:W3CDTF">2026-03-13T05:30:28Z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2026-01-06T17:59:42Z</vt:filetime>
  </property>
  <property fmtid="{D5CDD505-2E9C-101B-9397-08002B2CF9AE}" pid="4" name="KSOTemplateDocerSaveRecord">
    <vt:lpwstr>eyJoZGlkIjoiZmQ5MGI3YTdkMjVkZTZjM2ZjZTQ5YjMxYTJjZjRlOWEiLCJ1c2VySWQiOiIzNjE4MjQ5In0=</vt:lpwstr>
  </property>
  <property fmtid="{D5CDD505-2E9C-101B-9397-08002B2CF9AE}" pid="5" name="KSOProductBuildVer">
    <vt:lpwstr>2052-12.1.0.25225</vt:lpwstr>
  </property>
  <property fmtid="{D5CDD505-2E9C-101B-9397-08002B2CF9AE}" pid="6" name="ICV">
    <vt:lpwstr>AAFF7620A3BA45BBBDC4942FFCE50698_12</vt:lpwstr>
  </property>
</Properties>
</file>